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094CD" w14:textId="77777777" w:rsidR="00FB4FA8" w:rsidRPr="00FB4FA8" w:rsidRDefault="00FB4FA8" w:rsidP="00FB4FA8">
      <w:pPr>
        <w:tabs>
          <w:tab w:val="clear" w:pos="0"/>
        </w:tabs>
        <w:spacing w:before="1080"/>
        <w:jc w:val="both"/>
        <w:rPr>
          <w:rFonts w:eastAsia="SimSun"/>
          <w:b/>
          <w:color w:val="auto"/>
          <w:sz w:val="32"/>
          <w:szCs w:val="32"/>
        </w:rPr>
      </w:pPr>
    </w:p>
    <w:p w14:paraId="0EC939D8" w14:textId="77777777" w:rsidR="00FB4FA8" w:rsidRPr="00FB4FA8" w:rsidRDefault="00FB4FA8" w:rsidP="00FB4FA8">
      <w:pPr>
        <w:tabs>
          <w:tab w:val="clear" w:pos="0"/>
        </w:tabs>
        <w:spacing w:before="1080"/>
        <w:jc w:val="both"/>
        <w:rPr>
          <w:rFonts w:eastAsia="SimSun"/>
          <w:b/>
          <w:color w:val="auto"/>
          <w:sz w:val="32"/>
          <w:szCs w:val="32"/>
        </w:rPr>
      </w:pPr>
    </w:p>
    <w:p w14:paraId="58BCBDE1" w14:textId="77777777" w:rsidR="00FB4FA8" w:rsidRPr="00FB4FA8" w:rsidRDefault="00FB4FA8" w:rsidP="00FB4FA8">
      <w:pPr>
        <w:tabs>
          <w:tab w:val="clear" w:pos="0"/>
        </w:tabs>
        <w:spacing w:before="1080"/>
        <w:jc w:val="center"/>
        <w:rPr>
          <w:rFonts w:eastAsia="SimSun"/>
          <w:color w:val="auto"/>
          <w:szCs w:val="32"/>
        </w:rPr>
      </w:pPr>
      <w:r w:rsidRPr="00FB4FA8">
        <w:rPr>
          <w:rFonts w:eastAsia="SimSun"/>
          <w:b/>
          <w:color w:val="auto"/>
          <w:sz w:val="32"/>
          <w:szCs w:val="32"/>
        </w:rPr>
        <w:t>MONTREAL PROTOCOL</w:t>
      </w:r>
      <w:r w:rsidRPr="00FB4FA8">
        <w:rPr>
          <w:rFonts w:eastAsia="SimSun"/>
          <w:b/>
          <w:bCs/>
          <w:color w:val="auto"/>
          <w:sz w:val="32"/>
          <w:szCs w:val="32"/>
        </w:rPr>
        <w:t xml:space="preserve"> </w:t>
      </w:r>
      <w:r w:rsidRPr="00FB4FA8">
        <w:rPr>
          <w:rFonts w:eastAsia="SimSun"/>
          <w:b/>
          <w:color w:val="auto"/>
          <w:sz w:val="32"/>
          <w:szCs w:val="32"/>
        </w:rPr>
        <w:t>ON SUBSTANCES THAT DEPLETE</w:t>
      </w:r>
      <w:r w:rsidRPr="00FB4FA8">
        <w:rPr>
          <w:rFonts w:eastAsia="SimSun"/>
          <w:b/>
          <w:bCs/>
          <w:color w:val="auto"/>
          <w:sz w:val="32"/>
          <w:szCs w:val="32"/>
        </w:rPr>
        <w:t xml:space="preserve"> </w:t>
      </w:r>
      <w:r w:rsidRPr="00FB4FA8">
        <w:rPr>
          <w:rFonts w:eastAsia="SimSun"/>
          <w:b/>
          <w:color w:val="auto"/>
          <w:sz w:val="32"/>
          <w:szCs w:val="32"/>
        </w:rPr>
        <w:t>THE OZONE LAYER</w:t>
      </w:r>
    </w:p>
    <w:p w14:paraId="5BCD333C" w14:textId="68226AA1" w:rsidR="00FB4FA8" w:rsidRPr="00FB4FA8" w:rsidRDefault="00224636" w:rsidP="002135B0">
      <w:pPr>
        <w:tabs>
          <w:tab w:val="clear" w:pos="0"/>
          <w:tab w:val="center" w:pos="4153"/>
          <w:tab w:val="left" w:pos="6220"/>
        </w:tabs>
        <w:spacing w:before="1680" w:after="0"/>
        <w:rPr>
          <w:rFonts w:eastAsia="SimSun"/>
          <w:b/>
          <w:smallCaps/>
          <w:color w:val="auto"/>
          <w:sz w:val="32"/>
        </w:rPr>
      </w:pPr>
      <w:r>
        <w:rPr>
          <w:rFonts w:eastAsia="SimSun"/>
          <w:b/>
          <w:smallCaps/>
          <w:color w:val="auto"/>
          <w:sz w:val="32"/>
        </w:rPr>
        <w:tab/>
      </w:r>
      <w:r w:rsidR="00FB4FA8" w:rsidRPr="00FB4FA8">
        <w:rPr>
          <w:rFonts w:eastAsia="SimSun"/>
          <w:b/>
          <w:smallCaps/>
          <w:color w:val="auto"/>
          <w:sz w:val="32"/>
        </w:rPr>
        <w:t>Report Of The</w:t>
      </w:r>
      <w:r>
        <w:rPr>
          <w:rFonts w:eastAsia="SimSun"/>
          <w:b/>
          <w:smallCaps/>
          <w:color w:val="auto"/>
          <w:sz w:val="32"/>
        </w:rPr>
        <w:tab/>
      </w:r>
    </w:p>
    <w:p w14:paraId="6A335E1C" w14:textId="77777777" w:rsidR="00FB4FA8" w:rsidRPr="00FB4FA8" w:rsidRDefault="00FB4FA8" w:rsidP="00FB4FA8">
      <w:pPr>
        <w:tabs>
          <w:tab w:val="clear" w:pos="0"/>
        </w:tabs>
        <w:spacing w:after="0"/>
        <w:jc w:val="center"/>
        <w:rPr>
          <w:rFonts w:eastAsia="SimSun"/>
          <w:b/>
          <w:smallCaps/>
          <w:color w:val="auto"/>
          <w:sz w:val="32"/>
        </w:rPr>
      </w:pPr>
      <w:r w:rsidRPr="00FB4FA8">
        <w:rPr>
          <w:rFonts w:eastAsia="SimSun"/>
          <w:b/>
          <w:smallCaps/>
          <w:color w:val="auto"/>
          <w:sz w:val="32"/>
        </w:rPr>
        <w:t>Technology And Economic Assessment Panel</w:t>
      </w:r>
    </w:p>
    <w:p w14:paraId="4FAE45CB" w14:textId="77777777" w:rsidR="00FB4FA8" w:rsidRPr="00FB4FA8" w:rsidRDefault="00FB4FA8" w:rsidP="00FB4FA8">
      <w:pPr>
        <w:tabs>
          <w:tab w:val="clear" w:pos="0"/>
        </w:tabs>
        <w:spacing w:after="0"/>
        <w:jc w:val="center"/>
        <w:rPr>
          <w:rFonts w:eastAsia="SimSun"/>
          <w:b/>
          <w:smallCaps/>
          <w:color w:val="auto"/>
          <w:sz w:val="32"/>
        </w:rPr>
      </w:pPr>
    </w:p>
    <w:p w14:paraId="6BB84C9E" w14:textId="77777777" w:rsidR="00FB4FA8" w:rsidRPr="00FB4FA8" w:rsidRDefault="00FB4FA8" w:rsidP="00FB4FA8">
      <w:pPr>
        <w:tabs>
          <w:tab w:val="clear" w:pos="0"/>
        </w:tabs>
        <w:spacing w:after="0"/>
        <w:jc w:val="center"/>
        <w:rPr>
          <w:rFonts w:eastAsia="SimSun"/>
          <w:b/>
          <w:smallCaps/>
          <w:color w:val="auto"/>
          <w:sz w:val="32"/>
        </w:rPr>
      </w:pPr>
      <w:r w:rsidRPr="00FB4FA8">
        <w:rPr>
          <w:rFonts w:eastAsia="SimSun"/>
          <w:b/>
          <w:smallCaps/>
          <w:color w:val="auto"/>
          <w:sz w:val="32"/>
        </w:rPr>
        <w:t>May 2026</w:t>
      </w:r>
    </w:p>
    <w:p w14:paraId="18603B5E" w14:textId="77777777" w:rsidR="00FB4FA8" w:rsidRPr="00FB4FA8" w:rsidRDefault="00FB4FA8" w:rsidP="00FB4FA8">
      <w:pPr>
        <w:tabs>
          <w:tab w:val="clear" w:pos="0"/>
        </w:tabs>
        <w:spacing w:after="0"/>
        <w:jc w:val="center"/>
        <w:rPr>
          <w:rFonts w:eastAsia="SimSun"/>
          <w:b/>
          <w:smallCaps/>
          <w:color w:val="auto"/>
          <w:sz w:val="32"/>
        </w:rPr>
      </w:pPr>
    </w:p>
    <w:p w14:paraId="3ED24344" w14:textId="56B94948" w:rsidR="00FB4FA8" w:rsidRPr="00FB4FA8" w:rsidRDefault="00FB4FA8" w:rsidP="00FB4FA8">
      <w:pPr>
        <w:tabs>
          <w:tab w:val="clear" w:pos="0"/>
          <w:tab w:val="left" w:pos="2800"/>
        </w:tabs>
        <w:spacing w:after="120"/>
        <w:rPr>
          <w:rFonts w:eastAsia="SimSun"/>
          <w:b/>
          <w:smallCaps/>
          <w:color w:val="auto"/>
          <w:sz w:val="32"/>
        </w:rPr>
      </w:pPr>
      <w:r>
        <w:rPr>
          <w:rFonts w:eastAsia="SimSun"/>
          <w:b/>
          <w:smallCaps/>
          <w:color w:val="auto"/>
          <w:sz w:val="32"/>
        </w:rPr>
        <w:tab/>
      </w:r>
    </w:p>
    <w:p w14:paraId="236B516F" w14:textId="77777777" w:rsidR="00FB4FA8" w:rsidRPr="00FB4FA8" w:rsidRDefault="00FB4FA8" w:rsidP="00FB4FA8">
      <w:pPr>
        <w:tabs>
          <w:tab w:val="clear" w:pos="0"/>
          <w:tab w:val="left" w:pos="1890"/>
        </w:tabs>
        <w:spacing w:after="120"/>
        <w:jc w:val="center"/>
        <w:rPr>
          <w:rFonts w:eastAsia="SimSun"/>
          <w:smallCaps/>
          <w:color w:val="auto"/>
          <w:sz w:val="32"/>
        </w:rPr>
      </w:pPr>
      <w:bookmarkStart w:id="0" w:name="_Hlk41990475"/>
      <w:r w:rsidRPr="00FB4FA8">
        <w:rPr>
          <w:rFonts w:eastAsia="SimSun"/>
          <w:b/>
          <w:smallCaps/>
          <w:color w:val="auto"/>
          <w:sz w:val="32"/>
          <w:shd w:val="clear" w:color="auto" w:fill="FFFFFF"/>
        </w:rPr>
        <w:t xml:space="preserve">Volume 2: </w:t>
      </w:r>
      <w:r w:rsidRPr="00FB4FA8">
        <w:rPr>
          <w:rFonts w:eastAsia="SimSun"/>
          <w:b/>
          <w:smallCaps/>
          <w:color w:val="auto"/>
          <w:sz w:val="32"/>
        </w:rPr>
        <w:t>Assessment of the Funding Requirement for the Replenishment of the Multilateral Fund for the Period 2027-2029</w:t>
      </w:r>
      <w:bookmarkEnd w:id="0"/>
    </w:p>
    <w:p w14:paraId="671FDEF9" w14:textId="77777777" w:rsidR="00FB4FA8" w:rsidRPr="00FB4FA8" w:rsidRDefault="00FB4FA8" w:rsidP="00FB4FA8">
      <w:pPr>
        <w:tabs>
          <w:tab w:val="clear" w:pos="0"/>
        </w:tabs>
        <w:spacing w:after="120"/>
        <w:ind w:left="720" w:hanging="720"/>
        <w:jc w:val="right"/>
        <w:rPr>
          <w:rFonts w:eastAsia="SimSun"/>
          <w:b/>
          <w:color w:val="auto"/>
          <w:sz w:val="36"/>
        </w:rPr>
      </w:pPr>
      <w:r w:rsidRPr="00FB4FA8">
        <w:rPr>
          <w:rFonts w:ascii="Roboto Bold" w:eastAsia="SimSun" w:hAnsi="Roboto Bold"/>
          <w:noProof/>
          <w:color w:val="00AEEF"/>
          <w:lang w:eastAsia="en-CA"/>
        </w:rPr>
        <w:drawing>
          <wp:anchor distT="0" distB="0" distL="114300" distR="114300" simplePos="0" relativeHeight="251658243" behindDoc="1" locked="0" layoutInCell="1" allowOverlap="1" wp14:anchorId="4CB9D384" wp14:editId="0FF45FB9">
            <wp:simplePos x="0" y="0"/>
            <wp:positionH relativeFrom="column">
              <wp:posOffset>4574745</wp:posOffset>
            </wp:positionH>
            <wp:positionV relativeFrom="paragraph">
              <wp:posOffset>1589501</wp:posOffset>
            </wp:positionV>
            <wp:extent cx="1438275" cy="104345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8275" cy="1043454"/>
                    </a:xfrm>
                    <a:prstGeom prst="rect">
                      <a:avLst/>
                    </a:prstGeom>
                  </pic:spPr>
                </pic:pic>
              </a:graphicData>
            </a:graphic>
            <wp14:sizeRelH relativeFrom="page">
              <wp14:pctWidth>0</wp14:pctWidth>
            </wp14:sizeRelH>
            <wp14:sizeRelV relativeFrom="page">
              <wp14:pctHeight>0</wp14:pctHeight>
            </wp14:sizeRelV>
          </wp:anchor>
        </w:drawing>
      </w:r>
    </w:p>
    <w:p w14:paraId="41E7FD88" w14:textId="77777777" w:rsidR="00EF0F20" w:rsidRPr="00D23986" w:rsidRDefault="00EF0F20" w:rsidP="00FB4FA8">
      <w:pPr>
        <w:rPr>
          <w:b/>
          <w:smallCaps/>
          <w:sz w:val="28"/>
        </w:rPr>
        <w:sectPr w:rsidR="00EF0F20" w:rsidRPr="00D23986" w:rsidSect="00EF0F20">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39" w:code="9"/>
          <w:pgMar w:top="1440" w:right="1800" w:bottom="1526" w:left="1800" w:header="720" w:footer="792" w:gutter="0"/>
          <w:pgNumType w:fmt="lowerRoman"/>
          <w:cols w:space="720"/>
          <w:titlePg/>
          <w:docGrid w:linePitch="299"/>
        </w:sectPr>
      </w:pPr>
    </w:p>
    <w:p w14:paraId="62C09A72" w14:textId="77777777" w:rsidR="00EF0F20" w:rsidRPr="00B4636E" w:rsidRDefault="00EF0F20" w:rsidP="00EF0F20">
      <w:pPr>
        <w:spacing w:before="240" w:after="120"/>
        <w:jc w:val="right"/>
        <w:rPr>
          <w:b/>
          <w:sz w:val="24"/>
        </w:rPr>
      </w:pPr>
      <w:r w:rsidRPr="00D23986">
        <w:rPr>
          <w:b/>
          <w:sz w:val="24"/>
        </w:rPr>
        <w:lastRenderedPageBreak/>
        <w:t>Montreal Protocol</w:t>
      </w:r>
      <w:r>
        <w:rPr>
          <w:b/>
          <w:sz w:val="24"/>
        </w:rPr>
        <w:t xml:space="preserve"> o</w:t>
      </w:r>
      <w:r w:rsidRPr="00D23986">
        <w:rPr>
          <w:b/>
          <w:sz w:val="24"/>
        </w:rPr>
        <w:t>n Substances that Deplete the Ozone Layer</w:t>
      </w:r>
    </w:p>
    <w:p w14:paraId="11F1EF31" w14:textId="218AAB6E" w:rsidR="00EF0F20" w:rsidRPr="00821742" w:rsidRDefault="00EF0F20" w:rsidP="00EF0F20">
      <w:pPr>
        <w:pStyle w:val="Style15"/>
        <w:jc w:val="right"/>
        <w:rPr>
          <w:sz w:val="24"/>
          <w:szCs w:val="24"/>
        </w:rPr>
      </w:pPr>
      <w:r w:rsidRPr="00821742">
        <w:rPr>
          <w:sz w:val="24"/>
          <w:szCs w:val="24"/>
        </w:rPr>
        <w:t xml:space="preserve">United Nations </w:t>
      </w:r>
      <w:r w:rsidR="00127285" w:rsidRPr="00821742">
        <w:rPr>
          <w:sz w:val="24"/>
          <w:szCs w:val="24"/>
          <w:lang w:val="en-US"/>
        </w:rPr>
        <w:t xml:space="preserve">Environment </w:t>
      </w:r>
      <w:r w:rsidR="00127285" w:rsidRPr="00821742">
        <w:rPr>
          <w:sz w:val="24"/>
          <w:szCs w:val="24"/>
        </w:rPr>
        <w:t>Programme</w:t>
      </w:r>
      <w:r w:rsidRPr="00821742">
        <w:rPr>
          <w:sz w:val="24"/>
          <w:szCs w:val="24"/>
        </w:rPr>
        <w:t xml:space="preserve"> (UNEP)</w:t>
      </w:r>
    </w:p>
    <w:p w14:paraId="3FBBAEAF" w14:textId="31AD1D24" w:rsidR="005473F0" w:rsidRDefault="00EF0F20" w:rsidP="00EF0F20">
      <w:pPr>
        <w:pStyle w:val="Style15"/>
        <w:jc w:val="right"/>
        <w:rPr>
          <w:sz w:val="24"/>
          <w:szCs w:val="24"/>
        </w:rPr>
      </w:pPr>
      <w:r>
        <w:rPr>
          <w:sz w:val="24"/>
          <w:szCs w:val="24"/>
        </w:rPr>
        <w:t xml:space="preserve">Report of the </w:t>
      </w:r>
      <w:r w:rsidR="005473F0">
        <w:rPr>
          <w:sz w:val="24"/>
          <w:szCs w:val="24"/>
        </w:rPr>
        <w:t>Technology and Economic Assessment Panel</w:t>
      </w:r>
    </w:p>
    <w:p w14:paraId="0971F43C" w14:textId="7295F391" w:rsidR="00EF0F20" w:rsidRDefault="005473F0" w:rsidP="00EF0F20">
      <w:pPr>
        <w:pStyle w:val="Style15"/>
        <w:jc w:val="right"/>
        <w:rPr>
          <w:sz w:val="24"/>
          <w:szCs w:val="24"/>
        </w:rPr>
      </w:pPr>
      <w:r>
        <w:rPr>
          <w:sz w:val="24"/>
          <w:szCs w:val="24"/>
        </w:rPr>
        <w:t>Replenishment Task Force</w:t>
      </w:r>
    </w:p>
    <w:p w14:paraId="73B35592" w14:textId="77777777" w:rsidR="00EF0F20" w:rsidRDefault="00EF0F20" w:rsidP="00EF0F20">
      <w:pPr>
        <w:pStyle w:val="Style15"/>
        <w:jc w:val="right"/>
        <w:rPr>
          <w:sz w:val="24"/>
          <w:szCs w:val="24"/>
        </w:rPr>
      </w:pPr>
    </w:p>
    <w:p w14:paraId="41E6AF96" w14:textId="101490E1" w:rsidR="00EF0F20" w:rsidRDefault="005473F0" w:rsidP="00EF0F20">
      <w:pPr>
        <w:pStyle w:val="Style15"/>
        <w:jc w:val="right"/>
        <w:rPr>
          <w:sz w:val="24"/>
          <w:szCs w:val="24"/>
        </w:rPr>
      </w:pPr>
      <w:r>
        <w:rPr>
          <w:sz w:val="24"/>
          <w:szCs w:val="24"/>
        </w:rPr>
        <w:t>May 2026</w:t>
      </w:r>
    </w:p>
    <w:p w14:paraId="02D488B6" w14:textId="77777777" w:rsidR="00A55647" w:rsidRPr="00B4636E" w:rsidRDefault="00A55647" w:rsidP="00EF0F20">
      <w:pPr>
        <w:pStyle w:val="Style15"/>
        <w:jc w:val="right"/>
        <w:rPr>
          <w:sz w:val="24"/>
          <w:szCs w:val="24"/>
        </w:rPr>
      </w:pPr>
    </w:p>
    <w:p w14:paraId="2DD65C82" w14:textId="67D6F733" w:rsidR="00617A00" w:rsidRPr="00617A00" w:rsidRDefault="007D1DC8" w:rsidP="00617A00">
      <w:pPr>
        <w:rPr>
          <w:rFonts w:ascii="Times New Roman Bold" w:hAnsi="Times New Roman Bold"/>
          <w:b/>
          <w:bCs/>
          <w:smallCaps/>
          <w:sz w:val="28"/>
          <w:szCs w:val="28"/>
        </w:rPr>
      </w:pPr>
      <w:r>
        <w:rPr>
          <w:rFonts w:ascii="Times New Roman Bold" w:hAnsi="Times New Roman Bold"/>
          <w:b/>
          <w:bCs/>
          <w:smallCaps/>
          <w:sz w:val="28"/>
          <w:szCs w:val="28"/>
        </w:rPr>
        <w:t xml:space="preserve">Volume 2: Assessment of the Funding Requirement for the Replenishment of the Multilateral Fund for the Period </w:t>
      </w:r>
      <w:r w:rsidR="00EA7846">
        <w:rPr>
          <w:rFonts w:ascii="Times New Roman Bold" w:hAnsi="Times New Roman Bold"/>
          <w:b/>
          <w:bCs/>
          <w:smallCaps/>
          <w:sz w:val="28"/>
          <w:szCs w:val="28"/>
        </w:rPr>
        <w:br/>
      </w:r>
      <w:r>
        <w:rPr>
          <w:rFonts w:ascii="Times New Roman Bold" w:hAnsi="Times New Roman Bold"/>
          <w:b/>
          <w:bCs/>
          <w:smallCaps/>
          <w:sz w:val="28"/>
          <w:szCs w:val="28"/>
        </w:rPr>
        <w:t>2027-2029</w:t>
      </w:r>
    </w:p>
    <w:p w14:paraId="13A7A7BE" w14:textId="77777777" w:rsidR="00617A00" w:rsidRPr="00D23986" w:rsidRDefault="00617A00" w:rsidP="00617A00">
      <w:pPr>
        <w:spacing w:before="100" w:after="100"/>
      </w:pPr>
    </w:p>
    <w:p w14:paraId="21DAE690" w14:textId="47DE4590" w:rsidR="00617A00" w:rsidRDefault="00617A00" w:rsidP="00617A00">
      <w:pPr>
        <w:spacing w:before="100" w:after="100"/>
      </w:pPr>
      <w:r w:rsidRPr="00D23986">
        <w:t>The text of this report is composed in Times New Roman.</w:t>
      </w:r>
    </w:p>
    <w:p w14:paraId="351F8E70" w14:textId="77777777" w:rsidR="00617A00" w:rsidRPr="00D23986" w:rsidRDefault="00617A00" w:rsidP="00617A00">
      <w:pPr>
        <w:spacing w:before="100" w:after="100"/>
      </w:pPr>
    </w:p>
    <w:p w14:paraId="65CBE12D" w14:textId="447AA5E5" w:rsidR="00617A00" w:rsidRPr="00D23986" w:rsidRDefault="00617A00" w:rsidP="00617A00">
      <w:pPr>
        <w:tabs>
          <w:tab w:val="left" w:pos="2880"/>
        </w:tabs>
      </w:pPr>
      <w:bookmarkStart w:id="1" w:name="_Toc8318740"/>
      <w:bookmarkStart w:id="2" w:name="_Toc8320265"/>
      <w:bookmarkStart w:id="3" w:name="_Toc8396731"/>
      <w:bookmarkStart w:id="4" w:name="_Toc8638142"/>
      <w:bookmarkStart w:id="5" w:name="_Toc8638203"/>
      <w:bookmarkStart w:id="6" w:name="_Toc8639532"/>
      <w:bookmarkStart w:id="7" w:name="_Toc8888496"/>
      <w:bookmarkStart w:id="8" w:name="_Toc9075747"/>
      <w:bookmarkStart w:id="9" w:name="_Toc9109557"/>
      <w:bookmarkStart w:id="10" w:name="_Toc40190250"/>
      <w:bookmarkStart w:id="11" w:name="_Toc40191876"/>
      <w:bookmarkStart w:id="12" w:name="_Toc40194835"/>
      <w:bookmarkStart w:id="13" w:name="_Toc40209771"/>
      <w:bookmarkStart w:id="14" w:name="_Toc40696029"/>
      <w:bookmarkStart w:id="15" w:name="_Toc40696298"/>
      <w:bookmarkStart w:id="16" w:name="_Toc40696688"/>
      <w:bookmarkStart w:id="17" w:name="_Toc40697450"/>
      <w:bookmarkStart w:id="18" w:name="_Toc40765280"/>
      <w:bookmarkStart w:id="19" w:name="_Toc40765501"/>
      <w:bookmarkStart w:id="20" w:name="_Toc41335666"/>
      <w:bookmarkStart w:id="21" w:name="_Toc41660036"/>
      <w:bookmarkStart w:id="22" w:name="_Toc41805943"/>
      <w:bookmarkStart w:id="23" w:name="_Toc41837738"/>
      <w:r w:rsidRPr="002E42C7">
        <w:rPr>
          <w:b/>
          <w:bCs/>
        </w:rPr>
        <w:t>Co-ordination</w:t>
      </w:r>
      <w:r w:rsidRPr="00D23986">
        <w:t>:</w:t>
      </w:r>
      <w:r w:rsidRPr="00D23986">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A40EC">
        <w:t>TEAP Decision XXXVII/6 Replenishment Task Force</w:t>
      </w:r>
    </w:p>
    <w:p w14:paraId="598A6465" w14:textId="3E1415E8" w:rsidR="00617A00" w:rsidRPr="00D23986" w:rsidRDefault="00617A00" w:rsidP="00617A00">
      <w:pPr>
        <w:tabs>
          <w:tab w:val="left" w:pos="2880"/>
        </w:tabs>
        <w:spacing w:before="100" w:after="100"/>
      </w:pPr>
      <w:r w:rsidRPr="00D23986">
        <w:t>Composition of the report:</w:t>
      </w:r>
      <w:r w:rsidRPr="00D23986">
        <w:tab/>
      </w:r>
      <w:r w:rsidR="00E027BF">
        <w:t>Suely Carvalho, Bella Maranion</w:t>
      </w:r>
    </w:p>
    <w:p w14:paraId="2D3A69DC" w14:textId="0ECE6061" w:rsidR="00617A00" w:rsidRPr="00D23986" w:rsidRDefault="00617A00" w:rsidP="00617A00">
      <w:pPr>
        <w:tabs>
          <w:tab w:val="left" w:pos="2880"/>
        </w:tabs>
        <w:spacing w:before="100" w:after="100"/>
        <w:ind w:left="2160" w:hanging="2160"/>
      </w:pPr>
      <w:r w:rsidRPr="00D23986">
        <w:t>Layout and formatting:</w:t>
      </w:r>
      <w:r w:rsidRPr="00D23986">
        <w:tab/>
      </w:r>
      <w:r w:rsidRPr="00D23986">
        <w:tab/>
      </w:r>
      <w:r w:rsidR="00E027BF">
        <w:t>Bella Maranion</w:t>
      </w:r>
    </w:p>
    <w:p w14:paraId="34FBD75E" w14:textId="37A72A69" w:rsidR="00617A00" w:rsidRPr="00D23986" w:rsidRDefault="00617A00" w:rsidP="00617A00">
      <w:pPr>
        <w:tabs>
          <w:tab w:val="left" w:pos="2880"/>
        </w:tabs>
        <w:spacing w:before="100" w:after="100"/>
      </w:pPr>
      <w:r w:rsidRPr="00D23986">
        <w:t>Date:</w:t>
      </w:r>
      <w:r w:rsidRPr="00D23986">
        <w:tab/>
      </w:r>
      <w:r w:rsidR="00CC29CE">
        <w:t>May 2026</w:t>
      </w:r>
    </w:p>
    <w:p w14:paraId="3C81FEB3" w14:textId="77777777" w:rsidR="00617A00" w:rsidRPr="00D23986" w:rsidRDefault="00617A00" w:rsidP="00617A00">
      <w:pPr>
        <w:spacing w:before="100" w:after="100"/>
      </w:pPr>
    </w:p>
    <w:p w14:paraId="6214F2CA" w14:textId="77777777" w:rsidR="00617A00" w:rsidRDefault="00617A00" w:rsidP="00617A00">
      <w:pPr>
        <w:spacing w:before="100" w:after="100"/>
      </w:pPr>
      <w:r w:rsidRPr="00D23986">
        <w:t>Under certain conditions, printed copies of this report are available from:</w:t>
      </w:r>
    </w:p>
    <w:p w14:paraId="58B32073" w14:textId="77777777" w:rsidR="00617A00" w:rsidRPr="003231D4" w:rsidRDefault="00617A00" w:rsidP="00617A00">
      <w:pPr>
        <w:pStyle w:val="Style15"/>
      </w:pPr>
    </w:p>
    <w:p w14:paraId="6AF0B949" w14:textId="77777777" w:rsidR="00617A00" w:rsidRDefault="00617A00" w:rsidP="00617A00">
      <w:pPr>
        <w:spacing w:before="100" w:after="100"/>
      </w:pPr>
      <w:r w:rsidRPr="00D23986">
        <w:t>UNITED NATIONS ENVIRONMENT PROGRAMME</w:t>
      </w:r>
    </w:p>
    <w:p w14:paraId="300119BC" w14:textId="77777777" w:rsidR="00617A00" w:rsidRDefault="00617A00" w:rsidP="00617A00">
      <w:pPr>
        <w:spacing w:before="100" w:after="100"/>
      </w:pPr>
      <w:r w:rsidRPr="00D23986">
        <w:t>Ozone Secretariat</w:t>
      </w:r>
    </w:p>
    <w:p w14:paraId="354510A6" w14:textId="77777777" w:rsidR="00617A00" w:rsidRDefault="00617A00" w:rsidP="00617A00">
      <w:pPr>
        <w:spacing w:before="100" w:after="100"/>
      </w:pPr>
      <w:r w:rsidRPr="00D23986">
        <w:t>P.O. Box 30552</w:t>
      </w:r>
    </w:p>
    <w:p w14:paraId="359C717E" w14:textId="77777777" w:rsidR="00617A00" w:rsidRPr="00D23986" w:rsidRDefault="00617A00" w:rsidP="00617A00">
      <w:pPr>
        <w:spacing w:before="100" w:after="100"/>
      </w:pPr>
      <w:r w:rsidRPr="00D23986">
        <w:t>Nairobi, Kenya</w:t>
      </w:r>
    </w:p>
    <w:p w14:paraId="4DBAC9A9" w14:textId="77777777" w:rsidR="00617A00" w:rsidRPr="00D23986" w:rsidRDefault="00617A00" w:rsidP="00617A00">
      <w:pPr>
        <w:spacing w:before="100" w:after="100"/>
        <w:outlineLvl w:val="0"/>
      </w:pPr>
    </w:p>
    <w:p w14:paraId="11D73EE6" w14:textId="77777777" w:rsidR="00617A00" w:rsidRPr="00D23986" w:rsidRDefault="00617A00" w:rsidP="00617A00">
      <w:bookmarkStart w:id="24" w:name="_Toc8318741"/>
      <w:bookmarkStart w:id="25" w:name="_Toc8320266"/>
      <w:bookmarkStart w:id="26" w:name="_Toc8396732"/>
      <w:bookmarkStart w:id="27" w:name="_Toc8638143"/>
      <w:bookmarkStart w:id="28" w:name="_Toc8638204"/>
      <w:bookmarkStart w:id="29" w:name="_Toc8639533"/>
      <w:bookmarkStart w:id="30" w:name="_Toc8888497"/>
      <w:bookmarkStart w:id="31" w:name="_Toc9075748"/>
      <w:bookmarkStart w:id="32" w:name="_Toc9109558"/>
      <w:bookmarkStart w:id="33" w:name="_Toc40190251"/>
      <w:bookmarkStart w:id="34" w:name="_Toc40191877"/>
      <w:bookmarkStart w:id="35" w:name="_Toc40194836"/>
      <w:bookmarkStart w:id="36" w:name="_Toc40209772"/>
      <w:bookmarkStart w:id="37" w:name="_Toc40696030"/>
      <w:bookmarkStart w:id="38" w:name="_Toc40696299"/>
      <w:bookmarkStart w:id="39" w:name="_Toc40696689"/>
      <w:bookmarkStart w:id="40" w:name="_Toc40697451"/>
      <w:bookmarkStart w:id="41" w:name="_Toc40765281"/>
      <w:bookmarkStart w:id="42" w:name="_Toc40765502"/>
      <w:bookmarkStart w:id="43" w:name="_Toc41335667"/>
      <w:bookmarkStart w:id="44" w:name="_Toc41660037"/>
      <w:bookmarkStart w:id="45" w:name="_Toc41805944"/>
      <w:bookmarkStart w:id="46" w:name="_Toc41837739"/>
      <w:r w:rsidRPr="00D23986">
        <w:t>This document is also available in portable document format from the UNEP Ozone Secretariat's website: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994C39E" w14:textId="77777777" w:rsidR="00617A00" w:rsidRDefault="00617A00" w:rsidP="00617A00">
      <w:pPr>
        <w:spacing w:before="100" w:after="100"/>
      </w:pPr>
      <w:r w:rsidRPr="000E1B45">
        <w:t>https://ozone.unep.org/science/assessment/teap</w:t>
      </w:r>
    </w:p>
    <w:p w14:paraId="2B213182" w14:textId="77777777" w:rsidR="00617A00" w:rsidRPr="000E1B45" w:rsidRDefault="00617A00" w:rsidP="00617A00">
      <w:pPr>
        <w:pStyle w:val="Style15"/>
      </w:pPr>
    </w:p>
    <w:p w14:paraId="3375090A" w14:textId="77777777" w:rsidR="00617A00" w:rsidRPr="00D23986" w:rsidRDefault="00617A00" w:rsidP="00617A00">
      <w:pPr>
        <w:spacing w:before="100" w:after="100"/>
      </w:pPr>
      <w:r w:rsidRPr="00D23986">
        <w:t>No copyright involved.</w:t>
      </w:r>
      <w:r>
        <w:t xml:space="preserve"> </w:t>
      </w:r>
      <w:r w:rsidRPr="00D23986">
        <w:t>This publication may be freely copied, abstracted and cited, with acknowledgement of the source of the material.</w:t>
      </w:r>
    </w:p>
    <w:p w14:paraId="2BE8A30B" w14:textId="77777777" w:rsidR="00617A00" w:rsidRPr="00D23986" w:rsidRDefault="00617A00" w:rsidP="00617A00">
      <w:pPr>
        <w:spacing w:before="100" w:after="100"/>
      </w:pPr>
    </w:p>
    <w:p w14:paraId="71EAFF5B" w14:textId="6CDA9A7E" w:rsidR="004812D9" w:rsidRPr="002135B0" w:rsidRDefault="00617A00" w:rsidP="00617A00">
      <w:pPr>
        <w:autoSpaceDE w:val="0"/>
        <w:autoSpaceDN w:val="0"/>
        <w:adjustRightInd w:val="0"/>
        <w:spacing w:before="100" w:after="100"/>
        <w:rPr>
          <w:b/>
          <w:lang w:val="en-US"/>
        </w:rPr>
      </w:pPr>
      <w:bookmarkStart w:id="47" w:name="_Hlk41990715"/>
      <w:r w:rsidRPr="00821742">
        <w:rPr>
          <w:b/>
          <w:bCs/>
          <w:lang w:val="de-DE"/>
        </w:rPr>
        <w:t>ISBN:</w:t>
      </w:r>
      <w:r w:rsidRPr="002135B0">
        <w:rPr>
          <w:b/>
          <w:bCs/>
          <w:lang w:val="en-US"/>
        </w:rPr>
        <w:tab/>
      </w:r>
      <w:bookmarkEnd w:id="47"/>
      <w:r w:rsidR="009D17AE" w:rsidRPr="002135B0">
        <w:rPr>
          <w:b/>
          <w:bCs/>
        </w:rPr>
        <w:t>978-9914-733-69-3</w:t>
      </w:r>
      <w:r w:rsidR="009D17AE" w:rsidRPr="009D17AE">
        <w:t> </w:t>
      </w:r>
    </w:p>
    <w:p w14:paraId="73FE6AC9" w14:textId="77777777" w:rsidR="006F40D9" w:rsidRPr="002135B0" w:rsidRDefault="006F40D9" w:rsidP="00617A00">
      <w:pPr>
        <w:autoSpaceDE w:val="0"/>
        <w:autoSpaceDN w:val="0"/>
        <w:adjustRightInd w:val="0"/>
        <w:spacing w:before="100" w:after="100"/>
        <w:rPr>
          <w:b/>
          <w:lang w:val="en-US"/>
        </w:rPr>
      </w:pPr>
    </w:p>
    <w:p w14:paraId="5BF589B1" w14:textId="77777777" w:rsidR="006F40D9" w:rsidRPr="002135B0" w:rsidRDefault="006F40D9" w:rsidP="00617A00">
      <w:pPr>
        <w:autoSpaceDE w:val="0"/>
        <w:autoSpaceDN w:val="0"/>
        <w:adjustRightInd w:val="0"/>
        <w:spacing w:before="100" w:after="100"/>
        <w:rPr>
          <w:b/>
          <w:lang w:val="en-US"/>
        </w:rPr>
      </w:pPr>
    </w:p>
    <w:p w14:paraId="58FB9E74" w14:textId="1B72A025" w:rsidR="006F40D9" w:rsidRPr="002135B0" w:rsidRDefault="006F40D9" w:rsidP="00617A00">
      <w:pPr>
        <w:autoSpaceDE w:val="0"/>
        <w:autoSpaceDN w:val="0"/>
        <w:adjustRightInd w:val="0"/>
        <w:spacing w:before="100" w:after="100"/>
        <w:rPr>
          <w:highlight w:val="yellow"/>
          <w:lang w:val="en-US"/>
        </w:rPr>
        <w:sectPr w:rsidR="006F40D9" w:rsidRPr="002135B0" w:rsidSect="006233FA">
          <w:headerReference w:type="even" r:id="rId19"/>
          <w:headerReference w:type="default" r:id="rId20"/>
          <w:footerReference w:type="default" r:id="rId21"/>
          <w:headerReference w:type="first" r:id="rId22"/>
          <w:footnotePr>
            <w:numRestart w:val="eachSect"/>
          </w:footnotePr>
          <w:type w:val="oddPage"/>
          <w:pgSz w:w="11907" w:h="16839" w:code="9"/>
          <w:pgMar w:top="1440" w:right="1797" w:bottom="1525" w:left="1797" w:header="720" w:footer="794" w:gutter="0"/>
          <w:pgNumType w:fmt="lowerRoman"/>
          <w:cols w:space="720"/>
          <w:docGrid w:linePitch="299"/>
        </w:sectPr>
      </w:pPr>
    </w:p>
    <w:p w14:paraId="420FE2DF" w14:textId="77777777" w:rsidR="00617A00" w:rsidRPr="00D23986" w:rsidRDefault="00617A00" w:rsidP="005D31A7">
      <w:pPr>
        <w:pStyle w:val="Heading1"/>
      </w:pPr>
      <w:bookmarkStart w:id="48" w:name="_Toc8318742"/>
      <w:bookmarkStart w:id="49" w:name="_Toc8320267"/>
      <w:bookmarkStart w:id="50" w:name="_Toc8396733"/>
      <w:bookmarkStart w:id="51" w:name="_Toc8638144"/>
      <w:bookmarkStart w:id="52" w:name="_Toc8638205"/>
      <w:bookmarkStart w:id="53" w:name="_Toc8639534"/>
      <w:bookmarkStart w:id="54" w:name="_Toc8888498"/>
      <w:bookmarkStart w:id="55" w:name="_Toc9075749"/>
      <w:bookmarkStart w:id="56" w:name="_Toc9109559"/>
      <w:bookmarkStart w:id="57" w:name="_Toc40190252"/>
      <w:bookmarkStart w:id="58" w:name="_Toc40191878"/>
      <w:bookmarkStart w:id="59" w:name="_Toc40194837"/>
      <w:bookmarkStart w:id="60" w:name="_Toc40209773"/>
      <w:bookmarkStart w:id="61" w:name="_Toc40696031"/>
      <w:bookmarkStart w:id="62" w:name="_Toc40696300"/>
      <w:bookmarkStart w:id="63" w:name="_Toc40696690"/>
      <w:bookmarkStart w:id="64" w:name="_Toc40697452"/>
      <w:bookmarkStart w:id="65" w:name="_Toc40765282"/>
      <w:bookmarkStart w:id="66" w:name="_Toc40765503"/>
      <w:bookmarkStart w:id="67" w:name="_Toc41335668"/>
      <w:bookmarkStart w:id="68" w:name="_Toc41660038"/>
      <w:bookmarkStart w:id="69" w:name="_Toc41805945"/>
      <w:bookmarkStart w:id="70" w:name="_Toc41837740"/>
      <w:bookmarkStart w:id="71" w:name="_Toc77868850"/>
      <w:bookmarkStart w:id="72" w:name="_Toc78040696"/>
      <w:bookmarkStart w:id="73" w:name="_Toc104396643"/>
      <w:bookmarkStart w:id="74" w:name="_Toc230099028"/>
      <w:r w:rsidRPr="00D23986">
        <w:lastRenderedPageBreak/>
        <w:t>Disclaimer</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E8ACC51" w14:textId="462BAD71" w:rsidR="00617A00" w:rsidRPr="00D23986" w:rsidRDefault="00617A00" w:rsidP="00617A00">
      <w:pPr>
        <w:jc w:val="both"/>
        <w:rPr>
          <w:sz w:val="20"/>
        </w:rPr>
      </w:pPr>
      <w:r w:rsidRPr="00D23986">
        <w:rPr>
          <w:sz w:val="20"/>
        </w:rPr>
        <w:t>The United Nations Environment Programme (UNEP), the Technology and Economic Assessment Panel (TEAP) Co-chairs and members, the Technical Options Committees Co-chairs and members, the TEAP Task Forces Co-chairs and members, and the companies and organisations that employ them do not endorse the performance, worker safety, or environmental acceptability of any of the technical options discussed.</w:t>
      </w:r>
      <w:r>
        <w:rPr>
          <w:sz w:val="20"/>
        </w:rPr>
        <w:t xml:space="preserve"> </w:t>
      </w:r>
      <w:r w:rsidRPr="00D23986">
        <w:rPr>
          <w:sz w:val="20"/>
        </w:rPr>
        <w:t>Every industrial operation requires consideration of worker safety and proper disposal of contaminants and waste products.</w:t>
      </w:r>
      <w:r>
        <w:rPr>
          <w:sz w:val="20"/>
        </w:rPr>
        <w:t xml:space="preserve"> </w:t>
      </w:r>
      <w:r w:rsidRPr="00D23986">
        <w:rPr>
          <w:sz w:val="20"/>
        </w:rPr>
        <w:t xml:space="preserve">Moreover, as work continues </w:t>
      </w:r>
      <w:r w:rsidR="00F6540F">
        <w:rPr>
          <w:sz w:val="20"/>
        </w:rPr>
        <w:t>—</w:t>
      </w:r>
      <w:r w:rsidRPr="00D23986">
        <w:rPr>
          <w:sz w:val="20"/>
        </w:rPr>
        <w:t xml:space="preserve"> including additional toxicity evaluation </w:t>
      </w:r>
      <w:r w:rsidR="00F6540F">
        <w:rPr>
          <w:sz w:val="20"/>
        </w:rPr>
        <w:t>—</w:t>
      </w:r>
      <w:r w:rsidRPr="00D23986">
        <w:rPr>
          <w:sz w:val="20"/>
        </w:rPr>
        <w:t xml:space="preserve"> more information on health, environmental and safety effects of alternatives and replacements will become available for use in selecting among the options discussed in this document.</w:t>
      </w:r>
    </w:p>
    <w:p w14:paraId="7DCCF79E" w14:textId="77777777" w:rsidR="00617A00" w:rsidRPr="00D23986" w:rsidRDefault="00617A00" w:rsidP="00617A00">
      <w:pPr>
        <w:pStyle w:val="MainTextNon-indent"/>
        <w:widowControl/>
        <w:spacing w:after="240" w:line="240" w:lineRule="auto"/>
        <w:jc w:val="both"/>
        <w:rPr>
          <w:rFonts w:ascii="Times New Roman" w:hAnsi="Times New Roman"/>
          <w:lang w:val="en-GB"/>
        </w:rPr>
      </w:pPr>
      <w:r w:rsidRPr="00D23986">
        <w:rPr>
          <w:rFonts w:ascii="Times New Roman" w:hAnsi="Times New Roman"/>
          <w:lang w:val="en-GB"/>
        </w:rPr>
        <w:t>UNEP, the TEAP Co-chairs and members, the Technical Options Committees Co-chairs and members, and the TEAP Task Forces Co-chairs and members, in furnishing or distributing this information, do not make any warranty or representation, either express or implied, with respect to the accuracy, completeness, or utility; nor do they assume any liability of any kind whatsoever resulting from the use or reliance upon any information, material, or procedure contained herein, including but not limited to any claims regarding health, safety, environmental effect or fate, efficacy, or performance, made by the source of information.</w:t>
      </w:r>
    </w:p>
    <w:p w14:paraId="3B447171" w14:textId="77777777" w:rsidR="00617A00" w:rsidRPr="00D23986" w:rsidRDefault="00617A00" w:rsidP="00617A00">
      <w:pPr>
        <w:jc w:val="both"/>
        <w:rPr>
          <w:sz w:val="20"/>
        </w:rPr>
      </w:pPr>
      <w:r w:rsidRPr="00D23986">
        <w:rPr>
          <w:sz w:val="20"/>
        </w:rPr>
        <w:t>Mention of any company, association, or product in this document is for information purposes only and does not constitute a recommendation of any such company, association, or product, either express or implied by UNEP, the Technology and Economic Assessment Panel Co-chairs or members, the Technical and Economic Options Committee Co-chairs or members, the TEAP Task Forces Co-chairs or members or the companies or organisations that employ them.</w:t>
      </w:r>
    </w:p>
    <w:p w14:paraId="4BC0DE6E" w14:textId="77777777" w:rsidR="00617A00" w:rsidRPr="00D23986" w:rsidRDefault="00617A00" w:rsidP="00617A00">
      <w:pPr>
        <w:keepNext/>
        <w:suppressAutoHyphens/>
        <w:spacing w:before="120"/>
        <w:ind w:right="244"/>
        <w:jc w:val="both"/>
        <w:rPr>
          <w:b/>
        </w:rPr>
      </w:pPr>
    </w:p>
    <w:p w14:paraId="41220EC2" w14:textId="77777777" w:rsidR="00617A00" w:rsidRPr="00D23986" w:rsidRDefault="00617A00" w:rsidP="00617A00">
      <w:pPr>
        <w:keepNext/>
        <w:suppressAutoHyphens/>
        <w:spacing w:before="120"/>
        <w:ind w:right="244"/>
        <w:jc w:val="both"/>
        <w:rPr>
          <w:b/>
        </w:rPr>
      </w:pPr>
    </w:p>
    <w:p w14:paraId="529CF86D" w14:textId="77777777" w:rsidR="00617A00" w:rsidRPr="00D23986" w:rsidRDefault="00617A00" w:rsidP="00617A00">
      <w:pPr>
        <w:keepNext/>
        <w:suppressAutoHyphens/>
        <w:spacing w:before="120"/>
        <w:ind w:right="244"/>
        <w:jc w:val="both"/>
        <w:rPr>
          <w:b/>
        </w:rPr>
      </w:pPr>
    </w:p>
    <w:p w14:paraId="6AF3402B" w14:textId="77777777" w:rsidR="00617A00" w:rsidRPr="00D23986" w:rsidRDefault="00617A00" w:rsidP="00617A00">
      <w:pPr>
        <w:keepNext/>
        <w:suppressAutoHyphens/>
        <w:spacing w:before="120"/>
        <w:ind w:right="244"/>
        <w:jc w:val="both"/>
        <w:rPr>
          <w:b/>
        </w:rPr>
      </w:pPr>
    </w:p>
    <w:p w14:paraId="10F191E8" w14:textId="77777777" w:rsidR="00617A00" w:rsidRPr="00D23986" w:rsidRDefault="00617A00" w:rsidP="00617A00">
      <w:pPr>
        <w:keepNext/>
        <w:suppressAutoHyphens/>
        <w:spacing w:before="120"/>
        <w:ind w:right="244"/>
        <w:jc w:val="both"/>
        <w:rPr>
          <w:b/>
        </w:rPr>
      </w:pPr>
    </w:p>
    <w:p w14:paraId="1E77347F" w14:textId="77777777" w:rsidR="00617A00" w:rsidRPr="00D23986" w:rsidRDefault="00617A00" w:rsidP="00617A00">
      <w:pPr>
        <w:keepNext/>
        <w:suppressAutoHyphens/>
        <w:spacing w:before="120"/>
        <w:ind w:right="244"/>
        <w:jc w:val="both"/>
        <w:rPr>
          <w:b/>
        </w:rPr>
      </w:pPr>
    </w:p>
    <w:p w14:paraId="5E259CFD" w14:textId="77777777" w:rsidR="00617A00" w:rsidRPr="00D23986" w:rsidRDefault="00617A00" w:rsidP="00617A00">
      <w:pPr>
        <w:keepNext/>
        <w:suppressAutoHyphens/>
        <w:spacing w:before="120"/>
        <w:ind w:right="244"/>
        <w:jc w:val="both"/>
        <w:rPr>
          <w:b/>
        </w:rPr>
      </w:pPr>
      <w:r w:rsidRPr="00D23986">
        <w:rPr>
          <w:b/>
        </w:rPr>
        <w:t>Acknowledgements</w:t>
      </w:r>
    </w:p>
    <w:p w14:paraId="6404803B" w14:textId="41F61BDA" w:rsidR="00617A00" w:rsidRPr="00D23986" w:rsidRDefault="00617A00" w:rsidP="00617A00">
      <w:pPr>
        <w:jc w:val="both"/>
        <w:rPr>
          <w:sz w:val="20"/>
        </w:rPr>
      </w:pPr>
      <w:r w:rsidRPr="00D23986">
        <w:rPr>
          <w:sz w:val="20"/>
        </w:rPr>
        <w:t>The Technology and Economic Assessment Panel, its Technical Options Committees and the TEAP Task Force Co-chairs and members acknowledge with thanks the outstanding contributions from all the individuals and organisations that provided support to Panel, Committees and TEAP Task Force Co-chairs and members.</w:t>
      </w:r>
      <w:r>
        <w:rPr>
          <w:sz w:val="20"/>
        </w:rPr>
        <w:t xml:space="preserve"> </w:t>
      </w:r>
      <w:r w:rsidRPr="00D23986">
        <w:rPr>
          <w:sz w:val="20"/>
        </w:rPr>
        <w:t>The opinions expressed are those of the Panel, the Committees and TEAP Task Forces and do not necessarily reflect the reviews of any sponsoring or supporting organisation.</w:t>
      </w:r>
    </w:p>
    <w:p w14:paraId="114080A4" w14:textId="059EFA56" w:rsidR="004812D9" w:rsidRDefault="004812D9" w:rsidP="004812D9">
      <w:r w:rsidRPr="00F777CE">
        <w:br w:type="page"/>
      </w:r>
    </w:p>
    <w:p w14:paraId="462F4973" w14:textId="77777777" w:rsidR="00617A00" w:rsidRPr="004A0778" w:rsidRDefault="00617A00" w:rsidP="005D31A7">
      <w:pPr>
        <w:pStyle w:val="Heading1"/>
      </w:pPr>
      <w:bookmarkStart w:id="75" w:name="_Toc40696032"/>
      <w:bookmarkStart w:id="76" w:name="_Toc40696301"/>
      <w:bookmarkStart w:id="77" w:name="_Toc40696691"/>
      <w:bookmarkStart w:id="78" w:name="_Toc40697453"/>
      <w:bookmarkStart w:id="79" w:name="_Toc40765283"/>
      <w:bookmarkStart w:id="80" w:name="_Toc40765504"/>
      <w:bookmarkStart w:id="81" w:name="_Toc41335669"/>
      <w:bookmarkStart w:id="82" w:name="_Toc41660039"/>
      <w:bookmarkStart w:id="83" w:name="_Toc41805946"/>
      <w:bookmarkStart w:id="84" w:name="_Toc41837741"/>
      <w:bookmarkStart w:id="85" w:name="_Toc77868851"/>
      <w:bookmarkStart w:id="86" w:name="_Toc78040697"/>
      <w:bookmarkStart w:id="87" w:name="_Toc79066502"/>
      <w:bookmarkStart w:id="88" w:name="_Toc104396644"/>
      <w:bookmarkStart w:id="89" w:name="_Toc230099029"/>
      <w:r w:rsidRPr="004A0778">
        <w:lastRenderedPageBreak/>
        <w:t>Foreword</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21B6ECD" w14:textId="71121FF6" w:rsidR="00617A00" w:rsidRDefault="00617A00" w:rsidP="00617A00">
      <w:pPr>
        <w:rPr>
          <w:b/>
        </w:rPr>
      </w:pPr>
      <w:r w:rsidRPr="00D23986">
        <w:rPr>
          <w:b/>
        </w:rPr>
        <w:t xml:space="preserve">The </w:t>
      </w:r>
      <w:r w:rsidR="00EF5248">
        <w:rPr>
          <w:b/>
        </w:rPr>
        <w:t>TEAP Decision XXXVII</w:t>
      </w:r>
      <w:r w:rsidR="004E7AA5">
        <w:rPr>
          <w:b/>
        </w:rPr>
        <w:t>/6 Replenishment Task Force</w:t>
      </w:r>
      <w:r w:rsidRPr="00D23986">
        <w:rPr>
          <w:b/>
        </w:rPr>
        <w:t>:</w:t>
      </w:r>
    </w:p>
    <w:tbl>
      <w:tblPr>
        <w:tblStyle w:val="TableGrid"/>
        <w:tblW w:w="8440" w:type="dxa"/>
        <w:tblLook w:val="04A0" w:firstRow="1" w:lastRow="0" w:firstColumn="1" w:lastColumn="0" w:noHBand="0" w:noVBand="1"/>
      </w:tblPr>
      <w:tblGrid>
        <w:gridCol w:w="2130"/>
        <w:gridCol w:w="4365"/>
        <w:gridCol w:w="1945"/>
      </w:tblGrid>
      <w:tr w:rsidR="002D29E9" w:rsidRPr="00A11826" w14:paraId="7BCF2B03" w14:textId="77777777" w:rsidTr="00E13CEA">
        <w:trPr>
          <w:trHeight w:val="300"/>
        </w:trPr>
        <w:tc>
          <w:tcPr>
            <w:tcW w:w="2130" w:type="dxa"/>
            <w:shd w:val="clear" w:color="auto" w:fill="8EAADB" w:themeFill="accent1" w:themeFillTint="99"/>
            <w:vAlign w:val="center"/>
          </w:tcPr>
          <w:p w14:paraId="6AA046A8" w14:textId="77777777" w:rsidR="002D29E9" w:rsidRPr="00415C42" w:rsidRDefault="002D29E9" w:rsidP="00E13CEA">
            <w:pPr>
              <w:spacing w:after="0"/>
              <w:rPr>
                <w:b/>
                <w:sz w:val="20"/>
                <w:szCs w:val="20"/>
              </w:rPr>
            </w:pPr>
            <w:r w:rsidRPr="00415C42">
              <w:rPr>
                <w:b/>
                <w:sz w:val="20"/>
                <w:szCs w:val="20"/>
              </w:rPr>
              <w:t>Co-chairs</w:t>
            </w:r>
          </w:p>
        </w:tc>
        <w:tc>
          <w:tcPr>
            <w:tcW w:w="4365" w:type="dxa"/>
            <w:shd w:val="clear" w:color="auto" w:fill="8EAADB" w:themeFill="accent1" w:themeFillTint="99"/>
            <w:vAlign w:val="center"/>
          </w:tcPr>
          <w:p w14:paraId="21C38C2D" w14:textId="77777777" w:rsidR="002D29E9" w:rsidRPr="00415C42" w:rsidRDefault="002D29E9" w:rsidP="00E13CEA">
            <w:pPr>
              <w:spacing w:after="0"/>
              <w:rPr>
                <w:b/>
                <w:sz w:val="20"/>
                <w:szCs w:val="20"/>
              </w:rPr>
            </w:pPr>
            <w:r w:rsidRPr="00415C42">
              <w:rPr>
                <w:b/>
                <w:sz w:val="20"/>
                <w:szCs w:val="20"/>
              </w:rPr>
              <w:t>Affiliation</w:t>
            </w:r>
          </w:p>
        </w:tc>
        <w:tc>
          <w:tcPr>
            <w:tcW w:w="1945" w:type="dxa"/>
            <w:shd w:val="clear" w:color="auto" w:fill="8EAADB" w:themeFill="accent1" w:themeFillTint="99"/>
            <w:vAlign w:val="center"/>
          </w:tcPr>
          <w:p w14:paraId="65E55876" w14:textId="77777777" w:rsidR="002D29E9" w:rsidRPr="00415C42" w:rsidRDefault="002D29E9" w:rsidP="00E13CEA">
            <w:pPr>
              <w:spacing w:after="0"/>
              <w:rPr>
                <w:b/>
                <w:sz w:val="20"/>
                <w:szCs w:val="20"/>
              </w:rPr>
            </w:pPr>
            <w:r w:rsidRPr="00415C42">
              <w:rPr>
                <w:b/>
                <w:sz w:val="20"/>
                <w:szCs w:val="20"/>
              </w:rPr>
              <w:t>Country</w:t>
            </w:r>
          </w:p>
        </w:tc>
      </w:tr>
      <w:tr w:rsidR="002D29E9" w:rsidRPr="00A11826" w14:paraId="568E3833" w14:textId="77777777" w:rsidTr="7D71EDA9">
        <w:trPr>
          <w:trHeight w:val="300"/>
        </w:trPr>
        <w:tc>
          <w:tcPr>
            <w:tcW w:w="2130" w:type="dxa"/>
          </w:tcPr>
          <w:p w14:paraId="55B21583" w14:textId="6CB261E5" w:rsidR="002D29E9" w:rsidRPr="00A11826" w:rsidRDefault="0067663E" w:rsidP="006233FA">
            <w:pPr>
              <w:spacing w:after="0"/>
              <w:rPr>
                <w:sz w:val="20"/>
                <w:szCs w:val="20"/>
              </w:rPr>
            </w:pPr>
            <w:r>
              <w:rPr>
                <w:sz w:val="20"/>
                <w:szCs w:val="20"/>
              </w:rPr>
              <w:t>Suely Carvalho</w:t>
            </w:r>
          </w:p>
        </w:tc>
        <w:tc>
          <w:tcPr>
            <w:tcW w:w="4365" w:type="dxa"/>
          </w:tcPr>
          <w:p w14:paraId="2BF03382" w14:textId="4CF50BFB" w:rsidR="002D29E9" w:rsidRPr="00A11826" w:rsidRDefault="000B50D6" w:rsidP="006233FA">
            <w:pPr>
              <w:spacing w:after="0"/>
              <w:rPr>
                <w:sz w:val="20"/>
                <w:szCs w:val="20"/>
              </w:rPr>
            </w:pPr>
            <w:r>
              <w:rPr>
                <w:sz w:val="20"/>
                <w:szCs w:val="20"/>
              </w:rPr>
              <w:t>TEAP Senior Expert</w:t>
            </w:r>
            <w:r w:rsidR="002D29E9" w:rsidRPr="00A11826">
              <w:rPr>
                <w:sz w:val="20"/>
                <w:szCs w:val="20"/>
              </w:rPr>
              <w:t xml:space="preserve"> </w:t>
            </w:r>
          </w:p>
        </w:tc>
        <w:tc>
          <w:tcPr>
            <w:tcW w:w="1945" w:type="dxa"/>
          </w:tcPr>
          <w:p w14:paraId="38F4D1CD" w14:textId="769089C0" w:rsidR="002D29E9" w:rsidRPr="00A11826" w:rsidRDefault="000B50D6" w:rsidP="006233FA">
            <w:pPr>
              <w:spacing w:after="0"/>
              <w:rPr>
                <w:sz w:val="20"/>
                <w:szCs w:val="20"/>
              </w:rPr>
            </w:pPr>
            <w:r>
              <w:rPr>
                <w:sz w:val="20"/>
                <w:szCs w:val="20"/>
              </w:rPr>
              <w:t>Brazil</w:t>
            </w:r>
          </w:p>
        </w:tc>
      </w:tr>
      <w:tr w:rsidR="002D29E9" w:rsidRPr="00A11826" w14:paraId="2C0BEF56" w14:textId="77777777" w:rsidTr="7D71EDA9">
        <w:trPr>
          <w:trHeight w:val="300"/>
        </w:trPr>
        <w:tc>
          <w:tcPr>
            <w:tcW w:w="2130" w:type="dxa"/>
          </w:tcPr>
          <w:p w14:paraId="290EE428" w14:textId="1838528B" w:rsidR="002D29E9" w:rsidRPr="00A11826" w:rsidRDefault="00E8135D" w:rsidP="006233FA">
            <w:pPr>
              <w:spacing w:after="0"/>
              <w:rPr>
                <w:sz w:val="20"/>
                <w:szCs w:val="20"/>
              </w:rPr>
            </w:pPr>
            <w:r>
              <w:rPr>
                <w:sz w:val="20"/>
                <w:szCs w:val="20"/>
              </w:rPr>
              <w:t>Bella Maranion</w:t>
            </w:r>
          </w:p>
        </w:tc>
        <w:tc>
          <w:tcPr>
            <w:tcW w:w="4365" w:type="dxa"/>
          </w:tcPr>
          <w:p w14:paraId="3B538E06" w14:textId="21FA44A1" w:rsidR="002D29E9" w:rsidRPr="00A11826" w:rsidRDefault="000B50D6" w:rsidP="006233FA">
            <w:pPr>
              <w:spacing w:after="0"/>
              <w:rPr>
                <w:sz w:val="20"/>
                <w:szCs w:val="20"/>
              </w:rPr>
            </w:pPr>
            <w:r>
              <w:rPr>
                <w:sz w:val="20"/>
                <w:szCs w:val="20"/>
              </w:rPr>
              <w:t>TEAP Co-chair</w:t>
            </w:r>
          </w:p>
        </w:tc>
        <w:tc>
          <w:tcPr>
            <w:tcW w:w="1945" w:type="dxa"/>
          </w:tcPr>
          <w:p w14:paraId="0F7C5E90" w14:textId="632B79E7" w:rsidR="002D29E9" w:rsidRPr="00A11826" w:rsidRDefault="000B50D6" w:rsidP="006233FA">
            <w:pPr>
              <w:spacing w:after="0"/>
              <w:rPr>
                <w:sz w:val="20"/>
                <w:szCs w:val="20"/>
              </w:rPr>
            </w:pPr>
            <w:r>
              <w:rPr>
                <w:sz w:val="20"/>
                <w:szCs w:val="20"/>
              </w:rPr>
              <w:t>U</w:t>
            </w:r>
            <w:r w:rsidR="00C520F0">
              <w:rPr>
                <w:sz w:val="20"/>
                <w:szCs w:val="20"/>
              </w:rPr>
              <w:t>nited States of America (USA)</w:t>
            </w:r>
          </w:p>
        </w:tc>
      </w:tr>
      <w:tr w:rsidR="004A0344" w:rsidRPr="00A11826" w14:paraId="3BC1599D" w14:textId="77777777" w:rsidTr="00E13CEA">
        <w:trPr>
          <w:trHeight w:val="300"/>
        </w:trPr>
        <w:tc>
          <w:tcPr>
            <w:tcW w:w="8440" w:type="dxa"/>
            <w:gridSpan w:val="3"/>
            <w:shd w:val="clear" w:color="auto" w:fill="8EAADB" w:themeFill="accent1" w:themeFillTint="99"/>
            <w:vAlign w:val="center"/>
          </w:tcPr>
          <w:p w14:paraId="5A6B44DD" w14:textId="49E52567" w:rsidR="004A0344" w:rsidRPr="00415C42" w:rsidRDefault="004A0344" w:rsidP="00E13CEA">
            <w:pPr>
              <w:spacing w:after="0"/>
              <w:rPr>
                <w:b/>
                <w:sz w:val="20"/>
                <w:szCs w:val="20"/>
              </w:rPr>
            </w:pPr>
            <w:r w:rsidRPr="00415C42">
              <w:rPr>
                <w:b/>
                <w:sz w:val="20"/>
                <w:szCs w:val="20"/>
              </w:rPr>
              <w:t>Members</w:t>
            </w:r>
          </w:p>
        </w:tc>
      </w:tr>
      <w:tr w:rsidR="002D29E9" w:rsidRPr="00A11826" w14:paraId="652EBD49" w14:textId="77777777" w:rsidTr="7D71EDA9">
        <w:trPr>
          <w:trHeight w:val="300"/>
        </w:trPr>
        <w:tc>
          <w:tcPr>
            <w:tcW w:w="2130" w:type="dxa"/>
          </w:tcPr>
          <w:p w14:paraId="0397A937" w14:textId="3CEF9BFB" w:rsidR="002D29E9" w:rsidRPr="00A11826" w:rsidRDefault="000B50D6" w:rsidP="006233FA">
            <w:pPr>
              <w:spacing w:after="0"/>
              <w:rPr>
                <w:sz w:val="20"/>
                <w:szCs w:val="20"/>
              </w:rPr>
            </w:pPr>
            <w:r>
              <w:rPr>
                <w:sz w:val="20"/>
                <w:szCs w:val="20"/>
              </w:rPr>
              <w:t>Omar Abdelaziz</w:t>
            </w:r>
          </w:p>
        </w:tc>
        <w:tc>
          <w:tcPr>
            <w:tcW w:w="4365" w:type="dxa"/>
          </w:tcPr>
          <w:p w14:paraId="6C4359E7" w14:textId="6DFCCB71" w:rsidR="002D29E9" w:rsidRPr="00A11826" w:rsidRDefault="000B50D6" w:rsidP="006233FA">
            <w:pPr>
              <w:spacing w:after="0"/>
              <w:rPr>
                <w:sz w:val="20"/>
                <w:szCs w:val="20"/>
              </w:rPr>
            </w:pPr>
            <w:r>
              <w:rPr>
                <w:sz w:val="20"/>
                <w:szCs w:val="20"/>
              </w:rPr>
              <w:t>R</w:t>
            </w:r>
            <w:r w:rsidR="00553A03">
              <w:rPr>
                <w:sz w:val="20"/>
                <w:szCs w:val="20"/>
              </w:rPr>
              <w:t>efrigeration, Air Conditioning, and Heat Pumps Technical Options Committee (R</w:t>
            </w:r>
            <w:r>
              <w:rPr>
                <w:sz w:val="20"/>
                <w:szCs w:val="20"/>
              </w:rPr>
              <w:t>TOC</w:t>
            </w:r>
            <w:r w:rsidR="00553A03">
              <w:rPr>
                <w:sz w:val="20"/>
                <w:szCs w:val="20"/>
              </w:rPr>
              <w:t>)</w:t>
            </w:r>
            <w:r>
              <w:rPr>
                <w:sz w:val="20"/>
                <w:szCs w:val="20"/>
              </w:rPr>
              <w:t xml:space="preserve"> Co-chair</w:t>
            </w:r>
          </w:p>
        </w:tc>
        <w:tc>
          <w:tcPr>
            <w:tcW w:w="1945" w:type="dxa"/>
          </w:tcPr>
          <w:p w14:paraId="6EDCD239" w14:textId="5764E846" w:rsidR="002D29E9" w:rsidRPr="00A11826" w:rsidRDefault="000B50D6" w:rsidP="006233FA">
            <w:pPr>
              <w:spacing w:after="0"/>
              <w:rPr>
                <w:sz w:val="20"/>
                <w:szCs w:val="20"/>
              </w:rPr>
            </w:pPr>
            <w:r>
              <w:rPr>
                <w:sz w:val="20"/>
                <w:szCs w:val="20"/>
              </w:rPr>
              <w:t>Egypt</w:t>
            </w:r>
          </w:p>
        </w:tc>
      </w:tr>
      <w:tr w:rsidR="002D29E9" w:rsidRPr="00A11826" w14:paraId="381B699D" w14:textId="77777777" w:rsidTr="7D71EDA9">
        <w:trPr>
          <w:trHeight w:val="300"/>
        </w:trPr>
        <w:tc>
          <w:tcPr>
            <w:tcW w:w="2130" w:type="dxa"/>
          </w:tcPr>
          <w:p w14:paraId="4D208A10" w14:textId="6354AE80" w:rsidR="002D29E9" w:rsidRPr="00A11826" w:rsidRDefault="000B50D6" w:rsidP="006233FA">
            <w:pPr>
              <w:spacing w:after="0"/>
              <w:rPr>
                <w:sz w:val="20"/>
                <w:szCs w:val="20"/>
              </w:rPr>
            </w:pPr>
            <w:r>
              <w:rPr>
                <w:sz w:val="20"/>
                <w:szCs w:val="20"/>
              </w:rPr>
              <w:t>Adam Chattaway</w:t>
            </w:r>
          </w:p>
        </w:tc>
        <w:tc>
          <w:tcPr>
            <w:tcW w:w="4365" w:type="dxa"/>
          </w:tcPr>
          <w:p w14:paraId="745D5AE8" w14:textId="64B8A407" w:rsidR="002D29E9" w:rsidRPr="00A11826" w:rsidRDefault="000B50D6" w:rsidP="006233FA">
            <w:pPr>
              <w:spacing w:after="0"/>
              <w:rPr>
                <w:sz w:val="20"/>
                <w:szCs w:val="20"/>
              </w:rPr>
            </w:pPr>
            <w:r>
              <w:rPr>
                <w:sz w:val="20"/>
                <w:szCs w:val="20"/>
              </w:rPr>
              <w:t>F</w:t>
            </w:r>
            <w:r w:rsidR="00553A03">
              <w:rPr>
                <w:sz w:val="20"/>
                <w:szCs w:val="20"/>
              </w:rPr>
              <w:t xml:space="preserve">ire Suppression </w:t>
            </w:r>
            <w:r w:rsidR="00EA5D1A">
              <w:rPr>
                <w:sz w:val="20"/>
                <w:szCs w:val="20"/>
              </w:rPr>
              <w:t>Technical Options Committee (F</w:t>
            </w:r>
            <w:r>
              <w:rPr>
                <w:sz w:val="20"/>
                <w:szCs w:val="20"/>
              </w:rPr>
              <w:t>STOC</w:t>
            </w:r>
            <w:r w:rsidR="00EA5D1A">
              <w:rPr>
                <w:sz w:val="20"/>
                <w:szCs w:val="20"/>
              </w:rPr>
              <w:t>) Co-chair</w:t>
            </w:r>
          </w:p>
        </w:tc>
        <w:tc>
          <w:tcPr>
            <w:tcW w:w="1945" w:type="dxa"/>
          </w:tcPr>
          <w:p w14:paraId="3C7560FB" w14:textId="09934FF6" w:rsidR="002D29E9" w:rsidRPr="00A11826" w:rsidRDefault="00EA5D1A" w:rsidP="006233FA">
            <w:pPr>
              <w:spacing w:after="0"/>
              <w:rPr>
                <w:sz w:val="20"/>
                <w:szCs w:val="20"/>
              </w:rPr>
            </w:pPr>
            <w:r>
              <w:rPr>
                <w:sz w:val="20"/>
                <w:szCs w:val="20"/>
              </w:rPr>
              <w:t>U</w:t>
            </w:r>
            <w:r w:rsidR="00C520F0">
              <w:rPr>
                <w:sz w:val="20"/>
                <w:szCs w:val="20"/>
              </w:rPr>
              <w:t xml:space="preserve">nited </w:t>
            </w:r>
            <w:r>
              <w:rPr>
                <w:sz w:val="20"/>
                <w:szCs w:val="20"/>
              </w:rPr>
              <w:t>K</w:t>
            </w:r>
            <w:r w:rsidR="00C520F0">
              <w:rPr>
                <w:sz w:val="20"/>
                <w:szCs w:val="20"/>
              </w:rPr>
              <w:t>ingdom (UK)</w:t>
            </w:r>
          </w:p>
        </w:tc>
      </w:tr>
      <w:tr w:rsidR="002D29E9" w:rsidRPr="00A11826" w14:paraId="0FD4DB42" w14:textId="77777777" w:rsidTr="7D71EDA9">
        <w:trPr>
          <w:trHeight w:val="300"/>
        </w:trPr>
        <w:tc>
          <w:tcPr>
            <w:tcW w:w="2130" w:type="dxa"/>
          </w:tcPr>
          <w:p w14:paraId="0EAF81FB" w14:textId="463CB508" w:rsidR="002D29E9" w:rsidRPr="00A11826" w:rsidRDefault="00EA5D1A" w:rsidP="006233FA">
            <w:pPr>
              <w:spacing w:after="0"/>
              <w:rPr>
                <w:sz w:val="20"/>
                <w:szCs w:val="20"/>
              </w:rPr>
            </w:pPr>
            <w:r>
              <w:rPr>
                <w:sz w:val="20"/>
                <w:szCs w:val="20"/>
              </w:rPr>
              <w:t>Sukumar Devotta</w:t>
            </w:r>
          </w:p>
        </w:tc>
        <w:tc>
          <w:tcPr>
            <w:tcW w:w="4365" w:type="dxa"/>
          </w:tcPr>
          <w:p w14:paraId="7E1A3AC5" w14:textId="67490D3B" w:rsidR="002D29E9" w:rsidRPr="00A11826" w:rsidRDefault="00EA5D1A" w:rsidP="006233FA">
            <w:pPr>
              <w:spacing w:after="0"/>
              <w:rPr>
                <w:sz w:val="20"/>
                <w:szCs w:val="20"/>
              </w:rPr>
            </w:pPr>
            <w:r>
              <w:rPr>
                <w:sz w:val="20"/>
                <w:szCs w:val="20"/>
              </w:rPr>
              <w:t>TEAP Senior Expert</w:t>
            </w:r>
          </w:p>
        </w:tc>
        <w:tc>
          <w:tcPr>
            <w:tcW w:w="1945" w:type="dxa"/>
          </w:tcPr>
          <w:p w14:paraId="4F4D876F" w14:textId="44839C24" w:rsidR="002D29E9" w:rsidRPr="00A11826" w:rsidRDefault="00EA5D1A" w:rsidP="006233FA">
            <w:pPr>
              <w:spacing w:after="0"/>
              <w:rPr>
                <w:sz w:val="20"/>
                <w:szCs w:val="20"/>
              </w:rPr>
            </w:pPr>
            <w:r>
              <w:rPr>
                <w:sz w:val="20"/>
                <w:szCs w:val="20"/>
              </w:rPr>
              <w:t>Ind</w:t>
            </w:r>
            <w:r w:rsidR="00CE326C">
              <w:rPr>
                <w:sz w:val="20"/>
                <w:szCs w:val="20"/>
              </w:rPr>
              <w:t>i</w:t>
            </w:r>
            <w:r>
              <w:rPr>
                <w:sz w:val="20"/>
                <w:szCs w:val="20"/>
              </w:rPr>
              <w:t>a</w:t>
            </w:r>
          </w:p>
        </w:tc>
      </w:tr>
      <w:tr w:rsidR="002D29E9" w:rsidRPr="00A11826" w14:paraId="28EBBE44" w14:textId="77777777" w:rsidTr="7D71EDA9">
        <w:trPr>
          <w:trHeight w:val="300"/>
        </w:trPr>
        <w:tc>
          <w:tcPr>
            <w:tcW w:w="2130" w:type="dxa"/>
          </w:tcPr>
          <w:p w14:paraId="73EC3822" w14:textId="41997C92" w:rsidR="002D29E9" w:rsidRPr="00A11826" w:rsidRDefault="00F2515A" w:rsidP="006233FA">
            <w:pPr>
              <w:spacing w:after="0"/>
              <w:rPr>
                <w:sz w:val="20"/>
                <w:szCs w:val="20"/>
              </w:rPr>
            </w:pPr>
            <w:r>
              <w:rPr>
                <w:sz w:val="20"/>
                <w:szCs w:val="20"/>
              </w:rPr>
              <w:t>Gabrielle Dreyfus</w:t>
            </w:r>
          </w:p>
        </w:tc>
        <w:tc>
          <w:tcPr>
            <w:tcW w:w="4365" w:type="dxa"/>
          </w:tcPr>
          <w:p w14:paraId="4832634B" w14:textId="4DBE46A2" w:rsidR="002D29E9" w:rsidRPr="00A11826" w:rsidRDefault="00F2515A" w:rsidP="006233FA">
            <w:pPr>
              <w:spacing w:after="0"/>
              <w:rPr>
                <w:sz w:val="20"/>
                <w:szCs w:val="20"/>
              </w:rPr>
            </w:pPr>
            <w:r>
              <w:rPr>
                <w:sz w:val="20"/>
                <w:szCs w:val="20"/>
              </w:rPr>
              <w:t>RTOC Member</w:t>
            </w:r>
          </w:p>
        </w:tc>
        <w:tc>
          <w:tcPr>
            <w:tcW w:w="1945" w:type="dxa"/>
          </w:tcPr>
          <w:p w14:paraId="5018004C" w14:textId="3BF2B16C" w:rsidR="002D29E9" w:rsidRPr="00A11826" w:rsidRDefault="00F2515A" w:rsidP="006233FA">
            <w:pPr>
              <w:spacing w:after="0"/>
              <w:rPr>
                <w:sz w:val="20"/>
                <w:szCs w:val="20"/>
              </w:rPr>
            </w:pPr>
            <w:r>
              <w:rPr>
                <w:sz w:val="20"/>
                <w:szCs w:val="20"/>
              </w:rPr>
              <w:t>USA</w:t>
            </w:r>
          </w:p>
        </w:tc>
      </w:tr>
      <w:tr w:rsidR="002D29E9" w:rsidRPr="00A11826" w14:paraId="64443F40" w14:textId="77777777" w:rsidTr="7D71EDA9">
        <w:trPr>
          <w:trHeight w:val="300"/>
        </w:trPr>
        <w:tc>
          <w:tcPr>
            <w:tcW w:w="2130" w:type="dxa"/>
          </w:tcPr>
          <w:p w14:paraId="76EF0CB8" w14:textId="65178062" w:rsidR="002D29E9" w:rsidRPr="00A11826" w:rsidRDefault="00F2515A" w:rsidP="006233FA">
            <w:pPr>
              <w:spacing w:after="0"/>
              <w:rPr>
                <w:sz w:val="20"/>
                <w:szCs w:val="20"/>
              </w:rPr>
            </w:pPr>
            <w:r>
              <w:rPr>
                <w:sz w:val="20"/>
                <w:szCs w:val="20"/>
              </w:rPr>
              <w:t>Bassam Elassaad</w:t>
            </w:r>
          </w:p>
        </w:tc>
        <w:tc>
          <w:tcPr>
            <w:tcW w:w="4365" w:type="dxa"/>
          </w:tcPr>
          <w:p w14:paraId="4BC7DCC3" w14:textId="022B652C" w:rsidR="002D29E9" w:rsidRPr="00A11826" w:rsidRDefault="00F2515A" w:rsidP="006233FA">
            <w:pPr>
              <w:spacing w:after="0"/>
              <w:rPr>
                <w:sz w:val="20"/>
                <w:szCs w:val="20"/>
              </w:rPr>
            </w:pPr>
            <w:r>
              <w:rPr>
                <w:sz w:val="20"/>
                <w:szCs w:val="20"/>
              </w:rPr>
              <w:t>TEAP Senior Expert and RTOC Member</w:t>
            </w:r>
          </w:p>
        </w:tc>
        <w:tc>
          <w:tcPr>
            <w:tcW w:w="1945" w:type="dxa"/>
          </w:tcPr>
          <w:p w14:paraId="4D6D10A9" w14:textId="04A97406" w:rsidR="002D29E9" w:rsidRPr="00A11826" w:rsidRDefault="00F2515A" w:rsidP="006233FA">
            <w:pPr>
              <w:spacing w:after="0"/>
              <w:rPr>
                <w:sz w:val="20"/>
                <w:szCs w:val="20"/>
              </w:rPr>
            </w:pPr>
            <w:r>
              <w:rPr>
                <w:sz w:val="20"/>
                <w:szCs w:val="20"/>
              </w:rPr>
              <w:t>Lebanon</w:t>
            </w:r>
          </w:p>
        </w:tc>
      </w:tr>
      <w:tr w:rsidR="002D29E9" w:rsidRPr="00A11826" w14:paraId="5246AC0D" w14:textId="77777777" w:rsidTr="7D71EDA9">
        <w:trPr>
          <w:trHeight w:val="300"/>
        </w:trPr>
        <w:tc>
          <w:tcPr>
            <w:tcW w:w="2130" w:type="dxa"/>
          </w:tcPr>
          <w:p w14:paraId="0F36AF29" w14:textId="426D2F51" w:rsidR="002D29E9" w:rsidRPr="00A11826" w:rsidRDefault="00F2515A" w:rsidP="006233FA">
            <w:pPr>
              <w:spacing w:after="0"/>
              <w:rPr>
                <w:sz w:val="20"/>
                <w:szCs w:val="20"/>
              </w:rPr>
            </w:pPr>
            <w:r>
              <w:rPr>
                <w:sz w:val="20"/>
                <w:szCs w:val="20"/>
              </w:rPr>
              <w:t>Carlos Froes Lima</w:t>
            </w:r>
          </w:p>
        </w:tc>
        <w:tc>
          <w:tcPr>
            <w:tcW w:w="4365" w:type="dxa"/>
          </w:tcPr>
          <w:p w14:paraId="3FEA5EA2" w14:textId="616AD4A2" w:rsidR="002D29E9" w:rsidRPr="00A11826" w:rsidRDefault="00F2515A" w:rsidP="006233FA">
            <w:pPr>
              <w:spacing w:after="0"/>
              <w:rPr>
                <w:sz w:val="20"/>
                <w:szCs w:val="20"/>
              </w:rPr>
            </w:pPr>
            <w:r>
              <w:rPr>
                <w:sz w:val="20"/>
                <w:szCs w:val="20"/>
              </w:rPr>
              <w:t>Independent c</w:t>
            </w:r>
            <w:r w:rsidR="00F92653">
              <w:rPr>
                <w:sz w:val="20"/>
                <w:szCs w:val="20"/>
              </w:rPr>
              <w:t>onsultant</w:t>
            </w:r>
          </w:p>
        </w:tc>
        <w:tc>
          <w:tcPr>
            <w:tcW w:w="1945" w:type="dxa"/>
          </w:tcPr>
          <w:p w14:paraId="1D3D432C" w14:textId="5DE967D1" w:rsidR="002D29E9" w:rsidRPr="00A11826" w:rsidRDefault="00F92653" w:rsidP="006233FA">
            <w:pPr>
              <w:spacing w:after="0"/>
              <w:rPr>
                <w:sz w:val="20"/>
                <w:szCs w:val="20"/>
              </w:rPr>
            </w:pPr>
            <w:r>
              <w:rPr>
                <w:sz w:val="20"/>
                <w:szCs w:val="20"/>
              </w:rPr>
              <w:t>Brazil</w:t>
            </w:r>
          </w:p>
        </w:tc>
      </w:tr>
      <w:tr w:rsidR="002D29E9" w:rsidRPr="00A11826" w14:paraId="70CBB897" w14:textId="77777777" w:rsidTr="7D71EDA9">
        <w:trPr>
          <w:trHeight w:val="300"/>
        </w:trPr>
        <w:tc>
          <w:tcPr>
            <w:tcW w:w="2130" w:type="dxa"/>
          </w:tcPr>
          <w:p w14:paraId="293B55BD" w14:textId="4837DE8B" w:rsidR="002D29E9" w:rsidRPr="00A11826" w:rsidRDefault="00F92653" w:rsidP="006233FA">
            <w:pPr>
              <w:spacing w:after="0"/>
              <w:rPr>
                <w:sz w:val="20"/>
                <w:szCs w:val="20"/>
              </w:rPr>
            </w:pPr>
            <w:r>
              <w:rPr>
                <w:sz w:val="20"/>
                <w:szCs w:val="20"/>
              </w:rPr>
              <w:t>Marco Gonzalez</w:t>
            </w:r>
          </w:p>
        </w:tc>
        <w:tc>
          <w:tcPr>
            <w:tcW w:w="4365" w:type="dxa"/>
          </w:tcPr>
          <w:p w14:paraId="6455052E" w14:textId="6040C2FB" w:rsidR="002D29E9" w:rsidRPr="00A11826" w:rsidRDefault="00F92653" w:rsidP="006233FA">
            <w:pPr>
              <w:spacing w:after="0"/>
              <w:rPr>
                <w:sz w:val="20"/>
                <w:szCs w:val="20"/>
              </w:rPr>
            </w:pPr>
            <w:r>
              <w:rPr>
                <w:sz w:val="20"/>
                <w:szCs w:val="20"/>
              </w:rPr>
              <w:t>TEAP Senior Expert</w:t>
            </w:r>
          </w:p>
        </w:tc>
        <w:tc>
          <w:tcPr>
            <w:tcW w:w="1945" w:type="dxa"/>
          </w:tcPr>
          <w:p w14:paraId="2CB4A787" w14:textId="18CFC7FA" w:rsidR="002D29E9" w:rsidRPr="00A11826" w:rsidRDefault="00F92653" w:rsidP="006233FA">
            <w:pPr>
              <w:spacing w:after="0"/>
              <w:rPr>
                <w:sz w:val="20"/>
                <w:szCs w:val="20"/>
              </w:rPr>
            </w:pPr>
            <w:r>
              <w:rPr>
                <w:sz w:val="20"/>
                <w:szCs w:val="20"/>
              </w:rPr>
              <w:t>Costa Rica</w:t>
            </w:r>
          </w:p>
        </w:tc>
      </w:tr>
      <w:tr w:rsidR="002D29E9" w:rsidRPr="00A11826" w14:paraId="6C2A5E1B" w14:textId="77777777" w:rsidTr="7D71EDA9">
        <w:trPr>
          <w:trHeight w:val="300"/>
        </w:trPr>
        <w:tc>
          <w:tcPr>
            <w:tcW w:w="2130" w:type="dxa"/>
          </w:tcPr>
          <w:p w14:paraId="5275723D" w14:textId="57A5FE86" w:rsidR="002D29E9" w:rsidRPr="00A11826" w:rsidRDefault="00F92653" w:rsidP="006233FA">
            <w:pPr>
              <w:spacing w:after="0"/>
              <w:rPr>
                <w:sz w:val="20"/>
                <w:szCs w:val="20"/>
              </w:rPr>
            </w:pPr>
            <w:r>
              <w:rPr>
                <w:sz w:val="20"/>
                <w:szCs w:val="20"/>
              </w:rPr>
              <w:t>Mary Najjuma</w:t>
            </w:r>
          </w:p>
        </w:tc>
        <w:tc>
          <w:tcPr>
            <w:tcW w:w="4365" w:type="dxa"/>
          </w:tcPr>
          <w:p w14:paraId="7EAC71E3" w14:textId="6020210A" w:rsidR="002D29E9" w:rsidRPr="00A11826" w:rsidRDefault="00F92653" w:rsidP="006233FA">
            <w:pPr>
              <w:spacing w:after="0"/>
              <w:rPr>
                <w:sz w:val="20"/>
                <w:szCs w:val="20"/>
              </w:rPr>
            </w:pPr>
            <w:r>
              <w:rPr>
                <w:sz w:val="20"/>
                <w:szCs w:val="20"/>
              </w:rPr>
              <w:t>Independent consultant</w:t>
            </w:r>
          </w:p>
        </w:tc>
        <w:tc>
          <w:tcPr>
            <w:tcW w:w="1945" w:type="dxa"/>
          </w:tcPr>
          <w:p w14:paraId="389A089A" w14:textId="13C906CD" w:rsidR="002D29E9" w:rsidRPr="00A11826" w:rsidRDefault="00F92653" w:rsidP="006233FA">
            <w:pPr>
              <w:spacing w:after="0"/>
              <w:rPr>
                <w:sz w:val="20"/>
                <w:szCs w:val="20"/>
              </w:rPr>
            </w:pPr>
            <w:r>
              <w:rPr>
                <w:sz w:val="20"/>
                <w:szCs w:val="20"/>
              </w:rPr>
              <w:t>Uganda</w:t>
            </w:r>
          </w:p>
        </w:tc>
      </w:tr>
      <w:tr w:rsidR="002D29E9" w:rsidRPr="00A11826" w14:paraId="41947A40" w14:textId="77777777" w:rsidTr="7D71EDA9">
        <w:trPr>
          <w:trHeight w:val="300"/>
        </w:trPr>
        <w:tc>
          <w:tcPr>
            <w:tcW w:w="2130" w:type="dxa"/>
          </w:tcPr>
          <w:p w14:paraId="30691730" w14:textId="297CFCFD" w:rsidR="002D29E9" w:rsidRPr="00A11826" w:rsidRDefault="00F92653" w:rsidP="006233FA">
            <w:pPr>
              <w:spacing w:after="0"/>
              <w:rPr>
                <w:sz w:val="20"/>
              </w:rPr>
            </w:pPr>
            <w:r>
              <w:rPr>
                <w:sz w:val="20"/>
              </w:rPr>
              <w:t>Marta Pizano</w:t>
            </w:r>
          </w:p>
        </w:tc>
        <w:tc>
          <w:tcPr>
            <w:tcW w:w="4365" w:type="dxa"/>
          </w:tcPr>
          <w:p w14:paraId="4AAB5D23" w14:textId="11F0D5CB" w:rsidR="002D29E9" w:rsidRPr="00A11826" w:rsidRDefault="00F92653" w:rsidP="006233FA">
            <w:pPr>
              <w:spacing w:after="0"/>
              <w:rPr>
                <w:sz w:val="20"/>
              </w:rPr>
            </w:pPr>
            <w:r>
              <w:rPr>
                <w:sz w:val="20"/>
              </w:rPr>
              <w:t>TEAP</w:t>
            </w:r>
            <w:r w:rsidR="004172B9">
              <w:rPr>
                <w:sz w:val="20"/>
              </w:rPr>
              <w:t xml:space="preserve"> and Methyl Bromide Technical Options Committee (MBTOC) Co-chair</w:t>
            </w:r>
          </w:p>
        </w:tc>
        <w:tc>
          <w:tcPr>
            <w:tcW w:w="1945" w:type="dxa"/>
          </w:tcPr>
          <w:p w14:paraId="2B20D33F" w14:textId="15EA2117" w:rsidR="002D29E9" w:rsidRPr="00A11826" w:rsidRDefault="004172B9" w:rsidP="006233FA">
            <w:pPr>
              <w:spacing w:after="0"/>
              <w:rPr>
                <w:sz w:val="20"/>
              </w:rPr>
            </w:pPr>
            <w:r>
              <w:rPr>
                <w:sz w:val="20"/>
              </w:rPr>
              <w:t>Colombia</w:t>
            </w:r>
          </w:p>
        </w:tc>
      </w:tr>
      <w:tr w:rsidR="002D29E9" w:rsidRPr="00A11826" w14:paraId="0D8B7BBF" w14:textId="77777777" w:rsidTr="7D71EDA9">
        <w:trPr>
          <w:trHeight w:val="300"/>
        </w:trPr>
        <w:tc>
          <w:tcPr>
            <w:tcW w:w="2130" w:type="dxa"/>
          </w:tcPr>
          <w:p w14:paraId="7822BCA4" w14:textId="2C7B2346" w:rsidR="002D29E9" w:rsidRPr="00A11826" w:rsidRDefault="4C1E2476" w:rsidP="006233FA">
            <w:pPr>
              <w:spacing w:after="0"/>
              <w:rPr>
                <w:sz w:val="20"/>
                <w:szCs w:val="20"/>
              </w:rPr>
            </w:pPr>
            <w:r w:rsidRPr="7D71EDA9">
              <w:rPr>
                <w:sz w:val="20"/>
                <w:szCs w:val="20"/>
              </w:rPr>
              <w:t>Pallav Purohit</w:t>
            </w:r>
          </w:p>
        </w:tc>
        <w:tc>
          <w:tcPr>
            <w:tcW w:w="4365" w:type="dxa"/>
          </w:tcPr>
          <w:p w14:paraId="67ABE626" w14:textId="2BA96317" w:rsidR="002D29E9" w:rsidRPr="00A11826" w:rsidRDefault="004172B9" w:rsidP="006233FA">
            <w:pPr>
              <w:spacing w:after="0"/>
              <w:rPr>
                <w:sz w:val="20"/>
                <w:szCs w:val="20"/>
              </w:rPr>
            </w:pPr>
            <w:r>
              <w:rPr>
                <w:sz w:val="20"/>
                <w:szCs w:val="20"/>
              </w:rPr>
              <w:t>RTOC Member</w:t>
            </w:r>
          </w:p>
        </w:tc>
        <w:tc>
          <w:tcPr>
            <w:tcW w:w="1945" w:type="dxa"/>
          </w:tcPr>
          <w:p w14:paraId="48A92256" w14:textId="0F2EFA63" w:rsidR="002D29E9" w:rsidRPr="00A11826" w:rsidRDefault="004172B9" w:rsidP="006233FA">
            <w:pPr>
              <w:spacing w:after="0"/>
              <w:rPr>
                <w:sz w:val="20"/>
                <w:szCs w:val="20"/>
              </w:rPr>
            </w:pPr>
            <w:r>
              <w:rPr>
                <w:sz w:val="20"/>
                <w:szCs w:val="20"/>
              </w:rPr>
              <w:t>India</w:t>
            </w:r>
          </w:p>
        </w:tc>
      </w:tr>
      <w:tr w:rsidR="002D29E9" w:rsidRPr="00A11826" w14:paraId="41594DD6" w14:textId="77777777" w:rsidTr="7D71EDA9">
        <w:trPr>
          <w:trHeight w:val="300"/>
        </w:trPr>
        <w:tc>
          <w:tcPr>
            <w:tcW w:w="2130" w:type="dxa"/>
          </w:tcPr>
          <w:p w14:paraId="3B16FB58" w14:textId="604E4372" w:rsidR="002D29E9" w:rsidRPr="00A11826" w:rsidRDefault="004172B9" w:rsidP="006233FA">
            <w:pPr>
              <w:spacing w:after="0"/>
              <w:rPr>
                <w:sz w:val="20"/>
                <w:szCs w:val="20"/>
              </w:rPr>
            </w:pPr>
            <w:r>
              <w:rPr>
                <w:sz w:val="20"/>
                <w:szCs w:val="20"/>
              </w:rPr>
              <w:t>Rajan Rajendran</w:t>
            </w:r>
          </w:p>
        </w:tc>
        <w:tc>
          <w:tcPr>
            <w:tcW w:w="4365" w:type="dxa"/>
          </w:tcPr>
          <w:p w14:paraId="7BB53834" w14:textId="750A8E5A" w:rsidR="002D29E9" w:rsidRPr="00A11826" w:rsidRDefault="004172B9" w:rsidP="006233FA">
            <w:pPr>
              <w:spacing w:after="0"/>
              <w:rPr>
                <w:sz w:val="20"/>
                <w:szCs w:val="20"/>
              </w:rPr>
            </w:pPr>
            <w:r>
              <w:rPr>
                <w:sz w:val="20"/>
                <w:szCs w:val="20"/>
              </w:rPr>
              <w:t>RTOC Co-chair</w:t>
            </w:r>
          </w:p>
        </w:tc>
        <w:tc>
          <w:tcPr>
            <w:tcW w:w="1945" w:type="dxa"/>
          </w:tcPr>
          <w:p w14:paraId="723A2FE7" w14:textId="22ECD1CF" w:rsidR="002D29E9" w:rsidRPr="00A11826" w:rsidRDefault="004172B9" w:rsidP="006233FA">
            <w:pPr>
              <w:spacing w:after="0"/>
              <w:rPr>
                <w:sz w:val="20"/>
                <w:szCs w:val="20"/>
              </w:rPr>
            </w:pPr>
            <w:r>
              <w:rPr>
                <w:sz w:val="20"/>
                <w:szCs w:val="20"/>
              </w:rPr>
              <w:t>USA</w:t>
            </w:r>
          </w:p>
        </w:tc>
      </w:tr>
      <w:tr w:rsidR="002D29E9" w:rsidRPr="00A11826" w14:paraId="7119CFEE" w14:textId="77777777" w:rsidTr="7D71EDA9">
        <w:trPr>
          <w:trHeight w:val="300"/>
        </w:trPr>
        <w:tc>
          <w:tcPr>
            <w:tcW w:w="2130" w:type="dxa"/>
          </w:tcPr>
          <w:p w14:paraId="3BC9A0FA" w14:textId="699463B3" w:rsidR="002D29E9" w:rsidRPr="00A11826" w:rsidRDefault="00404CAE" w:rsidP="006233FA">
            <w:pPr>
              <w:spacing w:after="0"/>
              <w:rPr>
                <w:sz w:val="20"/>
                <w:szCs w:val="20"/>
              </w:rPr>
            </w:pPr>
            <w:r>
              <w:rPr>
                <w:sz w:val="20"/>
                <w:szCs w:val="20"/>
              </w:rPr>
              <w:t>Bettina Schreck</w:t>
            </w:r>
          </w:p>
        </w:tc>
        <w:tc>
          <w:tcPr>
            <w:tcW w:w="4365" w:type="dxa"/>
          </w:tcPr>
          <w:p w14:paraId="41315F47" w14:textId="654FD916" w:rsidR="002D29E9" w:rsidRPr="00A11826" w:rsidRDefault="00404CAE" w:rsidP="006233FA">
            <w:pPr>
              <w:spacing w:after="0"/>
              <w:rPr>
                <w:sz w:val="20"/>
                <w:szCs w:val="20"/>
              </w:rPr>
            </w:pPr>
            <w:r>
              <w:rPr>
                <w:sz w:val="20"/>
                <w:szCs w:val="20"/>
              </w:rPr>
              <w:t>Medical and Chemical Technical Options Committee (MCTOC) Member</w:t>
            </w:r>
          </w:p>
        </w:tc>
        <w:tc>
          <w:tcPr>
            <w:tcW w:w="1945" w:type="dxa"/>
          </w:tcPr>
          <w:p w14:paraId="1E20F313" w14:textId="4722FE0C" w:rsidR="002D29E9" w:rsidRPr="00A11826" w:rsidRDefault="00404CAE" w:rsidP="006233FA">
            <w:pPr>
              <w:spacing w:after="0"/>
              <w:rPr>
                <w:sz w:val="20"/>
                <w:szCs w:val="20"/>
              </w:rPr>
            </w:pPr>
            <w:r>
              <w:rPr>
                <w:sz w:val="20"/>
                <w:szCs w:val="20"/>
              </w:rPr>
              <w:t>Argentina</w:t>
            </w:r>
          </w:p>
        </w:tc>
      </w:tr>
      <w:tr w:rsidR="002D29E9" w:rsidRPr="00A11826" w14:paraId="6F91BB70" w14:textId="77777777" w:rsidTr="7D71EDA9">
        <w:trPr>
          <w:trHeight w:val="300"/>
        </w:trPr>
        <w:tc>
          <w:tcPr>
            <w:tcW w:w="2130" w:type="dxa"/>
          </w:tcPr>
          <w:p w14:paraId="1A0BF166" w14:textId="5A936923" w:rsidR="002D29E9" w:rsidRPr="00A11826" w:rsidRDefault="00404CAE" w:rsidP="006233FA">
            <w:pPr>
              <w:spacing w:after="0"/>
              <w:rPr>
                <w:sz w:val="20"/>
                <w:szCs w:val="20"/>
              </w:rPr>
            </w:pPr>
            <w:r>
              <w:rPr>
                <w:sz w:val="20"/>
                <w:szCs w:val="20"/>
              </w:rPr>
              <w:t>John Telesford</w:t>
            </w:r>
          </w:p>
        </w:tc>
        <w:tc>
          <w:tcPr>
            <w:tcW w:w="4365" w:type="dxa"/>
          </w:tcPr>
          <w:p w14:paraId="573883AF" w14:textId="3B94EDEB" w:rsidR="002D29E9" w:rsidRPr="00A11826" w:rsidRDefault="00404CAE" w:rsidP="006233FA">
            <w:pPr>
              <w:spacing w:after="0"/>
              <w:rPr>
                <w:sz w:val="20"/>
                <w:szCs w:val="20"/>
              </w:rPr>
            </w:pPr>
            <w:r>
              <w:rPr>
                <w:sz w:val="20"/>
                <w:szCs w:val="20"/>
              </w:rPr>
              <w:t>Independent consultant</w:t>
            </w:r>
          </w:p>
        </w:tc>
        <w:tc>
          <w:tcPr>
            <w:tcW w:w="1945" w:type="dxa"/>
          </w:tcPr>
          <w:p w14:paraId="2E20C22B" w14:textId="49376524" w:rsidR="002D29E9" w:rsidRPr="00A11826" w:rsidRDefault="00404CAE" w:rsidP="006233FA">
            <w:pPr>
              <w:spacing w:after="0"/>
              <w:rPr>
                <w:sz w:val="20"/>
                <w:szCs w:val="20"/>
              </w:rPr>
            </w:pPr>
            <w:r>
              <w:rPr>
                <w:sz w:val="20"/>
                <w:szCs w:val="20"/>
              </w:rPr>
              <w:t>Grenada</w:t>
            </w:r>
          </w:p>
        </w:tc>
      </w:tr>
      <w:tr w:rsidR="002D29E9" w:rsidRPr="00A11826" w14:paraId="5BEA4F00" w14:textId="77777777" w:rsidTr="7D71EDA9">
        <w:trPr>
          <w:trHeight w:val="300"/>
        </w:trPr>
        <w:tc>
          <w:tcPr>
            <w:tcW w:w="2130" w:type="dxa"/>
          </w:tcPr>
          <w:p w14:paraId="44D0AFF3" w14:textId="2D150DD8" w:rsidR="002D29E9" w:rsidRPr="00A11826" w:rsidRDefault="00650475" w:rsidP="006233FA">
            <w:pPr>
              <w:spacing w:after="0"/>
              <w:rPr>
                <w:sz w:val="20"/>
                <w:szCs w:val="20"/>
              </w:rPr>
            </w:pPr>
            <w:r>
              <w:rPr>
                <w:sz w:val="20"/>
                <w:szCs w:val="20"/>
              </w:rPr>
              <w:t>Helen Tope</w:t>
            </w:r>
          </w:p>
        </w:tc>
        <w:tc>
          <w:tcPr>
            <w:tcW w:w="4365" w:type="dxa"/>
          </w:tcPr>
          <w:p w14:paraId="14FAC549" w14:textId="3AFC27A8" w:rsidR="002D29E9" w:rsidRPr="00A11826" w:rsidRDefault="00650475" w:rsidP="006233FA">
            <w:pPr>
              <w:spacing w:after="0"/>
              <w:rPr>
                <w:sz w:val="20"/>
                <w:szCs w:val="20"/>
              </w:rPr>
            </w:pPr>
            <w:r>
              <w:rPr>
                <w:sz w:val="20"/>
                <w:szCs w:val="20"/>
              </w:rPr>
              <w:t>MCTOC Co-chair</w:t>
            </w:r>
          </w:p>
        </w:tc>
        <w:tc>
          <w:tcPr>
            <w:tcW w:w="1945" w:type="dxa"/>
          </w:tcPr>
          <w:p w14:paraId="736F4A59" w14:textId="3B54D271" w:rsidR="002D29E9" w:rsidRPr="00A11826" w:rsidRDefault="00650475" w:rsidP="006233FA">
            <w:pPr>
              <w:spacing w:after="0"/>
              <w:rPr>
                <w:sz w:val="20"/>
                <w:szCs w:val="20"/>
              </w:rPr>
            </w:pPr>
            <w:r>
              <w:rPr>
                <w:sz w:val="20"/>
                <w:szCs w:val="20"/>
              </w:rPr>
              <w:t>Australia</w:t>
            </w:r>
          </w:p>
        </w:tc>
      </w:tr>
      <w:tr w:rsidR="002D29E9" w:rsidRPr="00A11826" w14:paraId="52C3FD50" w14:textId="77777777" w:rsidTr="7D71EDA9">
        <w:trPr>
          <w:trHeight w:val="300"/>
        </w:trPr>
        <w:tc>
          <w:tcPr>
            <w:tcW w:w="2130" w:type="dxa"/>
          </w:tcPr>
          <w:p w14:paraId="46E5A63D" w14:textId="623892A2" w:rsidR="002D29E9" w:rsidRPr="00A11826" w:rsidRDefault="00650475" w:rsidP="006233FA">
            <w:pPr>
              <w:spacing w:after="0"/>
              <w:rPr>
                <w:sz w:val="20"/>
                <w:szCs w:val="20"/>
              </w:rPr>
            </w:pPr>
            <w:r>
              <w:rPr>
                <w:sz w:val="20"/>
                <w:szCs w:val="20"/>
              </w:rPr>
              <w:t>Helen Walter-Terrinoni</w:t>
            </w:r>
          </w:p>
        </w:tc>
        <w:tc>
          <w:tcPr>
            <w:tcW w:w="4365" w:type="dxa"/>
          </w:tcPr>
          <w:p w14:paraId="732759EF" w14:textId="45E5E5BF" w:rsidR="002D29E9" w:rsidRPr="00A11826" w:rsidRDefault="00650475" w:rsidP="006233FA">
            <w:pPr>
              <w:spacing w:after="0"/>
              <w:rPr>
                <w:sz w:val="20"/>
                <w:szCs w:val="20"/>
              </w:rPr>
            </w:pPr>
            <w:r>
              <w:rPr>
                <w:sz w:val="20"/>
                <w:szCs w:val="20"/>
              </w:rPr>
              <w:t>Flexible and Rigid F</w:t>
            </w:r>
            <w:r w:rsidR="001E6460">
              <w:rPr>
                <w:sz w:val="20"/>
                <w:szCs w:val="20"/>
              </w:rPr>
              <w:t>oams Technical Options Committee (FTOC) Co-chair</w:t>
            </w:r>
          </w:p>
        </w:tc>
        <w:tc>
          <w:tcPr>
            <w:tcW w:w="1945" w:type="dxa"/>
          </w:tcPr>
          <w:p w14:paraId="47B2159E" w14:textId="543EEF12" w:rsidR="002D29E9" w:rsidRPr="00A11826" w:rsidRDefault="001E6460" w:rsidP="006233FA">
            <w:pPr>
              <w:spacing w:after="0"/>
              <w:rPr>
                <w:sz w:val="20"/>
                <w:szCs w:val="20"/>
              </w:rPr>
            </w:pPr>
            <w:r>
              <w:rPr>
                <w:sz w:val="20"/>
                <w:szCs w:val="20"/>
              </w:rPr>
              <w:t>USA</w:t>
            </w:r>
          </w:p>
        </w:tc>
      </w:tr>
      <w:tr w:rsidR="002D29E9" w:rsidRPr="00A11826" w14:paraId="216086D3" w14:textId="77777777" w:rsidTr="7D71EDA9">
        <w:trPr>
          <w:trHeight w:val="300"/>
        </w:trPr>
        <w:tc>
          <w:tcPr>
            <w:tcW w:w="2130" w:type="dxa"/>
          </w:tcPr>
          <w:p w14:paraId="43D9D555" w14:textId="6E5AB755" w:rsidR="002D29E9" w:rsidRPr="00A11826" w:rsidRDefault="001E6460" w:rsidP="006233FA">
            <w:pPr>
              <w:spacing w:after="0"/>
              <w:rPr>
                <w:sz w:val="20"/>
                <w:szCs w:val="20"/>
              </w:rPr>
            </w:pPr>
            <w:r>
              <w:rPr>
                <w:sz w:val="20"/>
                <w:szCs w:val="20"/>
              </w:rPr>
              <w:t>Shiqiu Zhang</w:t>
            </w:r>
          </w:p>
        </w:tc>
        <w:tc>
          <w:tcPr>
            <w:tcW w:w="4365" w:type="dxa"/>
          </w:tcPr>
          <w:p w14:paraId="16D9ED9B" w14:textId="532B5F41" w:rsidR="002D29E9" w:rsidRPr="00A11826" w:rsidRDefault="001E6460" w:rsidP="006233FA">
            <w:pPr>
              <w:spacing w:after="0"/>
              <w:rPr>
                <w:sz w:val="20"/>
                <w:szCs w:val="20"/>
              </w:rPr>
            </w:pPr>
            <w:r>
              <w:rPr>
                <w:sz w:val="20"/>
                <w:szCs w:val="20"/>
              </w:rPr>
              <w:t>TEAP Senior Expert</w:t>
            </w:r>
          </w:p>
        </w:tc>
        <w:tc>
          <w:tcPr>
            <w:tcW w:w="1945" w:type="dxa"/>
          </w:tcPr>
          <w:p w14:paraId="417D10FA" w14:textId="664885A8" w:rsidR="002D29E9" w:rsidRPr="00A11826" w:rsidRDefault="001E6460" w:rsidP="006233FA">
            <w:pPr>
              <w:spacing w:after="0"/>
              <w:rPr>
                <w:sz w:val="20"/>
                <w:szCs w:val="20"/>
              </w:rPr>
            </w:pPr>
            <w:r>
              <w:rPr>
                <w:sz w:val="20"/>
                <w:szCs w:val="20"/>
              </w:rPr>
              <w:t>P</w:t>
            </w:r>
            <w:r w:rsidR="00C520F0">
              <w:rPr>
                <w:sz w:val="20"/>
                <w:szCs w:val="20"/>
              </w:rPr>
              <w:t>eople’s Republic of China</w:t>
            </w:r>
          </w:p>
        </w:tc>
      </w:tr>
      <w:tr w:rsidR="004A0344" w:rsidRPr="00A11826" w14:paraId="4ABE8631" w14:textId="77777777" w:rsidTr="00E13CEA">
        <w:trPr>
          <w:trHeight w:val="300"/>
        </w:trPr>
        <w:tc>
          <w:tcPr>
            <w:tcW w:w="8440" w:type="dxa"/>
            <w:gridSpan w:val="3"/>
            <w:shd w:val="clear" w:color="auto" w:fill="8EAADB" w:themeFill="accent1" w:themeFillTint="99"/>
            <w:vAlign w:val="center"/>
          </w:tcPr>
          <w:p w14:paraId="594ECE41" w14:textId="68F799C0" w:rsidR="004A0344" w:rsidRPr="0056720F" w:rsidRDefault="004A0344" w:rsidP="00E13CEA">
            <w:pPr>
              <w:spacing w:after="0"/>
              <w:rPr>
                <w:sz w:val="20"/>
              </w:rPr>
            </w:pPr>
            <w:r>
              <w:rPr>
                <w:b/>
                <w:sz w:val="20"/>
                <w:szCs w:val="20"/>
              </w:rPr>
              <w:t>Consulting Expert</w:t>
            </w:r>
          </w:p>
        </w:tc>
      </w:tr>
      <w:tr w:rsidR="00C42057" w:rsidRPr="00A11826" w14:paraId="5F31597B" w14:textId="77777777" w:rsidTr="7D71EDA9">
        <w:trPr>
          <w:trHeight w:val="300"/>
        </w:trPr>
        <w:tc>
          <w:tcPr>
            <w:tcW w:w="2130" w:type="dxa"/>
          </w:tcPr>
          <w:p w14:paraId="0A2EDF6B" w14:textId="49711830" w:rsidR="00C42057" w:rsidRPr="00A11826" w:rsidRDefault="00C42057" w:rsidP="00C42057">
            <w:pPr>
              <w:spacing w:after="0"/>
              <w:rPr>
                <w:sz w:val="20"/>
              </w:rPr>
            </w:pPr>
            <w:r>
              <w:rPr>
                <w:sz w:val="20"/>
              </w:rPr>
              <w:t>Rick Cooke</w:t>
            </w:r>
          </w:p>
        </w:tc>
        <w:tc>
          <w:tcPr>
            <w:tcW w:w="4365" w:type="dxa"/>
          </w:tcPr>
          <w:p w14:paraId="433DC8A3" w14:textId="30AE113E" w:rsidR="00C42057" w:rsidRPr="00A11826" w:rsidRDefault="00C42057" w:rsidP="00C42057">
            <w:pPr>
              <w:spacing w:after="0"/>
              <w:rPr>
                <w:sz w:val="20"/>
              </w:rPr>
            </w:pPr>
            <w:r>
              <w:rPr>
                <w:sz w:val="20"/>
              </w:rPr>
              <w:t>MCTOC Member</w:t>
            </w:r>
          </w:p>
        </w:tc>
        <w:tc>
          <w:tcPr>
            <w:tcW w:w="1945" w:type="dxa"/>
          </w:tcPr>
          <w:p w14:paraId="3446FAF8" w14:textId="666C8014" w:rsidR="00C42057" w:rsidRPr="00A11826" w:rsidRDefault="00C42057" w:rsidP="00C42057">
            <w:pPr>
              <w:spacing w:after="0"/>
              <w:rPr>
                <w:sz w:val="20"/>
              </w:rPr>
            </w:pPr>
            <w:r>
              <w:rPr>
                <w:sz w:val="20"/>
              </w:rPr>
              <w:t>Canada</w:t>
            </w:r>
          </w:p>
        </w:tc>
      </w:tr>
    </w:tbl>
    <w:p w14:paraId="65A810FF" w14:textId="7EA13DEA" w:rsidR="002D29E9" w:rsidRDefault="002D29E9"/>
    <w:p w14:paraId="3AEA1284" w14:textId="77777777" w:rsidR="001E58E9" w:rsidRDefault="001E58E9">
      <w:pPr>
        <w:tabs>
          <w:tab w:val="clear" w:pos="0"/>
        </w:tabs>
        <w:spacing w:after="0"/>
      </w:pPr>
      <w:r>
        <w:br w:type="page"/>
      </w:r>
    </w:p>
    <w:p w14:paraId="74BC6A5D" w14:textId="35633B63" w:rsidR="003C3196" w:rsidRPr="00623D81" w:rsidRDefault="003C3196" w:rsidP="003C3196">
      <w:pPr>
        <w:jc w:val="right"/>
        <w:rPr>
          <w:b/>
          <w:smallCaps/>
          <w:color w:val="000000"/>
          <w:sz w:val="28"/>
          <w:szCs w:val="28"/>
          <w:lang w:eastAsia="zh-CN"/>
        </w:rPr>
      </w:pPr>
      <w:r w:rsidRPr="00623D81">
        <w:rPr>
          <w:b/>
          <w:smallCaps/>
          <w:color w:val="000000"/>
          <w:sz w:val="28"/>
          <w:szCs w:val="28"/>
          <w:lang w:eastAsia="zh-CN"/>
        </w:rPr>
        <w:lastRenderedPageBreak/>
        <w:t>UNEP</w:t>
      </w:r>
      <w:r w:rsidRPr="00623D81">
        <w:rPr>
          <w:b/>
          <w:smallCaps/>
          <w:color w:val="000000"/>
          <w:sz w:val="28"/>
          <w:szCs w:val="28"/>
          <w:lang w:eastAsia="zh-CN"/>
        </w:rPr>
        <w:br/>
        <w:t>Report of the</w:t>
      </w:r>
      <w:r w:rsidRPr="00623D81">
        <w:rPr>
          <w:b/>
          <w:smallCaps/>
          <w:color w:val="000000"/>
          <w:sz w:val="28"/>
          <w:szCs w:val="28"/>
          <w:lang w:eastAsia="zh-CN"/>
        </w:rPr>
        <w:br/>
      </w:r>
      <w:r w:rsidR="009E7C78">
        <w:rPr>
          <w:b/>
          <w:smallCaps/>
          <w:color w:val="000000"/>
          <w:sz w:val="28"/>
          <w:szCs w:val="28"/>
          <w:lang w:eastAsia="zh-CN"/>
        </w:rPr>
        <w:t>TEAP Decision XXXVII/6 Replenishment Task Force</w:t>
      </w:r>
    </w:p>
    <w:p w14:paraId="3BE0E11C" w14:textId="1CF4F96B" w:rsidR="004D2CE1" w:rsidRPr="004D2CE1" w:rsidRDefault="00565630" w:rsidP="004D2CE1">
      <w:pPr>
        <w:jc w:val="right"/>
        <w:rPr>
          <w:b/>
          <w:smallCaps/>
          <w:color w:val="000000"/>
          <w:sz w:val="28"/>
          <w:szCs w:val="28"/>
          <w:lang w:eastAsia="zh-CN"/>
        </w:rPr>
      </w:pPr>
      <w:r>
        <w:rPr>
          <w:b/>
          <w:smallCaps/>
          <w:color w:val="000000"/>
          <w:sz w:val="28"/>
          <w:szCs w:val="28"/>
          <w:lang w:eastAsia="zh-CN"/>
        </w:rPr>
        <w:t>May 2026</w:t>
      </w:r>
      <w:r w:rsidR="004D2CE1">
        <w:rPr>
          <w:b/>
          <w:smallCaps/>
          <w:color w:val="000000"/>
          <w:sz w:val="28"/>
          <w:szCs w:val="28"/>
          <w:lang w:eastAsia="zh-CN"/>
        </w:rPr>
        <w:t xml:space="preserve"> Report</w:t>
      </w:r>
    </w:p>
    <w:p w14:paraId="49CF5DDE" w14:textId="701C1F37" w:rsidR="003C3196" w:rsidRPr="00623D81" w:rsidRDefault="003C3196" w:rsidP="00E13CEA">
      <w:pPr>
        <w:tabs>
          <w:tab w:val="right" w:pos="8931"/>
        </w:tabs>
        <w:ind w:right="-45"/>
        <w:rPr>
          <w:b/>
          <w:smallCaps/>
          <w:color w:val="000000"/>
          <w:sz w:val="28"/>
          <w:szCs w:val="28"/>
          <w:lang w:eastAsia="zh-CN"/>
        </w:rPr>
      </w:pPr>
      <w:r w:rsidRPr="5AD5DB8B">
        <w:rPr>
          <w:b/>
          <w:smallCaps/>
          <w:sz w:val="28"/>
          <w:szCs w:val="28"/>
          <w:lang w:eastAsia="zh-CN"/>
        </w:rPr>
        <w:t>Table of Contents</w:t>
      </w:r>
      <w:r w:rsidR="5AD5DB8B" w:rsidRPr="5AD5DB8B">
        <w:rPr>
          <w:b/>
          <w:bCs/>
          <w:smallCaps/>
          <w:sz w:val="28"/>
          <w:szCs w:val="28"/>
          <w:lang w:eastAsia="zh-CN"/>
        </w:rPr>
        <w:t xml:space="preserve"> </w:t>
      </w:r>
    </w:p>
    <w:p w14:paraId="3C824763" w14:textId="18329CCC" w:rsidR="00442791" w:rsidRDefault="00CD2B2D" w:rsidP="000A5309">
      <w:pPr>
        <w:pStyle w:val="TOC1"/>
        <w:rPr>
          <w:rFonts w:eastAsiaTheme="minorEastAsia" w:cstheme="minorBidi"/>
          <w:color w:val="auto"/>
          <w:kern w:val="2"/>
          <w:sz w:val="24"/>
          <w:szCs w:val="24"/>
          <w:lang w:eastAsia="en-GB"/>
          <w14:ligatures w14:val="standardContextual"/>
        </w:rPr>
      </w:pPr>
      <w:r w:rsidRPr="004A0778">
        <w:rPr>
          <w:noProof/>
          <w:sz w:val="20"/>
          <w:szCs w:val="20"/>
        </w:rPr>
        <w:fldChar w:fldCharType="begin"/>
      </w:r>
      <w:r w:rsidRPr="00554E2C">
        <w:rPr>
          <w:sz w:val="20"/>
          <w:szCs w:val="20"/>
        </w:rPr>
        <w:instrText xml:space="preserve"> TOC \o "1-3" \u </w:instrText>
      </w:r>
      <w:r w:rsidRPr="004A0778">
        <w:rPr>
          <w:noProof/>
          <w:sz w:val="20"/>
          <w:szCs w:val="20"/>
        </w:rPr>
        <w:fldChar w:fldCharType="separate"/>
      </w:r>
      <w:r w:rsidR="00442791">
        <w:rPr>
          <w:noProof/>
        </w:rPr>
        <w:t>Disclaimer</w:t>
      </w:r>
      <w:r w:rsidR="00442791">
        <w:rPr>
          <w:noProof/>
        </w:rPr>
        <w:tab/>
      </w:r>
      <w:r w:rsidR="00442791">
        <w:rPr>
          <w:noProof/>
        </w:rPr>
        <w:fldChar w:fldCharType="begin"/>
      </w:r>
      <w:r w:rsidR="00442791">
        <w:rPr>
          <w:noProof/>
        </w:rPr>
        <w:instrText xml:space="preserve"> PAGEREF _Toc230099028 \h </w:instrText>
      </w:r>
      <w:r w:rsidR="00442791">
        <w:rPr>
          <w:noProof/>
        </w:rPr>
      </w:r>
      <w:r w:rsidR="00442791">
        <w:rPr>
          <w:noProof/>
        </w:rPr>
        <w:fldChar w:fldCharType="separate"/>
      </w:r>
      <w:r w:rsidR="009221BF">
        <w:rPr>
          <w:noProof/>
        </w:rPr>
        <w:t>iv</w:t>
      </w:r>
      <w:r w:rsidR="00442791">
        <w:rPr>
          <w:noProof/>
        </w:rPr>
        <w:fldChar w:fldCharType="end"/>
      </w:r>
    </w:p>
    <w:p w14:paraId="6CF9751B" w14:textId="29D358B4" w:rsidR="00442791" w:rsidRDefault="00442791" w:rsidP="000A5309">
      <w:pPr>
        <w:pStyle w:val="TOC1"/>
        <w:rPr>
          <w:rFonts w:eastAsiaTheme="minorEastAsia" w:cstheme="minorBidi"/>
          <w:color w:val="auto"/>
          <w:kern w:val="2"/>
          <w:sz w:val="24"/>
          <w:szCs w:val="24"/>
          <w:lang w:eastAsia="en-GB"/>
          <w14:ligatures w14:val="standardContextual"/>
        </w:rPr>
      </w:pPr>
      <w:r>
        <w:rPr>
          <w:noProof/>
        </w:rPr>
        <w:t>Foreword</w:t>
      </w:r>
      <w:r>
        <w:rPr>
          <w:noProof/>
        </w:rPr>
        <w:tab/>
      </w:r>
      <w:r>
        <w:rPr>
          <w:noProof/>
        </w:rPr>
        <w:fldChar w:fldCharType="begin"/>
      </w:r>
      <w:r>
        <w:rPr>
          <w:noProof/>
        </w:rPr>
        <w:instrText xml:space="preserve"> PAGEREF _Toc230099029 \h </w:instrText>
      </w:r>
      <w:r>
        <w:rPr>
          <w:noProof/>
        </w:rPr>
      </w:r>
      <w:r>
        <w:rPr>
          <w:noProof/>
        </w:rPr>
        <w:fldChar w:fldCharType="separate"/>
      </w:r>
      <w:r w:rsidR="009221BF">
        <w:rPr>
          <w:noProof/>
        </w:rPr>
        <w:t>v</w:t>
      </w:r>
      <w:r>
        <w:rPr>
          <w:noProof/>
        </w:rPr>
        <w:fldChar w:fldCharType="end"/>
      </w:r>
    </w:p>
    <w:p w14:paraId="390E8C56" w14:textId="68ECC66C" w:rsidR="00442791" w:rsidRDefault="00442791" w:rsidP="000A5309">
      <w:pPr>
        <w:pStyle w:val="TOC1"/>
        <w:rPr>
          <w:rFonts w:eastAsiaTheme="minorEastAsia" w:cstheme="minorBidi"/>
          <w:color w:val="auto"/>
          <w:kern w:val="2"/>
          <w:sz w:val="24"/>
          <w:szCs w:val="24"/>
          <w:lang w:eastAsia="en-GB"/>
          <w14:ligatures w14:val="standardContextual"/>
        </w:rPr>
      </w:pPr>
      <w:r>
        <w:rPr>
          <w:noProof/>
        </w:rPr>
        <w:t>Executive Summary</w:t>
      </w:r>
      <w:r>
        <w:rPr>
          <w:noProof/>
        </w:rPr>
        <w:tab/>
      </w:r>
      <w:r>
        <w:rPr>
          <w:noProof/>
        </w:rPr>
        <w:fldChar w:fldCharType="begin"/>
      </w:r>
      <w:r>
        <w:rPr>
          <w:noProof/>
        </w:rPr>
        <w:instrText xml:space="preserve"> PAGEREF _Toc230099030 \h </w:instrText>
      </w:r>
      <w:r>
        <w:rPr>
          <w:noProof/>
        </w:rPr>
      </w:r>
      <w:r>
        <w:rPr>
          <w:noProof/>
        </w:rPr>
        <w:fldChar w:fldCharType="separate"/>
      </w:r>
      <w:r w:rsidR="009221BF">
        <w:rPr>
          <w:noProof/>
        </w:rPr>
        <w:t>1</w:t>
      </w:r>
      <w:r>
        <w:rPr>
          <w:noProof/>
        </w:rPr>
        <w:fldChar w:fldCharType="end"/>
      </w:r>
    </w:p>
    <w:p w14:paraId="7E2A9F12" w14:textId="316E5E64" w:rsidR="00442791" w:rsidRDefault="00442791" w:rsidP="000A5309">
      <w:pPr>
        <w:pStyle w:val="TOC1"/>
        <w:rPr>
          <w:rFonts w:eastAsiaTheme="minorEastAsia" w:cstheme="minorBidi"/>
          <w:color w:val="auto"/>
          <w:kern w:val="2"/>
          <w:sz w:val="24"/>
          <w:szCs w:val="24"/>
          <w:lang w:eastAsia="en-GB"/>
          <w14:ligatures w14:val="standardContextual"/>
        </w:rPr>
      </w:pPr>
      <w:r>
        <w:rPr>
          <w:noProof/>
        </w:rPr>
        <w:t>1</w:t>
      </w:r>
      <w:r>
        <w:rPr>
          <w:rFonts w:eastAsiaTheme="minorEastAsia" w:cstheme="minorBidi"/>
          <w:color w:val="auto"/>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_Toc230099031 \h </w:instrText>
      </w:r>
      <w:r>
        <w:rPr>
          <w:noProof/>
        </w:rPr>
      </w:r>
      <w:r>
        <w:rPr>
          <w:noProof/>
        </w:rPr>
        <w:fldChar w:fldCharType="separate"/>
      </w:r>
      <w:r w:rsidR="009221BF">
        <w:rPr>
          <w:noProof/>
        </w:rPr>
        <w:t>9</w:t>
      </w:r>
      <w:r>
        <w:rPr>
          <w:noProof/>
        </w:rPr>
        <w:fldChar w:fldCharType="end"/>
      </w:r>
    </w:p>
    <w:p w14:paraId="442581F4" w14:textId="7FC8D468"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1.1</w:t>
      </w:r>
      <w:r>
        <w:rPr>
          <w:rFonts w:eastAsiaTheme="minorEastAsia" w:cstheme="minorBidi"/>
          <w:b w:val="0"/>
          <w:smallCaps w:val="0"/>
          <w:color w:val="auto"/>
          <w:kern w:val="2"/>
          <w:sz w:val="24"/>
          <w:szCs w:val="24"/>
          <w:lang w:eastAsia="en-GB"/>
          <w14:ligatures w14:val="standardContextual"/>
        </w:rPr>
        <w:tab/>
      </w:r>
      <w:r>
        <w:rPr>
          <w:noProof/>
        </w:rPr>
        <w:t>Terms of reference</w:t>
      </w:r>
      <w:r>
        <w:rPr>
          <w:noProof/>
        </w:rPr>
        <w:tab/>
      </w:r>
      <w:r>
        <w:rPr>
          <w:noProof/>
        </w:rPr>
        <w:fldChar w:fldCharType="begin"/>
      </w:r>
      <w:r>
        <w:rPr>
          <w:noProof/>
        </w:rPr>
        <w:instrText xml:space="preserve"> PAGEREF _Toc230099032 \h </w:instrText>
      </w:r>
      <w:r>
        <w:rPr>
          <w:noProof/>
        </w:rPr>
      </w:r>
      <w:r>
        <w:rPr>
          <w:noProof/>
        </w:rPr>
        <w:fldChar w:fldCharType="separate"/>
      </w:r>
      <w:r w:rsidR="009221BF">
        <w:rPr>
          <w:noProof/>
        </w:rPr>
        <w:t>9</w:t>
      </w:r>
      <w:r>
        <w:rPr>
          <w:noProof/>
        </w:rPr>
        <w:fldChar w:fldCharType="end"/>
      </w:r>
    </w:p>
    <w:p w14:paraId="6DF756C3" w14:textId="76DCB630"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1.2</w:t>
      </w:r>
      <w:r>
        <w:rPr>
          <w:rFonts w:eastAsiaTheme="minorEastAsia" w:cstheme="minorBidi"/>
          <w:b w:val="0"/>
          <w:smallCaps w:val="0"/>
          <w:color w:val="auto"/>
          <w:kern w:val="2"/>
          <w:sz w:val="24"/>
          <w:szCs w:val="24"/>
          <w:lang w:eastAsia="en-GB"/>
          <w14:ligatures w14:val="standardContextual"/>
        </w:rPr>
        <w:tab/>
      </w:r>
      <w:r>
        <w:rPr>
          <w:noProof/>
        </w:rPr>
        <w:t>Scope and coverage</w:t>
      </w:r>
      <w:r>
        <w:rPr>
          <w:noProof/>
        </w:rPr>
        <w:tab/>
      </w:r>
      <w:r>
        <w:rPr>
          <w:noProof/>
        </w:rPr>
        <w:fldChar w:fldCharType="begin"/>
      </w:r>
      <w:r>
        <w:rPr>
          <w:noProof/>
        </w:rPr>
        <w:instrText xml:space="preserve"> PAGEREF _Toc230099033 \h </w:instrText>
      </w:r>
      <w:r>
        <w:rPr>
          <w:noProof/>
        </w:rPr>
      </w:r>
      <w:r>
        <w:rPr>
          <w:noProof/>
        </w:rPr>
        <w:fldChar w:fldCharType="separate"/>
      </w:r>
      <w:r w:rsidR="009221BF">
        <w:rPr>
          <w:noProof/>
        </w:rPr>
        <w:t>9</w:t>
      </w:r>
      <w:r>
        <w:rPr>
          <w:noProof/>
        </w:rPr>
        <w:fldChar w:fldCharType="end"/>
      </w:r>
    </w:p>
    <w:p w14:paraId="44C870F9" w14:textId="00B7B4EA"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1.3</w:t>
      </w:r>
      <w:r>
        <w:rPr>
          <w:rFonts w:eastAsiaTheme="minorEastAsia" w:cstheme="minorBidi"/>
          <w:b w:val="0"/>
          <w:smallCaps w:val="0"/>
          <w:color w:val="auto"/>
          <w:kern w:val="2"/>
          <w:sz w:val="24"/>
          <w:szCs w:val="24"/>
          <w:lang w:eastAsia="en-GB"/>
          <w14:ligatures w14:val="standardContextual"/>
        </w:rPr>
        <w:tab/>
      </w:r>
      <w:r>
        <w:rPr>
          <w:noProof/>
        </w:rPr>
        <w:t>TEAP approach to Decision XXXVII/6</w:t>
      </w:r>
      <w:r>
        <w:rPr>
          <w:noProof/>
        </w:rPr>
        <w:tab/>
      </w:r>
      <w:r>
        <w:rPr>
          <w:noProof/>
        </w:rPr>
        <w:fldChar w:fldCharType="begin"/>
      </w:r>
      <w:r>
        <w:rPr>
          <w:noProof/>
        </w:rPr>
        <w:instrText xml:space="preserve"> PAGEREF _Toc230099034 \h </w:instrText>
      </w:r>
      <w:r>
        <w:rPr>
          <w:noProof/>
        </w:rPr>
      </w:r>
      <w:r>
        <w:rPr>
          <w:noProof/>
        </w:rPr>
        <w:fldChar w:fldCharType="separate"/>
      </w:r>
      <w:r w:rsidR="009221BF">
        <w:rPr>
          <w:noProof/>
        </w:rPr>
        <w:t>10</w:t>
      </w:r>
      <w:r>
        <w:rPr>
          <w:noProof/>
        </w:rPr>
        <w:fldChar w:fldCharType="end"/>
      </w:r>
    </w:p>
    <w:p w14:paraId="58A2DD4B" w14:textId="0B8A3310"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1.3.1</w:t>
      </w:r>
      <w:r>
        <w:rPr>
          <w:rFonts w:eastAsiaTheme="minorEastAsia" w:cstheme="minorBidi"/>
          <w:i w:val="0"/>
          <w:smallCaps w:val="0"/>
          <w:snapToGrid/>
          <w:color w:val="auto"/>
          <w:kern w:val="2"/>
          <w:sz w:val="24"/>
          <w:szCs w:val="24"/>
          <w:lang w:eastAsia="en-GB"/>
          <w14:ligatures w14:val="standardContextual"/>
        </w:rPr>
        <w:tab/>
      </w:r>
      <w:r>
        <w:rPr>
          <w:noProof/>
        </w:rPr>
        <w:t>2026 TEAP Decision XXXVII/6 Replenishment Task Force</w:t>
      </w:r>
      <w:r>
        <w:rPr>
          <w:noProof/>
        </w:rPr>
        <w:tab/>
      </w:r>
      <w:r>
        <w:rPr>
          <w:noProof/>
        </w:rPr>
        <w:fldChar w:fldCharType="begin"/>
      </w:r>
      <w:r>
        <w:rPr>
          <w:noProof/>
        </w:rPr>
        <w:instrText xml:space="preserve"> PAGEREF _Toc230099035 \h </w:instrText>
      </w:r>
      <w:r>
        <w:rPr>
          <w:noProof/>
        </w:rPr>
      </w:r>
      <w:r>
        <w:rPr>
          <w:noProof/>
        </w:rPr>
        <w:fldChar w:fldCharType="separate"/>
      </w:r>
      <w:r w:rsidR="009221BF">
        <w:rPr>
          <w:noProof/>
        </w:rPr>
        <w:t>10</w:t>
      </w:r>
      <w:r>
        <w:rPr>
          <w:noProof/>
        </w:rPr>
        <w:fldChar w:fldCharType="end"/>
      </w:r>
    </w:p>
    <w:p w14:paraId="7B10621B" w14:textId="542C1931"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1.3.2</w:t>
      </w:r>
      <w:r>
        <w:rPr>
          <w:rFonts w:eastAsiaTheme="minorEastAsia" w:cstheme="minorBidi"/>
          <w:i w:val="0"/>
          <w:smallCaps w:val="0"/>
          <w:snapToGrid/>
          <w:color w:val="auto"/>
          <w:kern w:val="2"/>
          <w:sz w:val="24"/>
          <w:szCs w:val="24"/>
          <w:lang w:eastAsia="en-GB"/>
          <w14:ligatures w14:val="standardContextual"/>
        </w:rPr>
        <w:tab/>
      </w:r>
      <w:r>
        <w:rPr>
          <w:noProof/>
        </w:rPr>
        <w:t>Development of the report</w:t>
      </w:r>
      <w:r>
        <w:rPr>
          <w:noProof/>
        </w:rPr>
        <w:tab/>
      </w:r>
      <w:r>
        <w:rPr>
          <w:noProof/>
        </w:rPr>
        <w:fldChar w:fldCharType="begin"/>
      </w:r>
      <w:r>
        <w:rPr>
          <w:noProof/>
        </w:rPr>
        <w:instrText xml:space="preserve"> PAGEREF _Toc230099036 \h </w:instrText>
      </w:r>
      <w:r>
        <w:rPr>
          <w:noProof/>
        </w:rPr>
      </w:r>
      <w:r>
        <w:rPr>
          <w:noProof/>
        </w:rPr>
        <w:fldChar w:fldCharType="separate"/>
      </w:r>
      <w:r w:rsidR="009221BF">
        <w:rPr>
          <w:noProof/>
        </w:rPr>
        <w:t>11</w:t>
      </w:r>
      <w:r>
        <w:rPr>
          <w:noProof/>
        </w:rPr>
        <w:fldChar w:fldCharType="end"/>
      </w:r>
    </w:p>
    <w:p w14:paraId="3E909A2C" w14:textId="3F5C9627"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1.3.3</w:t>
      </w:r>
      <w:r>
        <w:rPr>
          <w:rFonts w:eastAsiaTheme="minorEastAsia" w:cstheme="minorBidi"/>
          <w:i w:val="0"/>
          <w:smallCaps w:val="0"/>
          <w:snapToGrid/>
          <w:color w:val="auto"/>
          <w:kern w:val="2"/>
          <w:sz w:val="24"/>
          <w:szCs w:val="24"/>
          <w:lang w:eastAsia="en-GB"/>
          <w14:ligatures w14:val="standardContextual"/>
        </w:rPr>
        <w:tab/>
      </w:r>
      <w:r>
        <w:rPr>
          <w:noProof/>
        </w:rPr>
        <w:t>Organization of report</w:t>
      </w:r>
      <w:r>
        <w:rPr>
          <w:noProof/>
        </w:rPr>
        <w:tab/>
      </w:r>
      <w:r>
        <w:rPr>
          <w:noProof/>
        </w:rPr>
        <w:fldChar w:fldCharType="begin"/>
      </w:r>
      <w:r>
        <w:rPr>
          <w:noProof/>
        </w:rPr>
        <w:instrText xml:space="preserve"> PAGEREF _Toc230099037 \h </w:instrText>
      </w:r>
      <w:r>
        <w:rPr>
          <w:noProof/>
        </w:rPr>
      </w:r>
      <w:r>
        <w:rPr>
          <w:noProof/>
        </w:rPr>
        <w:fldChar w:fldCharType="separate"/>
      </w:r>
      <w:r w:rsidR="009221BF">
        <w:rPr>
          <w:noProof/>
        </w:rPr>
        <w:t>11</w:t>
      </w:r>
      <w:r>
        <w:rPr>
          <w:noProof/>
        </w:rPr>
        <w:fldChar w:fldCharType="end"/>
      </w:r>
    </w:p>
    <w:p w14:paraId="4C776745" w14:textId="3AA83A6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1.4</w:t>
      </w:r>
      <w:r>
        <w:rPr>
          <w:rFonts w:eastAsiaTheme="minorEastAsia" w:cstheme="minorBidi"/>
          <w:b w:val="0"/>
          <w:smallCaps w:val="0"/>
          <w:color w:val="auto"/>
          <w:kern w:val="2"/>
          <w:sz w:val="24"/>
          <w:szCs w:val="24"/>
          <w:lang w:eastAsia="en-GB"/>
          <w14:ligatures w14:val="standardContextual"/>
        </w:rPr>
        <w:tab/>
      </w:r>
      <w:r>
        <w:rPr>
          <w:noProof/>
        </w:rPr>
        <w:t>Overview of the Multilateral Fund for the Implementation of the Montreal Protocol</w:t>
      </w:r>
      <w:r>
        <w:rPr>
          <w:noProof/>
        </w:rPr>
        <w:tab/>
      </w:r>
      <w:r>
        <w:rPr>
          <w:noProof/>
        </w:rPr>
        <w:fldChar w:fldCharType="begin"/>
      </w:r>
      <w:r>
        <w:rPr>
          <w:noProof/>
        </w:rPr>
        <w:instrText xml:space="preserve"> PAGEREF _Toc230099038 \h </w:instrText>
      </w:r>
      <w:r>
        <w:rPr>
          <w:noProof/>
        </w:rPr>
      </w:r>
      <w:r>
        <w:rPr>
          <w:noProof/>
        </w:rPr>
        <w:fldChar w:fldCharType="separate"/>
      </w:r>
      <w:r w:rsidR="009221BF">
        <w:rPr>
          <w:noProof/>
        </w:rPr>
        <w:t>12</w:t>
      </w:r>
      <w:r>
        <w:rPr>
          <w:noProof/>
        </w:rPr>
        <w:fldChar w:fldCharType="end"/>
      </w:r>
    </w:p>
    <w:p w14:paraId="1BC1A161" w14:textId="507998C8"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1.5</w:t>
      </w:r>
      <w:r>
        <w:rPr>
          <w:rFonts w:eastAsiaTheme="minorEastAsia" w:cstheme="minorBidi"/>
          <w:b w:val="0"/>
          <w:smallCaps w:val="0"/>
          <w:color w:val="auto"/>
          <w:kern w:val="2"/>
          <w:sz w:val="24"/>
          <w:szCs w:val="24"/>
          <w:lang w:eastAsia="en-GB"/>
          <w14:ligatures w14:val="standardContextual"/>
        </w:rPr>
        <w:tab/>
      </w:r>
      <w:r>
        <w:rPr>
          <w:noProof/>
        </w:rPr>
        <w:t>Replenishment of the Multilateral Fund</w:t>
      </w:r>
      <w:r>
        <w:rPr>
          <w:noProof/>
        </w:rPr>
        <w:tab/>
      </w:r>
      <w:r>
        <w:rPr>
          <w:noProof/>
        </w:rPr>
        <w:fldChar w:fldCharType="begin"/>
      </w:r>
      <w:r>
        <w:rPr>
          <w:noProof/>
        </w:rPr>
        <w:instrText xml:space="preserve"> PAGEREF _Toc230099039 \h </w:instrText>
      </w:r>
      <w:r>
        <w:rPr>
          <w:noProof/>
        </w:rPr>
      </w:r>
      <w:r>
        <w:rPr>
          <w:noProof/>
        </w:rPr>
        <w:fldChar w:fldCharType="separate"/>
      </w:r>
      <w:r w:rsidR="009221BF">
        <w:rPr>
          <w:noProof/>
        </w:rPr>
        <w:t>14</w:t>
      </w:r>
      <w:r>
        <w:rPr>
          <w:noProof/>
        </w:rPr>
        <w:fldChar w:fldCharType="end"/>
      </w:r>
    </w:p>
    <w:p w14:paraId="6E58BB83" w14:textId="3284908F"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1.6</w:t>
      </w:r>
      <w:r>
        <w:rPr>
          <w:rFonts w:eastAsiaTheme="minorEastAsia" w:cstheme="minorBidi"/>
          <w:b w:val="0"/>
          <w:smallCaps w:val="0"/>
          <w:color w:val="auto"/>
          <w:kern w:val="2"/>
          <w:sz w:val="24"/>
          <w:szCs w:val="24"/>
          <w:lang w:eastAsia="en-GB"/>
          <w14:ligatures w14:val="standardContextual"/>
        </w:rPr>
        <w:tab/>
      </w:r>
      <w:r>
        <w:rPr>
          <w:noProof/>
        </w:rPr>
        <w:t>Overview of RTF estimated funding methodology</w:t>
      </w:r>
      <w:r>
        <w:rPr>
          <w:noProof/>
        </w:rPr>
        <w:tab/>
      </w:r>
      <w:r>
        <w:rPr>
          <w:noProof/>
        </w:rPr>
        <w:fldChar w:fldCharType="begin"/>
      </w:r>
      <w:r>
        <w:rPr>
          <w:noProof/>
        </w:rPr>
        <w:instrText xml:space="preserve"> PAGEREF _Toc230099040 \h </w:instrText>
      </w:r>
      <w:r>
        <w:rPr>
          <w:noProof/>
        </w:rPr>
      </w:r>
      <w:r>
        <w:rPr>
          <w:noProof/>
        </w:rPr>
        <w:fldChar w:fldCharType="separate"/>
      </w:r>
      <w:r w:rsidR="009221BF">
        <w:rPr>
          <w:noProof/>
        </w:rPr>
        <w:t>15</w:t>
      </w:r>
      <w:r>
        <w:rPr>
          <w:noProof/>
        </w:rPr>
        <w:fldChar w:fldCharType="end"/>
      </w:r>
    </w:p>
    <w:p w14:paraId="5D1E700C" w14:textId="037FE9BA"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1.6.1</w:t>
      </w:r>
      <w:r>
        <w:rPr>
          <w:rFonts w:eastAsiaTheme="minorEastAsia" w:cstheme="minorBidi"/>
          <w:i w:val="0"/>
          <w:smallCaps w:val="0"/>
          <w:snapToGrid/>
          <w:color w:val="auto"/>
          <w:kern w:val="2"/>
          <w:sz w:val="24"/>
          <w:szCs w:val="24"/>
          <w:lang w:eastAsia="en-GB"/>
          <w14:ligatures w14:val="standardContextual"/>
        </w:rPr>
        <w:tab/>
      </w:r>
      <w:r>
        <w:rPr>
          <w:noProof/>
        </w:rPr>
        <w:t>References and assumptions</w:t>
      </w:r>
      <w:r>
        <w:rPr>
          <w:noProof/>
        </w:rPr>
        <w:tab/>
      </w:r>
      <w:r>
        <w:rPr>
          <w:noProof/>
        </w:rPr>
        <w:fldChar w:fldCharType="begin"/>
      </w:r>
      <w:r>
        <w:rPr>
          <w:noProof/>
        </w:rPr>
        <w:instrText xml:space="preserve"> PAGEREF _Toc230099041 \h </w:instrText>
      </w:r>
      <w:r>
        <w:rPr>
          <w:noProof/>
        </w:rPr>
      </w:r>
      <w:r>
        <w:rPr>
          <w:noProof/>
        </w:rPr>
        <w:fldChar w:fldCharType="separate"/>
      </w:r>
      <w:r w:rsidR="009221BF">
        <w:rPr>
          <w:noProof/>
        </w:rPr>
        <w:t>16</w:t>
      </w:r>
      <w:r>
        <w:rPr>
          <w:noProof/>
        </w:rPr>
        <w:fldChar w:fldCharType="end"/>
      </w:r>
    </w:p>
    <w:p w14:paraId="73BD6615" w14:textId="0208AD71"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1.6.2</w:t>
      </w:r>
      <w:r>
        <w:rPr>
          <w:rFonts w:eastAsiaTheme="minorEastAsia" w:cstheme="minorBidi"/>
          <w:i w:val="0"/>
          <w:smallCaps w:val="0"/>
          <w:snapToGrid/>
          <w:color w:val="auto"/>
          <w:kern w:val="2"/>
          <w:sz w:val="24"/>
          <w:szCs w:val="24"/>
          <w:lang w:eastAsia="en-GB"/>
          <w14:ligatures w14:val="standardContextual"/>
        </w:rPr>
        <w:tab/>
      </w:r>
      <w:r>
        <w:rPr>
          <w:noProof/>
        </w:rPr>
        <w:t>HCFC phase-out estimated funding for production and consumption sectors</w:t>
      </w:r>
      <w:r>
        <w:rPr>
          <w:noProof/>
        </w:rPr>
        <w:tab/>
      </w:r>
      <w:r>
        <w:rPr>
          <w:noProof/>
        </w:rPr>
        <w:fldChar w:fldCharType="begin"/>
      </w:r>
      <w:r>
        <w:rPr>
          <w:noProof/>
        </w:rPr>
        <w:instrText xml:space="preserve"> PAGEREF _Toc230099042 \h </w:instrText>
      </w:r>
      <w:r>
        <w:rPr>
          <w:noProof/>
        </w:rPr>
      </w:r>
      <w:r>
        <w:rPr>
          <w:noProof/>
        </w:rPr>
        <w:fldChar w:fldCharType="separate"/>
      </w:r>
      <w:r w:rsidR="009221BF">
        <w:rPr>
          <w:noProof/>
        </w:rPr>
        <w:t>17</w:t>
      </w:r>
      <w:r>
        <w:rPr>
          <w:noProof/>
        </w:rPr>
        <w:fldChar w:fldCharType="end"/>
      </w:r>
    </w:p>
    <w:p w14:paraId="440218C8" w14:textId="70F4FF22"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1.6.3</w:t>
      </w:r>
      <w:r>
        <w:rPr>
          <w:rFonts w:eastAsiaTheme="minorEastAsia" w:cstheme="minorBidi"/>
          <w:i w:val="0"/>
          <w:smallCaps w:val="0"/>
          <w:snapToGrid/>
          <w:color w:val="auto"/>
          <w:kern w:val="2"/>
          <w:sz w:val="24"/>
          <w:szCs w:val="24"/>
          <w:lang w:eastAsia="en-GB"/>
          <w14:ligatures w14:val="standardContextual"/>
        </w:rPr>
        <w:tab/>
      </w:r>
      <w:r>
        <w:rPr>
          <w:noProof/>
        </w:rPr>
        <w:t>HFC phase-down estimated funding requirements</w:t>
      </w:r>
      <w:r>
        <w:rPr>
          <w:noProof/>
        </w:rPr>
        <w:tab/>
      </w:r>
      <w:r>
        <w:rPr>
          <w:noProof/>
        </w:rPr>
        <w:fldChar w:fldCharType="begin"/>
      </w:r>
      <w:r>
        <w:rPr>
          <w:noProof/>
        </w:rPr>
        <w:instrText xml:space="preserve"> PAGEREF _Toc230099043 \h </w:instrText>
      </w:r>
      <w:r>
        <w:rPr>
          <w:noProof/>
        </w:rPr>
      </w:r>
      <w:r>
        <w:rPr>
          <w:noProof/>
        </w:rPr>
        <w:fldChar w:fldCharType="separate"/>
      </w:r>
      <w:r w:rsidR="009221BF">
        <w:rPr>
          <w:noProof/>
        </w:rPr>
        <w:t>18</w:t>
      </w:r>
      <w:r>
        <w:rPr>
          <w:noProof/>
        </w:rPr>
        <w:fldChar w:fldCharType="end"/>
      </w:r>
    </w:p>
    <w:p w14:paraId="1F7D92E4" w14:textId="7103D26B"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1.6.4</w:t>
      </w:r>
      <w:r>
        <w:rPr>
          <w:rFonts w:eastAsiaTheme="minorEastAsia" w:cstheme="minorBidi"/>
          <w:i w:val="0"/>
          <w:smallCaps w:val="0"/>
          <w:snapToGrid/>
          <w:color w:val="auto"/>
          <w:kern w:val="2"/>
          <w:sz w:val="24"/>
          <w:szCs w:val="24"/>
          <w:lang w:eastAsia="en-GB"/>
          <w14:ligatures w14:val="standardContextual"/>
        </w:rPr>
        <w:tab/>
      </w:r>
      <w:r>
        <w:rPr>
          <w:noProof/>
        </w:rPr>
        <w:t>Institutional strengthening and standard activities estimated funding requirements</w:t>
      </w:r>
      <w:r>
        <w:rPr>
          <w:noProof/>
        </w:rPr>
        <w:tab/>
      </w:r>
      <w:r>
        <w:rPr>
          <w:noProof/>
        </w:rPr>
        <w:fldChar w:fldCharType="begin"/>
      </w:r>
      <w:r>
        <w:rPr>
          <w:noProof/>
        </w:rPr>
        <w:instrText xml:space="preserve"> PAGEREF _Toc230099044 \h </w:instrText>
      </w:r>
      <w:r>
        <w:rPr>
          <w:noProof/>
        </w:rPr>
      </w:r>
      <w:r>
        <w:rPr>
          <w:noProof/>
        </w:rPr>
        <w:fldChar w:fldCharType="separate"/>
      </w:r>
      <w:r w:rsidR="009221BF">
        <w:rPr>
          <w:noProof/>
        </w:rPr>
        <w:t>19</w:t>
      </w:r>
      <w:r>
        <w:rPr>
          <w:noProof/>
        </w:rPr>
        <w:fldChar w:fldCharType="end"/>
      </w:r>
    </w:p>
    <w:p w14:paraId="2F78ED53" w14:textId="7D63E68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1.6.5</w:t>
      </w:r>
      <w:r>
        <w:rPr>
          <w:rFonts w:eastAsiaTheme="minorEastAsia" w:cstheme="minorBidi"/>
          <w:i w:val="0"/>
          <w:smallCaps w:val="0"/>
          <w:snapToGrid/>
          <w:color w:val="auto"/>
          <w:kern w:val="2"/>
          <w:sz w:val="24"/>
          <w:szCs w:val="24"/>
          <w:lang w:eastAsia="en-GB"/>
          <w14:ligatures w14:val="standardContextual"/>
        </w:rPr>
        <w:tab/>
      </w:r>
      <w:r>
        <w:rPr>
          <w:noProof/>
        </w:rPr>
        <w:t>Energy efficiency estimated funding requirements</w:t>
      </w:r>
      <w:r>
        <w:rPr>
          <w:noProof/>
        </w:rPr>
        <w:tab/>
      </w:r>
      <w:r>
        <w:rPr>
          <w:noProof/>
        </w:rPr>
        <w:fldChar w:fldCharType="begin"/>
      </w:r>
      <w:r>
        <w:rPr>
          <w:noProof/>
        </w:rPr>
        <w:instrText xml:space="preserve"> PAGEREF _Toc230099045 \h </w:instrText>
      </w:r>
      <w:r>
        <w:rPr>
          <w:noProof/>
        </w:rPr>
      </w:r>
      <w:r>
        <w:rPr>
          <w:noProof/>
        </w:rPr>
        <w:fldChar w:fldCharType="separate"/>
      </w:r>
      <w:r w:rsidR="009221BF">
        <w:rPr>
          <w:noProof/>
        </w:rPr>
        <w:t>20</w:t>
      </w:r>
      <w:r>
        <w:rPr>
          <w:noProof/>
        </w:rPr>
        <w:fldChar w:fldCharType="end"/>
      </w:r>
    </w:p>
    <w:p w14:paraId="4D356158" w14:textId="2BF5BA9C"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1.6.6</w:t>
      </w:r>
      <w:r>
        <w:rPr>
          <w:rFonts w:eastAsiaTheme="minorEastAsia" w:cstheme="minorBidi"/>
          <w:i w:val="0"/>
          <w:smallCaps w:val="0"/>
          <w:snapToGrid/>
          <w:color w:val="auto"/>
          <w:kern w:val="2"/>
          <w:sz w:val="24"/>
          <w:szCs w:val="24"/>
          <w:lang w:eastAsia="en-GB"/>
          <w14:ligatures w14:val="standardContextual"/>
        </w:rPr>
        <w:tab/>
      </w:r>
      <w:r>
        <w:rPr>
          <w:noProof/>
        </w:rPr>
        <w:t>Estimated funding requirement for pilot projects to enhance regional atmospheric monitoring</w:t>
      </w:r>
      <w:r>
        <w:rPr>
          <w:noProof/>
        </w:rPr>
        <w:tab/>
      </w:r>
      <w:r>
        <w:rPr>
          <w:noProof/>
        </w:rPr>
        <w:fldChar w:fldCharType="begin"/>
      </w:r>
      <w:r>
        <w:rPr>
          <w:noProof/>
        </w:rPr>
        <w:instrText xml:space="preserve"> PAGEREF _Toc230099046 \h </w:instrText>
      </w:r>
      <w:r>
        <w:rPr>
          <w:noProof/>
        </w:rPr>
      </w:r>
      <w:r>
        <w:rPr>
          <w:noProof/>
        </w:rPr>
        <w:fldChar w:fldCharType="separate"/>
      </w:r>
      <w:r w:rsidR="009221BF">
        <w:rPr>
          <w:noProof/>
        </w:rPr>
        <w:t>20</w:t>
      </w:r>
      <w:r>
        <w:rPr>
          <w:noProof/>
        </w:rPr>
        <w:fldChar w:fldCharType="end"/>
      </w:r>
    </w:p>
    <w:p w14:paraId="13E43ECB" w14:textId="079D4383"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1.6.7</w:t>
      </w:r>
      <w:r>
        <w:rPr>
          <w:rFonts w:eastAsiaTheme="minorEastAsia" w:cstheme="minorBidi"/>
          <w:i w:val="0"/>
          <w:smallCaps w:val="0"/>
          <w:snapToGrid/>
          <w:color w:val="auto"/>
          <w:kern w:val="2"/>
          <w:sz w:val="24"/>
          <w:szCs w:val="24"/>
          <w:lang w:eastAsia="en-GB"/>
          <w14:ligatures w14:val="standardContextual"/>
        </w:rPr>
        <w:tab/>
      </w:r>
      <w:r>
        <w:rPr>
          <w:noProof/>
        </w:rPr>
        <w:t>Special needs of LVC and VLVC countries</w:t>
      </w:r>
      <w:r>
        <w:rPr>
          <w:noProof/>
        </w:rPr>
        <w:tab/>
      </w:r>
      <w:r>
        <w:rPr>
          <w:noProof/>
        </w:rPr>
        <w:fldChar w:fldCharType="begin"/>
      </w:r>
      <w:r>
        <w:rPr>
          <w:noProof/>
        </w:rPr>
        <w:instrText xml:space="preserve"> PAGEREF _Toc230099047 \h </w:instrText>
      </w:r>
      <w:r>
        <w:rPr>
          <w:noProof/>
        </w:rPr>
      </w:r>
      <w:r>
        <w:rPr>
          <w:noProof/>
        </w:rPr>
        <w:fldChar w:fldCharType="separate"/>
      </w:r>
      <w:r w:rsidR="009221BF">
        <w:rPr>
          <w:noProof/>
        </w:rPr>
        <w:t>21</w:t>
      </w:r>
      <w:r>
        <w:rPr>
          <w:noProof/>
        </w:rPr>
        <w:fldChar w:fldCharType="end"/>
      </w:r>
    </w:p>
    <w:p w14:paraId="3649B2B6" w14:textId="5696003D"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1.6.8</w:t>
      </w:r>
      <w:r>
        <w:rPr>
          <w:rFonts w:eastAsiaTheme="minorEastAsia" w:cstheme="minorBidi"/>
          <w:i w:val="0"/>
          <w:smallCaps w:val="0"/>
          <w:snapToGrid/>
          <w:color w:val="auto"/>
          <w:kern w:val="2"/>
          <w:sz w:val="24"/>
          <w:szCs w:val="24"/>
          <w:lang w:eastAsia="en-GB"/>
          <w14:ligatures w14:val="standardContextual"/>
        </w:rPr>
        <w:tab/>
      </w:r>
      <w:r>
        <w:rPr>
          <w:noProof/>
        </w:rPr>
        <w:t>Lifecycle refrigerant management</w:t>
      </w:r>
      <w:r>
        <w:rPr>
          <w:noProof/>
        </w:rPr>
        <w:tab/>
      </w:r>
      <w:r>
        <w:rPr>
          <w:noProof/>
        </w:rPr>
        <w:fldChar w:fldCharType="begin"/>
      </w:r>
      <w:r>
        <w:rPr>
          <w:noProof/>
        </w:rPr>
        <w:instrText xml:space="preserve"> PAGEREF _Toc230099048 \h </w:instrText>
      </w:r>
      <w:r>
        <w:rPr>
          <w:noProof/>
        </w:rPr>
      </w:r>
      <w:r>
        <w:rPr>
          <w:noProof/>
        </w:rPr>
        <w:fldChar w:fldCharType="separate"/>
      </w:r>
      <w:r w:rsidR="009221BF">
        <w:rPr>
          <w:noProof/>
        </w:rPr>
        <w:t>21</w:t>
      </w:r>
      <w:r>
        <w:rPr>
          <w:noProof/>
        </w:rPr>
        <w:fldChar w:fldCharType="end"/>
      </w:r>
    </w:p>
    <w:p w14:paraId="4459B61A" w14:textId="73A5E814"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1.6.9</w:t>
      </w:r>
      <w:r>
        <w:rPr>
          <w:rFonts w:eastAsiaTheme="minorEastAsia" w:cstheme="minorBidi"/>
          <w:i w:val="0"/>
          <w:smallCaps w:val="0"/>
          <w:snapToGrid/>
          <w:color w:val="auto"/>
          <w:kern w:val="2"/>
          <w:sz w:val="24"/>
          <w:szCs w:val="24"/>
          <w:lang w:eastAsia="en-GB"/>
          <w14:ligatures w14:val="standardContextual"/>
        </w:rPr>
        <w:tab/>
      </w:r>
      <w:r>
        <w:rPr>
          <w:noProof/>
        </w:rPr>
        <w:t>Digital technologies and tools in the servicing sector</w:t>
      </w:r>
      <w:r>
        <w:rPr>
          <w:noProof/>
        </w:rPr>
        <w:tab/>
      </w:r>
      <w:r>
        <w:rPr>
          <w:noProof/>
        </w:rPr>
        <w:fldChar w:fldCharType="begin"/>
      </w:r>
      <w:r>
        <w:rPr>
          <w:noProof/>
        </w:rPr>
        <w:instrText xml:space="preserve"> PAGEREF _Toc230099049 \h </w:instrText>
      </w:r>
      <w:r>
        <w:rPr>
          <w:noProof/>
        </w:rPr>
      </w:r>
      <w:r>
        <w:rPr>
          <w:noProof/>
        </w:rPr>
        <w:fldChar w:fldCharType="separate"/>
      </w:r>
      <w:r w:rsidR="009221BF">
        <w:rPr>
          <w:noProof/>
        </w:rPr>
        <w:t>21</w:t>
      </w:r>
      <w:r>
        <w:rPr>
          <w:noProof/>
        </w:rPr>
        <w:fldChar w:fldCharType="end"/>
      </w:r>
    </w:p>
    <w:p w14:paraId="40ABCFF3" w14:textId="2E347C4B" w:rsidR="00442791" w:rsidRDefault="00442791" w:rsidP="000A5309">
      <w:pPr>
        <w:pStyle w:val="TOC1"/>
        <w:rPr>
          <w:rFonts w:eastAsiaTheme="minorEastAsia" w:cstheme="minorBidi"/>
          <w:color w:val="auto"/>
          <w:kern w:val="2"/>
          <w:sz w:val="24"/>
          <w:szCs w:val="24"/>
          <w:lang w:eastAsia="en-GB"/>
          <w14:ligatures w14:val="standardContextual"/>
        </w:rPr>
      </w:pPr>
      <w:r>
        <w:rPr>
          <w:noProof/>
        </w:rPr>
        <w:t>2</w:t>
      </w:r>
      <w:r>
        <w:rPr>
          <w:rFonts w:eastAsiaTheme="minorEastAsia" w:cstheme="minorBidi"/>
          <w:color w:val="auto"/>
          <w:kern w:val="2"/>
          <w:sz w:val="24"/>
          <w:szCs w:val="24"/>
          <w:lang w:eastAsia="en-GB"/>
          <w14:ligatures w14:val="standardContextual"/>
        </w:rPr>
        <w:tab/>
      </w:r>
      <w:r>
        <w:rPr>
          <w:noProof/>
        </w:rPr>
        <w:t>Funding for HCFC Phase-out</w:t>
      </w:r>
      <w:r>
        <w:rPr>
          <w:noProof/>
        </w:rPr>
        <w:tab/>
      </w:r>
      <w:r>
        <w:rPr>
          <w:noProof/>
        </w:rPr>
        <w:fldChar w:fldCharType="begin"/>
      </w:r>
      <w:r>
        <w:rPr>
          <w:noProof/>
        </w:rPr>
        <w:instrText xml:space="preserve"> PAGEREF _Toc230099050 \h </w:instrText>
      </w:r>
      <w:r>
        <w:rPr>
          <w:noProof/>
        </w:rPr>
      </w:r>
      <w:r>
        <w:rPr>
          <w:noProof/>
        </w:rPr>
        <w:fldChar w:fldCharType="separate"/>
      </w:r>
      <w:r w:rsidR="009221BF">
        <w:rPr>
          <w:noProof/>
        </w:rPr>
        <w:t>23</w:t>
      </w:r>
      <w:r>
        <w:rPr>
          <w:noProof/>
        </w:rPr>
        <w:fldChar w:fldCharType="end"/>
      </w:r>
    </w:p>
    <w:p w14:paraId="1A556237" w14:textId="112CB278"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2.1</w:t>
      </w:r>
      <w:r>
        <w:rPr>
          <w:rFonts w:eastAsiaTheme="minorEastAsia" w:cstheme="minorBidi"/>
          <w:b w:val="0"/>
          <w:smallCaps w:val="0"/>
          <w:color w:val="auto"/>
          <w:kern w:val="2"/>
          <w:sz w:val="24"/>
          <w:szCs w:val="24"/>
          <w:lang w:eastAsia="en-GB"/>
          <w14:ligatures w14:val="standardContextual"/>
        </w:rPr>
        <w:tab/>
      </w:r>
      <w:r>
        <w:rPr>
          <w:noProof/>
          <w:lang w:eastAsia="en-GB"/>
        </w:rPr>
        <w:t>Background: HCFC Phase-out</w:t>
      </w:r>
      <w:r>
        <w:rPr>
          <w:noProof/>
        </w:rPr>
        <w:tab/>
      </w:r>
      <w:r>
        <w:rPr>
          <w:noProof/>
        </w:rPr>
        <w:fldChar w:fldCharType="begin"/>
      </w:r>
      <w:r>
        <w:rPr>
          <w:noProof/>
        </w:rPr>
        <w:instrText xml:space="preserve"> PAGEREF _Toc230099051 \h </w:instrText>
      </w:r>
      <w:r>
        <w:rPr>
          <w:noProof/>
        </w:rPr>
      </w:r>
      <w:r>
        <w:rPr>
          <w:noProof/>
        </w:rPr>
        <w:fldChar w:fldCharType="separate"/>
      </w:r>
      <w:r w:rsidR="009221BF">
        <w:rPr>
          <w:noProof/>
        </w:rPr>
        <w:t>23</w:t>
      </w:r>
      <w:r>
        <w:rPr>
          <w:noProof/>
        </w:rPr>
        <w:fldChar w:fldCharType="end"/>
      </w:r>
    </w:p>
    <w:p w14:paraId="58A58FA7" w14:textId="4D9F6E7A"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2.2</w:t>
      </w:r>
      <w:r>
        <w:rPr>
          <w:rFonts w:eastAsiaTheme="minorEastAsia" w:cstheme="minorBidi"/>
          <w:b w:val="0"/>
          <w:smallCaps w:val="0"/>
          <w:color w:val="auto"/>
          <w:kern w:val="2"/>
          <w:sz w:val="24"/>
          <w:szCs w:val="24"/>
          <w:lang w:eastAsia="en-GB"/>
          <w14:ligatures w14:val="standardContextual"/>
        </w:rPr>
        <w:tab/>
      </w:r>
      <w:r>
        <w:rPr>
          <w:noProof/>
          <w:lang w:eastAsia="en-GB"/>
        </w:rPr>
        <w:t xml:space="preserve">2026 Status overview of the </w:t>
      </w:r>
      <w:r>
        <w:rPr>
          <w:noProof/>
        </w:rPr>
        <w:t>HCFC</w:t>
      </w:r>
      <w:r>
        <w:rPr>
          <w:noProof/>
          <w:lang w:eastAsia="en-GB"/>
        </w:rPr>
        <w:t xml:space="preserve"> consumptions sector</w:t>
      </w:r>
      <w:r>
        <w:rPr>
          <w:noProof/>
        </w:rPr>
        <w:tab/>
      </w:r>
      <w:r>
        <w:rPr>
          <w:noProof/>
        </w:rPr>
        <w:fldChar w:fldCharType="begin"/>
      </w:r>
      <w:r>
        <w:rPr>
          <w:noProof/>
        </w:rPr>
        <w:instrText xml:space="preserve"> PAGEREF _Toc230099052 \h </w:instrText>
      </w:r>
      <w:r>
        <w:rPr>
          <w:noProof/>
        </w:rPr>
      </w:r>
      <w:r>
        <w:rPr>
          <w:noProof/>
        </w:rPr>
        <w:fldChar w:fldCharType="separate"/>
      </w:r>
      <w:r w:rsidR="009221BF">
        <w:rPr>
          <w:noProof/>
        </w:rPr>
        <w:t>24</w:t>
      </w:r>
      <w:r>
        <w:rPr>
          <w:noProof/>
        </w:rPr>
        <w:fldChar w:fldCharType="end"/>
      </w:r>
    </w:p>
    <w:p w14:paraId="6284D1EF" w14:textId="4D3EE9A7"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2.3</w:t>
      </w:r>
      <w:r>
        <w:rPr>
          <w:rFonts w:eastAsiaTheme="minorEastAsia" w:cstheme="minorBidi"/>
          <w:b w:val="0"/>
          <w:smallCaps w:val="0"/>
          <w:color w:val="auto"/>
          <w:kern w:val="2"/>
          <w:sz w:val="24"/>
          <w:szCs w:val="24"/>
          <w:lang w:eastAsia="en-GB"/>
          <w14:ligatures w14:val="standardContextual"/>
        </w:rPr>
        <w:tab/>
      </w:r>
      <w:r>
        <w:rPr>
          <w:noProof/>
        </w:rPr>
        <w:t>Overview of HCFC funding requirement</w:t>
      </w:r>
      <w:r>
        <w:rPr>
          <w:noProof/>
        </w:rPr>
        <w:tab/>
      </w:r>
      <w:r>
        <w:rPr>
          <w:noProof/>
        </w:rPr>
        <w:fldChar w:fldCharType="begin"/>
      </w:r>
      <w:r>
        <w:rPr>
          <w:noProof/>
        </w:rPr>
        <w:instrText xml:space="preserve"> PAGEREF _Toc230099053 \h </w:instrText>
      </w:r>
      <w:r>
        <w:rPr>
          <w:noProof/>
        </w:rPr>
      </w:r>
      <w:r>
        <w:rPr>
          <w:noProof/>
        </w:rPr>
        <w:fldChar w:fldCharType="separate"/>
      </w:r>
      <w:r w:rsidR="009221BF">
        <w:rPr>
          <w:noProof/>
        </w:rPr>
        <w:t>24</w:t>
      </w:r>
      <w:r>
        <w:rPr>
          <w:noProof/>
        </w:rPr>
        <w:fldChar w:fldCharType="end"/>
      </w:r>
    </w:p>
    <w:p w14:paraId="1C76969E" w14:textId="0602A41C"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 xml:space="preserve">2.4 </w:t>
      </w:r>
      <w:r>
        <w:rPr>
          <w:rFonts w:eastAsiaTheme="minorEastAsia" w:cstheme="minorBidi"/>
          <w:b w:val="0"/>
          <w:smallCaps w:val="0"/>
          <w:color w:val="auto"/>
          <w:kern w:val="2"/>
          <w:sz w:val="24"/>
          <w:szCs w:val="24"/>
          <w:lang w:eastAsia="en-GB"/>
          <w14:ligatures w14:val="standardContextual"/>
        </w:rPr>
        <w:tab/>
      </w:r>
      <w:r>
        <w:rPr>
          <w:noProof/>
        </w:rPr>
        <w:t>HCFC Funding Methodology</w:t>
      </w:r>
      <w:r>
        <w:rPr>
          <w:noProof/>
        </w:rPr>
        <w:tab/>
      </w:r>
      <w:r>
        <w:rPr>
          <w:noProof/>
        </w:rPr>
        <w:fldChar w:fldCharType="begin"/>
      </w:r>
      <w:r>
        <w:rPr>
          <w:noProof/>
        </w:rPr>
        <w:instrText xml:space="preserve"> PAGEREF _Toc230099054 \h </w:instrText>
      </w:r>
      <w:r>
        <w:rPr>
          <w:noProof/>
        </w:rPr>
      </w:r>
      <w:r>
        <w:rPr>
          <w:noProof/>
        </w:rPr>
        <w:fldChar w:fldCharType="separate"/>
      </w:r>
      <w:r w:rsidR="009221BF">
        <w:rPr>
          <w:noProof/>
        </w:rPr>
        <w:t>25</w:t>
      </w:r>
      <w:r>
        <w:rPr>
          <w:noProof/>
        </w:rPr>
        <w:fldChar w:fldCharType="end"/>
      </w:r>
    </w:p>
    <w:p w14:paraId="0C7CE83E" w14:textId="7A4268E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2.4.1</w:t>
      </w:r>
      <w:r>
        <w:rPr>
          <w:rFonts w:eastAsiaTheme="minorEastAsia" w:cstheme="minorBidi"/>
          <w:i w:val="0"/>
          <w:smallCaps w:val="0"/>
          <w:snapToGrid/>
          <w:color w:val="auto"/>
          <w:kern w:val="2"/>
          <w:sz w:val="24"/>
          <w:szCs w:val="24"/>
          <w:lang w:eastAsia="en-GB"/>
          <w14:ligatures w14:val="standardContextual"/>
        </w:rPr>
        <w:tab/>
      </w:r>
      <w:r>
        <w:rPr>
          <w:noProof/>
        </w:rPr>
        <w:t>Remaining HCFC phase-out funding</w:t>
      </w:r>
      <w:r>
        <w:rPr>
          <w:noProof/>
        </w:rPr>
        <w:tab/>
      </w:r>
      <w:r>
        <w:rPr>
          <w:noProof/>
        </w:rPr>
        <w:fldChar w:fldCharType="begin"/>
      </w:r>
      <w:r>
        <w:rPr>
          <w:noProof/>
        </w:rPr>
        <w:instrText xml:space="preserve"> PAGEREF _Toc230099055 \h </w:instrText>
      </w:r>
      <w:r>
        <w:rPr>
          <w:noProof/>
        </w:rPr>
      </w:r>
      <w:r>
        <w:rPr>
          <w:noProof/>
        </w:rPr>
        <w:fldChar w:fldCharType="separate"/>
      </w:r>
      <w:r w:rsidR="009221BF">
        <w:rPr>
          <w:noProof/>
        </w:rPr>
        <w:t>25</w:t>
      </w:r>
      <w:r>
        <w:rPr>
          <w:noProof/>
        </w:rPr>
        <w:fldChar w:fldCharType="end"/>
      </w:r>
    </w:p>
    <w:p w14:paraId="2EE658E2" w14:textId="2544089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2.4.2</w:t>
      </w:r>
      <w:r>
        <w:rPr>
          <w:rFonts w:eastAsiaTheme="minorEastAsia" w:cstheme="minorBidi"/>
          <w:i w:val="0"/>
          <w:smallCaps w:val="0"/>
          <w:snapToGrid/>
          <w:color w:val="auto"/>
          <w:kern w:val="2"/>
          <w:sz w:val="24"/>
          <w:szCs w:val="24"/>
          <w:lang w:eastAsia="en-GB"/>
          <w14:ligatures w14:val="standardContextual"/>
        </w:rPr>
        <w:tab/>
      </w:r>
      <w:r>
        <w:rPr>
          <w:noProof/>
        </w:rPr>
        <w:t>Methodology</w:t>
      </w:r>
      <w:r>
        <w:rPr>
          <w:noProof/>
        </w:rPr>
        <w:tab/>
      </w:r>
      <w:r>
        <w:rPr>
          <w:noProof/>
        </w:rPr>
        <w:fldChar w:fldCharType="begin"/>
      </w:r>
      <w:r>
        <w:rPr>
          <w:noProof/>
        </w:rPr>
        <w:instrText xml:space="preserve"> PAGEREF _Toc230099056 \h </w:instrText>
      </w:r>
      <w:r>
        <w:rPr>
          <w:noProof/>
        </w:rPr>
      </w:r>
      <w:r>
        <w:rPr>
          <w:noProof/>
        </w:rPr>
        <w:fldChar w:fldCharType="separate"/>
      </w:r>
      <w:r w:rsidR="009221BF">
        <w:rPr>
          <w:noProof/>
        </w:rPr>
        <w:t>26</w:t>
      </w:r>
      <w:r>
        <w:rPr>
          <w:noProof/>
        </w:rPr>
        <w:fldChar w:fldCharType="end"/>
      </w:r>
    </w:p>
    <w:p w14:paraId="55EC9F15" w14:textId="245E383E"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2.4.3</w:t>
      </w:r>
      <w:r>
        <w:rPr>
          <w:rFonts w:eastAsiaTheme="minorEastAsia" w:cstheme="minorBidi"/>
          <w:i w:val="0"/>
          <w:smallCaps w:val="0"/>
          <w:snapToGrid/>
          <w:color w:val="auto"/>
          <w:kern w:val="2"/>
          <w:sz w:val="24"/>
          <w:szCs w:val="24"/>
          <w:lang w:eastAsia="en-GB"/>
          <w14:ligatures w14:val="standardContextual"/>
        </w:rPr>
        <w:tab/>
      </w:r>
      <w:r>
        <w:rPr>
          <w:noProof/>
        </w:rPr>
        <w:t>Scenarios for 15 non-LVC parties</w:t>
      </w:r>
      <w:r>
        <w:rPr>
          <w:noProof/>
        </w:rPr>
        <w:tab/>
      </w:r>
      <w:r>
        <w:rPr>
          <w:noProof/>
        </w:rPr>
        <w:fldChar w:fldCharType="begin"/>
      </w:r>
      <w:r>
        <w:rPr>
          <w:noProof/>
        </w:rPr>
        <w:instrText xml:space="preserve"> PAGEREF _Toc230099057 \h </w:instrText>
      </w:r>
      <w:r>
        <w:rPr>
          <w:noProof/>
        </w:rPr>
      </w:r>
      <w:r>
        <w:rPr>
          <w:noProof/>
        </w:rPr>
        <w:fldChar w:fldCharType="separate"/>
      </w:r>
      <w:r w:rsidR="009221BF">
        <w:rPr>
          <w:noProof/>
        </w:rPr>
        <w:t>27</w:t>
      </w:r>
      <w:r>
        <w:rPr>
          <w:noProof/>
        </w:rPr>
        <w:fldChar w:fldCharType="end"/>
      </w:r>
    </w:p>
    <w:p w14:paraId="719FBF51" w14:textId="1C60608B"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2.4.4</w:t>
      </w:r>
      <w:r>
        <w:rPr>
          <w:rFonts w:eastAsiaTheme="minorEastAsia" w:cstheme="minorBidi"/>
          <w:i w:val="0"/>
          <w:smallCaps w:val="0"/>
          <w:snapToGrid/>
          <w:color w:val="auto"/>
          <w:kern w:val="2"/>
          <w:sz w:val="24"/>
          <w:szCs w:val="24"/>
          <w:lang w:eastAsia="en-GB"/>
          <w14:ligatures w14:val="standardContextual"/>
        </w:rPr>
        <w:tab/>
      </w:r>
      <w:r>
        <w:rPr>
          <w:noProof/>
        </w:rPr>
        <w:t>Estimated funding for 10 LVC parties</w:t>
      </w:r>
      <w:r>
        <w:rPr>
          <w:noProof/>
        </w:rPr>
        <w:tab/>
      </w:r>
      <w:r>
        <w:rPr>
          <w:noProof/>
        </w:rPr>
        <w:fldChar w:fldCharType="begin"/>
      </w:r>
      <w:r>
        <w:rPr>
          <w:noProof/>
        </w:rPr>
        <w:instrText xml:space="preserve"> PAGEREF _Toc230099058 \h </w:instrText>
      </w:r>
      <w:r>
        <w:rPr>
          <w:noProof/>
        </w:rPr>
      </w:r>
      <w:r>
        <w:rPr>
          <w:noProof/>
        </w:rPr>
        <w:fldChar w:fldCharType="separate"/>
      </w:r>
      <w:r w:rsidR="009221BF">
        <w:rPr>
          <w:noProof/>
        </w:rPr>
        <w:t>29</w:t>
      </w:r>
      <w:r>
        <w:rPr>
          <w:noProof/>
        </w:rPr>
        <w:fldChar w:fldCharType="end"/>
      </w:r>
    </w:p>
    <w:p w14:paraId="187B8CB3" w14:textId="015F9154"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2.4.5</w:t>
      </w:r>
      <w:r>
        <w:rPr>
          <w:rFonts w:eastAsiaTheme="minorEastAsia" w:cstheme="minorBidi"/>
          <w:i w:val="0"/>
          <w:smallCaps w:val="0"/>
          <w:snapToGrid/>
          <w:color w:val="auto"/>
          <w:kern w:val="2"/>
          <w:sz w:val="24"/>
          <w:szCs w:val="24"/>
          <w:lang w:eastAsia="en-GB"/>
          <w14:ligatures w14:val="standardContextual"/>
        </w:rPr>
        <w:tab/>
      </w:r>
      <w:r>
        <w:rPr>
          <w:noProof/>
        </w:rPr>
        <w:t>Total estimated funding for remaining phase-out in the consumption sector</w:t>
      </w:r>
      <w:r>
        <w:rPr>
          <w:noProof/>
        </w:rPr>
        <w:tab/>
      </w:r>
      <w:r>
        <w:rPr>
          <w:noProof/>
        </w:rPr>
        <w:fldChar w:fldCharType="begin"/>
      </w:r>
      <w:r>
        <w:rPr>
          <w:noProof/>
        </w:rPr>
        <w:instrText xml:space="preserve"> PAGEREF _Toc230099059 \h </w:instrText>
      </w:r>
      <w:r>
        <w:rPr>
          <w:noProof/>
        </w:rPr>
      </w:r>
      <w:r>
        <w:rPr>
          <w:noProof/>
        </w:rPr>
        <w:fldChar w:fldCharType="separate"/>
      </w:r>
      <w:r w:rsidR="009221BF">
        <w:rPr>
          <w:noProof/>
        </w:rPr>
        <w:t>29</w:t>
      </w:r>
      <w:r>
        <w:rPr>
          <w:noProof/>
        </w:rPr>
        <w:fldChar w:fldCharType="end"/>
      </w:r>
    </w:p>
    <w:p w14:paraId="56D175AF" w14:textId="04B02710"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2.5</w:t>
      </w:r>
      <w:r>
        <w:rPr>
          <w:rFonts w:eastAsiaTheme="minorEastAsia" w:cstheme="minorBidi"/>
          <w:b w:val="0"/>
          <w:smallCaps w:val="0"/>
          <w:color w:val="auto"/>
          <w:kern w:val="2"/>
          <w:sz w:val="24"/>
          <w:szCs w:val="24"/>
          <w:lang w:eastAsia="en-GB"/>
          <w14:ligatures w14:val="standardContextual"/>
        </w:rPr>
        <w:tab/>
      </w:r>
      <w:r>
        <w:rPr>
          <w:noProof/>
        </w:rPr>
        <w:t>Verification</w:t>
      </w:r>
      <w:r>
        <w:rPr>
          <w:noProof/>
        </w:rPr>
        <w:tab/>
      </w:r>
      <w:r>
        <w:rPr>
          <w:noProof/>
        </w:rPr>
        <w:fldChar w:fldCharType="begin"/>
      </w:r>
      <w:r>
        <w:rPr>
          <w:noProof/>
        </w:rPr>
        <w:instrText xml:space="preserve"> PAGEREF _Toc230099060 \h </w:instrText>
      </w:r>
      <w:r>
        <w:rPr>
          <w:noProof/>
        </w:rPr>
      </w:r>
      <w:r>
        <w:rPr>
          <w:noProof/>
        </w:rPr>
        <w:fldChar w:fldCharType="separate"/>
      </w:r>
      <w:r w:rsidR="009221BF">
        <w:rPr>
          <w:noProof/>
        </w:rPr>
        <w:t>30</w:t>
      </w:r>
      <w:r>
        <w:rPr>
          <w:noProof/>
        </w:rPr>
        <w:fldChar w:fldCharType="end"/>
      </w:r>
    </w:p>
    <w:p w14:paraId="3C9C9F6E" w14:textId="02830FA0"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2.6</w:t>
      </w:r>
      <w:r>
        <w:rPr>
          <w:rFonts w:eastAsiaTheme="minorEastAsia" w:cstheme="minorBidi"/>
          <w:b w:val="0"/>
          <w:smallCaps w:val="0"/>
          <w:color w:val="auto"/>
          <w:kern w:val="2"/>
          <w:sz w:val="24"/>
          <w:szCs w:val="24"/>
          <w:lang w:eastAsia="en-GB"/>
          <w14:ligatures w14:val="standardContextual"/>
        </w:rPr>
        <w:tab/>
      </w:r>
      <w:r>
        <w:rPr>
          <w:noProof/>
        </w:rPr>
        <w:t>Project preparation</w:t>
      </w:r>
      <w:r>
        <w:rPr>
          <w:noProof/>
        </w:rPr>
        <w:tab/>
      </w:r>
      <w:r>
        <w:rPr>
          <w:noProof/>
        </w:rPr>
        <w:fldChar w:fldCharType="begin"/>
      </w:r>
      <w:r>
        <w:rPr>
          <w:noProof/>
        </w:rPr>
        <w:instrText xml:space="preserve"> PAGEREF _Toc230099061 \h </w:instrText>
      </w:r>
      <w:r>
        <w:rPr>
          <w:noProof/>
        </w:rPr>
      </w:r>
      <w:r>
        <w:rPr>
          <w:noProof/>
        </w:rPr>
        <w:fldChar w:fldCharType="separate"/>
      </w:r>
      <w:r w:rsidR="009221BF">
        <w:rPr>
          <w:noProof/>
        </w:rPr>
        <w:t>31</w:t>
      </w:r>
      <w:r>
        <w:rPr>
          <w:noProof/>
        </w:rPr>
        <w:fldChar w:fldCharType="end"/>
      </w:r>
    </w:p>
    <w:p w14:paraId="5F9D052B" w14:textId="568E7511"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2.7</w:t>
      </w:r>
      <w:r>
        <w:rPr>
          <w:rFonts w:eastAsiaTheme="minorEastAsia" w:cstheme="minorBidi"/>
          <w:b w:val="0"/>
          <w:smallCaps w:val="0"/>
          <w:color w:val="auto"/>
          <w:kern w:val="2"/>
          <w:sz w:val="24"/>
          <w:szCs w:val="24"/>
          <w:lang w:eastAsia="en-GB"/>
          <w14:ligatures w14:val="standardContextual"/>
        </w:rPr>
        <w:tab/>
      </w:r>
      <w:r>
        <w:rPr>
          <w:noProof/>
        </w:rPr>
        <w:t>Energy Efficiency (Decision 89/6)</w:t>
      </w:r>
      <w:r>
        <w:rPr>
          <w:noProof/>
        </w:rPr>
        <w:tab/>
      </w:r>
      <w:r>
        <w:rPr>
          <w:noProof/>
        </w:rPr>
        <w:fldChar w:fldCharType="begin"/>
      </w:r>
      <w:r>
        <w:rPr>
          <w:noProof/>
        </w:rPr>
        <w:instrText xml:space="preserve"> PAGEREF _Toc230099062 \h </w:instrText>
      </w:r>
      <w:r>
        <w:rPr>
          <w:noProof/>
        </w:rPr>
      </w:r>
      <w:r>
        <w:rPr>
          <w:noProof/>
        </w:rPr>
        <w:fldChar w:fldCharType="separate"/>
      </w:r>
      <w:r w:rsidR="009221BF">
        <w:rPr>
          <w:noProof/>
        </w:rPr>
        <w:t>31</w:t>
      </w:r>
      <w:r>
        <w:rPr>
          <w:noProof/>
        </w:rPr>
        <w:fldChar w:fldCharType="end"/>
      </w:r>
    </w:p>
    <w:p w14:paraId="25DC2408" w14:textId="2518A0BB"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2.8</w:t>
      </w:r>
      <w:r>
        <w:rPr>
          <w:rFonts w:eastAsiaTheme="minorEastAsia" w:cstheme="minorBidi"/>
          <w:b w:val="0"/>
          <w:smallCaps w:val="0"/>
          <w:color w:val="auto"/>
          <w:kern w:val="2"/>
          <w:sz w:val="24"/>
          <w:szCs w:val="24"/>
          <w:lang w:eastAsia="en-GB"/>
          <w14:ligatures w14:val="standardContextual"/>
        </w:rPr>
        <w:tab/>
      </w:r>
      <w:r>
        <w:rPr>
          <w:noProof/>
        </w:rPr>
        <w:t>Resource Allocation Proposals for HCFC Funding Estimates in 2027-2029 and 2030-2032</w:t>
      </w:r>
      <w:r>
        <w:rPr>
          <w:noProof/>
        </w:rPr>
        <w:tab/>
      </w:r>
      <w:r>
        <w:rPr>
          <w:noProof/>
        </w:rPr>
        <w:fldChar w:fldCharType="begin"/>
      </w:r>
      <w:r>
        <w:rPr>
          <w:noProof/>
        </w:rPr>
        <w:instrText xml:space="preserve"> PAGEREF _Toc230099063 \h </w:instrText>
      </w:r>
      <w:r>
        <w:rPr>
          <w:noProof/>
        </w:rPr>
      </w:r>
      <w:r>
        <w:rPr>
          <w:noProof/>
        </w:rPr>
        <w:fldChar w:fldCharType="separate"/>
      </w:r>
      <w:r w:rsidR="009221BF">
        <w:rPr>
          <w:noProof/>
        </w:rPr>
        <w:t>31</w:t>
      </w:r>
      <w:r>
        <w:rPr>
          <w:noProof/>
        </w:rPr>
        <w:fldChar w:fldCharType="end"/>
      </w:r>
    </w:p>
    <w:p w14:paraId="095EFF7B" w14:textId="37682E0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2.9</w:t>
      </w:r>
      <w:r>
        <w:rPr>
          <w:rFonts w:eastAsiaTheme="minorEastAsia" w:cstheme="minorBidi"/>
          <w:b w:val="0"/>
          <w:smallCaps w:val="0"/>
          <w:color w:val="auto"/>
          <w:kern w:val="2"/>
          <w:sz w:val="24"/>
          <w:szCs w:val="24"/>
          <w:lang w:eastAsia="en-GB"/>
          <w14:ligatures w14:val="standardContextual"/>
        </w:rPr>
        <w:tab/>
      </w:r>
      <w:r>
        <w:rPr>
          <w:noProof/>
        </w:rPr>
        <w:t>Estimated Funding Requirement for the HCFC Production Sector</w:t>
      </w:r>
      <w:r>
        <w:rPr>
          <w:noProof/>
        </w:rPr>
        <w:tab/>
      </w:r>
      <w:r>
        <w:rPr>
          <w:noProof/>
        </w:rPr>
        <w:fldChar w:fldCharType="begin"/>
      </w:r>
      <w:r>
        <w:rPr>
          <w:noProof/>
        </w:rPr>
        <w:instrText xml:space="preserve"> PAGEREF _Toc230099064 \h </w:instrText>
      </w:r>
      <w:r>
        <w:rPr>
          <w:noProof/>
        </w:rPr>
      </w:r>
      <w:r>
        <w:rPr>
          <w:noProof/>
        </w:rPr>
        <w:fldChar w:fldCharType="separate"/>
      </w:r>
      <w:r w:rsidR="009221BF">
        <w:rPr>
          <w:noProof/>
        </w:rPr>
        <w:t>33</w:t>
      </w:r>
      <w:r>
        <w:rPr>
          <w:noProof/>
        </w:rPr>
        <w:fldChar w:fldCharType="end"/>
      </w:r>
    </w:p>
    <w:p w14:paraId="1C7BCA7B" w14:textId="5F785561"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2.9.1</w:t>
      </w:r>
      <w:r>
        <w:rPr>
          <w:rFonts w:eastAsiaTheme="minorEastAsia" w:cstheme="minorBidi"/>
          <w:i w:val="0"/>
          <w:smallCaps w:val="0"/>
          <w:snapToGrid/>
          <w:color w:val="auto"/>
          <w:kern w:val="2"/>
          <w:sz w:val="24"/>
          <w:szCs w:val="24"/>
          <w:lang w:eastAsia="en-GB"/>
          <w14:ligatures w14:val="standardContextual"/>
        </w:rPr>
        <w:tab/>
      </w:r>
      <w:r>
        <w:rPr>
          <w:noProof/>
        </w:rPr>
        <w:t>Status overview of the HCFC production sector</w:t>
      </w:r>
      <w:r>
        <w:rPr>
          <w:noProof/>
        </w:rPr>
        <w:tab/>
      </w:r>
      <w:r>
        <w:rPr>
          <w:noProof/>
        </w:rPr>
        <w:fldChar w:fldCharType="begin"/>
      </w:r>
      <w:r>
        <w:rPr>
          <w:noProof/>
        </w:rPr>
        <w:instrText xml:space="preserve"> PAGEREF _Toc230099065 \h </w:instrText>
      </w:r>
      <w:r>
        <w:rPr>
          <w:noProof/>
        </w:rPr>
      </w:r>
      <w:r>
        <w:rPr>
          <w:noProof/>
        </w:rPr>
        <w:fldChar w:fldCharType="separate"/>
      </w:r>
      <w:r w:rsidR="009221BF">
        <w:rPr>
          <w:noProof/>
        </w:rPr>
        <w:t>33</w:t>
      </w:r>
      <w:r>
        <w:rPr>
          <w:noProof/>
        </w:rPr>
        <w:fldChar w:fldCharType="end"/>
      </w:r>
    </w:p>
    <w:p w14:paraId="54139E62" w14:textId="3CF8F90A"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lastRenderedPageBreak/>
        <w:t>2.9.2</w:t>
      </w:r>
      <w:r>
        <w:rPr>
          <w:rFonts w:eastAsiaTheme="minorEastAsia" w:cstheme="minorBidi"/>
          <w:i w:val="0"/>
          <w:smallCaps w:val="0"/>
          <w:snapToGrid/>
          <w:color w:val="auto"/>
          <w:kern w:val="2"/>
          <w:sz w:val="24"/>
          <w:szCs w:val="24"/>
          <w:lang w:eastAsia="en-GB"/>
          <w14:ligatures w14:val="standardContextual"/>
        </w:rPr>
        <w:tab/>
      </w:r>
      <w:r>
        <w:rPr>
          <w:noProof/>
        </w:rPr>
        <w:t>HCFC Production Phase-out Management Plans (HPPMPs)</w:t>
      </w:r>
      <w:r>
        <w:rPr>
          <w:noProof/>
        </w:rPr>
        <w:tab/>
      </w:r>
      <w:r>
        <w:rPr>
          <w:noProof/>
        </w:rPr>
        <w:fldChar w:fldCharType="begin"/>
      </w:r>
      <w:r>
        <w:rPr>
          <w:noProof/>
        </w:rPr>
        <w:instrText xml:space="preserve"> PAGEREF _Toc230099066 \h </w:instrText>
      </w:r>
      <w:r>
        <w:rPr>
          <w:noProof/>
        </w:rPr>
      </w:r>
      <w:r>
        <w:rPr>
          <w:noProof/>
        </w:rPr>
        <w:fldChar w:fldCharType="separate"/>
      </w:r>
      <w:r w:rsidR="009221BF">
        <w:rPr>
          <w:noProof/>
        </w:rPr>
        <w:t>35</w:t>
      </w:r>
      <w:r>
        <w:rPr>
          <w:noProof/>
        </w:rPr>
        <w:fldChar w:fldCharType="end"/>
      </w:r>
    </w:p>
    <w:p w14:paraId="0FAFFD4E" w14:textId="077702A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2.9.3</w:t>
      </w:r>
      <w:r>
        <w:rPr>
          <w:rFonts w:eastAsiaTheme="minorEastAsia" w:cstheme="minorBidi"/>
          <w:i w:val="0"/>
          <w:smallCaps w:val="0"/>
          <w:snapToGrid/>
          <w:color w:val="auto"/>
          <w:kern w:val="2"/>
          <w:sz w:val="24"/>
          <w:szCs w:val="24"/>
          <w:lang w:eastAsia="en-GB"/>
          <w14:ligatures w14:val="standardContextual"/>
        </w:rPr>
        <w:tab/>
      </w:r>
      <w:r>
        <w:rPr>
          <w:noProof/>
        </w:rPr>
        <w:t>Total estimated funding requirement for the HCFC production sector (2027-2029)</w:t>
      </w:r>
      <w:r>
        <w:rPr>
          <w:noProof/>
        </w:rPr>
        <w:tab/>
      </w:r>
      <w:r>
        <w:rPr>
          <w:noProof/>
        </w:rPr>
        <w:fldChar w:fldCharType="begin"/>
      </w:r>
      <w:r>
        <w:rPr>
          <w:noProof/>
        </w:rPr>
        <w:instrText xml:space="preserve"> PAGEREF _Toc230099067 \h </w:instrText>
      </w:r>
      <w:r>
        <w:rPr>
          <w:noProof/>
        </w:rPr>
      </w:r>
      <w:r>
        <w:rPr>
          <w:noProof/>
        </w:rPr>
        <w:fldChar w:fldCharType="separate"/>
      </w:r>
      <w:r w:rsidR="009221BF">
        <w:rPr>
          <w:noProof/>
        </w:rPr>
        <w:t>35</w:t>
      </w:r>
      <w:r>
        <w:rPr>
          <w:noProof/>
        </w:rPr>
        <w:fldChar w:fldCharType="end"/>
      </w:r>
    </w:p>
    <w:p w14:paraId="6D955BCB" w14:textId="43A1B6EA"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2.10</w:t>
      </w:r>
      <w:r>
        <w:rPr>
          <w:rFonts w:eastAsiaTheme="minorEastAsia" w:cstheme="minorBidi"/>
          <w:b w:val="0"/>
          <w:smallCaps w:val="0"/>
          <w:color w:val="auto"/>
          <w:kern w:val="2"/>
          <w:sz w:val="24"/>
          <w:szCs w:val="24"/>
          <w:lang w:eastAsia="en-GB"/>
          <w14:ligatures w14:val="standardContextual"/>
        </w:rPr>
        <w:tab/>
      </w:r>
      <w:r>
        <w:rPr>
          <w:noProof/>
        </w:rPr>
        <w:t xml:space="preserve">Summary of estimated total HCFC funding requirement for the 2027-2029 triennium and future triennia </w:t>
      </w:r>
      <w:r>
        <w:rPr>
          <w:noProof/>
        </w:rPr>
        <w:tab/>
      </w:r>
      <w:r>
        <w:rPr>
          <w:noProof/>
        </w:rPr>
        <w:fldChar w:fldCharType="begin"/>
      </w:r>
      <w:r>
        <w:rPr>
          <w:noProof/>
        </w:rPr>
        <w:instrText xml:space="preserve"> PAGEREF _Toc230099068 \h </w:instrText>
      </w:r>
      <w:r>
        <w:rPr>
          <w:noProof/>
        </w:rPr>
      </w:r>
      <w:r>
        <w:rPr>
          <w:noProof/>
        </w:rPr>
        <w:fldChar w:fldCharType="separate"/>
      </w:r>
      <w:r w:rsidR="009221BF">
        <w:rPr>
          <w:noProof/>
        </w:rPr>
        <w:t>36</w:t>
      </w:r>
      <w:r>
        <w:rPr>
          <w:noProof/>
        </w:rPr>
        <w:fldChar w:fldCharType="end"/>
      </w:r>
    </w:p>
    <w:p w14:paraId="15EF7F5F" w14:textId="5DCFD3B6" w:rsidR="00442791" w:rsidRDefault="00442791" w:rsidP="000A5309">
      <w:pPr>
        <w:pStyle w:val="TOC1"/>
        <w:rPr>
          <w:rFonts w:eastAsiaTheme="minorEastAsia" w:cstheme="minorBidi"/>
          <w:color w:val="auto"/>
          <w:kern w:val="2"/>
          <w:sz w:val="24"/>
          <w:szCs w:val="24"/>
          <w:lang w:eastAsia="en-GB"/>
          <w14:ligatures w14:val="standardContextual"/>
        </w:rPr>
      </w:pPr>
      <w:r w:rsidRPr="00347B4E">
        <w:rPr>
          <w:rFonts w:eastAsia="SimSun"/>
          <w:noProof/>
        </w:rPr>
        <w:t>3.</w:t>
      </w:r>
      <w:r>
        <w:rPr>
          <w:rFonts w:eastAsiaTheme="minorEastAsia" w:cstheme="minorBidi"/>
          <w:color w:val="auto"/>
          <w:kern w:val="2"/>
          <w:sz w:val="24"/>
          <w:szCs w:val="24"/>
          <w:lang w:eastAsia="en-GB"/>
          <w14:ligatures w14:val="standardContextual"/>
        </w:rPr>
        <w:tab/>
      </w:r>
      <w:r w:rsidRPr="00347B4E">
        <w:rPr>
          <w:rFonts w:eastAsia="SimSun"/>
          <w:noProof/>
        </w:rPr>
        <w:t>Estimated Funding Requirement for HFC Phasedown</w:t>
      </w:r>
      <w:r>
        <w:rPr>
          <w:noProof/>
        </w:rPr>
        <w:tab/>
      </w:r>
      <w:r>
        <w:rPr>
          <w:noProof/>
        </w:rPr>
        <w:fldChar w:fldCharType="begin"/>
      </w:r>
      <w:r>
        <w:rPr>
          <w:noProof/>
        </w:rPr>
        <w:instrText xml:space="preserve"> PAGEREF _Toc230099069 \h </w:instrText>
      </w:r>
      <w:r>
        <w:rPr>
          <w:noProof/>
        </w:rPr>
      </w:r>
      <w:r>
        <w:rPr>
          <w:noProof/>
        </w:rPr>
        <w:fldChar w:fldCharType="separate"/>
      </w:r>
      <w:r w:rsidR="009221BF">
        <w:rPr>
          <w:noProof/>
        </w:rPr>
        <w:t>37</w:t>
      </w:r>
      <w:r>
        <w:rPr>
          <w:noProof/>
        </w:rPr>
        <w:fldChar w:fldCharType="end"/>
      </w:r>
    </w:p>
    <w:p w14:paraId="1FF62679" w14:textId="74CD8E95" w:rsidR="00442791" w:rsidRDefault="00442791" w:rsidP="000A5309">
      <w:pPr>
        <w:pStyle w:val="TOC1"/>
        <w:rPr>
          <w:rFonts w:eastAsiaTheme="minorEastAsia" w:cstheme="minorBidi"/>
          <w:color w:val="auto"/>
          <w:kern w:val="2"/>
          <w:sz w:val="24"/>
          <w:szCs w:val="24"/>
          <w:lang w:eastAsia="en-GB"/>
          <w14:ligatures w14:val="standardContextual"/>
        </w:rPr>
      </w:pPr>
      <w:r>
        <w:rPr>
          <w:noProof/>
        </w:rPr>
        <w:t>3.1</w:t>
      </w:r>
      <w:r>
        <w:rPr>
          <w:rFonts w:eastAsiaTheme="minorEastAsia" w:cstheme="minorBidi"/>
          <w:color w:val="auto"/>
          <w:kern w:val="2"/>
          <w:sz w:val="24"/>
          <w:szCs w:val="24"/>
          <w:lang w:eastAsia="en-GB"/>
          <w14:ligatures w14:val="standardContextual"/>
        </w:rPr>
        <w:tab/>
      </w:r>
      <w:r>
        <w:rPr>
          <w:noProof/>
        </w:rPr>
        <w:t>Background: HFC phase-down</w:t>
      </w:r>
      <w:r>
        <w:rPr>
          <w:noProof/>
        </w:rPr>
        <w:tab/>
      </w:r>
      <w:r>
        <w:rPr>
          <w:noProof/>
        </w:rPr>
        <w:fldChar w:fldCharType="begin"/>
      </w:r>
      <w:r>
        <w:rPr>
          <w:noProof/>
        </w:rPr>
        <w:instrText xml:space="preserve"> PAGEREF _Toc230099070 \h </w:instrText>
      </w:r>
      <w:r>
        <w:rPr>
          <w:noProof/>
        </w:rPr>
      </w:r>
      <w:r>
        <w:rPr>
          <w:noProof/>
        </w:rPr>
        <w:fldChar w:fldCharType="separate"/>
      </w:r>
      <w:r w:rsidR="009221BF">
        <w:rPr>
          <w:noProof/>
        </w:rPr>
        <w:t>37</w:t>
      </w:r>
      <w:r>
        <w:rPr>
          <w:noProof/>
        </w:rPr>
        <w:fldChar w:fldCharType="end"/>
      </w:r>
    </w:p>
    <w:p w14:paraId="412EA3F5" w14:textId="1CD5A552"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3.1.1</w:t>
      </w:r>
      <w:r>
        <w:rPr>
          <w:rFonts w:eastAsiaTheme="minorEastAsia" w:cstheme="minorBidi"/>
          <w:i w:val="0"/>
          <w:smallCaps w:val="0"/>
          <w:snapToGrid/>
          <w:color w:val="auto"/>
          <w:kern w:val="2"/>
          <w:sz w:val="24"/>
          <w:szCs w:val="24"/>
          <w:lang w:eastAsia="en-GB"/>
          <w14:ligatures w14:val="standardContextual"/>
        </w:rPr>
        <w:tab/>
      </w:r>
      <w:r>
        <w:rPr>
          <w:noProof/>
        </w:rPr>
        <w:t>Status of Ratification</w:t>
      </w:r>
      <w:r>
        <w:rPr>
          <w:noProof/>
        </w:rPr>
        <w:tab/>
      </w:r>
      <w:r>
        <w:rPr>
          <w:noProof/>
        </w:rPr>
        <w:fldChar w:fldCharType="begin"/>
      </w:r>
      <w:r>
        <w:rPr>
          <w:noProof/>
        </w:rPr>
        <w:instrText xml:space="preserve"> PAGEREF _Toc230099071 \h </w:instrText>
      </w:r>
      <w:r>
        <w:rPr>
          <w:noProof/>
        </w:rPr>
      </w:r>
      <w:r>
        <w:rPr>
          <w:noProof/>
        </w:rPr>
        <w:fldChar w:fldCharType="separate"/>
      </w:r>
      <w:r w:rsidR="009221BF">
        <w:rPr>
          <w:noProof/>
        </w:rPr>
        <w:t>37</w:t>
      </w:r>
      <w:r>
        <w:rPr>
          <w:noProof/>
        </w:rPr>
        <w:fldChar w:fldCharType="end"/>
      </w:r>
    </w:p>
    <w:p w14:paraId="3554CA17" w14:textId="245680B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3.1.2</w:t>
      </w:r>
      <w:r>
        <w:rPr>
          <w:rFonts w:eastAsiaTheme="minorEastAsia" w:cstheme="minorBidi"/>
          <w:i w:val="0"/>
          <w:smallCaps w:val="0"/>
          <w:snapToGrid/>
          <w:color w:val="auto"/>
          <w:kern w:val="2"/>
          <w:sz w:val="24"/>
          <w:szCs w:val="24"/>
          <w:lang w:eastAsia="en-GB"/>
          <w14:ligatures w14:val="standardContextual"/>
        </w:rPr>
        <w:tab/>
      </w:r>
      <w:r>
        <w:rPr>
          <w:noProof/>
        </w:rPr>
        <w:t>Kigali HFC Implementation Plans (KIPs)</w:t>
      </w:r>
      <w:r>
        <w:rPr>
          <w:noProof/>
        </w:rPr>
        <w:tab/>
      </w:r>
      <w:r>
        <w:rPr>
          <w:noProof/>
        </w:rPr>
        <w:fldChar w:fldCharType="begin"/>
      </w:r>
      <w:r>
        <w:rPr>
          <w:noProof/>
        </w:rPr>
        <w:instrText xml:space="preserve"> PAGEREF _Toc230099072 \h </w:instrText>
      </w:r>
      <w:r>
        <w:rPr>
          <w:noProof/>
        </w:rPr>
      </w:r>
      <w:r>
        <w:rPr>
          <w:noProof/>
        </w:rPr>
        <w:fldChar w:fldCharType="separate"/>
      </w:r>
      <w:r w:rsidR="009221BF">
        <w:rPr>
          <w:noProof/>
        </w:rPr>
        <w:t>38</w:t>
      </w:r>
      <w:r>
        <w:rPr>
          <w:noProof/>
        </w:rPr>
        <w:fldChar w:fldCharType="end"/>
      </w:r>
    </w:p>
    <w:p w14:paraId="10D9B744" w14:textId="4DEF5809"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3.1.3</w:t>
      </w:r>
      <w:r>
        <w:rPr>
          <w:rFonts w:eastAsiaTheme="minorEastAsia" w:cstheme="minorBidi"/>
          <w:i w:val="0"/>
          <w:smallCaps w:val="0"/>
          <w:snapToGrid/>
          <w:color w:val="auto"/>
          <w:kern w:val="2"/>
          <w:sz w:val="24"/>
          <w:szCs w:val="24"/>
          <w:lang w:eastAsia="en-GB"/>
          <w14:ligatures w14:val="standardContextual"/>
        </w:rPr>
        <w:tab/>
      </w:r>
      <w:r>
        <w:rPr>
          <w:noProof/>
        </w:rPr>
        <w:t>Cost Guidelines</w:t>
      </w:r>
      <w:r>
        <w:rPr>
          <w:noProof/>
        </w:rPr>
        <w:tab/>
      </w:r>
      <w:r>
        <w:rPr>
          <w:noProof/>
        </w:rPr>
        <w:fldChar w:fldCharType="begin"/>
      </w:r>
      <w:r>
        <w:rPr>
          <w:noProof/>
        </w:rPr>
        <w:instrText xml:space="preserve"> PAGEREF _Toc230099073 \h </w:instrText>
      </w:r>
      <w:r>
        <w:rPr>
          <w:noProof/>
        </w:rPr>
      </w:r>
      <w:r>
        <w:rPr>
          <w:noProof/>
        </w:rPr>
        <w:fldChar w:fldCharType="separate"/>
      </w:r>
      <w:r w:rsidR="009221BF">
        <w:rPr>
          <w:noProof/>
        </w:rPr>
        <w:t>38</w:t>
      </w:r>
      <w:r>
        <w:rPr>
          <w:noProof/>
        </w:rPr>
        <w:fldChar w:fldCharType="end"/>
      </w:r>
    </w:p>
    <w:p w14:paraId="0B585631" w14:textId="16BB4DD7"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3.1.3</w:t>
      </w:r>
      <w:r>
        <w:rPr>
          <w:rFonts w:eastAsiaTheme="minorEastAsia" w:cstheme="minorBidi"/>
          <w:i w:val="0"/>
          <w:smallCaps w:val="0"/>
          <w:snapToGrid/>
          <w:color w:val="auto"/>
          <w:kern w:val="2"/>
          <w:sz w:val="24"/>
          <w:szCs w:val="24"/>
          <w:lang w:eastAsia="en-GB"/>
          <w14:ligatures w14:val="standardContextual"/>
        </w:rPr>
        <w:tab/>
      </w:r>
      <w:r>
        <w:rPr>
          <w:noProof/>
        </w:rPr>
        <w:t>2026 Status overview of the HFC consumption sector</w:t>
      </w:r>
      <w:r>
        <w:rPr>
          <w:noProof/>
        </w:rPr>
        <w:tab/>
      </w:r>
      <w:r>
        <w:rPr>
          <w:noProof/>
        </w:rPr>
        <w:fldChar w:fldCharType="begin"/>
      </w:r>
      <w:r>
        <w:rPr>
          <w:noProof/>
        </w:rPr>
        <w:instrText xml:space="preserve"> PAGEREF _Toc230099074 \h </w:instrText>
      </w:r>
      <w:r>
        <w:rPr>
          <w:noProof/>
        </w:rPr>
      </w:r>
      <w:r>
        <w:rPr>
          <w:noProof/>
        </w:rPr>
        <w:fldChar w:fldCharType="separate"/>
      </w:r>
      <w:r w:rsidR="009221BF">
        <w:rPr>
          <w:noProof/>
        </w:rPr>
        <w:t>38</w:t>
      </w:r>
      <w:r>
        <w:rPr>
          <w:noProof/>
        </w:rPr>
        <w:fldChar w:fldCharType="end"/>
      </w:r>
    </w:p>
    <w:p w14:paraId="56EF48E7" w14:textId="39F131C9"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3.2</w:t>
      </w:r>
      <w:r>
        <w:rPr>
          <w:rFonts w:eastAsiaTheme="minorEastAsia" w:cstheme="minorBidi"/>
          <w:b w:val="0"/>
          <w:smallCaps w:val="0"/>
          <w:color w:val="auto"/>
          <w:kern w:val="2"/>
          <w:sz w:val="24"/>
          <w:szCs w:val="24"/>
          <w:lang w:eastAsia="en-GB"/>
          <w14:ligatures w14:val="standardContextual"/>
        </w:rPr>
        <w:tab/>
      </w:r>
      <w:r>
        <w:rPr>
          <w:noProof/>
        </w:rPr>
        <w:t>Overview of HFC funding requirement</w:t>
      </w:r>
      <w:r>
        <w:rPr>
          <w:noProof/>
        </w:rPr>
        <w:tab/>
      </w:r>
      <w:r>
        <w:rPr>
          <w:noProof/>
        </w:rPr>
        <w:fldChar w:fldCharType="begin"/>
      </w:r>
      <w:r>
        <w:rPr>
          <w:noProof/>
        </w:rPr>
        <w:instrText xml:space="preserve"> PAGEREF _Toc230099075 \h </w:instrText>
      </w:r>
      <w:r>
        <w:rPr>
          <w:noProof/>
        </w:rPr>
      </w:r>
      <w:r>
        <w:rPr>
          <w:noProof/>
        </w:rPr>
        <w:fldChar w:fldCharType="separate"/>
      </w:r>
      <w:r w:rsidR="009221BF">
        <w:rPr>
          <w:noProof/>
        </w:rPr>
        <w:t>39</w:t>
      </w:r>
      <w:r>
        <w:rPr>
          <w:noProof/>
        </w:rPr>
        <w:fldChar w:fldCharType="end"/>
      </w:r>
    </w:p>
    <w:p w14:paraId="34CC9B1D" w14:textId="75498714"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3.3</w:t>
      </w:r>
      <w:r>
        <w:rPr>
          <w:rFonts w:eastAsiaTheme="minorEastAsia" w:cstheme="minorBidi"/>
          <w:b w:val="0"/>
          <w:smallCaps w:val="0"/>
          <w:color w:val="auto"/>
          <w:kern w:val="2"/>
          <w:sz w:val="24"/>
          <w:szCs w:val="24"/>
          <w:lang w:eastAsia="en-GB"/>
          <w14:ligatures w14:val="standardContextual"/>
        </w:rPr>
        <w:tab/>
      </w:r>
      <w:r>
        <w:rPr>
          <w:noProof/>
        </w:rPr>
        <w:t>Methodology to Estimate Funding Requirements for the HFC Consumption Sector</w:t>
      </w:r>
      <w:r>
        <w:rPr>
          <w:noProof/>
        </w:rPr>
        <w:tab/>
      </w:r>
      <w:r>
        <w:rPr>
          <w:noProof/>
        </w:rPr>
        <w:fldChar w:fldCharType="begin"/>
      </w:r>
      <w:r>
        <w:rPr>
          <w:noProof/>
        </w:rPr>
        <w:instrText xml:space="preserve"> PAGEREF _Toc230099076 \h </w:instrText>
      </w:r>
      <w:r>
        <w:rPr>
          <w:noProof/>
        </w:rPr>
      </w:r>
      <w:r>
        <w:rPr>
          <w:noProof/>
        </w:rPr>
        <w:fldChar w:fldCharType="separate"/>
      </w:r>
      <w:r w:rsidR="009221BF">
        <w:rPr>
          <w:noProof/>
        </w:rPr>
        <w:t>39</w:t>
      </w:r>
      <w:r>
        <w:rPr>
          <w:noProof/>
        </w:rPr>
        <w:fldChar w:fldCharType="end"/>
      </w:r>
    </w:p>
    <w:p w14:paraId="28676F2B" w14:textId="67DDF2F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3.3.1</w:t>
      </w:r>
      <w:r>
        <w:rPr>
          <w:rFonts w:eastAsiaTheme="minorEastAsia" w:cstheme="minorBidi"/>
          <w:i w:val="0"/>
          <w:smallCaps w:val="0"/>
          <w:snapToGrid/>
          <w:color w:val="auto"/>
          <w:kern w:val="2"/>
          <w:sz w:val="24"/>
          <w:szCs w:val="24"/>
          <w:lang w:eastAsia="en-GB"/>
          <w14:ligatures w14:val="standardContextual"/>
        </w:rPr>
        <w:tab/>
      </w:r>
      <w:r>
        <w:rPr>
          <w:noProof/>
        </w:rPr>
        <w:t>HFC scenarios 1 and 2</w:t>
      </w:r>
      <w:r>
        <w:rPr>
          <w:noProof/>
        </w:rPr>
        <w:tab/>
      </w:r>
      <w:r>
        <w:rPr>
          <w:noProof/>
        </w:rPr>
        <w:fldChar w:fldCharType="begin"/>
      </w:r>
      <w:r>
        <w:rPr>
          <w:noProof/>
        </w:rPr>
        <w:instrText xml:space="preserve"> PAGEREF _Toc230099077 \h </w:instrText>
      </w:r>
      <w:r>
        <w:rPr>
          <w:noProof/>
        </w:rPr>
      </w:r>
      <w:r>
        <w:rPr>
          <w:noProof/>
        </w:rPr>
        <w:fldChar w:fldCharType="separate"/>
      </w:r>
      <w:r w:rsidR="009221BF">
        <w:rPr>
          <w:noProof/>
        </w:rPr>
        <w:t>40</w:t>
      </w:r>
      <w:r>
        <w:rPr>
          <w:noProof/>
        </w:rPr>
        <w:fldChar w:fldCharType="end"/>
      </w:r>
    </w:p>
    <w:p w14:paraId="232090FA" w14:textId="5540D428"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3.3.2</w:t>
      </w:r>
      <w:r>
        <w:rPr>
          <w:rFonts w:eastAsiaTheme="minorEastAsia" w:cstheme="minorBidi"/>
          <w:i w:val="0"/>
          <w:smallCaps w:val="0"/>
          <w:snapToGrid/>
          <w:color w:val="auto"/>
          <w:kern w:val="2"/>
          <w:sz w:val="24"/>
          <w:szCs w:val="24"/>
          <w:lang w:eastAsia="en-GB"/>
          <w14:ligatures w14:val="standardContextual"/>
        </w:rPr>
        <w:tab/>
      </w:r>
      <w:r w:rsidRPr="00347B4E">
        <w:rPr>
          <w:noProof/>
          <w:lang w:val="en-US"/>
        </w:rPr>
        <w:t>Important Considerations</w:t>
      </w:r>
      <w:r>
        <w:rPr>
          <w:noProof/>
        </w:rPr>
        <w:tab/>
      </w:r>
      <w:r>
        <w:rPr>
          <w:noProof/>
        </w:rPr>
        <w:fldChar w:fldCharType="begin"/>
      </w:r>
      <w:r>
        <w:rPr>
          <w:noProof/>
        </w:rPr>
        <w:instrText xml:space="preserve"> PAGEREF _Toc230099078 \h </w:instrText>
      </w:r>
      <w:r>
        <w:rPr>
          <w:noProof/>
        </w:rPr>
      </w:r>
      <w:r>
        <w:rPr>
          <w:noProof/>
        </w:rPr>
        <w:fldChar w:fldCharType="separate"/>
      </w:r>
      <w:r w:rsidR="009221BF">
        <w:rPr>
          <w:noProof/>
        </w:rPr>
        <w:t>41</w:t>
      </w:r>
      <w:r>
        <w:rPr>
          <w:noProof/>
        </w:rPr>
        <w:fldChar w:fldCharType="end"/>
      </w:r>
    </w:p>
    <w:p w14:paraId="33667DD2" w14:textId="36A74C17"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sidRPr="00347B4E">
        <w:rPr>
          <w:noProof/>
          <w:lang w:val="en-US"/>
        </w:rPr>
        <w:t>3.4</w:t>
      </w:r>
      <w:r>
        <w:rPr>
          <w:rFonts w:eastAsiaTheme="minorEastAsia" w:cstheme="minorBidi"/>
          <w:b w:val="0"/>
          <w:smallCaps w:val="0"/>
          <w:color w:val="auto"/>
          <w:kern w:val="2"/>
          <w:sz w:val="24"/>
          <w:szCs w:val="24"/>
          <w:lang w:eastAsia="en-GB"/>
          <w14:ligatures w14:val="standardContextual"/>
        </w:rPr>
        <w:tab/>
      </w:r>
      <w:r w:rsidRPr="00347B4E">
        <w:rPr>
          <w:noProof/>
          <w:lang w:val="en-US"/>
        </w:rPr>
        <w:t>HFC Phase-down compliance model for the consumption sector</w:t>
      </w:r>
      <w:r>
        <w:rPr>
          <w:noProof/>
        </w:rPr>
        <w:tab/>
      </w:r>
      <w:r>
        <w:rPr>
          <w:noProof/>
        </w:rPr>
        <w:fldChar w:fldCharType="begin"/>
      </w:r>
      <w:r>
        <w:rPr>
          <w:noProof/>
        </w:rPr>
        <w:instrText xml:space="preserve"> PAGEREF _Toc230099079 \h </w:instrText>
      </w:r>
      <w:r>
        <w:rPr>
          <w:noProof/>
        </w:rPr>
      </w:r>
      <w:r>
        <w:rPr>
          <w:noProof/>
        </w:rPr>
        <w:fldChar w:fldCharType="separate"/>
      </w:r>
      <w:r w:rsidR="009221BF">
        <w:rPr>
          <w:noProof/>
        </w:rPr>
        <w:t>42</w:t>
      </w:r>
      <w:r>
        <w:rPr>
          <w:noProof/>
        </w:rPr>
        <w:fldChar w:fldCharType="end"/>
      </w:r>
    </w:p>
    <w:p w14:paraId="7DF5A133" w14:textId="7799E78E"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3.4.1</w:t>
      </w:r>
      <w:r>
        <w:rPr>
          <w:rFonts w:eastAsiaTheme="minorEastAsia" w:cstheme="minorBidi"/>
          <w:i w:val="0"/>
          <w:smallCaps w:val="0"/>
          <w:snapToGrid/>
          <w:color w:val="auto"/>
          <w:kern w:val="2"/>
          <w:sz w:val="24"/>
          <w:szCs w:val="24"/>
          <w:lang w:eastAsia="en-GB"/>
          <w14:ligatures w14:val="standardContextual"/>
        </w:rPr>
        <w:tab/>
      </w:r>
      <w:r>
        <w:rPr>
          <w:noProof/>
        </w:rPr>
        <w:t>Model calculations steps</w:t>
      </w:r>
      <w:r>
        <w:rPr>
          <w:noProof/>
        </w:rPr>
        <w:tab/>
      </w:r>
      <w:r>
        <w:rPr>
          <w:noProof/>
        </w:rPr>
        <w:fldChar w:fldCharType="begin"/>
      </w:r>
      <w:r>
        <w:rPr>
          <w:noProof/>
        </w:rPr>
        <w:instrText xml:space="preserve"> PAGEREF _Toc230099080 \h </w:instrText>
      </w:r>
      <w:r>
        <w:rPr>
          <w:noProof/>
        </w:rPr>
      </w:r>
      <w:r>
        <w:rPr>
          <w:noProof/>
        </w:rPr>
        <w:fldChar w:fldCharType="separate"/>
      </w:r>
      <w:r w:rsidR="009221BF">
        <w:rPr>
          <w:noProof/>
        </w:rPr>
        <w:t>42</w:t>
      </w:r>
      <w:r>
        <w:rPr>
          <w:noProof/>
        </w:rPr>
        <w:fldChar w:fldCharType="end"/>
      </w:r>
    </w:p>
    <w:p w14:paraId="53361F68" w14:textId="6B6539C1"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3.4.2</w:t>
      </w:r>
      <w:r>
        <w:rPr>
          <w:rFonts w:eastAsiaTheme="minorEastAsia" w:cstheme="minorBidi"/>
          <w:i w:val="0"/>
          <w:smallCaps w:val="0"/>
          <w:snapToGrid/>
          <w:color w:val="auto"/>
          <w:kern w:val="2"/>
          <w:sz w:val="24"/>
          <w:szCs w:val="24"/>
          <w:lang w:eastAsia="en-GB"/>
          <w14:ligatures w14:val="standardContextual"/>
        </w:rPr>
        <w:tab/>
      </w:r>
      <w:r>
        <w:rPr>
          <w:noProof/>
        </w:rPr>
        <w:t>Filling data gaps</w:t>
      </w:r>
      <w:r>
        <w:rPr>
          <w:noProof/>
        </w:rPr>
        <w:tab/>
      </w:r>
      <w:r>
        <w:rPr>
          <w:noProof/>
        </w:rPr>
        <w:fldChar w:fldCharType="begin"/>
      </w:r>
      <w:r>
        <w:rPr>
          <w:noProof/>
        </w:rPr>
        <w:instrText xml:space="preserve"> PAGEREF _Toc230099081 \h </w:instrText>
      </w:r>
      <w:r>
        <w:rPr>
          <w:noProof/>
        </w:rPr>
      </w:r>
      <w:r>
        <w:rPr>
          <w:noProof/>
        </w:rPr>
        <w:fldChar w:fldCharType="separate"/>
      </w:r>
      <w:r w:rsidR="009221BF">
        <w:rPr>
          <w:noProof/>
        </w:rPr>
        <w:t>43</w:t>
      </w:r>
      <w:r>
        <w:rPr>
          <w:noProof/>
        </w:rPr>
        <w:fldChar w:fldCharType="end"/>
      </w:r>
    </w:p>
    <w:p w14:paraId="5E5FB89D" w14:textId="441332F8"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3.4.3</w:t>
      </w:r>
      <w:r>
        <w:rPr>
          <w:rFonts w:eastAsiaTheme="minorEastAsia" w:cstheme="minorBidi"/>
          <w:i w:val="0"/>
          <w:smallCaps w:val="0"/>
          <w:snapToGrid/>
          <w:color w:val="auto"/>
          <w:kern w:val="2"/>
          <w:sz w:val="24"/>
          <w:szCs w:val="24"/>
          <w:lang w:eastAsia="en-GB"/>
          <w14:ligatures w14:val="standardContextual"/>
        </w:rPr>
        <w:tab/>
      </w:r>
      <w:r>
        <w:rPr>
          <w:noProof/>
        </w:rPr>
        <w:t>Resource allocation schedules</w:t>
      </w:r>
      <w:r>
        <w:rPr>
          <w:noProof/>
        </w:rPr>
        <w:tab/>
      </w:r>
      <w:r>
        <w:rPr>
          <w:noProof/>
        </w:rPr>
        <w:fldChar w:fldCharType="begin"/>
      </w:r>
      <w:r>
        <w:rPr>
          <w:noProof/>
        </w:rPr>
        <w:instrText xml:space="preserve"> PAGEREF _Toc230099082 \h </w:instrText>
      </w:r>
      <w:r>
        <w:rPr>
          <w:noProof/>
        </w:rPr>
      </w:r>
      <w:r>
        <w:rPr>
          <w:noProof/>
        </w:rPr>
        <w:fldChar w:fldCharType="separate"/>
      </w:r>
      <w:r w:rsidR="009221BF">
        <w:rPr>
          <w:noProof/>
        </w:rPr>
        <w:t>44</w:t>
      </w:r>
      <w:r>
        <w:rPr>
          <w:noProof/>
        </w:rPr>
        <w:fldChar w:fldCharType="end"/>
      </w:r>
    </w:p>
    <w:p w14:paraId="193A4517" w14:textId="53153AAA"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3.4.5</w:t>
      </w:r>
      <w:r>
        <w:rPr>
          <w:rFonts w:eastAsiaTheme="minorEastAsia" w:cstheme="minorBidi"/>
          <w:i w:val="0"/>
          <w:smallCaps w:val="0"/>
          <w:snapToGrid/>
          <w:color w:val="auto"/>
          <w:kern w:val="2"/>
          <w:sz w:val="24"/>
          <w:szCs w:val="24"/>
          <w:lang w:eastAsia="en-GB"/>
          <w14:ligatures w14:val="standardContextual"/>
        </w:rPr>
        <w:tab/>
      </w:r>
      <w:r w:rsidRPr="00347B4E">
        <w:rPr>
          <w:noProof/>
          <w:lang w:val="en-US"/>
        </w:rPr>
        <w:t>HFC Scenario 1: Applying CE from cost guidelines</w:t>
      </w:r>
      <w:r>
        <w:rPr>
          <w:noProof/>
        </w:rPr>
        <w:tab/>
      </w:r>
      <w:r>
        <w:rPr>
          <w:noProof/>
        </w:rPr>
        <w:fldChar w:fldCharType="begin"/>
      </w:r>
      <w:r>
        <w:rPr>
          <w:noProof/>
        </w:rPr>
        <w:instrText xml:space="preserve"> PAGEREF _Toc230099083 \h </w:instrText>
      </w:r>
      <w:r>
        <w:rPr>
          <w:noProof/>
        </w:rPr>
      </w:r>
      <w:r>
        <w:rPr>
          <w:noProof/>
        </w:rPr>
        <w:fldChar w:fldCharType="separate"/>
      </w:r>
      <w:r w:rsidR="009221BF">
        <w:rPr>
          <w:noProof/>
        </w:rPr>
        <w:t>44</w:t>
      </w:r>
      <w:r>
        <w:rPr>
          <w:noProof/>
        </w:rPr>
        <w:fldChar w:fldCharType="end"/>
      </w:r>
    </w:p>
    <w:p w14:paraId="6B7945F7" w14:textId="55295867"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lang w:val="en-US"/>
        </w:rPr>
        <w:t>3.4.6</w:t>
      </w:r>
      <w:r>
        <w:rPr>
          <w:rFonts w:eastAsiaTheme="minorEastAsia" w:cstheme="minorBidi"/>
          <w:i w:val="0"/>
          <w:smallCaps w:val="0"/>
          <w:snapToGrid/>
          <w:color w:val="auto"/>
          <w:kern w:val="2"/>
          <w:sz w:val="24"/>
          <w:szCs w:val="24"/>
          <w:lang w:eastAsia="en-GB"/>
          <w14:ligatures w14:val="standardContextual"/>
        </w:rPr>
        <w:tab/>
      </w:r>
      <w:r>
        <w:rPr>
          <w:noProof/>
        </w:rPr>
        <w:t>HFC Scenario 2: Applying CEs for SMEs’ participation</w:t>
      </w:r>
      <w:r>
        <w:rPr>
          <w:noProof/>
        </w:rPr>
        <w:tab/>
      </w:r>
      <w:r>
        <w:rPr>
          <w:noProof/>
        </w:rPr>
        <w:fldChar w:fldCharType="begin"/>
      </w:r>
      <w:r>
        <w:rPr>
          <w:noProof/>
        </w:rPr>
        <w:instrText xml:space="preserve"> PAGEREF _Toc230099084 \h </w:instrText>
      </w:r>
      <w:r>
        <w:rPr>
          <w:noProof/>
        </w:rPr>
      </w:r>
      <w:r>
        <w:rPr>
          <w:noProof/>
        </w:rPr>
        <w:fldChar w:fldCharType="separate"/>
      </w:r>
      <w:r w:rsidR="009221BF">
        <w:rPr>
          <w:noProof/>
        </w:rPr>
        <w:t>49</w:t>
      </w:r>
      <w:r>
        <w:rPr>
          <w:noProof/>
        </w:rPr>
        <w:fldChar w:fldCharType="end"/>
      </w:r>
    </w:p>
    <w:p w14:paraId="267E00EE" w14:textId="313CE2B0"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3.5</w:t>
      </w:r>
      <w:r>
        <w:rPr>
          <w:rFonts w:eastAsiaTheme="minorEastAsia" w:cstheme="minorBidi"/>
          <w:b w:val="0"/>
          <w:smallCaps w:val="0"/>
          <w:color w:val="auto"/>
          <w:kern w:val="2"/>
          <w:sz w:val="24"/>
          <w:szCs w:val="24"/>
          <w:lang w:eastAsia="en-GB"/>
          <w14:ligatures w14:val="standardContextual"/>
        </w:rPr>
        <w:tab/>
      </w:r>
      <w:r>
        <w:rPr>
          <w:noProof/>
        </w:rPr>
        <w:t>Verification: consumption sector</w:t>
      </w:r>
      <w:r>
        <w:rPr>
          <w:noProof/>
        </w:rPr>
        <w:tab/>
      </w:r>
      <w:r>
        <w:rPr>
          <w:noProof/>
        </w:rPr>
        <w:fldChar w:fldCharType="begin"/>
      </w:r>
      <w:r>
        <w:rPr>
          <w:noProof/>
        </w:rPr>
        <w:instrText xml:space="preserve"> PAGEREF _Toc230099085 \h </w:instrText>
      </w:r>
      <w:r>
        <w:rPr>
          <w:noProof/>
        </w:rPr>
      </w:r>
      <w:r>
        <w:rPr>
          <w:noProof/>
        </w:rPr>
        <w:fldChar w:fldCharType="separate"/>
      </w:r>
      <w:r w:rsidR="009221BF">
        <w:rPr>
          <w:noProof/>
        </w:rPr>
        <w:t>51</w:t>
      </w:r>
      <w:r>
        <w:rPr>
          <w:noProof/>
        </w:rPr>
        <w:fldChar w:fldCharType="end"/>
      </w:r>
    </w:p>
    <w:p w14:paraId="4AF66907" w14:textId="008E38C0"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sidRPr="00347B4E">
        <w:rPr>
          <w:rFonts w:eastAsia="Times New Roman"/>
          <w:noProof/>
        </w:rPr>
        <w:t>3.6</w:t>
      </w:r>
      <w:r>
        <w:rPr>
          <w:rFonts w:eastAsiaTheme="minorEastAsia" w:cstheme="minorBidi"/>
          <w:b w:val="0"/>
          <w:smallCaps w:val="0"/>
          <w:color w:val="auto"/>
          <w:kern w:val="2"/>
          <w:sz w:val="24"/>
          <w:szCs w:val="24"/>
          <w:lang w:eastAsia="en-GB"/>
          <w14:ligatures w14:val="standardContextual"/>
        </w:rPr>
        <w:tab/>
      </w:r>
      <w:r>
        <w:rPr>
          <w:noProof/>
        </w:rPr>
        <w:t>Project preparation: consumption</w:t>
      </w:r>
      <w:r w:rsidRPr="00347B4E">
        <w:rPr>
          <w:rFonts w:eastAsia="Times New Roman"/>
          <w:noProof/>
        </w:rPr>
        <w:t xml:space="preserve"> sector</w:t>
      </w:r>
      <w:r>
        <w:rPr>
          <w:noProof/>
        </w:rPr>
        <w:tab/>
      </w:r>
      <w:r>
        <w:rPr>
          <w:noProof/>
        </w:rPr>
        <w:fldChar w:fldCharType="begin"/>
      </w:r>
      <w:r>
        <w:rPr>
          <w:noProof/>
        </w:rPr>
        <w:instrText xml:space="preserve"> PAGEREF _Toc230099086 \h </w:instrText>
      </w:r>
      <w:r>
        <w:rPr>
          <w:noProof/>
        </w:rPr>
      </w:r>
      <w:r>
        <w:rPr>
          <w:noProof/>
        </w:rPr>
        <w:fldChar w:fldCharType="separate"/>
      </w:r>
      <w:r w:rsidR="009221BF">
        <w:rPr>
          <w:noProof/>
        </w:rPr>
        <w:t>51</w:t>
      </w:r>
      <w:r>
        <w:rPr>
          <w:noProof/>
        </w:rPr>
        <w:fldChar w:fldCharType="end"/>
      </w:r>
    </w:p>
    <w:p w14:paraId="6A27FEB8" w14:textId="58356EB5"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3.7</w:t>
      </w:r>
      <w:r>
        <w:rPr>
          <w:rFonts w:eastAsiaTheme="minorEastAsia" w:cstheme="minorBidi"/>
          <w:b w:val="0"/>
          <w:smallCaps w:val="0"/>
          <w:color w:val="auto"/>
          <w:kern w:val="2"/>
          <w:sz w:val="24"/>
          <w:szCs w:val="24"/>
          <w:lang w:eastAsia="en-GB"/>
          <w14:ligatures w14:val="standardContextual"/>
        </w:rPr>
        <w:tab/>
      </w:r>
      <w:r>
        <w:rPr>
          <w:noProof/>
        </w:rPr>
        <w:t>Energy efficiency</w:t>
      </w:r>
      <w:r>
        <w:rPr>
          <w:noProof/>
        </w:rPr>
        <w:tab/>
      </w:r>
      <w:r>
        <w:rPr>
          <w:noProof/>
        </w:rPr>
        <w:fldChar w:fldCharType="begin"/>
      </w:r>
      <w:r>
        <w:rPr>
          <w:noProof/>
        </w:rPr>
        <w:instrText xml:space="preserve"> PAGEREF _Toc230099087 \h </w:instrText>
      </w:r>
      <w:r>
        <w:rPr>
          <w:noProof/>
        </w:rPr>
      </w:r>
      <w:r>
        <w:rPr>
          <w:noProof/>
        </w:rPr>
        <w:fldChar w:fldCharType="separate"/>
      </w:r>
      <w:r w:rsidR="009221BF">
        <w:rPr>
          <w:noProof/>
        </w:rPr>
        <w:t>52</w:t>
      </w:r>
      <w:r>
        <w:rPr>
          <w:noProof/>
        </w:rPr>
        <w:fldChar w:fldCharType="end"/>
      </w:r>
    </w:p>
    <w:p w14:paraId="1B63B622" w14:textId="3040CF71"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3.8</w:t>
      </w:r>
      <w:r>
        <w:rPr>
          <w:rFonts w:eastAsiaTheme="minorEastAsia" w:cstheme="minorBidi"/>
          <w:b w:val="0"/>
          <w:smallCaps w:val="0"/>
          <w:color w:val="auto"/>
          <w:kern w:val="2"/>
          <w:sz w:val="24"/>
          <w:szCs w:val="24"/>
          <w:lang w:eastAsia="en-GB"/>
          <w14:ligatures w14:val="standardContextual"/>
        </w:rPr>
        <w:tab/>
      </w:r>
      <w:r>
        <w:rPr>
          <w:noProof/>
        </w:rPr>
        <w:t>Total Estimated Funding Requirement for the HFC Consumption Sector</w:t>
      </w:r>
      <w:r>
        <w:rPr>
          <w:noProof/>
        </w:rPr>
        <w:tab/>
      </w:r>
      <w:r>
        <w:rPr>
          <w:noProof/>
        </w:rPr>
        <w:fldChar w:fldCharType="begin"/>
      </w:r>
      <w:r>
        <w:rPr>
          <w:noProof/>
        </w:rPr>
        <w:instrText xml:space="preserve"> PAGEREF _Toc230099088 \h </w:instrText>
      </w:r>
      <w:r>
        <w:rPr>
          <w:noProof/>
        </w:rPr>
      </w:r>
      <w:r>
        <w:rPr>
          <w:noProof/>
        </w:rPr>
        <w:fldChar w:fldCharType="separate"/>
      </w:r>
      <w:r w:rsidR="009221BF">
        <w:rPr>
          <w:noProof/>
        </w:rPr>
        <w:t>53</w:t>
      </w:r>
      <w:r>
        <w:rPr>
          <w:noProof/>
        </w:rPr>
        <w:fldChar w:fldCharType="end"/>
      </w:r>
    </w:p>
    <w:p w14:paraId="5B4EEF4C" w14:textId="09B1962E" w:rsidR="00442791" w:rsidRDefault="00442791" w:rsidP="000A5309">
      <w:pPr>
        <w:pStyle w:val="TOC1"/>
        <w:rPr>
          <w:rFonts w:eastAsiaTheme="minorEastAsia" w:cstheme="minorBidi"/>
          <w:color w:val="auto"/>
          <w:kern w:val="2"/>
          <w:sz w:val="24"/>
          <w:szCs w:val="24"/>
          <w:lang w:eastAsia="en-GB"/>
          <w14:ligatures w14:val="standardContextual"/>
        </w:rPr>
      </w:pPr>
      <w:r>
        <w:rPr>
          <w:noProof/>
        </w:rPr>
        <w:t>4</w:t>
      </w:r>
      <w:r>
        <w:rPr>
          <w:rFonts w:eastAsiaTheme="minorEastAsia" w:cstheme="minorBidi"/>
          <w:color w:val="auto"/>
          <w:kern w:val="2"/>
          <w:sz w:val="24"/>
          <w:szCs w:val="24"/>
          <w:lang w:eastAsia="en-GB"/>
          <w14:ligatures w14:val="standardContextual"/>
        </w:rPr>
        <w:tab/>
      </w:r>
      <w:r>
        <w:rPr>
          <w:noProof/>
        </w:rPr>
        <w:t>HFC Production Sector and HFC-23 By-Product Emission Mitigation</w:t>
      </w:r>
      <w:r>
        <w:rPr>
          <w:noProof/>
        </w:rPr>
        <w:tab/>
      </w:r>
      <w:r>
        <w:rPr>
          <w:noProof/>
        </w:rPr>
        <w:fldChar w:fldCharType="begin"/>
      </w:r>
      <w:r>
        <w:rPr>
          <w:noProof/>
        </w:rPr>
        <w:instrText xml:space="preserve"> PAGEREF _Toc230099089 \h </w:instrText>
      </w:r>
      <w:r>
        <w:rPr>
          <w:noProof/>
        </w:rPr>
      </w:r>
      <w:r>
        <w:rPr>
          <w:noProof/>
        </w:rPr>
        <w:fldChar w:fldCharType="separate"/>
      </w:r>
      <w:r w:rsidR="009221BF">
        <w:rPr>
          <w:noProof/>
        </w:rPr>
        <w:t>57</w:t>
      </w:r>
      <w:r>
        <w:rPr>
          <w:noProof/>
        </w:rPr>
        <w:fldChar w:fldCharType="end"/>
      </w:r>
    </w:p>
    <w:p w14:paraId="7E3F123E" w14:textId="7E72E423"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4.1</w:t>
      </w:r>
      <w:r>
        <w:rPr>
          <w:rFonts w:eastAsiaTheme="minorEastAsia" w:cstheme="minorBidi"/>
          <w:b w:val="0"/>
          <w:smallCaps w:val="0"/>
          <w:color w:val="auto"/>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_Toc230099090 \h </w:instrText>
      </w:r>
      <w:r>
        <w:rPr>
          <w:noProof/>
        </w:rPr>
      </w:r>
      <w:r>
        <w:rPr>
          <w:noProof/>
        </w:rPr>
        <w:fldChar w:fldCharType="separate"/>
      </w:r>
      <w:r w:rsidR="009221BF">
        <w:rPr>
          <w:noProof/>
        </w:rPr>
        <w:t>57</w:t>
      </w:r>
      <w:r>
        <w:rPr>
          <w:noProof/>
        </w:rPr>
        <w:fldChar w:fldCharType="end"/>
      </w:r>
    </w:p>
    <w:p w14:paraId="54ABDA58" w14:textId="5C2617C6"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4.2</w:t>
      </w:r>
      <w:r>
        <w:rPr>
          <w:rFonts w:eastAsiaTheme="minorEastAsia" w:cstheme="minorBidi"/>
          <w:b w:val="0"/>
          <w:smallCaps w:val="0"/>
          <w:color w:val="auto"/>
          <w:kern w:val="2"/>
          <w:sz w:val="24"/>
          <w:szCs w:val="24"/>
          <w:lang w:eastAsia="en-GB"/>
          <w14:ligatures w14:val="standardContextual"/>
        </w:rPr>
        <w:tab/>
      </w:r>
      <w:r>
        <w:rPr>
          <w:noProof/>
        </w:rPr>
        <w:t>Overview of HFC production sector and HFC-23 by-product emission mitigation</w:t>
      </w:r>
      <w:r>
        <w:rPr>
          <w:noProof/>
        </w:rPr>
        <w:tab/>
      </w:r>
      <w:r>
        <w:rPr>
          <w:noProof/>
        </w:rPr>
        <w:fldChar w:fldCharType="begin"/>
      </w:r>
      <w:r>
        <w:rPr>
          <w:noProof/>
        </w:rPr>
        <w:instrText xml:space="preserve"> PAGEREF _Toc230099091 \h </w:instrText>
      </w:r>
      <w:r>
        <w:rPr>
          <w:noProof/>
        </w:rPr>
      </w:r>
      <w:r>
        <w:rPr>
          <w:noProof/>
        </w:rPr>
        <w:fldChar w:fldCharType="separate"/>
      </w:r>
      <w:r w:rsidR="009221BF">
        <w:rPr>
          <w:noProof/>
        </w:rPr>
        <w:t>58</w:t>
      </w:r>
      <w:r>
        <w:rPr>
          <w:noProof/>
        </w:rPr>
        <w:fldChar w:fldCharType="end"/>
      </w:r>
    </w:p>
    <w:p w14:paraId="5FE44BB1" w14:textId="6B7454C7"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4.2.1</w:t>
      </w:r>
      <w:r>
        <w:rPr>
          <w:rFonts w:eastAsiaTheme="minorEastAsia" w:cstheme="minorBidi"/>
          <w:i w:val="0"/>
          <w:smallCaps w:val="0"/>
          <w:snapToGrid/>
          <w:color w:val="auto"/>
          <w:kern w:val="2"/>
          <w:sz w:val="24"/>
          <w:szCs w:val="24"/>
          <w:lang w:eastAsia="en-GB"/>
          <w14:ligatures w14:val="standardContextual"/>
        </w:rPr>
        <w:tab/>
      </w:r>
      <w:r>
        <w:rPr>
          <w:noProof/>
        </w:rPr>
        <w:t>HFC production</w:t>
      </w:r>
      <w:r>
        <w:rPr>
          <w:noProof/>
        </w:rPr>
        <w:tab/>
      </w:r>
      <w:r>
        <w:rPr>
          <w:noProof/>
        </w:rPr>
        <w:fldChar w:fldCharType="begin"/>
      </w:r>
      <w:r>
        <w:rPr>
          <w:noProof/>
        </w:rPr>
        <w:instrText xml:space="preserve"> PAGEREF _Toc230099092 \h </w:instrText>
      </w:r>
      <w:r>
        <w:rPr>
          <w:noProof/>
        </w:rPr>
      </w:r>
      <w:r>
        <w:rPr>
          <w:noProof/>
        </w:rPr>
        <w:fldChar w:fldCharType="separate"/>
      </w:r>
      <w:r w:rsidR="009221BF">
        <w:rPr>
          <w:noProof/>
        </w:rPr>
        <w:t>58</w:t>
      </w:r>
      <w:r>
        <w:rPr>
          <w:noProof/>
        </w:rPr>
        <w:fldChar w:fldCharType="end"/>
      </w:r>
    </w:p>
    <w:p w14:paraId="5438AA74" w14:textId="40E67B4D"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4.2.2:</w:t>
      </w:r>
      <w:r>
        <w:rPr>
          <w:rFonts w:eastAsiaTheme="minorEastAsia" w:cstheme="minorBidi"/>
          <w:i w:val="0"/>
          <w:smallCaps w:val="0"/>
          <w:snapToGrid/>
          <w:color w:val="auto"/>
          <w:kern w:val="2"/>
          <w:sz w:val="24"/>
          <w:szCs w:val="24"/>
          <w:lang w:eastAsia="en-GB"/>
          <w14:ligatures w14:val="standardContextual"/>
        </w:rPr>
        <w:tab/>
      </w:r>
      <w:r>
        <w:rPr>
          <w:noProof/>
        </w:rPr>
        <w:t>HFC-23 by-product emission mitigation</w:t>
      </w:r>
      <w:r>
        <w:rPr>
          <w:noProof/>
        </w:rPr>
        <w:tab/>
      </w:r>
      <w:r>
        <w:rPr>
          <w:noProof/>
        </w:rPr>
        <w:fldChar w:fldCharType="begin"/>
      </w:r>
      <w:r>
        <w:rPr>
          <w:noProof/>
        </w:rPr>
        <w:instrText xml:space="preserve"> PAGEREF _Toc230099093 \h </w:instrText>
      </w:r>
      <w:r>
        <w:rPr>
          <w:noProof/>
        </w:rPr>
      </w:r>
      <w:r>
        <w:rPr>
          <w:noProof/>
        </w:rPr>
        <w:fldChar w:fldCharType="separate"/>
      </w:r>
      <w:r w:rsidR="009221BF">
        <w:rPr>
          <w:noProof/>
        </w:rPr>
        <w:t>58</w:t>
      </w:r>
      <w:r>
        <w:rPr>
          <w:noProof/>
        </w:rPr>
        <w:fldChar w:fldCharType="end"/>
      </w:r>
    </w:p>
    <w:p w14:paraId="1CF00639" w14:textId="73DBAE9A"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4.3</w:t>
      </w:r>
      <w:r>
        <w:rPr>
          <w:rFonts w:eastAsiaTheme="minorEastAsia" w:cstheme="minorBidi"/>
          <w:b w:val="0"/>
          <w:smallCaps w:val="0"/>
          <w:color w:val="auto"/>
          <w:kern w:val="2"/>
          <w:sz w:val="24"/>
          <w:szCs w:val="24"/>
          <w:lang w:eastAsia="en-GB"/>
          <w14:ligatures w14:val="standardContextual"/>
        </w:rPr>
        <w:tab/>
      </w:r>
      <w:r>
        <w:rPr>
          <w:noProof/>
        </w:rPr>
        <w:t>Estimating funding requirements for HFC production sector</w:t>
      </w:r>
      <w:r>
        <w:rPr>
          <w:noProof/>
        </w:rPr>
        <w:tab/>
      </w:r>
      <w:r>
        <w:rPr>
          <w:noProof/>
        </w:rPr>
        <w:fldChar w:fldCharType="begin"/>
      </w:r>
      <w:r>
        <w:rPr>
          <w:noProof/>
        </w:rPr>
        <w:instrText xml:space="preserve"> PAGEREF _Toc230099094 \h </w:instrText>
      </w:r>
      <w:r>
        <w:rPr>
          <w:noProof/>
        </w:rPr>
      </w:r>
      <w:r>
        <w:rPr>
          <w:noProof/>
        </w:rPr>
        <w:fldChar w:fldCharType="separate"/>
      </w:r>
      <w:r w:rsidR="009221BF">
        <w:rPr>
          <w:noProof/>
        </w:rPr>
        <w:t>59</w:t>
      </w:r>
      <w:r>
        <w:rPr>
          <w:noProof/>
        </w:rPr>
        <w:fldChar w:fldCharType="end"/>
      </w:r>
    </w:p>
    <w:p w14:paraId="3F2B89A1" w14:textId="4BBB3E1B"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4.3.1</w:t>
      </w:r>
      <w:r>
        <w:rPr>
          <w:rFonts w:eastAsiaTheme="minorEastAsia" w:cstheme="minorBidi"/>
          <w:i w:val="0"/>
          <w:smallCaps w:val="0"/>
          <w:snapToGrid/>
          <w:color w:val="auto"/>
          <w:kern w:val="2"/>
          <w:sz w:val="24"/>
          <w:szCs w:val="24"/>
          <w:lang w:eastAsia="en-GB"/>
          <w14:ligatures w14:val="standardContextual"/>
        </w:rPr>
        <w:tab/>
      </w:r>
      <w:r>
        <w:rPr>
          <w:noProof/>
        </w:rPr>
        <w:t>Eligible costs and CE values for the production sector</w:t>
      </w:r>
      <w:r>
        <w:rPr>
          <w:noProof/>
        </w:rPr>
        <w:tab/>
      </w:r>
      <w:r>
        <w:rPr>
          <w:noProof/>
        </w:rPr>
        <w:fldChar w:fldCharType="begin"/>
      </w:r>
      <w:r>
        <w:rPr>
          <w:noProof/>
        </w:rPr>
        <w:instrText xml:space="preserve"> PAGEREF _Toc230099095 \h </w:instrText>
      </w:r>
      <w:r>
        <w:rPr>
          <w:noProof/>
        </w:rPr>
      </w:r>
      <w:r>
        <w:rPr>
          <w:noProof/>
        </w:rPr>
        <w:fldChar w:fldCharType="separate"/>
      </w:r>
      <w:r w:rsidR="009221BF">
        <w:rPr>
          <w:noProof/>
        </w:rPr>
        <w:t>60</w:t>
      </w:r>
      <w:r>
        <w:rPr>
          <w:noProof/>
        </w:rPr>
        <w:fldChar w:fldCharType="end"/>
      </w:r>
    </w:p>
    <w:p w14:paraId="044BC5ED" w14:textId="664A39E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4.3.2</w:t>
      </w:r>
      <w:r>
        <w:rPr>
          <w:rFonts w:eastAsiaTheme="minorEastAsia" w:cstheme="minorBidi"/>
          <w:i w:val="0"/>
          <w:smallCaps w:val="0"/>
          <w:snapToGrid/>
          <w:color w:val="auto"/>
          <w:kern w:val="2"/>
          <w:sz w:val="24"/>
          <w:szCs w:val="24"/>
          <w:lang w:eastAsia="en-GB"/>
          <w14:ligatures w14:val="standardContextual"/>
        </w:rPr>
        <w:tab/>
      </w:r>
      <w:r>
        <w:rPr>
          <w:noProof/>
        </w:rPr>
        <w:t>Estimated funding for the production sector</w:t>
      </w:r>
      <w:r>
        <w:rPr>
          <w:noProof/>
        </w:rPr>
        <w:tab/>
      </w:r>
      <w:r>
        <w:rPr>
          <w:noProof/>
        </w:rPr>
        <w:fldChar w:fldCharType="begin"/>
      </w:r>
      <w:r>
        <w:rPr>
          <w:noProof/>
        </w:rPr>
        <w:instrText xml:space="preserve"> PAGEREF _Toc230099096 \h </w:instrText>
      </w:r>
      <w:r>
        <w:rPr>
          <w:noProof/>
        </w:rPr>
      </w:r>
      <w:r>
        <w:rPr>
          <w:noProof/>
        </w:rPr>
        <w:fldChar w:fldCharType="separate"/>
      </w:r>
      <w:r w:rsidR="009221BF">
        <w:rPr>
          <w:noProof/>
        </w:rPr>
        <w:t>60</w:t>
      </w:r>
      <w:r>
        <w:rPr>
          <w:noProof/>
        </w:rPr>
        <w:fldChar w:fldCharType="end"/>
      </w:r>
    </w:p>
    <w:p w14:paraId="69F4BFCE" w14:textId="26FB67DA"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4.3.3</w:t>
      </w:r>
      <w:r>
        <w:rPr>
          <w:rFonts w:eastAsiaTheme="minorEastAsia" w:cstheme="minorBidi"/>
          <w:i w:val="0"/>
          <w:smallCaps w:val="0"/>
          <w:snapToGrid/>
          <w:color w:val="auto"/>
          <w:kern w:val="2"/>
          <w:sz w:val="24"/>
          <w:szCs w:val="24"/>
          <w:lang w:eastAsia="en-GB"/>
          <w14:ligatures w14:val="standardContextual"/>
        </w:rPr>
        <w:tab/>
      </w:r>
      <w:r>
        <w:rPr>
          <w:noProof/>
        </w:rPr>
        <w:t>Total Funding Requirement for the HFC Production Sector (2027-2029)</w:t>
      </w:r>
      <w:r>
        <w:rPr>
          <w:noProof/>
        </w:rPr>
        <w:tab/>
      </w:r>
      <w:r>
        <w:rPr>
          <w:noProof/>
        </w:rPr>
        <w:fldChar w:fldCharType="begin"/>
      </w:r>
      <w:r>
        <w:rPr>
          <w:noProof/>
        </w:rPr>
        <w:instrText xml:space="preserve"> PAGEREF _Toc230099097 \h </w:instrText>
      </w:r>
      <w:r>
        <w:rPr>
          <w:noProof/>
        </w:rPr>
      </w:r>
      <w:r>
        <w:rPr>
          <w:noProof/>
        </w:rPr>
        <w:fldChar w:fldCharType="separate"/>
      </w:r>
      <w:r w:rsidR="009221BF">
        <w:rPr>
          <w:noProof/>
        </w:rPr>
        <w:t>61</w:t>
      </w:r>
      <w:r>
        <w:rPr>
          <w:noProof/>
        </w:rPr>
        <w:fldChar w:fldCharType="end"/>
      </w:r>
    </w:p>
    <w:p w14:paraId="6D6F3034" w14:textId="4B937D24"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4.4</w:t>
      </w:r>
      <w:r>
        <w:rPr>
          <w:rFonts w:eastAsiaTheme="minorEastAsia" w:cstheme="minorBidi"/>
          <w:b w:val="0"/>
          <w:smallCaps w:val="0"/>
          <w:color w:val="auto"/>
          <w:kern w:val="2"/>
          <w:sz w:val="24"/>
          <w:szCs w:val="24"/>
          <w:lang w:eastAsia="en-GB"/>
          <w14:ligatures w14:val="standardContextual"/>
        </w:rPr>
        <w:tab/>
      </w:r>
      <w:r>
        <w:rPr>
          <w:noProof/>
        </w:rPr>
        <w:t>Estimated funding requirement for HFC-23 by-product emission mitigation</w:t>
      </w:r>
      <w:r>
        <w:rPr>
          <w:noProof/>
        </w:rPr>
        <w:tab/>
      </w:r>
      <w:r>
        <w:rPr>
          <w:noProof/>
        </w:rPr>
        <w:fldChar w:fldCharType="begin"/>
      </w:r>
      <w:r>
        <w:rPr>
          <w:noProof/>
        </w:rPr>
        <w:instrText xml:space="preserve"> PAGEREF _Toc230099098 \h </w:instrText>
      </w:r>
      <w:r>
        <w:rPr>
          <w:noProof/>
        </w:rPr>
      </w:r>
      <w:r>
        <w:rPr>
          <w:noProof/>
        </w:rPr>
        <w:fldChar w:fldCharType="separate"/>
      </w:r>
      <w:r w:rsidR="009221BF">
        <w:rPr>
          <w:noProof/>
        </w:rPr>
        <w:t>61</w:t>
      </w:r>
      <w:r>
        <w:rPr>
          <w:noProof/>
        </w:rPr>
        <w:fldChar w:fldCharType="end"/>
      </w:r>
    </w:p>
    <w:p w14:paraId="5D992A15" w14:textId="2209A055"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4.4.1</w:t>
      </w:r>
      <w:r>
        <w:rPr>
          <w:rFonts w:eastAsiaTheme="minorEastAsia" w:cstheme="minorBidi"/>
          <w:i w:val="0"/>
          <w:smallCaps w:val="0"/>
          <w:snapToGrid/>
          <w:color w:val="auto"/>
          <w:kern w:val="2"/>
          <w:sz w:val="24"/>
          <w:szCs w:val="24"/>
          <w:lang w:eastAsia="en-GB"/>
          <w14:ligatures w14:val="standardContextual"/>
        </w:rPr>
        <w:tab/>
      </w:r>
      <w:r w:rsidRPr="00347B4E">
        <w:rPr>
          <w:noProof/>
          <w:lang w:val="en-US" w:eastAsia="zh-CN"/>
        </w:rPr>
        <w:t>CE for HFC-23 emission mitigation</w:t>
      </w:r>
      <w:r>
        <w:rPr>
          <w:noProof/>
        </w:rPr>
        <w:tab/>
      </w:r>
      <w:r>
        <w:rPr>
          <w:noProof/>
        </w:rPr>
        <w:fldChar w:fldCharType="begin"/>
      </w:r>
      <w:r>
        <w:rPr>
          <w:noProof/>
        </w:rPr>
        <w:instrText xml:space="preserve"> PAGEREF _Toc230099099 \h </w:instrText>
      </w:r>
      <w:r>
        <w:rPr>
          <w:noProof/>
        </w:rPr>
      </w:r>
      <w:r>
        <w:rPr>
          <w:noProof/>
        </w:rPr>
        <w:fldChar w:fldCharType="separate"/>
      </w:r>
      <w:r w:rsidR="009221BF">
        <w:rPr>
          <w:noProof/>
        </w:rPr>
        <w:t>61</w:t>
      </w:r>
      <w:r>
        <w:rPr>
          <w:noProof/>
        </w:rPr>
        <w:fldChar w:fldCharType="end"/>
      </w:r>
    </w:p>
    <w:p w14:paraId="57F056BF" w14:textId="6FC637CC"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4.4.2</w:t>
      </w:r>
      <w:r>
        <w:rPr>
          <w:rFonts w:eastAsiaTheme="minorEastAsia" w:cstheme="minorBidi"/>
          <w:i w:val="0"/>
          <w:smallCaps w:val="0"/>
          <w:snapToGrid/>
          <w:color w:val="auto"/>
          <w:kern w:val="2"/>
          <w:sz w:val="24"/>
          <w:szCs w:val="24"/>
          <w:lang w:eastAsia="en-GB"/>
          <w14:ligatures w14:val="standardContextual"/>
        </w:rPr>
        <w:tab/>
      </w:r>
      <w:r>
        <w:rPr>
          <w:noProof/>
        </w:rPr>
        <w:t>Project preparation costs</w:t>
      </w:r>
      <w:r>
        <w:rPr>
          <w:noProof/>
        </w:rPr>
        <w:tab/>
      </w:r>
      <w:r>
        <w:rPr>
          <w:noProof/>
        </w:rPr>
        <w:fldChar w:fldCharType="begin"/>
      </w:r>
      <w:r>
        <w:rPr>
          <w:noProof/>
        </w:rPr>
        <w:instrText xml:space="preserve"> PAGEREF _Toc230099100 \h </w:instrText>
      </w:r>
      <w:r>
        <w:rPr>
          <w:noProof/>
        </w:rPr>
      </w:r>
      <w:r>
        <w:rPr>
          <w:noProof/>
        </w:rPr>
        <w:fldChar w:fldCharType="separate"/>
      </w:r>
      <w:r w:rsidR="009221BF">
        <w:rPr>
          <w:noProof/>
        </w:rPr>
        <w:t>62</w:t>
      </w:r>
      <w:r>
        <w:rPr>
          <w:noProof/>
        </w:rPr>
        <w:fldChar w:fldCharType="end"/>
      </w:r>
    </w:p>
    <w:p w14:paraId="3A3CC58A" w14:textId="0F7F79BB" w:rsidR="00442791" w:rsidRDefault="00442791" w:rsidP="00442791">
      <w:pPr>
        <w:pStyle w:val="TOC3"/>
        <w:tabs>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4.4.3</w:t>
      </w:r>
      <w:r>
        <w:rPr>
          <w:rFonts w:eastAsiaTheme="minorEastAsia" w:cstheme="minorBidi"/>
          <w:i w:val="0"/>
          <w:smallCaps w:val="0"/>
          <w:snapToGrid/>
          <w:color w:val="auto"/>
          <w:kern w:val="2"/>
          <w:sz w:val="24"/>
          <w:szCs w:val="24"/>
          <w:lang w:eastAsia="en-GB"/>
          <w14:ligatures w14:val="standardContextual"/>
        </w:rPr>
        <w:tab/>
      </w:r>
      <w:r w:rsidRPr="00347B4E">
        <w:rPr>
          <w:noProof/>
          <w:lang w:val="en-US" w:eastAsia="zh-CN"/>
        </w:rPr>
        <w:t>HFC-23 mitigation projects already approved and agreed: Argentina and Mexico</w:t>
      </w:r>
      <w:r>
        <w:rPr>
          <w:noProof/>
        </w:rPr>
        <w:tab/>
      </w:r>
      <w:r>
        <w:rPr>
          <w:noProof/>
        </w:rPr>
        <w:fldChar w:fldCharType="begin"/>
      </w:r>
      <w:r>
        <w:rPr>
          <w:noProof/>
        </w:rPr>
        <w:instrText xml:space="preserve"> PAGEREF _Toc230099101 \h </w:instrText>
      </w:r>
      <w:r>
        <w:rPr>
          <w:noProof/>
        </w:rPr>
      </w:r>
      <w:r>
        <w:rPr>
          <w:noProof/>
        </w:rPr>
        <w:fldChar w:fldCharType="separate"/>
      </w:r>
      <w:r w:rsidR="009221BF">
        <w:rPr>
          <w:noProof/>
        </w:rPr>
        <w:t>62</w:t>
      </w:r>
      <w:r>
        <w:rPr>
          <w:noProof/>
        </w:rPr>
        <w:fldChar w:fldCharType="end"/>
      </w:r>
    </w:p>
    <w:p w14:paraId="4873050A" w14:textId="166EF9CA"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4.4.4</w:t>
      </w:r>
      <w:r>
        <w:rPr>
          <w:rFonts w:eastAsiaTheme="minorEastAsia" w:cstheme="minorBidi"/>
          <w:i w:val="0"/>
          <w:smallCaps w:val="0"/>
          <w:snapToGrid/>
          <w:color w:val="auto"/>
          <w:kern w:val="2"/>
          <w:sz w:val="24"/>
          <w:szCs w:val="24"/>
          <w:lang w:eastAsia="en-GB"/>
          <w14:ligatures w14:val="standardContextual"/>
        </w:rPr>
        <w:tab/>
      </w:r>
      <w:r>
        <w:rPr>
          <w:noProof/>
        </w:rPr>
        <w:t>Investment project cost: India</w:t>
      </w:r>
      <w:r>
        <w:rPr>
          <w:noProof/>
        </w:rPr>
        <w:tab/>
      </w:r>
      <w:r>
        <w:rPr>
          <w:noProof/>
        </w:rPr>
        <w:fldChar w:fldCharType="begin"/>
      </w:r>
      <w:r>
        <w:rPr>
          <w:noProof/>
        </w:rPr>
        <w:instrText xml:space="preserve"> PAGEREF _Toc230099102 \h </w:instrText>
      </w:r>
      <w:r>
        <w:rPr>
          <w:noProof/>
        </w:rPr>
      </w:r>
      <w:r>
        <w:rPr>
          <w:noProof/>
        </w:rPr>
        <w:fldChar w:fldCharType="separate"/>
      </w:r>
      <w:r w:rsidR="009221BF">
        <w:rPr>
          <w:noProof/>
        </w:rPr>
        <w:t>65</w:t>
      </w:r>
      <w:r>
        <w:rPr>
          <w:noProof/>
        </w:rPr>
        <w:fldChar w:fldCharType="end"/>
      </w:r>
    </w:p>
    <w:p w14:paraId="7F953C87" w14:textId="2D007D8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4.5</w:t>
      </w:r>
      <w:r>
        <w:rPr>
          <w:rFonts w:eastAsiaTheme="minorEastAsia" w:cstheme="minorBidi"/>
          <w:b w:val="0"/>
          <w:smallCaps w:val="0"/>
          <w:color w:val="auto"/>
          <w:kern w:val="2"/>
          <w:sz w:val="24"/>
          <w:szCs w:val="24"/>
          <w:lang w:eastAsia="en-GB"/>
          <w14:ligatures w14:val="standardContextual"/>
        </w:rPr>
        <w:tab/>
      </w:r>
      <w:r>
        <w:rPr>
          <w:noProof/>
        </w:rPr>
        <w:t>Total estimated funding requirement for HFC production sector phase-down and HFC-23 mitigation for the period 2027-2029</w:t>
      </w:r>
      <w:r>
        <w:rPr>
          <w:noProof/>
        </w:rPr>
        <w:tab/>
      </w:r>
      <w:r>
        <w:rPr>
          <w:noProof/>
        </w:rPr>
        <w:fldChar w:fldCharType="begin"/>
      </w:r>
      <w:r>
        <w:rPr>
          <w:noProof/>
        </w:rPr>
        <w:instrText xml:space="preserve"> PAGEREF _Toc230099103 \h </w:instrText>
      </w:r>
      <w:r>
        <w:rPr>
          <w:noProof/>
        </w:rPr>
      </w:r>
      <w:r>
        <w:rPr>
          <w:noProof/>
        </w:rPr>
        <w:fldChar w:fldCharType="separate"/>
      </w:r>
      <w:r w:rsidR="009221BF">
        <w:rPr>
          <w:noProof/>
        </w:rPr>
        <w:t>65</w:t>
      </w:r>
      <w:r>
        <w:rPr>
          <w:noProof/>
        </w:rPr>
        <w:fldChar w:fldCharType="end"/>
      </w:r>
    </w:p>
    <w:p w14:paraId="1B3FF677" w14:textId="752C78C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4.6</w:t>
      </w:r>
      <w:r>
        <w:rPr>
          <w:rFonts w:eastAsiaTheme="minorEastAsia" w:cstheme="minorBidi"/>
          <w:b w:val="0"/>
          <w:smallCaps w:val="0"/>
          <w:color w:val="auto"/>
          <w:kern w:val="2"/>
          <w:sz w:val="24"/>
          <w:szCs w:val="24"/>
          <w:lang w:eastAsia="en-GB"/>
          <w14:ligatures w14:val="standardContextual"/>
        </w:rPr>
        <w:tab/>
      </w:r>
      <w:r>
        <w:rPr>
          <w:noProof/>
        </w:rPr>
        <w:t>Indicative funding for HFC production sector phase-down and HFC-23 mitigation for future triennia 2030-2032 and 2033-2035</w:t>
      </w:r>
      <w:r>
        <w:rPr>
          <w:noProof/>
        </w:rPr>
        <w:tab/>
      </w:r>
      <w:r>
        <w:rPr>
          <w:noProof/>
        </w:rPr>
        <w:fldChar w:fldCharType="begin"/>
      </w:r>
      <w:r>
        <w:rPr>
          <w:noProof/>
        </w:rPr>
        <w:instrText xml:space="preserve"> PAGEREF _Toc230099104 \h </w:instrText>
      </w:r>
      <w:r>
        <w:rPr>
          <w:noProof/>
        </w:rPr>
      </w:r>
      <w:r>
        <w:rPr>
          <w:noProof/>
        </w:rPr>
        <w:fldChar w:fldCharType="separate"/>
      </w:r>
      <w:r w:rsidR="009221BF">
        <w:rPr>
          <w:noProof/>
        </w:rPr>
        <w:t>65</w:t>
      </w:r>
      <w:r>
        <w:rPr>
          <w:noProof/>
        </w:rPr>
        <w:fldChar w:fldCharType="end"/>
      </w:r>
    </w:p>
    <w:p w14:paraId="7FDEEA99" w14:textId="54286B2D" w:rsidR="00442791" w:rsidRDefault="00442791" w:rsidP="000A5309">
      <w:pPr>
        <w:pStyle w:val="TOC1"/>
        <w:rPr>
          <w:rFonts w:eastAsiaTheme="minorEastAsia" w:cstheme="minorBidi"/>
          <w:color w:val="auto"/>
          <w:kern w:val="2"/>
          <w:sz w:val="24"/>
          <w:szCs w:val="24"/>
          <w:lang w:eastAsia="en-GB"/>
          <w14:ligatures w14:val="standardContextual"/>
        </w:rPr>
      </w:pPr>
      <w:r>
        <w:rPr>
          <w:noProof/>
        </w:rPr>
        <w:t>5</w:t>
      </w:r>
      <w:r>
        <w:rPr>
          <w:rFonts w:eastAsiaTheme="minorEastAsia" w:cstheme="minorBidi"/>
          <w:color w:val="auto"/>
          <w:kern w:val="2"/>
          <w:sz w:val="24"/>
          <w:szCs w:val="24"/>
          <w:lang w:eastAsia="en-GB"/>
          <w14:ligatures w14:val="standardContextual"/>
        </w:rPr>
        <w:tab/>
      </w:r>
      <w:r>
        <w:rPr>
          <w:noProof/>
        </w:rPr>
        <w:t>Funding Requirements for Institutional Strengthening and Standard Activities for the 2027-2029 Triennium</w:t>
      </w:r>
      <w:r>
        <w:rPr>
          <w:noProof/>
        </w:rPr>
        <w:tab/>
      </w:r>
      <w:r>
        <w:rPr>
          <w:noProof/>
        </w:rPr>
        <w:fldChar w:fldCharType="begin"/>
      </w:r>
      <w:r>
        <w:rPr>
          <w:noProof/>
        </w:rPr>
        <w:instrText xml:space="preserve"> PAGEREF _Toc230099105 \h </w:instrText>
      </w:r>
      <w:r>
        <w:rPr>
          <w:noProof/>
        </w:rPr>
      </w:r>
      <w:r>
        <w:rPr>
          <w:noProof/>
        </w:rPr>
        <w:fldChar w:fldCharType="separate"/>
      </w:r>
      <w:r w:rsidR="009221BF">
        <w:rPr>
          <w:noProof/>
        </w:rPr>
        <w:t>67</w:t>
      </w:r>
      <w:r>
        <w:rPr>
          <w:noProof/>
        </w:rPr>
        <w:fldChar w:fldCharType="end"/>
      </w:r>
    </w:p>
    <w:p w14:paraId="25DAF8B4" w14:textId="1C15403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5.1</w:t>
      </w:r>
      <w:r>
        <w:rPr>
          <w:rFonts w:eastAsiaTheme="minorEastAsia" w:cstheme="minorBidi"/>
          <w:b w:val="0"/>
          <w:smallCaps w:val="0"/>
          <w:color w:val="auto"/>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_Toc230099106 \h </w:instrText>
      </w:r>
      <w:r>
        <w:rPr>
          <w:noProof/>
        </w:rPr>
      </w:r>
      <w:r>
        <w:rPr>
          <w:noProof/>
        </w:rPr>
        <w:fldChar w:fldCharType="separate"/>
      </w:r>
      <w:r w:rsidR="009221BF">
        <w:rPr>
          <w:noProof/>
        </w:rPr>
        <w:t>67</w:t>
      </w:r>
      <w:r>
        <w:rPr>
          <w:noProof/>
        </w:rPr>
        <w:fldChar w:fldCharType="end"/>
      </w:r>
    </w:p>
    <w:p w14:paraId="5C83D473" w14:textId="2DED6E61"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5.2</w:t>
      </w:r>
      <w:r>
        <w:rPr>
          <w:rFonts w:eastAsiaTheme="minorEastAsia" w:cstheme="minorBidi"/>
          <w:b w:val="0"/>
          <w:smallCaps w:val="0"/>
          <w:color w:val="auto"/>
          <w:kern w:val="2"/>
          <w:sz w:val="24"/>
          <w:szCs w:val="24"/>
          <w:lang w:eastAsia="en-GB"/>
          <w14:ligatures w14:val="standardContextual"/>
        </w:rPr>
        <w:tab/>
      </w:r>
      <w:r>
        <w:rPr>
          <w:noProof/>
        </w:rPr>
        <w:t>Estimated funding requirements for institutional strengthening</w:t>
      </w:r>
      <w:r>
        <w:rPr>
          <w:noProof/>
        </w:rPr>
        <w:tab/>
      </w:r>
      <w:r>
        <w:rPr>
          <w:noProof/>
        </w:rPr>
        <w:fldChar w:fldCharType="begin"/>
      </w:r>
      <w:r>
        <w:rPr>
          <w:noProof/>
        </w:rPr>
        <w:instrText xml:space="preserve"> PAGEREF _Toc230099107 \h </w:instrText>
      </w:r>
      <w:r>
        <w:rPr>
          <w:noProof/>
        </w:rPr>
      </w:r>
      <w:r>
        <w:rPr>
          <w:noProof/>
        </w:rPr>
        <w:fldChar w:fldCharType="separate"/>
      </w:r>
      <w:r w:rsidR="009221BF">
        <w:rPr>
          <w:noProof/>
        </w:rPr>
        <w:t>67</w:t>
      </w:r>
      <w:r>
        <w:rPr>
          <w:noProof/>
        </w:rPr>
        <w:fldChar w:fldCharType="end"/>
      </w:r>
    </w:p>
    <w:p w14:paraId="487A2F6C" w14:textId="6D0ECBB3"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5.3</w:t>
      </w:r>
      <w:r>
        <w:rPr>
          <w:rFonts w:eastAsiaTheme="minorEastAsia" w:cstheme="minorBidi"/>
          <w:b w:val="0"/>
          <w:smallCaps w:val="0"/>
          <w:color w:val="auto"/>
          <w:kern w:val="2"/>
          <w:sz w:val="24"/>
          <w:szCs w:val="24"/>
          <w:lang w:eastAsia="en-GB"/>
          <w14:ligatures w14:val="standardContextual"/>
        </w:rPr>
        <w:tab/>
      </w:r>
      <w:r>
        <w:rPr>
          <w:noProof/>
        </w:rPr>
        <w:t>Estimated funding for standard activities</w:t>
      </w:r>
      <w:r>
        <w:rPr>
          <w:noProof/>
        </w:rPr>
        <w:tab/>
      </w:r>
      <w:r>
        <w:rPr>
          <w:noProof/>
        </w:rPr>
        <w:fldChar w:fldCharType="begin"/>
      </w:r>
      <w:r>
        <w:rPr>
          <w:noProof/>
        </w:rPr>
        <w:instrText xml:space="preserve"> PAGEREF _Toc230099108 \h </w:instrText>
      </w:r>
      <w:r>
        <w:rPr>
          <w:noProof/>
        </w:rPr>
      </w:r>
      <w:r>
        <w:rPr>
          <w:noProof/>
        </w:rPr>
        <w:fldChar w:fldCharType="separate"/>
      </w:r>
      <w:r w:rsidR="009221BF">
        <w:rPr>
          <w:noProof/>
        </w:rPr>
        <w:t>68</w:t>
      </w:r>
      <w:r>
        <w:rPr>
          <w:noProof/>
        </w:rPr>
        <w:fldChar w:fldCharType="end"/>
      </w:r>
    </w:p>
    <w:p w14:paraId="127A0E71" w14:textId="5FA71DDB"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5.3.1</w:t>
      </w:r>
      <w:r>
        <w:rPr>
          <w:rFonts w:eastAsiaTheme="minorEastAsia" w:cstheme="minorBidi"/>
          <w:i w:val="0"/>
          <w:smallCaps w:val="0"/>
          <w:snapToGrid/>
          <w:color w:val="auto"/>
          <w:kern w:val="2"/>
          <w:sz w:val="24"/>
          <w:szCs w:val="24"/>
          <w:lang w:eastAsia="en-GB"/>
          <w14:ligatures w14:val="standardContextual"/>
        </w:rPr>
        <w:tab/>
      </w:r>
      <w:r>
        <w:rPr>
          <w:noProof/>
        </w:rPr>
        <w:t>UNEP Compliance Assistance Programme</w:t>
      </w:r>
      <w:r>
        <w:rPr>
          <w:noProof/>
        </w:rPr>
        <w:tab/>
      </w:r>
      <w:r>
        <w:rPr>
          <w:noProof/>
        </w:rPr>
        <w:fldChar w:fldCharType="begin"/>
      </w:r>
      <w:r>
        <w:rPr>
          <w:noProof/>
        </w:rPr>
        <w:instrText xml:space="preserve"> PAGEREF _Toc230099109 \h </w:instrText>
      </w:r>
      <w:r>
        <w:rPr>
          <w:noProof/>
        </w:rPr>
      </w:r>
      <w:r>
        <w:rPr>
          <w:noProof/>
        </w:rPr>
        <w:fldChar w:fldCharType="separate"/>
      </w:r>
      <w:r w:rsidR="009221BF">
        <w:rPr>
          <w:noProof/>
        </w:rPr>
        <w:t>68</w:t>
      </w:r>
      <w:r>
        <w:rPr>
          <w:noProof/>
        </w:rPr>
        <w:fldChar w:fldCharType="end"/>
      </w:r>
    </w:p>
    <w:p w14:paraId="6F88AE1C" w14:textId="63461599"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lastRenderedPageBreak/>
        <w:t>5.3.2</w:t>
      </w:r>
      <w:r>
        <w:rPr>
          <w:rFonts w:eastAsiaTheme="minorEastAsia" w:cstheme="minorBidi"/>
          <w:i w:val="0"/>
          <w:smallCaps w:val="0"/>
          <w:snapToGrid/>
          <w:color w:val="auto"/>
          <w:kern w:val="2"/>
          <w:sz w:val="24"/>
          <w:szCs w:val="24"/>
          <w:lang w:eastAsia="en-GB"/>
          <w14:ligatures w14:val="standardContextual"/>
        </w:rPr>
        <w:tab/>
      </w:r>
      <w:r>
        <w:rPr>
          <w:noProof/>
        </w:rPr>
        <w:t>Core Unit Funding for UNDP, UNIDO and the World Bank</w:t>
      </w:r>
      <w:r>
        <w:rPr>
          <w:noProof/>
        </w:rPr>
        <w:tab/>
      </w:r>
      <w:r>
        <w:rPr>
          <w:noProof/>
        </w:rPr>
        <w:fldChar w:fldCharType="begin"/>
      </w:r>
      <w:r>
        <w:rPr>
          <w:noProof/>
        </w:rPr>
        <w:instrText xml:space="preserve"> PAGEREF _Toc230099110 \h </w:instrText>
      </w:r>
      <w:r>
        <w:rPr>
          <w:noProof/>
        </w:rPr>
      </w:r>
      <w:r>
        <w:rPr>
          <w:noProof/>
        </w:rPr>
        <w:fldChar w:fldCharType="separate"/>
      </w:r>
      <w:r w:rsidR="009221BF">
        <w:rPr>
          <w:noProof/>
        </w:rPr>
        <w:t>69</w:t>
      </w:r>
      <w:r>
        <w:rPr>
          <w:noProof/>
        </w:rPr>
        <w:fldChar w:fldCharType="end"/>
      </w:r>
    </w:p>
    <w:p w14:paraId="698C56B0" w14:textId="25F09213"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5.3.3</w:t>
      </w:r>
      <w:r>
        <w:rPr>
          <w:rFonts w:eastAsiaTheme="minorEastAsia" w:cstheme="minorBidi"/>
          <w:i w:val="0"/>
          <w:smallCaps w:val="0"/>
          <w:snapToGrid/>
          <w:color w:val="auto"/>
          <w:kern w:val="2"/>
          <w:sz w:val="24"/>
          <w:szCs w:val="24"/>
          <w:lang w:eastAsia="en-GB"/>
          <w14:ligatures w14:val="standardContextual"/>
        </w:rPr>
        <w:tab/>
      </w:r>
      <w:r>
        <w:rPr>
          <w:noProof/>
        </w:rPr>
        <w:t>Operating Costs of the MLFS, the ExCom, and Treasury Functions</w:t>
      </w:r>
      <w:r>
        <w:rPr>
          <w:noProof/>
        </w:rPr>
        <w:tab/>
      </w:r>
      <w:r>
        <w:rPr>
          <w:noProof/>
        </w:rPr>
        <w:fldChar w:fldCharType="begin"/>
      </w:r>
      <w:r>
        <w:rPr>
          <w:noProof/>
        </w:rPr>
        <w:instrText xml:space="preserve"> PAGEREF _Toc230099111 \h </w:instrText>
      </w:r>
      <w:r>
        <w:rPr>
          <w:noProof/>
        </w:rPr>
      </w:r>
      <w:r>
        <w:rPr>
          <w:noProof/>
        </w:rPr>
        <w:fldChar w:fldCharType="separate"/>
      </w:r>
      <w:r w:rsidR="009221BF">
        <w:rPr>
          <w:noProof/>
        </w:rPr>
        <w:t>70</w:t>
      </w:r>
      <w:r>
        <w:rPr>
          <w:noProof/>
        </w:rPr>
        <w:fldChar w:fldCharType="end"/>
      </w:r>
    </w:p>
    <w:p w14:paraId="47E69B24" w14:textId="14BF7BAF"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5.4</w:t>
      </w:r>
      <w:r>
        <w:rPr>
          <w:rFonts w:eastAsiaTheme="minorEastAsia" w:cstheme="minorBidi"/>
          <w:b w:val="0"/>
          <w:smallCaps w:val="0"/>
          <w:color w:val="auto"/>
          <w:kern w:val="2"/>
          <w:sz w:val="24"/>
          <w:szCs w:val="24"/>
          <w:lang w:eastAsia="en-GB"/>
          <w14:ligatures w14:val="standardContextual"/>
        </w:rPr>
        <w:tab/>
      </w:r>
      <w:r>
        <w:rPr>
          <w:noProof/>
        </w:rPr>
        <w:t>Summary of funding requirements for IS and SA for 2027-2029</w:t>
      </w:r>
      <w:r>
        <w:rPr>
          <w:noProof/>
        </w:rPr>
        <w:tab/>
      </w:r>
      <w:r>
        <w:rPr>
          <w:noProof/>
        </w:rPr>
        <w:fldChar w:fldCharType="begin"/>
      </w:r>
      <w:r>
        <w:rPr>
          <w:noProof/>
        </w:rPr>
        <w:instrText xml:space="preserve"> PAGEREF _Toc230099112 \h </w:instrText>
      </w:r>
      <w:r>
        <w:rPr>
          <w:noProof/>
        </w:rPr>
      </w:r>
      <w:r>
        <w:rPr>
          <w:noProof/>
        </w:rPr>
        <w:fldChar w:fldCharType="separate"/>
      </w:r>
      <w:r w:rsidR="009221BF">
        <w:rPr>
          <w:noProof/>
        </w:rPr>
        <w:t>70</w:t>
      </w:r>
      <w:r>
        <w:rPr>
          <w:noProof/>
        </w:rPr>
        <w:fldChar w:fldCharType="end"/>
      </w:r>
    </w:p>
    <w:p w14:paraId="74DAA1EC" w14:textId="309DC152"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5.5</w:t>
      </w:r>
      <w:r>
        <w:rPr>
          <w:rFonts w:eastAsiaTheme="minorEastAsia" w:cstheme="minorBidi"/>
          <w:b w:val="0"/>
          <w:smallCaps w:val="0"/>
          <w:color w:val="auto"/>
          <w:kern w:val="2"/>
          <w:sz w:val="24"/>
          <w:szCs w:val="24"/>
          <w:lang w:eastAsia="en-GB"/>
          <w14:ligatures w14:val="standardContextual"/>
        </w:rPr>
        <w:tab/>
      </w:r>
      <w:r>
        <w:rPr>
          <w:noProof/>
        </w:rPr>
        <w:t>Indicative funding for future triennia, 2030-2032 and 2033-2035</w:t>
      </w:r>
      <w:r>
        <w:rPr>
          <w:noProof/>
        </w:rPr>
        <w:tab/>
      </w:r>
      <w:r>
        <w:rPr>
          <w:noProof/>
        </w:rPr>
        <w:fldChar w:fldCharType="begin"/>
      </w:r>
      <w:r>
        <w:rPr>
          <w:noProof/>
        </w:rPr>
        <w:instrText xml:space="preserve"> PAGEREF _Toc230099113 \h </w:instrText>
      </w:r>
      <w:r>
        <w:rPr>
          <w:noProof/>
        </w:rPr>
      </w:r>
      <w:r>
        <w:rPr>
          <w:noProof/>
        </w:rPr>
        <w:fldChar w:fldCharType="separate"/>
      </w:r>
      <w:r w:rsidR="009221BF">
        <w:rPr>
          <w:noProof/>
        </w:rPr>
        <w:t>71</w:t>
      </w:r>
      <w:r>
        <w:rPr>
          <w:noProof/>
        </w:rPr>
        <w:fldChar w:fldCharType="end"/>
      </w:r>
    </w:p>
    <w:p w14:paraId="0282BF84" w14:textId="502B79A9" w:rsidR="00442791" w:rsidRDefault="00442791" w:rsidP="000A5309">
      <w:pPr>
        <w:pStyle w:val="TOC1"/>
        <w:rPr>
          <w:rFonts w:eastAsiaTheme="minorEastAsia" w:cstheme="minorBidi"/>
          <w:color w:val="auto"/>
          <w:kern w:val="2"/>
          <w:sz w:val="24"/>
          <w:szCs w:val="24"/>
          <w:lang w:eastAsia="en-GB"/>
          <w14:ligatures w14:val="standardContextual"/>
        </w:rPr>
      </w:pPr>
      <w:r>
        <w:rPr>
          <w:noProof/>
        </w:rPr>
        <w:t>6</w:t>
      </w:r>
      <w:r>
        <w:rPr>
          <w:rFonts w:eastAsiaTheme="minorEastAsia" w:cstheme="minorBidi"/>
          <w:color w:val="auto"/>
          <w:kern w:val="2"/>
          <w:sz w:val="24"/>
          <w:szCs w:val="24"/>
          <w:lang w:eastAsia="en-GB"/>
          <w14:ligatures w14:val="standardContextual"/>
        </w:rPr>
        <w:tab/>
      </w:r>
      <w:r>
        <w:rPr>
          <w:noProof/>
        </w:rPr>
        <w:t>Special Needs of LVC and VLVC Countries</w:t>
      </w:r>
      <w:r>
        <w:rPr>
          <w:noProof/>
        </w:rPr>
        <w:tab/>
      </w:r>
      <w:r>
        <w:rPr>
          <w:noProof/>
        </w:rPr>
        <w:fldChar w:fldCharType="begin"/>
      </w:r>
      <w:r>
        <w:rPr>
          <w:noProof/>
        </w:rPr>
        <w:instrText xml:space="preserve"> PAGEREF _Toc230099114 \h </w:instrText>
      </w:r>
      <w:r>
        <w:rPr>
          <w:noProof/>
        </w:rPr>
      </w:r>
      <w:r>
        <w:rPr>
          <w:noProof/>
        </w:rPr>
        <w:fldChar w:fldCharType="separate"/>
      </w:r>
      <w:r w:rsidR="009221BF">
        <w:rPr>
          <w:noProof/>
        </w:rPr>
        <w:t>73</w:t>
      </w:r>
      <w:r>
        <w:rPr>
          <w:noProof/>
        </w:rPr>
        <w:fldChar w:fldCharType="end"/>
      </w:r>
    </w:p>
    <w:p w14:paraId="6CF9EA44" w14:textId="755B1AFB"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6.1</w:t>
      </w:r>
      <w:r>
        <w:rPr>
          <w:rFonts w:eastAsiaTheme="minorEastAsia" w:cstheme="minorBidi"/>
          <w:b w:val="0"/>
          <w:smallCaps w:val="0"/>
          <w:color w:val="auto"/>
          <w:kern w:val="2"/>
          <w:sz w:val="24"/>
          <w:szCs w:val="24"/>
          <w:lang w:eastAsia="en-GB"/>
          <w14:ligatures w14:val="standardContextual"/>
        </w:rPr>
        <w:tab/>
      </w:r>
      <w:r>
        <w:rPr>
          <w:noProof/>
        </w:rPr>
        <w:t>Background and summary from 2020 and 2023 RTF reports</w:t>
      </w:r>
      <w:r>
        <w:rPr>
          <w:noProof/>
        </w:rPr>
        <w:tab/>
      </w:r>
      <w:r>
        <w:rPr>
          <w:noProof/>
        </w:rPr>
        <w:fldChar w:fldCharType="begin"/>
      </w:r>
      <w:r>
        <w:rPr>
          <w:noProof/>
        </w:rPr>
        <w:instrText xml:space="preserve"> PAGEREF _Toc230099115 \h </w:instrText>
      </w:r>
      <w:r>
        <w:rPr>
          <w:noProof/>
        </w:rPr>
      </w:r>
      <w:r>
        <w:rPr>
          <w:noProof/>
        </w:rPr>
        <w:fldChar w:fldCharType="separate"/>
      </w:r>
      <w:r w:rsidR="009221BF">
        <w:rPr>
          <w:noProof/>
        </w:rPr>
        <w:t>73</w:t>
      </w:r>
      <w:r>
        <w:rPr>
          <w:noProof/>
        </w:rPr>
        <w:fldChar w:fldCharType="end"/>
      </w:r>
    </w:p>
    <w:p w14:paraId="4A9D1F34" w14:textId="4C46DD8E"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rPr>
        <w:t>6.1.1</w:t>
      </w:r>
      <w:r>
        <w:rPr>
          <w:rFonts w:eastAsiaTheme="minorEastAsia" w:cstheme="minorBidi"/>
          <w:i w:val="0"/>
          <w:smallCaps w:val="0"/>
          <w:snapToGrid/>
          <w:color w:val="auto"/>
          <w:kern w:val="2"/>
          <w:sz w:val="24"/>
          <w:szCs w:val="24"/>
          <w:lang w:eastAsia="en-GB"/>
          <w14:ligatures w14:val="standardContextual"/>
        </w:rPr>
        <w:tab/>
      </w:r>
      <w:r w:rsidRPr="00347B4E">
        <w:rPr>
          <w:noProof/>
        </w:rPr>
        <w:t>RTF 2020 Report</w:t>
      </w:r>
      <w:r>
        <w:rPr>
          <w:noProof/>
        </w:rPr>
        <w:tab/>
      </w:r>
      <w:r>
        <w:rPr>
          <w:noProof/>
        </w:rPr>
        <w:fldChar w:fldCharType="begin"/>
      </w:r>
      <w:r>
        <w:rPr>
          <w:noProof/>
        </w:rPr>
        <w:instrText xml:space="preserve"> PAGEREF _Toc230099116 \h </w:instrText>
      </w:r>
      <w:r>
        <w:rPr>
          <w:noProof/>
        </w:rPr>
      </w:r>
      <w:r>
        <w:rPr>
          <w:noProof/>
        </w:rPr>
        <w:fldChar w:fldCharType="separate"/>
      </w:r>
      <w:r w:rsidR="009221BF">
        <w:rPr>
          <w:noProof/>
        </w:rPr>
        <w:t>73</w:t>
      </w:r>
      <w:r>
        <w:rPr>
          <w:noProof/>
        </w:rPr>
        <w:fldChar w:fldCharType="end"/>
      </w:r>
    </w:p>
    <w:p w14:paraId="08C2D90C" w14:textId="224665F7"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rPr>
        <w:t>6.1.2</w:t>
      </w:r>
      <w:r>
        <w:rPr>
          <w:rFonts w:eastAsiaTheme="minorEastAsia" w:cstheme="minorBidi"/>
          <w:i w:val="0"/>
          <w:smallCaps w:val="0"/>
          <w:snapToGrid/>
          <w:color w:val="auto"/>
          <w:kern w:val="2"/>
          <w:sz w:val="24"/>
          <w:szCs w:val="24"/>
          <w:lang w:eastAsia="en-GB"/>
          <w14:ligatures w14:val="standardContextual"/>
        </w:rPr>
        <w:tab/>
      </w:r>
      <w:r w:rsidRPr="00347B4E">
        <w:rPr>
          <w:noProof/>
        </w:rPr>
        <w:t>RTF 2023 Report</w:t>
      </w:r>
      <w:r>
        <w:rPr>
          <w:noProof/>
        </w:rPr>
        <w:tab/>
      </w:r>
      <w:r>
        <w:rPr>
          <w:noProof/>
        </w:rPr>
        <w:fldChar w:fldCharType="begin"/>
      </w:r>
      <w:r>
        <w:rPr>
          <w:noProof/>
        </w:rPr>
        <w:instrText xml:space="preserve"> PAGEREF _Toc230099117 \h </w:instrText>
      </w:r>
      <w:r>
        <w:rPr>
          <w:noProof/>
        </w:rPr>
      </w:r>
      <w:r>
        <w:rPr>
          <w:noProof/>
        </w:rPr>
        <w:fldChar w:fldCharType="separate"/>
      </w:r>
      <w:r w:rsidR="009221BF">
        <w:rPr>
          <w:noProof/>
        </w:rPr>
        <w:t>73</w:t>
      </w:r>
      <w:r>
        <w:rPr>
          <w:noProof/>
        </w:rPr>
        <w:fldChar w:fldCharType="end"/>
      </w:r>
    </w:p>
    <w:p w14:paraId="360D5BF4" w14:textId="1DF2FF16"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6.2</w:t>
      </w:r>
      <w:r>
        <w:rPr>
          <w:rFonts w:eastAsiaTheme="minorEastAsia" w:cstheme="minorBidi"/>
          <w:b w:val="0"/>
          <w:smallCaps w:val="0"/>
          <w:color w:val="auto"/>
          <w:kern w:val="2"/>
          <w:sz w:val="24"/>
          <w:szCs w:val="24"/>
          <w:lang w:eastAsia="en-GB"/>
          <w14:ligatures w14:val="standardContextual"/>
        </w:rPr>
        <w:tab/>
      </w:r>
      <w:r>
        <w:rPr>
          <w:noProof/>
        </w:rPr>
        <w:t>Approach to understanding LVC and VLVC challenges</w:t>
      </w:r>
      <w:r>
        <w:rPr>
          <w:noProof/>
        </w:rPr>
        <w:tab/>
      </w:r>
      <w:r>
        <w:rPr>
          <w:noProof/>
        </w:rPr>
        <w:fldChar w:fldCharType="begin"/>
      </w:r>
      <w:r>
        <w:rPr>
          <w:noProof/>
        </w:rPr>
        <w:instrText xml:space="preserve"> PAGEREF _Toc230099118 \h </w:instrText>
      </w:r>
      <w:r>
        <w:rPr>
          <w:noProof/>
        </w:rPr>
      </w:r>
      <w:r>
        <w:rPr>
          <w:noProof/>
        </w:rPr>
        <w:fldChar w:fldCharType="separate"/>
      </w:r>
      <w:r w:rsidR="009221BF">
        <w:rPr>
          <w:noProof/>
        </w:rPr>
        <w:t>74</w:t>
      </w:r>
      <w:r>
        <w:rPr>
          <w:noProof/>
        </w:rPr>
        <w:fldChar w:fldCharType="end"/>
      </w:r>
    </w:p>
    <w:p w14:paraId="398D7B21" w14:textId="7E1FF85F"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rPr>
        <w:t>6.2.1</w:t>
      </w:r>
      <w:r>
        <w:rPr>
          <w:rFonts w:eastAsiaTheme="minorEastAsia" w:cstheme="minorBidi"/>
          <w:i w:val="0"/>
          <w:smallCaps w:val="0"/>
          <w:snapToGrid/>
          <w:color w:val="auto"/>
          <w:kern w:val="2"/>
          <w:sz w:val="24"/>
          <w:szCs w:val="24"/>
          <w:lang w:eastAsia="en-GB"/>
          <w14:ligatures w14:val="standardContextual"/>
        </w:rPr>
        <w:tab/>
      </w:r>
      <w:r w:rsidRPr="00347B4E">
        <w:rPr>
          <w:noProof/>
        </w:rPr>
        <w:t>Cost of fixed-cost activities across all brackets</w:t>
      </w:r>
      <w:r>
        <w:rPr>
          <w:noProof/>
        </w:rPr>
        <w:tab/>
      </w:r>
      <w:r>
        <w:rPr>
          <w:noProof/>
        </w:rPr>
        <w:fldChar w:fldCharType="begin"/>
      </w:r>
      <w:r>
        <w:rPr>
          <w:noProof/>
        </w:rPr>
        <w:instrText xml:space="preserve"> PAGEREF _Toc230099119 \h </w:instrText>
      </w:r>
      <w:r>
        <w:rPr>
          <w:noProof/>
        </w:rPr>
      </w:r>
      <w:r>
        <w:rPr>
          <w:noProof/>
        </w:rPr>
        <w:fldChar w:fldCharType="separate"/>
      </w:r>
      <w:r w:rsidR="009221BF">
        <w:rPr>
          <w:noProof/>
        </w:rPr>
        <w:t>75</w:t>
      </w:r>
      <w:r>
        <w:rPr>
          <w:noProof/>
        </w:rPr>
        <w:fldChar w:fldCharType="end"/>
      </w:r>
    </w:p>
    <w:p w14:paraId="03B97284" w14:textId="29BEEFDD"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sidRPr="00347B4E">
        <w:rPr>
          <w:noProof/>
        </w:rPr>
        <w:t>6.2.2</w:t>
      </w:r>
      <w:r>
        <w:rPr>
          <w:rFonts w:eastAsiaTheme="minorEastAsia" w:cstheme="minorBidi"/>
          <w:i w:val="0"/>
          <w:smallCaps w:val="0"/>
          <w:snapToGrid/>
          <w:color w:val="auto"/>
          <w:kern w:val="2"/>
          <w:sz w:val="24"/>
          <w:szCs w:val="24"/>
          <w:lang w:eastAsia="en-GB"/>
          <w14:ligatures w14:val="standardContextual"/>
        </w:rPr>
        <w:tab/>
      </w:r>
      <w:r w:rsidRPr="00347B4E">
        <w:rPr>
          <w:noProof/>
        </w:rPr>
        <w:t>Technician training – an analysis of approved KIPs until the 97</w:t>
      </w:r>
      <w:r w:rsidRPr="00347B4E">
        <w:rPr>
          <w:noProof/>
          <w:vertAlign w:val="superscript"/>
        </w:rPr>
        <w:t>th</w:t>
      </w:r>
      <w:r w:rsidRPr="00347B4E">
        <w:rPr>
          <w:noProof/>
        </w:rPr>
        <w:t xml:space="preserve"> ExCom</w:t>
      </w:r>
      <w:r>
        <w:rPr>
          <w:noProof/>
        </w:rPr>
        <w:tab/>
      </w:r>
      <w:r>
        <w:rPr>
          <w:noProof/>
        </w:rPr>
        <w:fldChar w:fldCharType="begin"/>
      </w:r>
      <w:r>
        <w:rPr>
          <w:noProof/>
        </w:rPr>
        <w:instrText xml:space="preserve"> PAGEREF _Toc230099120 \h </w:instrText>
      </w:r>
      <w:r>
        <w:rPr>
          <w:noProof/>
        </w:rPr>
      </w:r>
      <w:r>
        <w:rPr>
          <w:noProof/>
        </w:rPr>
        <w:fldChar w:fldCharType="separate"/>
      </w:r>
      <w:r w:rsidR="009221BF">
        <w:rPr>
          <w:noProof/>
        </w:rPr>
        <w:t>77</w:t>
      </w:r>
      <w:r>
        <w:rPr>
          <w:noProof/>
        </w:rPr>
        <w:fldChar w:fldCharType="end"/>
      </w:r>
    </w:p>
    <w:p w14:paraId="7C6AD70A" w14:textId="5B75C1DB"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6.3</w:t>
      </w:r>
      <w:r>
        <w:rPr>
          <w:rFonts w:eastAsiaTheme="minorEastAsia" w:cstheme="minorBidi"/>
          <w:b w:val="0"/>
          <w:smallCaps w:val="0"/>
          <w:color w:val="auto"/>
          <w:kern w:val="2"/>
          <w:sz w:val="24"/>
          <w:szCs w:val="24"/>
          <w:lang w:eastAsia="en-GB"/>
          <w14:ligatures w14:val="standardContextual"/>
        </w:rPr>
        <w:tab/>
      </w:r>
      <w:r>
        <w:rPr>
          <w:noProof/>
        </w:rPr>
        <w:t>Why LVC and VLVC countries may struggle to meet HFC phase-down requirements</w:t>
      </w:r>
      <w:r>
        <w:rPr>
          <w:noProof/>
        </w:rPr>
        <w:tab/>
      </w:r>
      <w:r>
        <w:rPr>
          <w:noProof/>
        </w:rPr>
        <w:fldChar w:fldCharType="begin"/>
      </w:r>
      <w:r>
        <w:rPr>
          <w:noProof/>
        </w:rPr>
        <w:instrText xml:space="preserve"> PAGEREF _Toc230099121 \h </w:instrText>
      </w:r>
      <w:r>
        <w:rPr>
          <w:noProof/>
        </w:rPr>
      </w:r>
      <w:r>
        <w:rPr>
          <w:noProof/>
        </w:rPr>
        <w:fldChar w:fldCharType="separate"/>
      </w:r>
      <w:r w:rsidR="009221BF">
        <w:rPr>
          <w:noProof/>
        </w:rPr>
        <w:t>82</w:t>
      </w:r>
      <w:r>
        <w:rPr>
          <w:noProof/>
        </w:rPr>
        <w:fldChar w:fldCharType="end"/>
      </w:r>
    </w:p>
    <w:p w14:paraId="29C89777" w14:textId="0384BA83"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6.4</w:t>
      </w:r>
      <w:r>
        <w:rPr>
          <w:rFonts w:eastAsiaTheme="minorEastAsia" w:cstheme="minorBidi"/>
          <w:b w:val="0"/>
          <w:smallCaps w:val="0"/>
          <w:color w:val="auto"/>
          <w:kern w:val="2"/>
          <w:sz w:val="24"/>
          <w:szCs w:val="24"/>
          <w:lang w:eastAsia="en-GB"/>
          <w14:ligatures w14:val="standardContextual"/>
        </w:rPr>
        <w:tab/>
      </w:r>
      <w:r>
        <w:rPr>
          <w:noProof/>
        </w:rPr>
        <w:t>Funding for KIP Stage II and scenario for 2028 revision of CE factors</w:t>
      </w:r>
      <w:r>
        <w:rPr>
          <w:noProof/>
        </w:rPr>
        <w:tab/>
      </w:r>
      <w:r>
        <w:rPr>
          <w:noProof/>
        </w:rPr>
        <w:fldChar w:fldCharType="begin"/>
      </w:r>
      <w:r>
        <w:rPr>
          <w:noProof/>
        </w:rPr>
        <w:instrText xml:space="preserve"> PAGEREF _Toc230099122 \h </w:instrText>
      </w:r>
      <w:r>
        <w:rPr>
          <w:noProof/>
        </w:rPr>
      </w:r>
      <w:r>
        <w:rPr>
          <w:noProof/>
        </w:rPr>
        <w:fldChar w:fldCharType="separate"/>
      </w:r>
      <w:r w:rsidR="009221BF">
        <w:rPr>
          <w:noProof/>
        </w:rPr>
        <w:t>82</w:t>
      </w:r>
      <w:r>
        <w:rPr>
          <w:noProof/>
        </w:rPr>
        <w:fldChar w:fldCharType="end"/>
      </w:r>
    </w:p>
    <w:p w14:paraId="0F677B63" w14:textId="468A44A7" w:rsidR="00442791" w:rsidRDefault="00442791" w:rsidP="000A5309">
      <w:pPr>
        <w:pStyle w:val="TOC1"/>
        <w:rPr>
          <w:rFonts w:eastAsiaTheme="minorEastAsia" w:cstheme="minorBidi"/>
          <w:color w:val="auto"/>
          <w:kern w:val="2"/>
          <w:sz w:val="24"/>
          <w:szCs w:val="24"/>
          <w:lang w:eastAsia="en-GB"/>
          <w14:ligatures w14:val="standardContextual"/>
        </w:rPr>
      </w:pPr>
      <w:r>
        <w:rPr>
          <w:noProof/>
        </w:rPr>
        <w:t>7</w:t>
      </w:r>
      <w:r>
        <w:rPr>
          <w:rFonts w:eastAsiaTheme="minorEastAsia" w:cstheme="minorBidi"/>
          <w:color w:val="auto"/>
          <w:kern w:val="2"/>
          <w:sz w:val="24"/>
          <w:szCs w:val="24"/>
          <w:lang w:eastAsia="en-GB"/>
          <w14:ligatures w14:val="standardContextual"/>
        </w:rPr>
        <w:tab/>
      </w:r>
      <w:r>
        <w:rPr>
          <w:noProof/>
        </w:rPr>
        <w:t>Funding Estimate for Maintaining and/or Enhancing Energy Efficiency While Phasing Down HFC</w:t>
      </w:r>
      <w:r>
        <w:rPr>
          <w:noProof/>
        </w:rPr>
        <w:tab/>
      </w:r>
      <w:r>
        <w:rPr>
          <w:noProof/>
        </w:rPr>
        <w:fldChar w:fldCharType="begin"/>
      </w:r>
      <w:r>
        <w:rPr>
          <w:noProof/>
        </w:rPr>
        <w:instrText xml:space="preserve"> PAGEREF _Toc230099123 \h </w:instrText>
      </w:r>
      <w:r>
        <w:rPr>
          <w:noProof/>
        </w:rPr>
      </w:r>
      <w:r>
        <w:rPr>
          <w:noProof/>
        </w:rPr>
        <w:fldChar w:fldCharType="separate"/>
      </w:r>
      <w:r w:rsidR="009221BF">
        <w:rPr>
          <w:noProof/>
        </w:rPr>
        <w:t>85</w:t>
      </w:r>
      <w:r>
        <w:rPr>
          <w:noProof/>
        </w:rPr>
        <w:fldChar w:fldCharType="end"/>
      </w:r>
    </w:p>
    <w:p w14:paraId="0FF53F90" w14:textId="4A61AB56"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7.1</w:t>
      </w:r>
      <w:r>
        <w:rPr>
          <w:rFonts w:eastAsiaTheme="minorEastAsia" w:cstheme="minorBidi"/>
          <w:b w:val="0"/>
          <w:smallCaps w:val="0"/>
          <w:color w:val="auto"/>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_Toc230099124 \h </w:instrText>
      </w:r>
      <w:r>
        <w:rPr>
          <w:noProof/>
        </w:rPr>
      </w:r>
      <w:r>
        <w:rPr>
          <w:noProof/>
        </w:rPr>
        <w:fldChar w:fldCharType="separate"/>
      </w:r>
      <w:r w:rsidR="009221BF">
        <w:rPr>
          <w:noProof/>
        </w:rPr>
        <w:t>85</w:t>
      </w:r>
      <w:r>
        <w:rPr>
          <w:noProof/>
        </w:rPr>
        <w:fldChar w:fldCharType="end"/>
      </w:r>
    </w:p>
    <w:p w14:paraId="4E942C70" w14:textId="5E852ADB"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7.2</w:t>
      </w:r>
      <w:r>
        <w:rPr>
          <w:rFonts w:eastAsiaTheme="minorEastAsia" w:cstheme="minorBidi"/>
          <w:b w:val="0"/>
          <w:smallCaps w:val="0"/>
          <w:color w:val="auto"/>
          <w:kern w:val="2"/>
          <w:sz w:val="24"/>
          <w:szCs w:val="24"/>
          <w:lang w:eastAsia="en-GB"/>
          <w14:ligatures w14:val="standardContextual"/>
        </w:rPr>
        <w:tab/>
      </w:r>
      <w:r>
        <w:rPr>
          <w:noProof/>
        </w:rPr>
        <w:t>Estimated funding related to EE based on Decision 89/6 for LVCs</w:t>
      </w:r>
      <w:r>
        <w:rPr>
          <w:noProof/>
        </w:rPr>
        <w:tab/>
      </w:r>
      <w:r>
        <w:rPr>
          <w:noProof/>
        </w:rPr>
        <w:fldChar w:fldCharType="begin"/>
      </w:r>
      <w:r>
        <w:rPr>
          <w:noProof/>
        </w:rPr>
        <w:instrText xml:space="preserve"> PAGEREF _Toc230099125 \h </w:instrText>
      </w:r>
      <w:r>
        <w:rPr>
          <w:noProof/>
        </w:rPr>
      </w:r>
      <w:r>
        <w:rPr>
          <w:noProof/>
        </w:rPr>
        <w:fldChar w:fldCharType="separate"/>
      </w:r>
      <w:r w:rsidR="009221BF">
        <w:rPr>
          <w:noProof/>
        </w:rPr>
        <w:t>86</w:t>
      </w:r>
      <w:r>
        <w:rPr>
          <w:noProof/>
        </w:rPr>
        <w:fldChar w:fldCharType="end"/>
      </w:r>
    </w:p>
    <w:p w14:paraId="25799636" w14:textId="22962656"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7.3</w:t>
      </w:r>
      <w:r>
        <w:rPr>
          <w:rFonts w:eastAsiaTheme="minorEastAsia" w:cstheme="minorBidi"/>
          <w:b w:val="0"/>
          <w:smallCaps w:val="0"/>
          <w:color w:val="auto"/>
          <w:kern w:val="2"/>
          <w:sz w:val="24"/>
          <w:szCs w:val="24"/>
          <w:lang w:eastAsia="en-GB"/>
          <w14:ligatures w14:val="standardContextual"/>
        </w:rPr>
        <w:tab/>
      </w:r>
      <w:r>
        <w:rPr>
          <w:noProof/>
        </w:rPr>
        <w:t>Approved EE funding window in Decision 91/65</w:t>
      </w:r>
      <w:r>
        <w:rPr>
          <w:noProof/>
        </w:rPr>
        <w:tab/>
      </w:r>
      <w:r>
        <w:rPr>
          <w:noProof/>
        </w:rPr>
        <w:fldChar w:fldCharType="begin"/>
      </w:r>
      <w:r>
        <w:rPr>
          <w:noProof/>
        </w:rPr>
        <w:instrText xml:space="preserve"> PAGEREF _Toc230099126 \h </w:instrText>
      </w:r>
      <w:r>
        <w:rPr>
          <w:noProof/>
        </w:rPr>
      </w:r>
      <w:r>
        <w:rPr>
          <w:noProof/>
        </w:rPr>
        <w:fldChar w:fldCharType="separate"/>
      </w:r>
      <w:r w:rsidR="009221BF">
        <w:rPr>
          <w:noProof/>
        </w:rPr>
        <w:t>86</w:t>
      </w:r>
      <w:r>
        <w:rPr>
          <w:noProof/>
        </w:rPr>
        <w:fldChar w:fldCharType="end"/>
      </w:r>
    </w:p>
    <w:p w14:paraId="44846112" w14:textId="1D4A85C4"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7.4</w:t>
      </w:r>
      <w:r>
        <w:rPr>
          <w:rFonts w:eastAsiaTheme="minorEastAsia" w:cstheme="minorBidi"/>
          <w:b w:val="0"/>
          <w:smallCaps w:val="0"/>
          <w:color w:val="auto"/>
          <w:kern w:val="2"/>
          <w:sz w:val="24"/>
          <w:szCs w:val="24"/>
          <w:lang w:eastAsia="en-GB"/>
          <w14:ligatures w14:val="standardContextual"/>
        </w:rPr>
        <w:tab/>
      </w:r>
      <w:r>
        <w:rPr>
          <w:noProof/>
        </w:rPr>
        <w:t>Approved EE funding window in Decision 94/60</w:t>
      </w:r>
      <w:r>
        <w:rPr>
          <w:noProof/>
        </w:rPr>
        <w:tab/>
      </w:r>
      <w:r>
        <w:rPr>
          <w:noProof/>
        </w:rPr>
        <w:fldChar w:fldCharType="begin"/>
      </w:r>
      <w:r>
        <w:rPr>
          <w:noProof/>
        </w:rPr>
        <w:instrText xml:space="preserve"> PAGEREF _Toc230099127 \h </w:instrText>
      </w:r>
      <w:r>
        <w:rPr>
          <w:noProof/>
        </w:rPr>
      </w:r>
      <w:r>
        <w:rPr>
          <w:noProof/>
        </w:rPr>
        <w:fldChar w:fldCharType="separate"/>
      </w:r>
      <w:r w:rsidR="009221BF">
        <w:rPr>
          <w:noProof/>
        </w:rPr>
        <w:t>87</w:t>
      </w:r>
      <w:r>
        <w:rPr>
          <w:noProof/>
        </w:rPr>
        <w:fldChar w:fldCharType="end"/>
      </w:r>
    </w:p>
    <w:p w14:paraId="258CC602" w14:textId="79304076"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7.5</w:t>
      </w:r>
      <w:r>
        <w:rPr>
          <w:rFonts w:eastAsiaTheme="minorEastAsia" w:cstheme="minorBidi"/>
          <w:b w:val="0"/>
          <w:smallCaps w:val="0"/>
          <w:color w:val="auto"/>
          <w:kern w:val="2"/>
          <w:sz w:val="24"/>
          <w:szCs w:val="24"/>
          <w:lang w:eastAsia="en-GB"/>
          <w14:ligatures w14:val="standardContextual"/>
        </w:rPr>
        <w:tab/>
      </w:r>
      <w:r>
        <w:rPr>
          <w:noProof/>
        </w:rPr>
        <w:t>Approved EE funding window in Decision 95/87</w:t>
      </w:r>
      <w:r>
        <w:rPr>
          <w:noProof/>
        </w:rPr>
        <w:tab/>
      </w:r>
      <w:r>
        <w:rPr>
          <w:noProof/>
        </w:rPr>
        <w:fldChar w:fldCharType="begin"/>
      </w:r>
      <w:r>
        <w:rPr>
          <w:noProof/>
        </w:rPr>
        <w:instrText xml:space="preserve"> PAGEREF _Toc230099128 \h </w:instrText>
      </w:r>
      <w:r>
        <w:rPr>
          <w:noProof/>
        </w:rPr>
      </w:r>
      <w:r>
        <w:rPr>
          <w:noProof/>
        </w:rPr>
        <w:fldChar w:fldCharType="separate"/>
      </w:r>
      <w:r w:rsidR="009221BF">
        <w:rPr>
          <w:noProof/>
        </w:rPr>
        <w:t>88</w:t>
      </w:r>
      <w:r>
        <w:rPr>
          <w:noProof/>
        </w:rPr>
        <w:fldChar w:fldCharType="end"/>
      </w:r>
    </w:p>
    <w:p w14:paraId="249505BB" w14:textId="0A8D8910"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7.6</w:t>
      </w:r>
      <w:r>
        <w:rPr>
          <w:rFonts w:eastAsiaTheme="minorEastAsia" w:cstheme="minorBidi"/>
          <w:b w:val="0"/>
          <w:smallCaps w:val="0"/>
          <w:color w:val="auto"/>
          <w:kern w:val="2"/>
          <w:sz w:val="24"/>
          <w:szCs w:val="24"/>
          <w:lang w:eastAsia="en-GB"/>
          <w14:ligatures w14:val="standardContextual"/>
        </w:rPr>
        <w:tab/>
      </w:r>
      <w:r>
        <w:rPr>
          <w:noProof/>
        </w:rPr>
        <w:t>Summary of funding needs for EE during the HFC phase-down in the 2027-2029 triennium</w:t>
      </w:r>
      <w:r>
        <w:rPr>
          <w:noProof/>
        </w:rPr>
        <w:tab/>
      </w:r>
      <w:r>
        <w:rPr>
          <w:noProof/>
        </w:rPr>
        <w:fldChar w:fldCharType="begin"/>
      </w:r>
      <w:r>
        <w:rPr>
          <w:noProof/>
        </w:rPr>
        <w:instrText xml:space="preserve"> PAGEREF _Toc230099129 \h </w:instrText>
      </w:r>
      <w:r>
        <w:rPr>
          <w:noProof/>
        </w:rPr>
      </w:r>
      <w:r>
        <w:rPr>
          <w:noProof/>
        </w:rPr>
        <w:fldChar w:fldCharType="separate"/>
      </w:r>
      <w:r w:rsidR="009221BF">
        <w:rPr>
          <w:noProof/>
        </w:rPr>
        <w:t>88</w:t>
      </w:r>
      <w:r>
        <w:rPr>
          <w:noProof/>
        </w:rPr>
        <w:fldChar w:fldCharType="end"/>
      </w:r>
    </w:p>
    <w:p w14:paraId="0409A9F5" w14:textId="2D97D726" w:rsidR="00442791" w:rsidRDefault="00442791" w:rsidP="000A5309">
      <w:pPr>
        <w:pStyle w:val="TOC1"/>
        <w:rPr>
          <w:rFonts w:eastAsiaTheme="minorEastAsia" w:cstheme="minorBidi"/>
          <w:color w:val="auto"/>
          <w:kern w:val="2"/>
          <w:sz w:val="24"/>
          <w:szCs w:val="24"/>
          <w:lang w:eastAsia="en-GB"/>
          <w14:ligatures w14:val="standardContextual"/>
        </w:rPr>
      </w:pPr>
      <w:r>
        <w:rPr>
          <w:noProof/>
        </w:rPr>
        <w:t>8</w:t>
      </w:r>
      <w:r>
        <w:rPr>
          <w:rFonts w:eastAsiaTheme="minorEastAsia" w:cstheme="minorBidi"/>
          <w:color w:val="auto"/>
          <w:kern w:val="2"/>
          <w:sz w:val="24"/>
          <w:szCs w:val="24"/>
          <w:lang w:eastAsia="en-GB"/>
          <w14:ligatures w14:val="standardContextual"/>
        </w:rPr>
        <w:tab/>
      </w:r>
      <w:r>
        <w:rPr>
          <w:noProof/>
        </w:rPr>
        <w:t>Lifecycle Refrigerant Management</w:t>
      </w:r>
      <w:r>
        <w:rPr>
          <w:noProof/>
        </w:rPr>
        <w:tab/>
      </w:r>
      <w:r>
        <w:rPr>
          <w:noProof/>
        </w:rPr>
        <w:fldChar w:fldCharType="begin"/>
      </w:r>
      <w:r>
        <w:rPr>
          <w:noProof/>
        </w:rPr>
        <w:instrText xml:space="preserve"> PAGEREF _Toc230099130 \h </w:instrText>
      </w:r>
      <w:r>
        <w:rPr>
          <w:noProof/>
        </w:rPr>
      </w:r>
      <w:r>
        <w:rPr>
          <w:noProof/>
        </w:rPr>
        <w:fldChar w:fldCharType="separate"/>
      </w:r>
      <w:r w:rsidR="009221BF">
        <w:rPr>
          <w:noProof/>
        </w:rPr>
        <w:t>91</w:t>
      </w:r>
      <w:r>
        <w:rPr>
          <w:noProof/>
        </w:rPr>
        <w:fldChar w:fldCharType="end"/>
      </w:r>
    </w:p>
    <w:p w14:paraId="01C9D960" w14:textId="7DDBF79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8.1</w:t>
      </w:r>
      <w:r>
        <w:rPr>
          <w:rFonts w:eastAsiaTheme="minorEastAsia" w:cstheme="minorBidi"/>
          <w:b w:val="0"/>
          <w:smallCaps w:val="0"/>
          <w:color w:val="auto"/>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_Toc230099131 \h </w:instrText>
      </w:r>
      <w:r>
        <w:rPr>
          <w:noProof/>
        </w:rPr>
      </w:r>
      <w:r>
        <w:rPr>
          <w:noProof/>
        </w:rPr>
        <w:fldChar w:fldCharType="separate"/>
      </w:r>
      <w:r w:rsidR="009221BF">
        <w:rPr>
          <w:noProof/>
        </w:rPr>
        <w:t>91</w:t>
      </w:r>
      <w:r>
        <w:rPr>
          <w:noProof/>
        </w:rPr>
        <w:fldChar w:fldCharType="end"/>
      </w:r>
    </w:p>
    <w:p w14:paraId="37A4E249" w14:textId="62F0B5DB"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8.2</w:t>
      </w:r>
      <w:r>
        <w:rPr>
          <w:rFonts w:eastAsiaTheme="minorEastAsia" w:cstheme="minorBidi"/>
          <w:b w:val="0"/>
          <w:smallCaps w:val="0"/>
          <w:color w:val="auto"/>
          <w:kern w:val="2"/>
          <w:sz w:val="24"/>
          <w:szCs w:val="24"/>
          <w:lang w:eastAsia="en-GB"/>
          <w14:ligatures w14:val="standardContextual"/>
        </w:rPr>
        <w:tab/>
      </w:r>
      <w:r>
        <w:rPr>
          <w:noProof/>
        </w:rPr>
        <w:t>Enhanced recovery, recycling and collection</w:t>
      </w:r>
      <w:r>
        <w:rPr>
          <w:noProof/>
        </w:rPr>
        <w:tab/>
      </w:r>
      <w:r>
        <w:rPr>
          <w:noProof/>
        </w:rPr>
        <w:fldChar w:fldCharType="begin"/>
      </w:r>
      <w:r>
        <w:rPr>
          <w:noProof/>
        </w:rPr>
        <w:instrText xml:space="preserve"> PAGEREF _Toc230099132 \h </w:instrText>
      </w:r>
      <w:r>
        <w:rPr>
          <w:noProof/>
        </w:rPr>
      </w:r>
      <w:r>
        <w:rPr>
          <w:noProof/>
        </w:rPr>
        <w:fldChar w:fldCharType="separate"/>
      </w:r>
      <w:r w:rsidR="009221BF">
        <w:rPr>
          <w:noProof/>
        </w:rPr>
        <w:t>94</w:t>
      </w:r>
      <w:r>
        <w:rPr>
          <w:noProof/>
        </w:rPr>
        <w:fldChar w:fldCharType="end"/>
      </w:r>
    </w:p>
    <w:p w14:paraId="4B89DD04" w14:textId="325B0F3A"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8.3</w:t>
      </w:r>
      <w:r>
        <w:rPr>
          <w:rFonts w:eastAsiaTheme="minorEastAsia" w:cstheme="minorBidi"/>
          <w:b w:val="0"/>
          <w:smallCaps w:val="0"/>
          <w:color w:val="auto"/>
          <w:kern w:val="2"/>
          <w:sz w:val="24"/>
          <w:szCs w:val="24"/>
          <w:lang w:eastAsia="en-GB"/>
          <w14:ligatures w14:val="standardContextual"/>
        </w:rPr>
        <w:tab/>
      </w:r>
      <w:r>
        <w:rPr>
          <w:noProof/>
        </w:rPr>
        <w:t>Expanded reclamation capacity</w:t>
      </w:r>
      <w:r>
        <w:rPr>
          <w:noProof/>
        </w:rPr>
        <w:tab/>
      </w:r>
      <w:r>
        <w:rPr>
          <w:noProof/>
        </w:rPr>
        <w:fldChar w:fldCharType="begin"/>
      </w:r>
      <w:r>
        <w:rPr>
          <w:noProof/>
        </w:rPr>
        <w:instrText xml:space="preserve"> PAGEREF _Toc230099133 \h </w:instrText>
      </w:r>
      <w:r>
        <w:rPr>
          <w:noProof/>
        </w:rPr>
      </w:r>
      <w:r>
        <w:rPr>
          <w:noProof/>
        </w:rPr>
        <w:fldChar w:fldCharType="separate"/>
      </w:r>
      <w:r w:rsidR="009221BF">
        <w:rPr>
          <w:noProof/>
        </w:rPr>
        <w:t>94</w:t>
      </w:r>
      <w:r>
        <w:rPr>
          <w:noProof/>
        </w:rPr>
        <w:fldChar w:fldCharType="end"/>
      </w:r>
    </w:p>
    <w:p w14:paraId="02F0D2C6" w14:textId="17AC355B"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8.4</w:t>
      </w:r>
      <w:r>
        <w:rPr>
          <w:rFonts w:eastAsiaTheme="minorEastAsia" w:cstheme="minorBidi"/>
          <w:b w:val="0"/>
          <w:smallCaps w:val="0"/>
          <w:color w:val="auto"/>
          <w:kern w:val="2"/>
          <w:sz w:val="24"/>
          <w:szCs w:val="24"/>
          <w:lang w:eastAsia="en-GB"/>
          <w14:ligatures w14:val="standardContextual"/>
        </w:rPr>
        <w:tab/>
      </w:r>
      <w:r>
        <w:rPr>
          <w:noProof/>
        </w:rPr>
        <w:t>Facilitate transboundary shipment of recovered refrigerants</w:t>
      </w:r>
      <w:r>
        <w:rPr>
          <w:noProof/>
        </w:rPr>
        <w:tab/>
      </w:r>
      <w:r>
        <w:rPr>
          <w:noProof/>
        </w:rPr>
        <w:fldChar w:fldCharType="begin"/>
      </w:r>
      <w:r>
        <w:rPr>
          <w:noProof/>
        </w:rPr>
        <w:instrText xml:space="preserve"> PAGEREF _Toc230099134 \h </w:instrText>
      </w:r>
      <w:r>
        <w:rPr>
          <w:noProof/>
        </w:rPr>
      </w:r>
      <w:r>
        <w:rPr>
          <w:noProof/>
        </w:rPr>
        <w:fldChar w:fldCharType="separate"/>
      </w:r>
      <w:r w:rsidR="009221BF">
        <w:rPr>
          <w:noProof/>
        </w:rPr>
        <w:t>94</w:t>
      </w:r>
      <w:r>
        <w:rPr>
          <w:noProof/>
        </w:rPr>
        <w:fldChar w:fldCharType="end"/>
      </w:r>
    </w:p>
    <w:p w14:paraId="6BD2B41E" w14:textId="22936003"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8.5</w:t>
      </w:r>
      <w:r>
        <w:rPr>
          <w:rFonts w:eastAsiaTheme="minorEastAsia" w:cstheme="minorBidi"/>
          <w:b w:val="0"/>
          <w:smallCaps w:val="0"/>
          <w:color w:val="auto"/>
          <w:kern w:val="2"/>
          <w:sz w:val="24"/>
          <w:szCs w:val="24"/>
          <w:lang w:eastAsia="en-GB"/>
          <w14:ligatures w14:val="standardContextual"/>
        </w:rPr>
        <w:tab/>
      </w:r>
      <w:r>
        <w:rPr>
          <w:noProof/>
        </w:rPr>
        <w:t>Enabling destruction where required</w:t>
      </w:r>
      <w:r>
        <w:rPr>
          <w:noProof/>
        </w:rPr>
        <w:tab/>
      </w:r>
      <w:r>
        <w:rPr>
          <w:noProof/>
        </w:rPr>
        <w:fldChar w:fldCharType="begin"/>
      </w:r>
      <w:r>
        <w:rPr>
          <w:noProof/>
        </w:rPr>
        <w:instrText xml:space="preserve"> PAGEREF _Toc230099135 \h </w:instrText>
      </w:r>
      <w:r>
        <w:rPr>
          <w:noProof/>
        </w:rPr>
      </w:r>
      <w:r>
        <w:rPr>
          <w:noProof/>
        </w:rPr>
        <w:fldChar w:fldCharType="separate"/>
      </w:r>
      <w:r w:rsidR="009221BF">
        <w:rPr>
          <w:noProof/>
        </w:rPr>
        <w:t>95</w:t>
      </w:r>
      <w:r>
        <w:rPr>
          <w:noProof/>
        </w:rPr>
        <w:fldChar w:fldCharType="end"/>
      </w:r>
    </w:p>
    <w:p w14:paraId="0D54D9F7" w14:textId="763AB94F"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8.6</w:t>
      </w:r>
      <w:r>
        <w:rPr>
          <w:rFonts w:eastAsiaTheme="minorEastAsia" w:cstheme="minorBidi"/>
          <w:b w:val="0"/>
          <w:smallCaps w:val="0"/>
          <w:color w:val="auto"/>
          <w:kern w:val="2"/>
          <w:sz w:val="24"/>
          <w:szCs w:val="24"/>
          <w:lang w:eastAsia="en-GB"/>
          <w14:ligatures w14:val="standardContextual"/>
        </w:rPr>
        <w:tab/>
      </w:r>
      <w:r>
        <w:rPr>
          <w:noProof/>
        </w:rPr>
        <w:t>Conclusions</w:t>
      </w:r>
      <w:r>
        <w:rPr>
          <w:noProof/>
        </w:rPr>
        <w:tab/>
      </w:r>
      <w:r>
        <w:rPr>
          <w:noProof/>
        </w:rPr>
        <w:fldChar w:fldCharType="begin"/>
      </w:r>
      <w:r>
        <w:rPr>
          <w:noProof/>
        </w:rPr>
        <w:instrText xml:space="preserve"> PAGEREF _Toc230099136 \h </w:instrText>
      </w:r>
      <w:r>
        <w:rPr>
          <w:noProof/>
        </w:rPr>
      </w:r>
      <w:r>
        <w:rPr>
          <w:noProof/>
        </w:rPr>
        <w:fldChar w:fldCharType="separate"/>
      </w:r>
      <w:r w:rsidR="009221BF">
        <w:rPr>
          <w:noProof/>
        </w:rPr>
        <w:t>95</w:t>
      </w:r>
      <w:r>
        <w:rPr>
          <w:noProof/>
        </w:rPr>
        <w:fldChar w:fldCharType="end"/>
      </w:r>
    </w:p>
    <w:p w14:paraId="0B3A94E7" w14:textId="59672621" w:rsidR="00442791" w:rsidRDefault="00442791" w:rsidP="000A5309">
      <w:pPr>
        <w:pStyle w:val="TOC1"/>
        <w:rPr>
          <w:rFonts w:eastAsiaTheme="minorEastAsia" w:cstheme="minorBidi"/>
          <w:color w:val="auto"/>
          <w:kern w:val="2"/>
          <w:sz w:val="24"/>
          <w:szCs w:val="24"/>
          <w:lang w:eastAsia="en-GB"/>
          <w14:ligatures w14:val="standardContextual"/>
        </w:rPr>
      </w:pPr>
      <w:r>
        <w:rPr>
          <w:noProof/>
        </w:rPr>
        <w:t>9</w:t>
      </w:r>
      <w:r>
        <w:rPr>
          <w:rFonts w:eastAsiaTheme="minorEastAsia" w:cstheme="minorBidi"/>
          <w:color w:val="auto"/>
          <w:kern w:val="2"/>
          <w:sz w:val="24"/>
          <w:szCs w:val="24"/>
          <w:lang w:eastAsia="en-GB"/>
          <w14:ligatures w14:val="standardContextual"/>
        </w:rPr>
        <w:tab/>
      </w:r>
      <w:r>
        <w:rPr>
          <w:noProof/>
        </w:rPr>
        <w:t>Integrating Digital Technologies and Tools in the Servicing Sector</w:t>
      </w:r>
      <w:r>
        <w:rPr>
          <w:noProof/>
        </w:rPr>
        <w:tab/>
      </w:r>
      <w:r>
        <w:rPr>
          <w:noProof/>
        </w:rPr>
        <w:fldChar w:fldCharType="begin"/>
      </w:r>
      <w:r>
        <w:rPr>
          <w:noProof/>
        </w:rPr>
        <w:instrText xml:space="preserve"> PAGEREF _Toc230099137 \h </w:instrText>
      </w:r>
      <w:r>
        <w:rPr>
          <w:noProof/>
        </w:rPr>
      </w:r>
      <w:r>
        <w:rPr>
          <w:noProof/>
        </w:rPr>
        <w:fldChar w:fldCharType="separate"/>
      </w:r>
      <w:r w:rsidR="009221BF">
        <w:rPr>
          <w:noProof/>
        </w:rPr>
        <w:t>97</w:t>
      </w:r>
      <w:r>
        <w:rPr>
          <w:noProof/>
        </w:rPr>
        <w:fldChar w:fldCharType="end"/>
      </w:r>
    </w:p>
    <w:p w14:paraId="616F0FEC" w14:textId="48460663"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9.1</w:t>
      </w:r>
      <w:r>
        <w:rPr>
          <w:rFonts w:eastAsiaTheme="minorEastAsia" w:cstheme="minorBidi"/>
          <w:b w:val="0"/>
          <w:smallCaps w:val="0"/>
          <w:color w:val="auto"/>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_Toc230099138 \h </w:instrText>
      </w:r>
      <w:r>
        <w:rPr>
          <w:noProof/>
        </w:rPr>
      </w:r>
      <w:r>
        <w:rPr>
          <w:noProof/>
        </w:rPr>
        <w:fldChar w:fldCharType="separate"/>
      </w:r>
      <w:r w:rsidR="009221BF">
        <w:rPr>
          <w:noProof/>
        </w:rPr>
        <w:t>97</w:t>
      </w:r>
      <w:r>
        <w:rPr>
          <w:noProof/>
        </w:rPr>
        <w:fldChar w:fldCharType="end"/>
      </w:r>
    </w:p>
    <w:p w14:paraId="7CC2BECD" w14:textId="7938B50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9.2</w:t>
      </w:r>
      <w:r>
        <w:rPr>
          <w:rFonts w:eastAsiaTheme="minorEastAsia" w:cstheme="minorBidi"/>
          <w:b w:val="0"/>
          <w:smallCaps w:val="0"/>
          <w:color w:val="auto"/>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_Toc230099139 \h </w:instrText>
      </w:r>
      <w:r>
        <w:rPr>
          <w:noProof/>
        </w:rPr>
      </w:r>
      <w:r>
        <w:rPr>
          <w:noProof/>
        </w:rPr>
        <w:fldChar w:fldCharType="separate"/>
      </w:r>
      <w:r w:rsidR="009221BF">
        <w:rPr>
          <w:noProof/>
        </w:rPr>
        <w:t>97</w:t>
      </w:r>
      <w:r>
        <w:rPr>
          <w:noProof/>
        </w:rPr>
        <w:fldChar w:fldCharType="end"/>
      </w:r>
    </w:p>
    <w:p w14:paraId="561EB828" w14:textId="3CF0C56F"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9.3</w:t>
      </w:r>
      <w:r>
        <w:rPr>
          <w:rFonts w:eastAsiaTheme="minorEastAsia" w:cstheme="minorBidi"/>
          <w:b w:val="0"/>
          <w:smallCaps w:val="0"/>
          <w:color w:val="auto"/>
          <w:kern w:val="2"/>
          <w:sz w:val="24"/>
          <w:szCs w:val="24"/>
          <w:lang w:eastAsia="en-GB"/>
          <w14:ligatures w14:val="standardContextual"/>
        </w:rPr>
        <w:tab/>
      </w:r>
      <w:r>
        <w:rPr>
          <w:noProof/>
        </w:rPr>
        <w:t>Approaches to integrating digital technologies and tools</w:t>
      </w:r>
      <w:r>
        <w:rPr>
          <w:noProof/>
        </w:rPr>
        <w:tab/>
      </w:r>
      <w:r>
        <w:rPr>
          <w:noProof/>
        </w:rPr>
        <w:fldChar w:fldCharType="begin"/>
      </w:r>
      <w:r>
        <w:rPr>
          <w:noProof/>
        </w:rPr>
        <w:instrText xml:space="preserve"> PAGEREF _Toc230099140 \h </w:instrText>
      </w:r>
      <w:r>
        <w:rPr>
          <w:noProof/>
        </w:rPr>
      </w:r>
      <w:r>
        <w:rPr>
          <w:noProof/>
        </w:rPr>
        <w:fldChar w:fldCharType="separate"/>
      </w:r>
      <w:r w:rsidR="009221BF">
        <w:rPr>
          <w:noProof/>
        </w:rPr>
        <w:t>98</w:t>
      </w:r>
      <w:r>
        <w:rPr>
          <w:noProof/>
        </w:rPr>
        <w:fldChar w:fldCharType="end"/>
      </w:r>
    </w:p>
    <w:p w14:paraId="738BAFC5" w14:textId="6BBDE9A4"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9.3.1</w:t>
      </w:r>
      <w:r>
        <w:rPr>
          <w:rFonts w:eastAsiaTheme="minorEastAsia" w:cstheme="minorBidi"/>
          <w:i w:val="0"/>
          <w:smallCaps w:val="0"/>
          <w:snapToGrid/>
          <w:color w:val="auto"/>
          <w:kern w:val="2"/>
          <w:sz w:val="24"/>
          <w:szCs w:val="24"/>
          <w:lang w:eastAsia="en-GB"/>
          <w14:ligatures w14:val="standardContextual"/>
        </w:rPr>
        <w:tab/>
      </w:r>
      <w:r w:rsidRPr="00347B4E">
        <w:rPr>
          <w:noProof/>
          <w:lang w:val="en-US"/>
        </w:rPr>
        <w:t>Transaction-efficiency improvement (broadly applicable; LVC/VLVC-suitable)</w:t>
      </w:r>
      <w:r>
        <w:rPr>
          <w:noProof/>
        </w:rPr>
        <w:tab/>
      </w:r>
      <w:r>
        <w:rPr>
          <w:noProof/>
        </w:rPr>
        <w:fldChar w:fldCharType="begin"/>
      </w:r>
      <w:r>
        <w:rPr>
          <w:noProof/>
        </w:rPr>
        <w:instrText xml:space="preserve"> PAGEREF _Toc230099141 \h </w:instrText>
      </w:r>
      <w:r>
        <w:rPr>
          <w:noProof/>
        </w:rPr>
      </w:r>
      <w:r>
        <w:rPr>
          <w:noProof/>
        </w:rPr>
        <w:fldChar w:fldCharType="separate"/>
      </w:r>
      <w:r w:rsidR="009221BF">
        <w:rPr>
          <w:noProof/>
        </w:rPr>
        <w:t>98</w:t>
      </w:r>
      <w:r>
        <w:rPr>
          <w:noProof/>
        </w:rPr>
        <w:fldChar w:fldCharType="end"/>
      </w:r>
    </w:p>
    <w:p w14:paraId="50E2FF38" w14:textId="2E87F0A1"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9.3.2</w:t>
      </w:r>
      <w:r>
        <w:rPr>
          <w:rFonts w:eastAsiaTheme="minorEastAsia" w:cstheme="minorBidi"/>
          <w:i w:val="0"/>
          <w:smallCaps w:val="0"/>
          <w:snapToGrid/>
          <w:color w:val="auto"/>
          <w:kern w:val="2"/>
          <w:sz w:val="24"/>
          <w:szCs w:val="24"/>
          <w:lang w:eastAsia="en-GB"/>
          <w14:ligatures w14:val="standardContextual"/>
        </w:rPr>
        <w:tab/>
      </w:r>
      <w:r w:rsidRPr="00347B4E">
        <w:rPr>
          <w:noProof/>
          <w:lang w:val="en-US"/>
        </w:rPr>
        <w:t>Performance tools linked to improved comfort, reduced maintenance, refrigerant leakage reduction and increased energy efficiency (selective; case-based)</w:t>
      </w:r>
      <w:r>
        <w:rPr>
          <w:noProof/>
        </w:rPr>
        <w:tab/>
      </w:r>
      <w:r>
        <w:rPr>
          <w:noProof/>
        </w:rPr>
        <w:fldChar w:fldCharType="begin"/>
      </w:r>
      <w:r>
        <w:rPr>
          <w:noProof/>
        </w:rPr>
        <w:instrText xml:space="preserve"> PAGEREF _Toc230099142 \h </w:instrText>
      </w:r>
      <w:r>
        <w:rPr>
          <w:noProof/>
        </w:rPr>
      </w:r>
      <w:r>
        <w:rPr>
          <w:noProof/>
        </w:rPr>
        <w:fldChar w:fldCharType="separate"/>
      </w:r>
      <w:r w:rsidR="009221BF">
        <w:rPr>
          <w:noProof/>
        </w:rPr>
        <w:t>99</w:t>
      </w:r>
      <w:r>
        <w:rPr>
          <w:noProof/>
        </w:rPr>
        <w:fldChar w:fldCharType="end"/>
      </w:r>
    </w:p>
    <w:p w14:paraId="2F65DB7D" w14:textId="697E6AF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9.3.3</w:t>
      </w:r>
      <w:r>
        <w:rPr>
          <w:rFonts w:eastAsiaTheme="minorEastAsia" w:cstheme="minorBidi"/>
          <w:i w:val="0"/>
          <w:smallCaps w:val="0"/>
          <w:snapToGrid/>
          <w:color w:val="auto"/>
          <w:kern w:val="2"/>
          <w:sz w:val="24"/>
          <w:szCs w:val="24"/>
          <w:lang w:eastAsia="en-GB"/>
          <w14:ligatures w14:val="standardContextual"/>
        </w:rPr>
        <w:tab/>
      </w:r>
      <w:r w:rsidRPr="00347B4E">
        <w:rPr>
          <w:noProof/>
          <w:lang w:val="en-US"/>
        </w:rPr>
        <w:t>Workflow and knowledge tools</w:t>
      </w:r>
      <w:r>
        <w:rPr>
          <w:noProof/>
        </w:rPr>
        <w:tab/>
      </w:r>
      <w:r>
        <w:rPr>
          <w:noProof/>
        </w:rPr>
        <w:fldChar w:fldCharType="begin"/>
      </w:r>
      <w:r>
        <w:rPr>
          <w:noProof/>
        </w:rPr>
        <w:instrText xml:space="preserve"> PAGEREF _Toc230099143 \h </w:instrText>
      </w:r>
      <w:r>
        <w:rPr>
          <w:noProof/>
        </w:rPr>
      </w:r>
      <w:r>
        <w:rPr>
          <w:noProof/>
        </w:rPr>
        <w:fldChar w:fldCharType="separate"/>
      </w:r>
      <w:r w:rsidR="009221BF">
        <w:rPr>
          <w:noProof/>
        </w:rPr>
        <w:t>100</w:t>
      </w:r>
      <w:r>
        <w:rPr>
          <w:noProof/>
        </w:rPr>
        <w:fldChar w:fldCharType="end"/>
      </w:r>
    </w:p>
    <w:p w14:paraId="71A22392" w14:textId="1F74CE07"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9.4</w:t>
      </w:r>
      <w:r>
        <w:rPr>
          <w:rFonts w:eastAsiaTheme="minorEastAsia" w:cstheme="minorBidi"/>
          <w:b w:val="0"/>
          <w:smallCaps w:val="0"/>
          <w:color w:val="auto"/>
          <w:kern w:val="2"/>
          <w:sz w:val="24"/>
          <w:szCs w:val="24"/>
          <w:lang w:eastAsia="en-GB"/>
          <w14:ligatures w14:val="standardContextual"/>
        </w:rPr>
        <w:tab/>
      </w:r>
      <w:r>
        <w:rPr>
          <w:noProof/>
        </w:rPr>
        <w:t>Cost estimates</w:t>
      </w:r>
      <w:r>
        <w:rPr>
          <w:noProof/>
        </w:rPr>
        <w:tab/>
      </w:r>
      <w:r>
        <w:rPr>
          <w:noProof/>
        </w:rPr>
        <w:fldChar w:fldCharType="begin"/>
      </w:r>
      <w:r>
        <w:rPr>
          <w:noProof/>
        </w:rPr>
        <w:instrText xml:space="preserve"> PAGEREF _Toc230099144 \h </w:instrText>
      </w:r>
      <w:r>
        <w:rPr>
          <w:noProof/>
        </w:rPr>
      </w:r>
      <w:r>
        <w:rPr>
          <w:noProof/>
        </w:rPr>
        <w:fldChar w:fldCharType="separate"/>
      </w:r>
      <w:r w:rsidR="009221BF">
        <w:rPr>
          <w:noProof/>
        </w:rPr>
        <w:t>101</w:t>
      </w:r>
      <w:r>
        <w:rPr>
          <w:noProof/>
        </w:rPr>
        <w:fldChar w:fldCharType="end"/>
      </w:r>
    </w:p>
    <w:p w14:paraId="743B9E15" w14:textId="1B66435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lang w:eastAsia="en-GB"/>
        </w:rPr>
        <w:t>9.4.1</w:t>
      </w:r>
      <w:r>
        <w:rPr>
          <w:rFonts w:eastAsiaTheme="minorEastAsia" w:cstheme="minorBidi"/>
          <w:i w:val="0"/>
          <w:smallCaps w:val="0"/>
          <w:snapToGrid/>
          <w:color w:val="auto"/>
          <w:kern w:val="2"/>
          <w:sz w:val="24"/>
          <w:szCs w:val="24"/>
          <w:lang w:eastAsia="en-GB"/>
          <w14:ligatures w14:val="standardContextual"/>
        </w:rPr>
        <w:tab/>
      </w:r>
      <w:r>
        <w:rPr>
          <w:noProof/>
          <w:lang w:eastAsia="en-GB"/>
        </w:rPr>
        <w:t>Transaction efficiency improvement cost estimates</w:t>
      </w:r>
      <w:r>
        <w:rPr>
          <w:noProof/>
        </w:rPr>
        <w:tab/>
      </w:r>
      <w:r>
        <w:rPr>
          <w:noProof/>
        </w:rPr>
        <w:fldChar w:fldCharType="begin"/>
      </w:r>
      <w:r>
        <w:rPr>
          <w:noProof/>
        </w:rPr>
        <w:instrText xml:space="preserve"> PAGEREF _Toc230099145 \h </w:instrText>
      </w:r>
      <w:r>
        <w:rPr>
          <w:noProof/>
        </w:rPr>
      </w:r>
      <w:r>
        <w:rPr>
          <w:noProof/>
        </w:rPr>
        <w:fldChar w:fldCharType="separate"/>
      </w:r>
      <w:r w:rsidR="009221BF">
        <w:rPr>
          <w:noProof/>
        </w:rPr>
        <w:t>101</w:t>
      </w:r>
      <w:r>
        <w:rPr>
          <w:noProof/>
        </w:rPr>
        <w:fldChar w:fldCharType="end"/>
      </w:r>
    </w:p>
    <w:p w14:paraId="2E2C8A2F" w14:textId="3ED884C2"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lang w:eastAsia="en-GB"/>
        </w:rPr>
        <w:t>9.4.2</w:t>
      </w:r>
      <w:r>
        <w:rPr>
          <w:rFonts w:eastAsiaTheme="minorEastAsia" w:cstheme="minorBidi"/>
          <w:i w:val="0"/>
          <w:smallCaps w:val="0"/>
          <w:snapToGrid/>
          <w:color w:val="auto"/>
          <w:kern w:val="2"/>
          <w:sz w:val="24"/>
          <w:szCs w:val="24"/>
          <w:lang w:eastAsia="en-GB"/>
          <w14:ligatures w14:val="standardContextual"/>
        </w:rPr>
        <w:tab/>
      </w:r>
      <w:r>
        <w:rPr>
          <w:noProof/>
          <w:lang w:eastAsia="en-GB"/>
        </w:rPr>
        <w:t>Performance tools cost estimates</w:t>
      </w:r>
      <w:r>
        <w:rPr>
          <w:noProof/>
        </w:rPr>
        <w:tab/>
      </w:r>
      <w:r>
        <w:rPr>
          <w:noProof/>
        </w:rPr>
        <w:fldChar w:fldCharType="begin"/>
      </w:r>
      <w:r>
        <w:rPr>
          <w:noProof/>
        </w:rPr>
        <w:instrText xml:space="preserve"> PAGEREF _Toc230099146 \h </w:instrText>
      </w:r>
      <w:r>
        <w:rPr>
          <w:noProof/>
        </w:rPr>
      </w:r>
      <w:r>
        <w:rPr>
          <w:noProof/>
        </w:rPr>
        <w:fldChar w:fldCharType="separate"/>
      </w:r>
      <w:r w:rsidR="009221BF">
        <w:rPr>
          <w:noProof/>
        </w:rPr>
        <w:t>102</w:t>
      </w:r>
      <w:r>
        <w:rPr>
          <w:noProof/>
        </w:rPr>
        <w:fldChar w:fldCharType="end"/>
      </w:r>
    </w:p>
    <w:p w14:paraId="7DBDFEF8" w14:textId="5FD514D6"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lang w:eastAsia="en-GB"/>
        </w:rPr>
        <w:t>9.4.3</w:t>
      </w:r>
      <w:r>
        <w:rPr>
          <w:rFonts w:eastAsiaTheme="minorEastAsia" w:cstheme="minorBidi"/>
          <w:i w:val="0"/>
          <w:smallCaps w:val="0"/>
          <w:snapToGrid/>
          <w:color w:val="auto"/>
          <w:kern w:val="2"/>
          <w:sz w:val="24"/>
          <w:szCs w:val="24"/>
          <w:lang w:eastAsia="en-GB"/>
          <w14:ligatures w14:val="standardContextual"/>
        </w:rPr>
        <w:tab/>
      </w:r>
      <w:r>
        <w:rPr>
          <w:noProof/>
          <w:lang w:eastAsia="en-GB"/>
        </w:rPr>
        <w:t>Workflow and knowledge tools cost estimates</w:t>
      </w:r>
      <w:r>
        <w:rPr>
          <w:noProof/>
        </w:rPr>
        <w:tab/>
      </w:r>
      <w:r>
        <w:rPr>
          <w:noProof/>
        </w:rPr>
        <w:fldChar w:fldCharType="begin"/>
      </w:r>
      <w:r>
        <w:rPr>
          <w:noProof/>
        </w:rPr>
        <w:instrText xml:space="preserve"> PAGEREF _Toc230099147 \h </w:instrText>
      </w:r>
      <w:r>
        <w:rPr>
          <w:noProof/>
        </w:rPr>
      </w:r>
      <w:r>
        <w:rPr>
          <w:noProof/>
        </w:rPr>
        <w:fldChar w:fldCharType="separate"/>
      </w:r>
      <w:r w:rsidR="009221BF">
        <w:rPr>
          <w:noProof/>
        </w:rPr>
        <w:t>102</w:t>
      </w:r>
      <w:r>
        <w:rPr>
          <w:noProof/>
        </w:rPr>
        <w:fldChar w:fldCharType="end"/>
      </w:r>
    </w:p>
    <w:p w14:paraId="7CEB5E63" w14:textId="23D98597"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lang w:eastAsia="en-GB"/>
        </w:rPr>
        <w:t>9.4.4</w:t>
      </w:r>
      <w:r>
        <w:rPr>
          <w:rFonts w:eastAsiaTheme="minorEastAsia" w:cstheme="minorBidi"/>
          <w:i w:val="0"/>
          <w:smallCaps w:val="0"/>
          <w:snapToGrid/>
          <w:color w:val="auto"/>
          <w:kern w:val="2"/>
          <w:sz w:val="24"/>
          <w:szCs w:val="24"/>
          <w:lang w:eastAsia="en-GB"/>
          <w14:ligatures w14:val="standardContextual"/>
        </w:rPr>
        <w:tab/>
      </w:r>
      <w:r>
        <w:rPr>
          <w:noProof/>
          <w:lang w:eastAsia="en-GB"/>
        </w:rPr>
        <w:t>Summary</w:t>
      </w:r>
      <w:r>
        <w:rPr>
          <w:noProof/>
        </w:rPr>
        <w:tab/>
      </w:r>
      <w:r>
        <w:rPr>
          <w:noProof/>
        </w:rPr>
        <w:fldChar w:fldCharType="begin"/>
      </w:r>
      <w:r>
        <w:rPr>
          <w:noProof/>
        </w:rPr>
        <w:instrText xml:space="preserve"> PAGEREF _Toc230099148 \h </w:instrText>
      </w:r>
      <w:r>
        <w:rPr>
          <w:noProof/>
        </w:rPr>
      </w:r>
      <w:r>
        <w:rPr>
          <w:noProof/>
        </w:rPr>
        <w:fldChar w:fldCharType="separate"/>
      </w:r>
      <w:r w:rsidR="009221BF">
        <w:rPr>
          <w:noProof/>
        </w:rPr>
        <w:t>102</w:t>
      </w:r>
      <w:r>
        <w:rPr>
          <w:noProof/>
        </w:rPr>
        <w:fldChar w:fldCharType="end"/>
      </w:r>
    </w:p>
    <w:p w14:paraId="6C90E430" w14:textId="2FF6A1CF" w:rsidR="00442791" w:rsidRDefault="00442791" w:rsidP="000A5309">
      <w:pPr>
        <w:pStyle w:val="TOC1"/>
        <w:rPr>
          <w:rFonts w:eastAsiaTheme="minorEastAsia" w:cstheme="minorBidi"/>
          <w:color w:val="auto"/>
          <w:kern w:val="2"/>
          <w:sz w:val="24"/>
          <w:szCs w:val="24"/>
          <w:lang w:eastAsia="en-GB"/>
          <w14:ligatures w14:val="standardContextual"/>
        </w:rPr>
      </w:pPr>
      <w:r>
        <w:rPr>
          <w:noProof/>
        </w:rPr>
        <w:t>10</w:t>
      </w:r>
      <w:r>
        <w:rPr>
          <w:rFonts w:eastAsiaTheme="minorEastAsia" w:cstheme="minorBidi"/>
          <w:color w:val="auto"/>
          <w:kern w:val="2"/>
          <w:sz w:val="24"/>
          <w:szCs w:val="24"/>
          <w:lang w:eastAsia="en-GB"/>
          <w14:ligatures w14:val="standardContextual"/>
        </w:rPr>
        <w:tab/>
      </w:r>
      <w:r>
        <w:rPr>
          <w:noProof/>
        </w:rPr>
        <w:t>Estimated Funding to Support Pilot Projects to Enhance Regional Atmospheric Monitoring</w:t>
      </w:r>
      <w:r>
        <w:rPr>
          <w:noProof/>
        </w:rPr>
        <w:tab/>
      </w:r>
      <w:r>
        <w:rPr>
          <w:noProof/>
        </w:rPr>
        <w:fldChar w:fldCharType="begin"/>
      </w:r>
      <w:r>
        <w:rPr>
          <w:noProof/>
        </w:rPr>
        <w:instrText xml:space="preserve"> PAGEREF _Toc230099149 \h </w:instrText>
      </w:r>
      <w:r>
        <w:rPr>
          <w:noProof/>
        </w:rPr>
      </w:r>
      <w:r>
        <w:rPr>
          <w:noProof/>
        </w:rPr>
        <w:fldChar w:fldCharType="separate"/>
      </w:r>
      <w:r w:rsidR="009221BF">
        <w:rPr>
          <w:noProof/>
        </w:rPr>
        <w:t>105</w:t>
      </w:r>
      <w:r>
        <w:rPr>
          <w:noProof/>
        </w:rPr>
        <w:fldChar w:fldCharType="end"/>
      </w:r>
    </w:p>
    <w:p w14:paraId="0D8EF8C1" w14:textId="5577ECE5"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lang w:eastAsia="en-GB"/>
        </w:rPr>
        <w:t>10.1</w:t>
      </w:r>
      <w:r>
        <w:rPr>
          <w:rFonts w:eastAsiaTheme="minorEastAsia" w:cstheme="minorBidi"/>
          <w:b w:val="0"/>
          <w:smallCaps w:val="0"/>
          <w:color w:val="auto"/>
          <w:kern w:val="2"/>
          <w:sz w:val="24"/>
          <w:szCs w:val="24"/>
          <w:lang w:eastAsia="en-GB"/>
          <w14:ligatures w14:val="standardContextual"/>
        </w:rPr>
        <w:tab/>
      </w:r>
      <w:r>
        <w:rPr>
          <w:noProof/>
          <w:lang w:eastAsia="en-GB"/>
        </w:rPr>
        <w:t>Introduction</w:t>
      </w:r>
      <w:r>
        <w:rPr>
          <w:noProof/>
        </w:rPr>
        <w:tab/>
      </w:r>
      <w:r>
        <w:rPr>
          <w:noProof/>
        </w:rPr>
        <w:fldChar w:fldCharType="begin"/>
      </w:r>
      <w:r>
        <w:rPr>
          <w:noProof/>
        </w:rPr>
        <w:instrText xml:space="preserve"> PAGEREF _Toc230099150 \h </w:instrText>
      </w:r>
      <w:r>
        <w:rPr>
          <w:noProof/>
        </w:rPr>
      </w:r>
      <w:r>
        <w:rPr>
          <w:noProof/>
        </w:rPr>
        <w:fldChar w:fldCharType="separate"/>
      </w:r>
      <w:r w:rsidR="009221BF">
        <w:rPr>
          <w:noProof/>
        </w:rPr>
        <w:t>105</w:t>
      </w:r>
      <w:r>
        <w:rPr>
          <w:noProof/>
        </w:rPr>
        <w:fldChar w:fldCharType="end"/>
      </w:r>
    </w:p>
    <w:p w14:paraId="40E9CC92" w14:textId="36F38D2E"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10.2</w:t>
      </w:r>
      <w:r>
        <w:rPr>
          <w:rFonts w:eastAsiaTheme="minorEastAsia" w:cstheme="minorBidi"/>
          <w:b w:val="0"/>
          <w:smallCaps w:val="0"/>
          <w:color w:val="auto"/>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_Toc230099151 \h </w:instrText>
      </w:r>
      <w:r>
        <w:rPr>
          <w:noProof/>
        </w:rPr>
      </w:r>
      <w:r>
        <w:rPr>
          <w:noProof/>
        </w:rPr>
        <w:fldChar w:fldCharType="separate"/>
      </w:r>
      <w:r w:rsidR="009221BF">
        <w:rPr>
          <w:noProof/>
        </w:rPr>
        <w:t>106</w:t>
      </w:r>
      <w:r>
        <w:rPr>
          <w:noProof/>
        </w:rPr>
        <w:fldChar w:fldCharType="end"/>
      </w:r>
    </w:p>
    <w:p w14:paraId="6459C950" w14:textId="037654B2"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lastRenderedPageBreak/>
        <w:t>10.2.1</w:t>
      </w:r>
      <w:r>
        <w:rPr>
          <w:rFonts w:eastAsiaTheme="minorEastAsia" w:cstheme="minorBidi"/>
          <w:i w:val="0"/>
          <w:smallCaps w:val="0"/>
          <w:snapToGrid/>
          <w:color w:val="auto"/>
          <w:kern w:val="2"/>
          <w:sz w:val="24"/>
          <w:szCs w:val="24"/>
          <w:lang w:eastAsia="en-GB"/>
          <w14:ligatures w14:val="standardContextual"/>
        </w:rPr>
        <w:tab/>
      </w:r>
      <w:r>
        <w:rPr>
          <w:noProof/>
        </w:rPr>
        <w:t>Decision XXXVI/1: Enhancing regional atmospheric monitoring of substances controlled by the Montreal Protocol on Substances that Deplete the Ozone Layer (2024)</w:t>
      </w:r>
      <w:r>
        <w:rPr>
          <w:noProof/>
        </w:rPr>
        <w:tab/>
      </w:r>
      <w:r>
        <w:rPr>
          <w:noProof/>
        </w:rPr>
        <w:fldChar w:fldCharType="begin"/>
      </w:r>
      <w:r>
        <w:rPr>
          <w:noProof/>
        </w:rPr>
        <w:instrText xml:space="preserve"> PAGEREF _Toc230099152 \h </w:instrText>
      </w:r>
      <w:r>
        <w:rPr>
          <w:noProof/>
        </w:rPr>
      </w:r>
      <w:r>
        <w:rPr>
          <w:noProof/>
        </w:rPr>
        <w:fldChar w:fldCharType="separate"/>
      </w:r>
      <w:r w:rsidR="009221BF">
        <w:rPr>
          <w:noProof/>
        </w:rPr>
        <w:t>106</w:t>
      </w:r>
      <w:r>
        <w:rPr>
          <w:noProof/>
        </w:rPr>
        <w:fldChar w:fldCharType="end"/>
      </w:r>
    </w:p>
    <w:p w14:paraId="638CFED1" w14:textId="11C83C87"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10.2.2</w:t>
      </w:r>
      <w:r>
        <w:rPr>
          <w:rFonts w:eastAsiaTheme="minorEastAsia" w:cstheme="minorBidi"/>
          <w:i w:val="0"/>
          <w:smallCaps w:val="0"/>
          <w:snapToGrid/>
          <w:color w:val="auto"/>
          <w:kern w:val="2"/>
          <w:sz w:val="24"/>
          <w:szCs w:val="24"/>
          <w:lang w:eastAsia="en-GB"/>
          <w14:ligatures w14:val="standardContextual"/>
        </w:rPr>
        <w:tab/>
      </w:r>
      <w:r>
        <w:rPr>
          <w:noProof/>
        </w:rPr>
        <w:t>Progress in 2025: 10 selected locations</w:t>
      </w:r>
      <w:r>
        <w:rPr>
          <w:noProof/>
        </w:rPr>
        <w:tab/>
      </w:r>
      <w:r>
        <w:rPr>
          <w:noProof/>
        </w:rPr>
        <w:fldChar w:fldCharType="begin"/>
      </w:r>
      <w:r>
        <w:rPr>
          <w:noProof/>
        </w:rPr>
        <w:instrText xml:space="preserve"> PAGEREF _Toc230099153 \h </w:instrText>
      </w:r>
      <w:r>
        <w:rPr>
          <w:noProof/>
        </w:rPr>
      </w:r>
      <w:r>
        <w:rPr>
          <w:noProof/>
        </w:rPr>
        <w:fldChar w:fldCharType="separate"/>
      </w:r>
      <w:r w:rsidR="009221BF">
        <w:rPr>
          <w:noProof/>
        </w:rPr>
        <w:t>107</w:t>
      </w:r>
      <w:r>
        <w:rPr>
          <w:noProof/>
        </w:rPr>
        <w:fldChar w:fldCharType="end"/>
      </w:r>
    </w:p>
    <w:p w14:paraId="33188253" w14:textId="68EB469B"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10.2.3</w:t>
      </w:r>
      <w:r>
        <w:rPr>
          <w:rFonts w:eastAsiaTheme="minorEastAsia" w:cstheme="minorBidi"/>
          <w:i w:val="0"/>
          <w:smallCaps w:val="0"/>
          <w:snapToGrid/>
          <w:color w:val="auto"/>
          <w:kern w:val="2"/>
          <w:sz w:val="24"/>
          <w:szCs w:val="24"/>
          <w:lang w:eastAsia="en-GB"/>
          <w14:ligatures w14:val="standardContextual"/>
        </w:rPr>
        <w:tab/>
      </w:r>
      <w:r>
        <w:rPr>
          <w:noProof/>
        </w:rPr>
        <w:t>Cost estimate modelling</w:t>
      </w:r>
      <w:r>
        <w:rPr>
          <w:noProof/>
        </w:rPr>
        <w:tab/>
      </w:r>
      <w:r>
        <w:rPr>
          <w:noProof/>
        </w:rPr>
        <w:fldChar w:fldCharType="begin"/>
      </w:r>
      <w:r>
        <w:rPr>
          <w:noProof/>
        </w:rPr>
        <w:instrText xml:space="preserve"> PAGEREF _Toc230099154 \h </w:instrText>
      </w:r>
      <w:r>
        <w:rPr>
          <w:noProof/>
        </w:rPr>
      </w:r>
      <w:r>
        <w:rPr>
          <w:noProof/>
        </w:rPr>
        <w:fldChar w:fldCharType="separate"/>
      </w:r>
      <w:r w:rsidR="009221BF">
        <w:rPr>
          <w:noProof/>
        </w:rPr>
        <w:t>108</w:t>
      </w:r>
      <w:r>
        <w:rPr>
          <w:noProof/>
        </w:rPr>
        <w:fldChar w:fldCharType="end"/>
      </w:r>
    </w:p>
    <w:p w14:paraId="4E4C814B" w14:textId="22A15A0B" w:rsidR="00442791" w:rsidRDefault="00442791" w:rsidP="00442791">
      <w:pPr>
        <w:pStyle w:val="TOC3"/>
        <w:tabs>
          <w:tab w:val="clear" w:pos="8303"/>
          <w:tab w:val="right" w:leader="dot" w:pos="8931"/>
        </w:tabs>
        <w:ind w:right="-45"/>
        <w:rPr>
          <w:rFonts w:eastAsiaTheme="minorEastAsia" w:cstheme="minorBidi"/>
          <w:i w:val="0"/>
          <w:smallCaps w:val="0"/>
          <w:snapToGrid/>
          <w:color w:val="auto"/>
          <w:kern w:val="2"/>
          <w:sz w:val="24"/>
          <w:szCs w:val="24"/>
          <w:lang w:eastAsia="en-GB"/>
          <w14:ligatures w14:val="standardContextual"/>
        </w:rPr>
      </w:pPr>
      <w:r>
        <w:rPr>
          <w:noProof/>
        </w:rPr>
        <w:t>10.2.4</w:t>
      </w:r>
      <w:r>
        <w:rPr>
          <w:rFonts w:eastAsiaTheme="minorEastAsia" w:cstheme="minorBidi"/>
          <w:i w:val="0"/>
          <w:smallCaps w:val="0"/>
          <w:snapToGrid/>
          <w:color w:val="auto"/>
          <w:kern w:val="2"/>
          <w:sz w:val="24"/>
          <w:szCs w:val="24"/>
          <w:lang w:eastAsia="en-GB"/>
          <w14:ligatures w14:val="standardContextual"/>
        </w:rPr>
        <w:tab/>
      </w:r>
      <w:r>
        <w:rPr>
          <w:noProof/>
        </w:rPr>
        <w:t>Relevant Executive Committee decisions</w:t>
      </w:r>
      <w:r>
        <w:rPr>
          <w:noProof/>
        </w:rPr>
        <w:tab/>
      </w:r>
      <w:r>
        <w:rPr>
          <w:noProof/>
        </w:rPr>
        <w:fldChar w:fldCharType="begin"/>
      </w:r>
      <w:r>
        <w:rPr>
          <w:noProof/>
        </w:rPr>
        <w:instrText xml:space="preserve"> PAGEREF _Toc230099155 \h </w:instrText>
      </w:r>
      <w:r>
        <w:rPr>
          <w:noProof/>
        </w:rPr>
      </w:r>
      <w:r>
        <w:rPr>
          <w:noProof/>
        </w:rPr>
        <w:fldChar w:fldCharType="separate"/>
      </w:r>
      <w:r w:rsidR="009221BF">
        <w:rPr>
          <w:noProof/>
        </w:rPr>
        <w:t>109</w:t>
      </w:r>
      <w:r>
        <w:rPr>
          <w:noProof/>
        </w:rPr>
        <w:fldChar w:fldCharType="end"/>
      </w:r>
    </w:p>
    <w:p w14:paraId="6808FD99" w14:textId="09DD4DE7"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10.3</w:t>
      </w:r>
      <w:r>
        <w:rPr>
          <w:rFonts w:eastAsiaTheme="minorEastAsia" w:cstheme="minorBidi"/>
          <w:b w:val="0"/>
          <w:smallCaps w:val="0"/>
          <w:color w:val="auto"/>
          <w:kern w:val="2"/>
          <w:sz w:val="24"/>
          <w:szCs w:val="24"/>
          <w:lang w:eastAsia="en-GB"/>
          <w14:ligatures w14:val="standardContextual"/>
        </w:rPr>
        <w:tab/>
      </w:r>
      <w:r>
        <w:rPr>
          <w:noProof/>
        </w:rPr>
        <w:t>RTF approach on funding scenario</w:t>
      </w:r>
      <w:r>
        <w:rPr>
          <w:noProof/>
        </w:rPr>
        <w:tab/>
      </w:r>
      <w:r>
        <w:rPr>
          <w:noProof/>
        </w:rPr>
        <w:fldChar w:fldCharType="begin"/>
      </w:r>
      <w:r>
        <w:rPr>
          <w:noProof/>
        </w:rPr>
        <w:instrText xml:space="preserve"> PAGEREF _Toc230099156 \h </w:instrText>
      </w:r>
      <w:r>
        <w:rPr>
          <w:noProof/>
        </w:rPr>
      </w:r>
      <w:r>
        <w:rPr>
          <w:noProof/>
        </w:rPr>
        <w:fldChar w:fldCharType="separate"/>
      </w:r>
      <w:r w:rsidR="009221BF">
        <w:rPr>
          <w:noProof/>
        </w:rPr>
        <w:t>112</w:t>
      </w:r>
      <w:r>
        <w:rPr>
          <w:noProof/>
        </w:rPr>
        <w:fldChar w:fldCharType="end"/>
      </w:r>
    </w:p>
    <w:p w14:paraId="3BF5D13D" w14:textId="17AFF68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10.4</w:t>
      </w:r>
      <w:r>
        <w:rPr>
          <w:rFonts w:eastAsiaTheme="minorEastAsia" w:cstheme="minorBidi"/>
          <w:b w:val="0"/>
          <w:smallCaps w:val="0"/>
          <w:color w:val="auto"/>
          <w:kern w:val="2"/>
          <w:sz w:val="24"/>
          <w:szCs w:val="24"/>
          <w:lang w:eastAsia="en-GB"/>
          <w14:ligatures w14:val="standardContextual"/>
        </w:rPr>
        <w:tab/>
      </w:r>
      <w:r>
        <w:rPr>
          <w:noProof/>
        </w:rPr>
        <w:t>Estimated funding for regional atmospheric monitoring for 2027-2029 and 2030-2032</w:t>
      </w:r>
      <w:r>
        <w:rPr>
          <w:noProof/>
        </w:rPr>
        <w:tab/>
      </w:r>
      <w:r>
        <w:rPr>
          <w:noProof/>
        </w:rPr>
        <w:fldChar w:fldCharType="begin"/>
      </w:r>
      <w:r>
        <w:rPr>
          <w:noProof/>
        </w:rPr>
        <w:instrText xml:space="preserve"> PAGEREF _Toc230099157 \h </w:instrText>
      </w:r>
      <w:r>
        <w:rPr>
          <w:noProof/>
        </w:rPr>
      </w:r>
      <w:r>
        <w:rPr>
          <w:noProof/>
        </w:rPr>
        <w:fldChar w:fldCharType="separate"/>
      </w:r>
      <w:r w:rsidR="009221BF">
        <w:rPr>
          <w:noProof/>
        </w:rPr>
        <w:t>115</w:t>
      </w:r>
      <w:r>
        <w:rPr>
          <w:noProof/>
        </w:rPr>
        <w:fldChar w:fldCharType="end"/>
      </w:r>
    </w:p>
    <w:p w14:paraId="6068F843" w14:textId="0AEBA975" w:rsidR="00442791" w:rsidRDefault="00442791" w:rsidP="000A5309">
      <w:pPr>
        <w:pStyle w:val="TOC1"/>
        <w:rPr>
          <w:rFonts w:eastAsiaTheme="minorEastAsia" w:cstheme="minorBidi"/>
          <w:color w:val="auto"/>
          <w:kern w:val="2"/>
          <w:sz w:val="24"/>
          <w:szCs w:val="24"/>
          <w:lang w:eastAsia="en-GB"/>
          <w14:ligatures w14:val="standardContextual"/>
        </w:rPr>
      </w:pPr>
      <w:r>
        <w:rPr>
          <w:noProof/>
        </w:rPr>
        <w:t>11</w:t>
      </w:r>
      <w:r>
        <w:rPr>
          <w:rFonts w:eastAsiaTheme="minorEastAsia" w:cstheme="minorBidi"/>
          <w:color w:val="auto"/>
          <w:kern w:val="2"/>
          <w:sz w:val="24"/>
          <w:szCs w:val="24"/>
          <w:lang w:eastAsia="en-GB"/>
          <w14:ligatures w14:val="standardContextual"/>
        </w:rPr>
        <w:tab/>
      </w:r>
      <w:r>
        <w:rPr>
          <w:noProof/>
        </w:rPr>
        <w:t>Estimated Total Funding Requirements for the 2027-2029 Triennium and Indicative Funding Estimates for Future Triennia 2030-2032 and 2033-2035</w:t>
      </w:r>
      <w:r>
        <w:rPr>
          <w:noProof/>
        </w:rPr>
        <w:tab/>
      </w:r>
      <w:r>
        <w:rPr>
          <w:noProof/>
        </w:rPr>
        <w:fldChar w:fldCharType="begin"/>
      </w:r>
      <w:r>
        <w:rPr>
          <w:noProof/>
        </w:rPr>
        <w:instrText xml:space="preserve"> PAGEREF _Toc230099158 \h </w:instrText>
      </w:r>
      <w:r>
        <w:rPr>
          <w:noProof/>
        </w:rPr>
      </w:r>
      <w:r>
        <w:rPr>
          <w:noProof/>
        </w:rPr>
        <w:fldChar w:fldCharType="separate"/>
      </w:r>
      <w:r w:rsidR="009221BF">
        <w:rPr>
          <w:noProof/>
        </w:rPr>
        <w:t>117</w:t>
      </w:r>
      <w:r>
        <w:rPr>
          <w:noProof/>
        </w:rPr>
        <w:fldChar w:fldCharType="end"/>
      </w:r>
    </w:p>
    <w:p w14:paraId="3608F9C8" w14:textId="18074B7F" w:rsidR="00442791" w:rsidRDefault="00442791" w:rsidP="000A5309">
      <w:pPr>
        <w:pStyle w:val="TOC1"/>
        <w:rPr>
          <w:rFonts w:eastAsiaTheme="minorEastAsia" w:cstheme="minorBidi"/>
          <w:color w:val="auto"/>
          <w:kern w:val="2"/>
          <w:sz w:val="24"/>
          <w:szCs w:val="24"/>
          <w:lang w:eastAsia="en-GB"/>
          <w14:ligatures w14:val="standardContextual"/>
        </w:rPr>
      </w:pPr>
      <w:r w:rsidRPr="00347B4E">
        <w:rPr>
          <w:rFonts w:eastAsia="Calibri"/>
          <w:noProof/>
        </w:rPr>
        <w:t>ANNEX 1: ESTIMATED FUNDING METHODOLOGY FOR HCFC CONSUMPTION SECTOR</w:t>
      </w:r>
      <w:r>
        <w:rPr>
          <w:noProof/>
        </w:rPr>
        <w:tab/>
      </w:r>
      <w:r>
        <w:rPr>
          <w:noProof/>
        </w:rPr>
        <w:fldChar w:fldCharType="begin"/>
      </w:r>
      <w:r>
        <w:rPr>
          <w:noProof/>
        </w:rPr>
        <w:instrText xml:space="preserve"> PAGEREF _Toc230099159 \h </w:instrText>
      </w:r>
      <w:r>
        <w:rPr>
          <w:noProof/>
        </w:rPr>
      </w:r>
      <w:r>
        <w:rPr>
          <w:noProof/>
        </w:rPr>
        <w:fldChar w:fldCharType="separate"/>
      </w:r>
      <w:r w:rsidR="009221BF">
        <w:rPr>
          <w:noProof/>
        </w:rPr>
        <w:t>119</w:t>
      </w:r>
      <w:r>
        <w:rPr>
          <w:noProof/>
        </w:rPr>
        <w:fldChar w:fldCharType="end"/>
      </w:r>
    </w:p>
    <w:p w14:paraId="11634686" w14:textId="61A59DC6"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sidRPr="00347B4E">
        <w:rPr>
          <w:noProof/>
          <w:lang w:val="en-US"/>
        </w:rPr>
        <w:t>A1.1</w:t>
      </w:r>
      <w:r>
        <w:rPr>
          <w:rFonts w:eastAsiaTheme="minorEastAsia" w:cstheme="minorBidi"/>
          <w:b w:val="0"/>
          <w:smallCaps w:val="0"/>
          <w:color w:val="auto"/>
          <w:kern w:val="2"/>
          <w:sz w:val="24"/>
          <w:szCs w:val="24"/>
          <w:lang w:eastAsia="en-GB"/>
          <w14:ligatures w14:val="standardContextual"/>
        </w:rPr>
        <w:tab/>
      </w:r>
      <w:r w:rsidRPr="00347B4E">
        <w:rPr>
          <w:noProof/>
          <w:lang w:val="en-US"/>
        </w:rPr>
        <w:t>Sources of Information</w:t>
      </w:r>
      <w:r>
        <w:rPr>
          <w:noProof/>
        </w:rPr>
        <w:tab/>
      </w:r>
      <w:r>
        <w:rPr>
          <w:noProof/>
        </w:rPr>
        <w:fldChar w:fldCharType="begin"/>
      </w:r>
      <w:r>
        <w:rPr>
          <w:noProof/>
        </w:rPr>
        <w:instrText xml:space="preserve"> PAGEREF _Toc230099160 \h </w:instrText>
      </w:r>
      <w:r>
        <w:rPr>
          <w:noProof/>
        </w:rPr>
      </w:r>
      <w:r>
        <w:rPr>
          <w:noProof/>
        </w:rPr>
        <w:fldChar w:fldCharType="separate"/>
      </w:r>
      <w:r w:rsidR="009221BF">
        <w:rPr>
          <w:noProof/>
        </w:rPr>
        <w:t>119</w:t>
      </w:r>
      <w:r>
        <w:rPr>
          <w:noProof/>
        </w:rPr>
        <w:fldChar w:fldCharType="end"/>
      </w:r>
    </w:p>
    <w:p w14:paraId="2895467E" w14:textId="5DBBDCAF"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sidRPr="00347B4E">
        <w:rPr>
          <w:noProof/>
          <w:lang w:val="en-US"/>
        </w:rPr>
        <w:t>A1.2</w:t>
      </w:r>
      <w:r>
        <w:rPr>
          <w:rFonts w:eastAsiaTheme="minorEastAsia" w:cstheme="minorBidi"/>
          <w:b w:val="0"/>
          <w:smallCaps w:val="0"/>
          <w:color w:val="auto"/>
          <w:kern w:val="2"/>
          <w:sz w:val="24"/>
          <w:szCs w:val="24"/>
          <w:lang w:eastAsia="en-GB"/>
          <w14:ligatures w14:val="standardContextual"/>
        </w:rPr>
        <w:tab/>
      </w:r>
      <w:r w:rsidRPr="00347B4E">
        <w:rPr>
          <w:noProof/>
          <w:lang w:val="en-US"/>
        </w:rPr>
        <w:t>HCFC Phase Out Funding Methodology for the Consumption Sector</w:t>
      </w:r>
      <w:r>
        <w:rPr>
          <w:noProof/>
        </w:rPr>
        <w:tab/>
      </w:r>
      <w:r>
        <w:rPr>
          <w:noProof/>
        </w:rPr>
        <w:fldChar w:fldCharType="begin"/>
      </w:r>
      <w:r>
        <w:rPr>
          <w:noProof/>
        </w:rPr>
        <w:instrText xml:space="preserve"> PAGEREF _Toc230099161 \h </w:instrText>
      </w:r>
      <w:r>
        <w:rPr>
          <w:noProof/>
        </w:rPr>
      </w:r>
      <w:r>
        <w:rPr>
          <w:noProof/>
        </w:rPr>
        <w:fldChar w:fldCharType="separate"/>
      </w:r>
      <w:r w:rsidR="009221BF">
        <w:rPr>
          <w:noProof/>
        </w:rPr>
        <w:t>119</w:t>
      </w:r>
      <w:r>
        <w:rPr>
          <w:noProof/>
        </w:rPr>
        <w:fldChar w:fldCharType="end"/>
      </w:r>
    </w:p>
    <w:p w14:paraId="01BE1204" w14:textId="346B0767" w:rsidR="00442791" w:rsidRDefault="00442791" w:rsidP="000A5309">
      <w:pPr>
        <w:pStyle w:val="TOC1"/>
        <w:rPr>
          <w:rFonts w:eastAsiaTheme="minorEastAsia" w:cstheme="minorBidi"/>
          <w:color w:val="auto"/>
          <w:kern w:val="2"/>
          <w:sz w:val="24"/>
          <w:szCs w:val="24"/>
          <w:lang w:eastAsia="en-GB"/>
          <w14:ligatures w14:val="standardContextual"/>
        </w:rPr>
      </w:pPr>
      <w:r w:rsidRPr="00347B4E">
        <w:rPr>
          <w:noProof/>
          <w:shd w:val="clear" w:color="auto" w:fill="FFFFFF" w:themeFill="background1"/>
        </w:rPr>
        <w:t>ANNEX 2: RTF analysis and proposal for historical CE values to be applied to HCFC manufacturing sectors for a funding scenario</w:t>
      </w:r>
      <w:r>
        <w:rPr>
          <w:noProof/>
        </w:rPr>
        <w:tab/>
      </w:r>
      <w:r>
        <w:rPr>
          <w:noProof/>
        </w:rPr>
        <w:fldChar w:fldCharType="begin"/>
      </w:r>
      <w:r>
        <w:rPr>
          <w:noProof/>
        </w:rPr>
        <w:instrText xml:space="preserve"> PAGEREF _Toc230099162 \h </w:instrText>
      </w:r>
      <w:r>
        <w:rPr>
          <w:noProof/>
        </w:rPr>
      </w:r>
      <w:r>
        <w:rPr>
          <w:noProof/>
        </w:rPr>
        <w:fldChar w:fldCharType="separate"/>
      </w:r>
      <w:r w:rsidR="009221BF">
        <w:rPr>
          <w:noProof/>
        </w:rPr>
        <w:t>127</w:t>
      </w:r>
      <w:r>
        <w:rPr>
          <w:noProof/>
        </w:rPr>
        <w:fldChar w:fldCharType="end"/>
      </w:r>
    </w:p>
    <w:p w14:paraId="73C5C671" w14:textId="0BBA4169" w:rsidR="00442791" w:rsidRDefault="00442791" w:rsidP="000A5309">
      <w:pPr>
        <w:pStyle w:val="TOC1"/>
        <w:rPr>
          <w:rFonts w:eastAsiaTheme="minorEastAsia" w:cstheme="minorBidi"/>
          <w:color w:val="auto"/>
          <w:kern w:val="2"/>
          <w:sz w:val="24"/>
          <w:szCs w:val="24"/>
          <w:lang w:eastAsia="en-GB"/>
          <w14:ligatures w14:val="standardContextual"/>
        </w:rPr>
      </w:pPr>
      <w:r w:rsidRPr="00347B4E">
        <w:rPr>
          <w:rFonts w:eastAsia="Calibri"/>
          <w:noProof/>
        </w:rPr>
        <w:t>ANNEX 3: Methodology for Filling Baseline Data Gaps - Estimates and Assumptions</w:t>
      </w:r>
      <w:r>
        <w:rPr>
          <w:noProof/>
        </w:rPr>
        <w:tab/>
      </w:r>
      <w:r>
        <w:rPr>
          <w:noProof/>
        </w:rPr>
        <w:fldChar w:fldCharType="begin"/>
      </w:r>
      <w:r>
        <w:rPr>
          <w:noProof/>
        </w:rPr>
        <w:instrText xml:space="preserve"> PAGEREF _Toc230099163 \h </w:instrText>
      </w:r>
      <w:r>
        <w:rPr>
          <w:noProof/>
        </w:rPr>
      </w:r>
      <w:r>
        <w:rPr>
          <w:noProof/>
        </w:rPr>
        <w:fldChar w:fldCharType="separate"/>
      </w:r>
      <w:r w:rsidR="009221BF">
        <w:rPr>
          <w:noProof/>
        </w:rPr>
        <w:t>129</w:t>
      </w:r>
      <w:r>
        <w:rPr>
          <w:noProof/>
        </w:rPr>
        <w:fldChar w:fldCharType="end"/>
      </w:r>
    </w:p>
    <w:p w14:paraId="055AD697" w14:textId="65AB24B9" w:rsidR="00442791" w:rsidRDefault="00442791" w:rsidP="000A5309">
      <w:pPr>
        <w:pStyle w:val="TOC1"/>
        <w:rPr>
          <w:rFonts w:eastAsiaTheme="minorEastAsia" w:cstheme="minorBidi"/>
          <w:color w:val="auto"/>
          <w:kern w:val="2"/>
          <w:sz w:val="24"/>
          <w:szCs w:val="24"/>
          <w:lang w:eastAsia="en-GB"/>
          <w14:ligatures w14:val="standardContextual"/>
        </w:rPr>
      </w:pPr>
      <w:r>
        <w:rPr>
          <w:noProof/>
        </w:rPr>
        <w:t>ANNEX 4: METHODOLOGY TO ESTIMATE FUNDING REQUIREMENTS FOR HFC PHASE-DOWN IN THE CONSUMPTION SECTOR</w:t>
      </w:r>
      <w:r>
        <w:rPr>
          <w:noProof/>
        </w:rPr>
        <w:tab/>
      </w:r>
      <w:r>
        <w:rPr>
          <w:noProof/>
        </w:rPr>
        <w:fldChar w:fldCharType="begin"/>
      </w:r>
      <w:r>
        <w:rPr>
          <w:noProof/>
        </w:rPr>
        <w:instrText xml:space="preserve"> PAGEREF _Toc230099164 \h </w:instrText>
      </w:r>
      <w:r>
        <w:rPr>
          <w:noProof/>
        </w:rPr>
      </w:r>
      <w:r>
        <w:rPr>
          <w:noProof/>
        </w:rPr>
        <w:fldChar w:fldCharType="separate"/>
      </w:r>
      <w:r w:rsidR="009221BF">
        <w:rPr>
          <w:noProof/>
        </w:rPr>
        <w:t>137</w:t>
      </w:r>
      <w:r>
        <w:rPr>
          <w:noProof/>
        </w:rPr>
        <w:fldChar w:fldCharType="end"/>
      </w:r>
    </w:p>
    <w:p w14:paraId="08E71AE0" w14:textId="08603FB9"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sidRPr="00347B4E">
        <w:rPr>
          <w:noProof/>
          <w:color w:val="000000"/>
          <w:lang w:val="en-US"/>
        </w:rPr>
        <w:t>A4.1</w:t>
      </w:r>
      <w:r>
        <w:rPr>
          <w:rFonts w:eastAsiaTheme="minorEastAsia" w:cstheme="minorBidi"/>
          <w:b w:val="0"/>
          <w:smallCaps w:val="0"/>
          <w:color w:val="auto"/>
          <w:kern w:val="2"/>
          <w:sz w:val="24"/>
          <w:szCs w:val="24"/>
          <w:lang w:eastAsia="en-GB"/>
          <w14:ligatures w14:val="standardContextual"/>
        </w:rPr>
        <w:tab/>
      </w:r>
      <w:r w:rsidRPr="00347B4E">
        <w:rPr>
          <w:noProof/>
          <w:color w:val="000000"/>
          <w:lang w:val="en-US"/>
        </w:rPr>
        <w:t>Sources of Information</w:t>
      </w:r>
      <w:r>
        <w:rPr>
          <w:noProof/>
        </w:rPr>
        <w:tab/>
      </w:r>
      <w:r>
        <w:rPr>
          <w:noProof/>
        </w:rPr>
        <w:fldChar w:fldCharType="begin"/>
      </w:r>
      <w:r>
        <w:rPr>
          <w:noProof/>
        </w:rPr>
        <w:instrText xml:space="preserve"> PAGEREF _Toc230099165 \h </w:instrText>
      </w:r>
      <w:r>
        <w:rPr>
          <w:noProof/>
        </w:rPr>
      </w:r>
      <w:r>
        <w:rPr>
          <w:noProof/>
        </w:rPr>
        <w:fldChar w:fldCharType="separate"/>
      </w:r>
      <w:r w:rsidR="009221BF">
        <w:rPr>
          <w:noProof/>
        </w:rPr>
        <w:t>137</w:t>
      </w:r>
      <w:r>
        <w:rPr>
          <w:noProof/>
        </w:rPr>
        <w:fldChar w:fldCharType="end"/>
      </w:r>
    </w:p>
    <w:p w14:paraId="24FEC9CF" w14:textId="1D6E2D2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sidRPr="00347B4E">
        <w:rPr>
          <w:noProof/>
          <w:color w:val="000000"/>
          <w:lang w:val="en-US"/>
        </w:rPr>
        <w:t>A4.2</w:t>
      </w:r>
      <w:r>
        <w:rPr>
          <w:rFonts w:eastAsiaTheme="minorEastAsia" w:cstheme="minorBidi"/>
          <w:b w:val="0"/>
          <w:smallCaps w:val="0"/>
          <w:color w:val="auto"/>
          <w:kern w:val="2"/>
          <w:sz w:val="24"/>
          <w:szCs w:val="24"/>
          <w:lang w:eastAsia="en-GB"/>
          <w14:ligatures w14:val="standardContextual"/>
        </w:rPr>
        <w:tab/>
      </w:r>
      <w:r w:rsidRPr="00347B4E">
        <w:rPr>
          <w:noProof/>
          <w:color w:val="000000"/>
          <w:lang w:val="en-US"/>
        </w:rPr>
        <w:t>HFC Phase-down Funding Methodology for the Consumption Sector</w:t>
      </w:r>
      <w:r>
        <w:rPr>
          <w:noProof/>
        </w:rPr>
        <w:tab/>
      </w:r>
      <w:r>
        <w:rPr>
          <w:noProof/>
        </w:rPr>
        <w:fldChar w:fldCharType="begin"/>
      </w:r>
      <w:r>
        <w:rPr>
          <w:noProof/>
        </w:rPr>
        <w:instrText xml:space="preserve"> PAGEREF _Toc230099166 \h </w:instrText>
      </w:r>
      <w:r>
        <w:rPr>
          <w:noProof/>
        </w:rPr>
      </w:r>
      <w:r>
        <w:rPr>
          <w:noProof/>
        </w:rPr>
        <w:fldChar w:fldCharType="separate"/>
      </w:r>
      <w:r w:rsidR="009221BF">
        <w:rPr>
          <w:noProof/>
        </w:rPr>
        <w:t>137</w:t>
      </w:r>
      <w:r>
        <w:rPr>
          <w:noProof/>
        </w:rPr>
        <w:fldChar w:fldCharType="end"/>
      </w:r>
    </w:p>
    <w:p w14:paraId="5D90DA25" w14:textId="5E689C86" w:rsidR="00442791" w:rsidRDefault="00442791" w:rsidP="000A5309">
      <w:pPr>
        <w:pStyle w:val="TOC1"/>
        <w:rPr>
          <w:rFonts w:eastAsiaTheme="minorEastAsia" w:cstheme="minorBidi"/>
          <w:color w:val="auto"/>
          <w:kern w:val="2"/>
          <w:sz w:val="24"/>
          <w:szCs w:val="24"/>
          <w:lang w:eastAsia="en-GB"/>
          <w14:ligatures w14:val="standardContextual"/>
        </w:rPr>
      </w:pPr>
      <w:r w:rsidRPr="00347B4E">
        <w:rPr>
          <w:rFonts w:eastAsia="Calibri"/>
          <w:noProof/>
        </w:rPr>
        <w:t>ANNEX 5: LIST OF PARTIES FUNDED AS LVC UNDER THE HCFC PHASE-OUT AND HFC PHASE-DOWN</w:t>
      </w:r>
      <w:r>
        <w:rPr>
          <w:noProof/>
        </w:rPr>
        <w:tab/>
      </w:r>
      <w:r>
        <w:rPr>
          <w:noProof/>
        </w:rPr>
        <w:fldChar w:fldCharType="begin"/>
      </w:r>
      <w:r>
        <w:rPr>
          <w:noProof/>
        </w:rPr>
        <w:instrText xml:space="preserve"> PAGEREF _Toc230099167 \h </w:instrText>
      </w:r>
      <w:r>
        <w:rPr>
          <w:noProof/>
        </w:rPr>
      </w:r>
      <w:r>
        <w:rPr>
          <w:noProof/>
        </w:rPr>
        <w:fldChar w:fldCharType="separate"/>
      </w:r>
      <w:r w:rsidR="009221BF">
        <w:rPr>
          <w:noProof/>
        </w:rPr>
        <w:t>143</w:t>
      </w:r>
      <w:r>
        <w:rPr>
          <w:noProof/>
        </w:rPr>
        <w:fldChar w:fldCharType="end"/>
      </w:r>
    </w:p>
    <w:p w14:paraId="190DB661" w14:textId="1A745E13" w:rsidR="00442791" w:rsidRDefault="00442791" w:rsidP="000A5309">
      <w:pPr>
        <w:pStyle w:val="TOC1"/>
        <w:rPr>
          <w:rFonts w:eastAsiaTheme="minorEastAsia" w:cstheme="minorBidi"/>
          <w:color w:val="auto"/>
          <w:kern w:val="2"/>
          <w:sz w:val="24"/>
          <w:szCs w:val="24"/>
          <w:lang w:eastAsia="en-GB"/>
          <w14:ligatures w14:val="standardContextual"/>
        </w:rPr>
      </w:pPr>
      <w:r>
        <w:rPr>
          <w:noProof/>
        </w:rPr>
        <w:t>ANNEX 6</w:t>
      </w:r>
      <w:r w:rsidRPr="00347B4E">
        <w:rPr>
          <w:noProof/>
        </w:rPr>
        <w:t>:</w:t>
      </w:r>
      <w:r>
        <w:rPr>
          <w:noProof/>
        </w:rPr>
        <w:t xml:space="preserve"> LIST OF PARTIES PENDING </w:t>
      </w:r>
      <w:r w:rsidRPr="00347B4E">
        <w:rPr>
          <w:noProof/>
        </w:rPr>
        <w:t>RATIFICATION</w:t>
      </w:r>
      <w:r>
        <w:rPr>
          <w:noProof/>
        </w:rPr>
        <w:t xml:space="preserve"> </w:t>
      </w:r>
      <w:r w:rsidRPr="00347B4E">
        <w:rPr>
          <w:noProof/>
        </w:rPr>
        <w:t>OF THE</w:t>
      </w:r>
      <w:r>
        <w:rPr>
          <w:noProof/>
        </w:rPr>
        <w:t xml:space="preserve"> KIGALI AMENDMENT</w:t>
      </w:r>
      <w:r w:rsidRPr="00347B4E">
        <w:rPr>
          <w:noProof/>
        </w:rPr>
        <w:t xml:space="preserve"> (as of 8 April 2026)</w:t>
      </w:r>
      <w:r>
        <w:rPr>
          <w:noProof/>
        </w:rPr>
        <w:tab/>
      </w:r>
      <w:r>
        <w:rPr>
          <w:noProof/>
        </w:rPr>
        <w:fldChar w:fldCharType="begin"/>
      </w:r>
      <w:r>
        <w:rPr>
          <w:noProof/>
        </w:rPr>
        <w:instrText xml:space="preserve"> PAGEREF _Toc230099168 \h </w:instrText>
      </w:r>
      <w:r>
        <w:rPr>
          <w:noProof/>
        </w:rPr>
      </w:r>
      <w:r>
        <w:rPr>
          <w:noProof/>
        </w:rPr>
        <w:fldChar w:fldCharType="separate"/>
      </w:r>
      <w:r w:rsidR="009221BF">
        <w:rPr>
          <w:noProof/>
        </w:rPr>
        <w:t>145</w:t>
      </w:r>
      <w:r>
        <w:rPr>
          <w:noProof/>
        </w:rPr>
        <w:fldChar w:fldCharType="end"/>
      </w:r>
    </w:p>
    <w:p w14:paraId="3E1A6129" w14:textId="11DC676D" w:rsidR="00442791" w:rsidRDefault="00442791" w:rsidP="000A5309">
      <w:pPr>
        <w:pStyle w:val="TOC1"/>
        <w:rPr>
          <w:rFonts w:eastAsiaTheme="minorEastAsia" w:cstheme="minorBidi"/>
          <w:color w:val="auto"/>
          <w:kern w:val="2"/>
          <w:sz w:val="24"/>
          <w:szCs w:val="24"/>
          <w:lang w:eastAsia="en-GB"/>
          <w14:ligatures w14:val="standardContextual"/>
        </w:rPr>
      </w:pPr>
      <w:r w:rsidRPr="00347B4E">
        <w:rPr>
          <w:rFonts w:eastAsia="SimSun"/>
          <w:noProof/>
        </w:rPr>
        <w:t>ANNEX 7: RELEVANT EXCOM DECISIONS ON INSTITUTIONAL STRENGTHENING AND STANDARD ACTIVITIES</w:t>
      </w:r>
      <w:r>
        <w:rPr>
          <w:noProof/>
        </w:rPr>
        <w:tab/>
      </w:r>
      <w:r>
        <w:rPr>
          <w:noProof/>
        </w:rPr>
        <w:fldChar w:fldCharType="begin"/>
      </w:r>
      <w:r>
        <w:rPr>
          <w:noProof/>
        </w:rPr>
        <w:instrText xml:space="preserve"> PAGEREF _Toc230099169 \h </w:instrText>
      </w:r>
      <w:r>
        <w:rPr>
          <w:noProof/>
        </w:rPr>
      </w:r>
      <w:r>
        <w:rPr>
          <w:noProof/>
        </w:rPr>
        <w:fldChar w:fldCharType="separate"/>
      </w:r>
      <w:r w:rsidR="009221BF">
        <w:rPr>
          <w:noProof/>
        </w:rPr>
        <w:t>146</w:t>
      </w:r>
      <w:r>
        <w:rPr>
          <w:noProof/>
        </w:rPr>
        <w:fldChar w:fldCharType="end"/>
      </w:r>
    </w:p>
    <w:p w14:paraId="150E2509" w14:textId="5DE9AD77" w:rsidR="00442791" w:rsidRDefault="00442791" w:rsidP="000A5309">
      <w:pPr>
        <w:pStyle w:val="TOC1"/>
        <w:rPr>
          <w:rFonts w:eastAsiaTheme="minorEastAsia" w:cstheme="minorBidi"/>
          <w:color w:val="auto"/>
          <w:kern w:val="2"/>
          <w:sz w:val="24"/>
          <w:szCs w:val="24"/>
          <w:lang w:eastAsia="en-GB"/>
          <w14:ligatures w14:val="standardContextual"/>
        </w:rPr>
      </w:pPr>
      <w:r w:rsidRPr="00347B4E">
        <w:rPr>
          <w:rFonts w:eastAsia="SimSun"/>
          <w:noProof/>
        </w:rPr>
        <w:t>ANNEX 8:</w:t>
      </w:r>
      <w:r>
        <w:rPr>
          <w:noProof/>
        </w:rPr>
        <w:t xml:space="preserve"> </w:t>
      </w:r>
      <w:r w:rsidRPr="00347B4E">
        <w:rPr>
          <w:rFonts w:eastAsia="SimSun"/>
          <w:noProof/>
        </w:rPr>
        <w:t>DECISIONS RELATED TO ENHANCING REGIONAL ATMOSPHERIC MONITORING</w:t>
      </w:r>
      <w:r>
        <w:rPr>
          <w:noProof/>
        </w:rPr>
        <w:tab/>
      </w:r>
      <w:r>
        <w:rPr>
          <w:noProof/>
        </w:rPr>
        <w:fldChar w:fldCharType="begin"/>
      </w:r>
      <w:r>
        <w:rPr>
          <w:noProof/>
        </w:rPr>
        <w:instrText xml:space="preserve"> PAGEREF _Toc230099170 \h </w:instrText>
      </w:r>
      <w:r>
        <w:rPr>
          <w:noProof/>
        </w:rPr>
      </w:r>
      <w:r>
        <w:rPr>
          <w:noProof/>
        </w:rPr>
        <w:fldChar w:fldCharType="separate"/>
      </w:r>
      <w:r w:rsidR="009221BF">
        <w:rPr>
          <w:noProof/>
        </w:rPr>
        <w:t>149</w:t>
      </w:r>
      <w:r>
        <w:rPr>
          <w:noProof/>
        </w:rPr>
        <w:fldChar w:fldCharType="end"/>
      </w:r>
    </w:p>
    <w:p w14:paraId="5AAF7427" w14:textId="5A2F8BE1"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A8.1</w:t>
      </w:r>
      <w:r>
        <w:rPr>
          <w:rFonts w:eastAsiaTheme="minorEastAsia" w:cstheme="minorBidi"/>
          <w:b w:val="0"/>
          <w:smallCaps w:val="0"/>
          <w:color w:val="auto"/>
          <w:kern w:val="2"/>
          <w:sz w:val="24"/>
          <w:szCs w:val="24"/>
          <w:lang w:eastAsia="en-GB"/>
          <w14:ligatures w14:val="standardContextual"/>
        </w:rPr>
        <w:tab/>
      </w:r>
      <w:r>
        <w:rPr>
          <w:noProof/>
        </w:rPr>
        <w:t>Decision XXX/3: Unexpected emissions of CFC-11</w:t>
      </w:r>
      <w:r>
        <w:rPr>
          <w:noProof/>
        </w:rPr>
        <w:tab/>
      </w:r>
      <w:r>
        <w:rPr>
          <w:noProof/>
        </w:rPr>
        <w:fldChar w:fldCharType="begin"/>
      </w:r>
      <w:r>
        <w:rPr>
          <w:noProof/>
        </w:rPr>
        <w:instrText xml:space="preserve"> PAGEREF _Toc230099171 \h </w:instrText>
      </w:r>
      <w:r>
        <w:rPr>
          <w:noProof/>
        </w:rPr>
      </w:r>
      <w:r>
        <w:rPr>
          <w:noProof/>
        </w:rPr>
        <w:fldChar w:fldCharType="separate"/>
      </w:r>
      <w:r w:rsidR="009221BF">
        <w:rPr>
          <w:noProof/>
        </w:rPr>
        <w:t>149</w:t>
      </w:r>
      <w:r>
        <w:rPr>
          <w:noProof/>
        </w:rPr>
        <w:fldChar w:fldCharType="end"/>
      </w:r>
    </w:p>
    <w:p w14:paraId="1807EA9D" w14:textId="034A46A6"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A8.2</w:t>
      </w:r>
      <w:r>
        <w:rPr>
          <w:rFonts w:eastAsiaTheme="minorEastAsia" w:cstheme="minorBidi"/>
          <w:b w:val="0"/>
          <w:smallCaps w:val="0"/>
          <w:color w:val="auto"/>
          <w:kern w:val="2"/>
          <w:sz w:val="24"/>
          <w:szCs w:val="24"/>
          <w:lang w:eastAsia="en-GB"/>
          <w14:ligatures w14:val="standardContextual"/>
        </w:rPr>
        <w:tab/>
      </w:r>
      <w:r>
        <w:rPr>
          <w:noProof/>
        </w:rPr>
        <w:t>Decision XXXI/3: Unexpected emissions of CFC-11 and institutional processes to be enhanced to strengthen the effective implementation and enforcement of the Montreal Protocol</w:t>
      </w:r>
      <w:r>
        <w:rPr>
          <w:noProof/>
        </w:rPr>
        <w:tab/>
      </w:r>
      <w:r>
        <w:rPr>
          <w:noProof/>
        </w:rPr>
        <w:fldChar w:fldCharType="begin"/>
      </w:r>
      <w:r>
        <w:rPr>
          <w:noProof/>
        </w:rPr>
        <w:instrText xml:space="preserve"> PAGEREF _Toc230099172 \h </w:instrText>
      </w:r>
      <w:r>
        <w:rPr>
          <w:noProof/>
        </w:rPr>
      </w:r>
      <w:r>
        <w:rPr>
          <w:noProof/>
        </w:rPr>
        <w:fldChar w:fldCharType="separate"/>
      </w:r>
      <w:r w:rsidR="009221BF">
        <w:rPr>
          <w:noProof/>
        </w:rPr>
        <w:t>150</w:t>
      </w:r>
      <w:r>
        <w:rPr>
          <w:noProof/>
        </w:rPr>
        <w:fldChar w:fldCharType="end"/>
      </w:r>
    </w:p>
    <w:p w14:paraId="02C058D6" w14:textId="2ED63C06"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A8.3</w:t>
      </w:r>
      <w:r>
        <w:rPr>
          <w:rFonts w:eastAsiaTheme="minorEastAsia" w:cstheme="minorBidi"/>
          <w:b w:val="0"/>
          <w:smallCaps w:val="0"/>
          <w:color w:val="auto"/>
          <w:kern w:val="2"/>
          <w:sz w:val="24"/>
          <w:szCs w:val="24"/>
          <w:lang w:eastAsia="en-GB"/>
          <w14:ligatures w14:val="standardContextual"/>
        </w:rPr>
        <w:tab/>
      </w:r>
      <w:r>
        <w:rPr>
          <w:noProof/>
        </w:rPr>
        <w:t>Decision XXXIII/4: Enhancing the global and regional atmospheric monitoring of substances controlled by the Montreal Protocol</w:t>
      </w:r>
      <w:r>
        <w:rPr>
          <w:noProof/>
        </w:rPr>
        <w:tab/>
      </w:r>
      <w:r>
        <w:rPr>
          <w:noProof/>
        </w:rPr>
        <w:fldChar w:fldCharType="begin"/>
      </w:r>
      <w:r>
        <w:rPr>
          <w:noProof/>
        </w:rPr>
        <w:instrText xml:space="preserve"> PAGEREF _Toc230099173 \h </w:instrText>
      </w:r>
      <w:r>
        <w:rPr>
          <w:noProof/>
        </w:rPr>
      </w:r>
      <w:r>
        <w:rPr>
          <w:noProof/>
        </w:rPr>
        <w:fldChar w:fldCharType="separate"/>
      </w:r>
      <w:r w:rsidR="009221BF">
        <w:rPr>
          <w:noProof/>
        </w:rPr>
        <w:t>151</w:t>
      </w:r>
      <w:r>
        <w:rPr>
          <w:noProof/>
        </w:rPr>
        <w:fldChar w:fldCharType="end"/>
      </w:r>
    </w:p>
    <w:p w14:paraId="281CCE61" w14:textId="2CC2DC5D" w:rsidR="00442791" w:rsidRDefault="00442791" w:rsidP="00442791">
      <w:pPr>
        <w:pStyle w:val="TOC2"/>
        <w:tabs>
          <w:tab w:val="clear" w:pos="8303"/>
          <w:tab w:val="right" w:leader="dot" w:pos="8931"/>
        </w:tabs>
        <w:ind w:right="-45"/>
        <w:rPr>
          <w:rFonts w:eastAsiaTheme="minorEastAsia" w:cstheme="minorBidi"/>
          <w:b w:val="0"/>
          <w:smallCaps w:val="0"/>
          <w:color w:val="auto"/>
          <w:kern w:val="2"/>
          <w:sz w:val="24"/>
          <w:szCs w:val="24"/>
          <w:lang w:eastAsia="en-GB"/>
          <w14:ligatures w14:val="standardContextual"/>
        </w:rPr>
      </w:pPr>
      <w:r>
        <w:rPr>
          <w:noProof/>
        </w:rPr>
        <w:t>A8.4</w:t>
      </w:r>
      <w:r>
        <w:rPr>
          <w:rFonts w:eastAsiaTheme="minorEastAsia" w:cstheme="minorBidi"/>
          <w:b w:val="0"/>
          <w:smallCaps w:val="0"/>
          <w:color w:val="auto"/>
          <w:kern w:val="2"/>
          <w:sz w:val="24"/>
          <w:szCs w:val="24"/>
          <w:lang w:eastAsia="en-GB"/>
          <w14:ligatures w14:val="standardContextual"/>
        </w:rPr>
        <w:tab/>
      </w:r>
      <w:r>
        <w:rPr>
          <w:noProof/>
        </w:rPr>
        <w:t>Decision XXXV/14: Enhancing the global and regional atmospheric monitoring of substances controlled by the Montreal Protocol on Substances that Deplete the Ozone Layer</w:t>
      </w:r>
      <w:r>
        <w:rPr>
          <w:noProof/>
        </w:rPr>
        <w:tab/>
      </w:r>
      <w:r>
        <w:rPr>
          <w:noProof/>
        </w:rPr>
        <w:fldChar w:fldCharType="begin"/>
      </w:r>
      <w:r>
        <w:rPr>
          <w:noProof/>
        </w:rPr>
        <w:instrText xml:space="preserve"> PAGEREF _Toc230099174 \h </w:instrText>
      </w:r>
      <w:r>
        <w:rPr>
          <w:noProof/>
        </w:rPr>
      </w:r>
      <w:r>
        <w:rPr>
          <w:noProof/>
        </w:rPr>
        <w:fldChar w:fldCharType="separate"/>
      </w:r>
      <w:r w:rsidR="009221BF">
        <w:rPr>
          <w:noProof/>
        </w:rPr>
        <w:t>152</w:t>
      </w:r>
      <w:r>
        <w:rPr>
          <w:noProof/>
        </w:rPr>
        <w:fldChar w:fldCharType="end"/>
      </w:r>
    </w:p>
    <w:p w14:paraId="74262166" w14:textId="0F5AB841" w:rsidR="00442791" w:rsidRDefault="00442791" w:rsidP="000A5309">
      <w:pPr>
        <w:pStyle w:val="TOC1"/>
        <w:rPr>
          <w:rFonts w:eastAsiaTheme="minorEastAsia" w:cstheme="minorBidi"/>
          <w:color w:val="auto"/>
          <w:kern w:val="2"/>
          <w:sz w:val="24"/>
          <w:szCs w:val="24"/>
          <w:lang w:eastAsia="en-GB"/>
          <w14:ligatures w14:val="standardContextual"/>
        </w:rPr>
      </w:pPr>
      <w:r>
        <w:rPr>
          <w:noProof/>
        </w:rPr>
        <w:t>A</w:t>
      </w:r>
      <w:r w:rsidRPr="00347B4E">
        <w:rPr>
          <w:noProof/>
        </w:rPr>
        <w:t>NNEX</w:t>
      </w:r>
      <w:r>
        <w:rPr>
          <w:noProof/>
        </w:rPr>
        <w:t xml:space="preserve"> 9. PROJECT PREPARATION FOR KIPS AND COST DETAILS</w:t>
      </w:r>
      <w:r>
        <w:rPr>
          <w:noProof/>
        </w:rPr>
        <w:tab/>
      </w:r>
      <w:r>
        <w:rPr>
          <w:noProof/>
        </w:rPr>
        <w:fldChar w:fldCharType="begin"/>
      </w:r>
      <w:r>
        <w:rPr>
          <w:noProof/>
        </w:rPr>
        <w:instrText xml:space="preserve"> PAGEREF _Toc230099175 \h </w:instrText>
      </w:r>
      <w:r>
        <w:rPr>
          <w:noProof/>
        </w:rPr>
      </w:r>
      <w:r>
        <w:rPr>
          <w:noProof/>
        </w:rPr>
        <w:fldChar w:fldCharType="separate"/>
      </w:r>
      <w:r w:rsidR="009221BF">
        <w:rPr>
          <w:noProof/>
        </w:rPr>
        <w:t>155</w:t>
      </w:r>
      <w:r>
        <w:rPr>
          <w:noProof/>
        </w:rPr>
        <w:fldChar w:fldCharType="end"/>
      </w:r>
    </w:p>
    <w:p w14:paraId="75DC45CE" w14:textId="17888399" w:rsidR="00442791" w:rsidRDefault="00442791" w:rsidP="000A5309">
      <w:pPr>
        <w:pStyle w:val="TOC1"/>
        <w:rPr>
          <w:rFonts w:eastAsiaTheme="minorEastAsia" w:cstheme="minorBidi"/>
          <w:color w:val="auto"/>
          <w:kern w:val="2"/>
          <w:sz w:val="24"/>
          <w:szCs w:val="24"/>
          <w:lang w:eastAsia="en-GB"/>
          <w14:ligatures w14:val="standardContextual"/>
        </w:rPr>
      </w:pPr>
      <w:r w:rsidRPr="00347B4E">
        <w:rPr>
          <w:rFonts w:eastAsia="SimSun"/>
          <w:noProof/>
        </w:rPr>
        <w:t>Annex 10: INIDICATIVE COSTS FOR E</w:t>
      </w:r>
      <w:r>
        <w:rPr>
          <w:noProof/>
        </w:rPr>
        <w:t xml:space="preserve">OL ODS/HFC MANAGEMENT </w:t>
      </w:r>
      <w:r>
        <w:rPr>
          <w:noProof/>
        </w:rPr>
        <w:tab/>
      </w:r>
      <w:r>
        <w:rPr>
          <w:noProof/>
        </w:rPr>
        <w:fldChar w:fldCharType="begin"/>
      </w:r>
      <w:r>
        <w:rPr>
          <w:noProof/>
        </w:rPr>
        <w:instrText xml:space="preserve"> PAGEREF _Toc230099176 \h </w:instrText>
      </w:r>
      <w:r>
        <w:rPr>
          <w:noProof/>
        </w:rPr>
      </w:r>
      <w:r>
        <w:rPr>
          <w:noProof/>
        </w:rPr>
        <w:fldChar w:fldCharType="separate"/>
      </w:r>
      <w:r w:rsidR="009221BF">
        <w:rPr>
          <w:noProof/>
        </w:rPr>
        <w:t>159</w:t>
      </w:r>
      <w:r>
        <w:rPr>
          <w:noProof/>
        </w:rPr>
        <w:fldChar w:fldCharType="end"/>
      </w:r>
    </w:p>
    <w:p w14:paraId="76047D9A" w14:textId="1E6EE480" w:rsidR="003C3196" w:rsidRDefault="00CD2B2D" w:rsidP="00442791">
      <w:pPr>
        <w:tabs>
          <w:tab w:val="left" w:pos="1260"/>
          <w:tab w:val="right" w:leader="dot" w:pos="8931"/>
        </w:tabs>
        <w:spacing w:after="0"/>
        <w:ind w:right="-45"/>
        <w:rPr>
          <w:rFonts w:asciiTheme="minorHAnsi" w:hAnsiTheme="minorHAnsi" w:cstheme="minorHAnsi"/>
          <w:b/>
          <w:caps/>
          <w:color w:val="000000"/>
          <w:sz w:val="20"/>
          <w:szCs w:val="20"/>
          <w:lang w:eastAsia="zh-CN"/>
        </w:rPr>
      </w:pPr>
      <w:r w:rsidRPr="004A0778">
        <w:rPr>
          <w:rFonts w:asciiTheme="minorHAnsi" w:hAnsiTheme="minorHAnsi" w:cstheme="minorHAnsi"/>
          <w:b/>
          <w:caps/>
          <w:color w:val="000000"/>
          <w:sz w:val="20"/>
          <w:szCs w:val="20"/>
          <w:lang w:eastAsia="zh-CN"/>
        </w:rPr>
        <w:fldChar w:fldCharType="end"/>
      </w:r>
    </w:p>
    <w:p w14:paraId="17E98D62" w14:textId="77777777" w:rsidR="00B10EF4" w:rsidRDefault="00B10EF4" w:rsidP="004A0778">
      <w:pPr>
        <w:tabs>
          <w:tab w:val="left" w:pos="1260"/>
          <w:tab w:val="right" w:leader="dot" w:pos="8640"/>
        </w:tabs>
        <w:spacing w:after="0"/>
        <w:rPr>
          <w:rFonts w:asciiTheme="minorHAnsi" w:hAnsiTheme="minorHAnsi" w:cstheme="minorHAnsi"/>
          <w:b/>
          <w:caps/>
          <w:color w:val="000000"/>
          <w:sz w:val="20"/>
          <w:szCs w:val="20"/>
          <w:lang w:eastAsia="zh-CN"/>
        </w:rPr>
      </w:pPr>
    </w:p>
    <w:p w14:paraId="546149B1" w14:textId="77777777" w:rsidR="00B10EF4" w:rsidRDefault="00B10EF4" w:rsidP="005D31A7">
      <w:pPr>
        <w:pStyle w:val="Heading1"/>
        <w:sectPr w:rsidR="00B10EF4" w:rsidSect="00442791">
          <w:headerReference w:type="even" r:id="rId23"/>
          <w:headerReference w:type="default" r:id="rId24"/>
          <w:footerReference w:type="even" r:id="rId25"/>
          <w:headerReference w:type="first" r:id="rId26"/>
          <w:pgSz w:w="11907" w:h="16839" w:code="9"/>
          <w:pgMar w:top="1440" w:right="1440" w:bottom="1440" w:left="1440" w:header="720" w:footer="794" w:gutter="0"/>
          <w:pgNumType w:fmt="lowerRoman"/>
          <w:cols w:space="720"/>
          <w:docGrid w:linePitch="299"/>
        </w:sectPr>
      </w:pPr>
      <w:bookmarkStart w:id="90" w:name="_Toc119436495"/>
    </w:p>
    <w:p w14:paraId="11461267" w14:textId="71BBC161" w:rsidR="004124EA" w:rsidRPr="00E42C5E" w:rsidRDefault="003C3196" w:rsidP="005D31A7">
      <w:pPr>
        <w:pStyle w:val="Heading1"/>
      </w:pPr>
      <w:bookmarkStart w:id="91" w:name="_Toc230099030"/>
      <w:r w:rsidRPr="00E42C5E">
        <w:lastRenderedPageBreak/>
        <w:t>Executive Summary</w:t>
      </w:r>
      <w:bookmarkEnd w:id="90"/>
      <w:bookmarkEnd w:id="91"/>
    </w:p>
    <w:p w14:paraId="6512886D" w14:textId="77777777" w:rsidR="00DB3A76" w:rsidRPr="00DB3A76" w:rsidRDefault="00DB3A76" w:rsidP="005E4CDC">
      <w:pPr>
        <w:tabs>
          <w:tab w:val="clear" w:pos="0"/>
        </w:tabs>
        <w:spacing w:after="200"/>
        <w:rPr>
          <w:rFonts w:eastAsia="SimSun"/>
          <w:color w:val="auto"/>
        </w:rPr>
      </w:pPr>
      <w:r w:rsidRPr="00DB3A76">
        <w:rPr>
          <w:rFonts w:eastAsia="SimSun"/>
          <w:color w:val="auto"/>
          <w:lang w:eastAsia="zh-CN"/>
        </w:rPr>
        <w:t xml:space="preserve">The Montreal Protocol Multilateral Fund (MLF) has been replenished eleven times since its initial capitalisation of US$ 240 million for the period 1991-1993. </w:t>
      </w:r>
      <w:r w:rsidRPr="00DB3A76">
        <w:rPr>
          <w:rFonts w:eastAsia="SimSun"/>
          <w:color w:val="auto"/>
        </w:rPr>
        <w:t>The replenishments of the MLF are indicated in Table ES.1, which</w:t>
      </w:r>
      <w:r w:rsidRPr="071A55BD">
        <w:rPr>
          <w:rFonts w:eastAsia="SimSun"/>
        </w:rPr>
        <w:t xml:space="preserve"> include </w:t>
      </w:r>
      <w:r w:rsidRPr="00DB3A76">
        <w:rPr>
          <w:rFonts w:eastAsia="SimSun"/>
          <w:color w:val="auto"/>
        </w:rPr>
        <w:t>anticipated contributions from the MLF and other sources from the previous triennium, known as “carry-over”, and from interest accruing to the Fund during that triennium.</w:t>
      </w:r>
    </w:p>
    <w:p w14:paraId="3D628D02" w14:textId="16291E52" w:rsidR="007F7365" w:rsidRPr="00E42C5E" w:rsidRDefault="4BCEE662" w:rsidP="002135B0">
      <w:pPr>
        <w:tabs>
          <w:tab w:val="left" w:pos="1250"/>
          <w:tab w:val="left" w:pos="1418"/>
        </w:tabs>
        <w:ind w:left="1418" w:hanging="1418"/>
        <w:rPr>
          <w:rFonts w:eastAsiaTheme="minorEastAsia"/>
          <w:b/>
          <w:bCs/>
        </w:rPr>
      </w:pPr>
      <w:r w:rsidRPr="4BCEE662">
        <w:rPr>
          <w:rFonts w:eastAsiaTheme="minorEastAsia"/>
          <w:b/>
          <w:bCs/>
        </w:rPr>
        <w:t>Table ES.1</w:t>
      </w:r>
      <w:r w:rsidR="00FF1BBE">
        <w:rPr>
          <w:rFonts w:eastAsiaTheme="minorEastAsia"/>
          <w:b/>
          <w:bCs/>
        </w:rPr>
        <w:t>:</w:t>
      </w:r>
      <w:r w:rsidR="007F7365">
        <w:tab/>
      </w:r>
      <w:r w:rsidRPr="4BCEE662">
        <w:rPr>
          <w:rFonts w:eastAsia="SimSun"/>
          <w:b/>
          <w:bCs/>
          <w:color w:val="auto"/>
        </w:rPr>
        <w:t>Replenishments of the MLF (US$) *</w:t>
      </w:r>
    </w:p>
    <w:tbl>
      <w:tblPr>
        <w:tblStyle w:val="TableGrid0"/>
        <w:tblpPr w:leftFromText="180" w:rightFromText="180" w:vertAnchor="text" w:horzAnchor="margin" w:tblpYSpec="outside"/>
        <w:tblW w:w="0" w:type="auto"/>
        <w:tblLook w:val="04A0" w:firstRow="1" w:lastRow="0" w:firstColumn="1" w:lastColumn="0" w:noHBand="0" w:noVBand="1"/>
      </w:tblPr>
      <w:tblGrid>
        <w:gridCol w:w="1782"/>
        <w:gridCol w:w="1801"/>
        <w:gridCol w:w="1858"/>
        <w:gridCol w:w="1782"/>
        <w:gridCol w:w="1794"/>
      </w:tblGrid>
      <w:tr w:rsidR="00581DD0" w:rsidRPr="00ED56C2" w14:paraId="1DCD5D8A" w14:textId="77777777" w:rsidTr="002135B0">
        <w:trPr>
          <w:trHeight w:val="280"/>
        </w:trPr>
        <w:tc>
          <w:tcPr>
            <w:tcW w:w="1796" w:type="dxa"/>
            <w:shd w:val="clear" w:color="auto" w:fill="D9E2F3" w:themeFill="accent1" w:themeFillTint="33"/>
            <w:vAlign w:val="center"/>
          </w:tcPr>
          <w:p w14:paraId="00AB8C0A" w14:textId="77777777" w:rsidR="00581DD0" w:rsidRPr="00ED56C2" w:rsidRDefault="00581DD0" w:rsidP="00547F8B">
            <w:pPr>
              <w:spacing w:after="0"/>
              <w:jc w:val="center"/>
              <w:rPr>
                <w:b/>
                <w:bCs/>
                <w:color w:val="000000"/>
                <w:sz w:val="20"/>
                <w:szCs w:val="20"/>
              </w:rPr>
            </w:pPr>
            <w:r w:rsidRPr="071A55BD">
              <w:rPr>
                <w:b/>
                <w:sz w:val="20"/>
                <w:szCs w:val="20"/>
              </w:rPr>
              <w:t>Triennium</w:t>
            </w:r>
          </w:p>
        </w:tc>
        <w:tc>
          <w:tcPr>
            <w:tcW w:w="1811" w:type="dxa"/>
            <w:shd w:val="clear" w:color="auto" w:fill="D9E2F3" w:themeFill="accent1" w:themeFillTint="33"/>
            <w:vAlign w:val="center"/>
          </w:tcPr>
          <w:p w14:paraId="5027FABA" w14:textId="134D078E" w:rsidR="00581DD0" w:rsidRPr="00ED56C2" w:rsidRDefault="00581DD0" w:rsidP="00FF1BBE">
            <w:pPr>
              <w:spacing w:after="0"/>
              <w:jc w:val="center"/>
              <w:rPr>
                <w:b/>
                <w:bCs/>
                <w:color w:val="000000"/>
                <w:sz w:val="20"/>
                <w:szCs w:val="20"/>
              </w:rPr>
            </w:pPr>
            <w:r w:rsidRPr="071A55BD">
              <w:rPr>
                <w:b/>
                <w:sz w:val="20"/>
                <w:szCs w:val="20"/>
              </w:rPr>
              <w:t>Approved</w:t>
            </w:r>
          </w:p>
        </w:tc>
        <w:tc>
          <w:tcPr>
            <w:tcW w:w="1869" w:type="dxa"/>
            <w:shd w:val="clear" w:color="auto" w:fill="D9E2F3" w:themeFill="accent1" w:themeFillTint="33"/>
            <w:vAlign w:val="center"/>
          </w:tcPr>
          <w:p w14:paraId="28CA9A06" w14:textId="77777777" w:rsidR="00581DD0" w:rsidRPr="00ED56C2" w:rsidRDefault="00581DD0" w:rsidP="00FF1BBE">
            <w:pPr>
              <w:spacing w:after="0"/>
              <w:jc w:val="center"/>
              <w:rPr>
                <w:b/>
                <w:bCs/>
                <w:color w:val="000000"/>
                <w:sz w:val="20"/>
                <w:szCs w:val="20"/>
              </w:rPr>
            </w:pPr>
            <w:r w:rsidRPr="071A55BD">
              <w:rPr>
                <w:b/>
                <w:sz w:val="20"/>
                <w:szCs w:val="20"/>
              </w:rPr>
              <w:t>Carry-over</w:t>
            </w:r>
          </w:p>
        </w:tc>
        <w:tc>
          <w:tcPr>
            <w:tcW w:w="1794" w:type="dxa"/>
            <w:shd w:val="clear" w:color="auto" w:fill="D9E2F3" w:themeFill="accent1" w:themeFillTint="33"/>
            <w:vAlign w:val="center"/>
          </w:tcPr>
          <w:p w14:paraId="7F839F0F" w14:textId="77777777" w:rsidR="00581DD0" w:rsidRPr="00ED56C2" w:rsidRDefault="00581DD0" w:rsidP="00FF1BBE">
            <w:pPr>
              <w:spacing w:after="0"/>
              <w:jc w:val="center"/>
              <w:rPr>
                <w:b/>
                <w:bCs/>
                <w:color w:val="000000"/>
                <w:sz w:val="20"/>
                <w:szCs w:val="20"/>
              </w:rPr>
            </w:pPr>
            <w:r w:rsidRPr="071A55BD">
              <w:rPr>
                <w:b/>
                <w:sz w:val="20"/>
                <w:szCs w:val="20"/>
              </w:rPr>
              <w:t>Interest accrued</w:t>
            </w:r>
          </w:p>
        </w:tc>
        <w:tc>
          <w:tcPr>
            <w:tcW w:w="1804" w:type="dxa"/>
            <w:shd w:val="clear" w:color="auto" w:fill="D9E2F3" w:themeFill="accent1" w:themeFillTint="33"/>
            <w:vAlign w:val="center"/>
          </w:tcPr>
          <w:p w14:paraId="7779FC34" w14:textId="77777777" w:rsidR="00581DD0" w:rsidRPr="00ED56C2" w:rsidRDefault="00581DD0" w:rsidP="002135B0">
            <w:pPr>
              <w:spacing w:after="0"/>
              <w:jc w:val="center"/>
              <w:rPr>
                <w:b/>
                <w:bCs/>
                <w:color w:val="000000"/>
                <w:sz w:val="20"/>
                <w:szCs w:val="20"/>
              </w:rPr>
            </w:pPr>
            <w:r w:rsidRPr="071A55BD">
              <w:rPr>
                <w:b/>
                <w:sz w:val="20"/>
                <w:szCs w:val="20"/>
              </w:rPr>
              <w:t>Total MLF Budget</w:t>
            </w:r>
          </w:p>
        </w:tc>
      </w:tr>
      <w:tr w:rsidR="00581DD0" w:rsidRPr="00ED56C2" w14:paraId="6C7AD9DA" w14:textId="77777777" w:rsidTr="002135B0">
        <w:trPr>
          <w:trHeight w:val="224"/>
        </w:trPr>
        <w:tc>
          <w:tcPr>
            <w:tcW w:w="1796" w:type="dxa"/>
            <w:shd w:val="clear" w:color="auto" w:fill="D9E2F3" w:themeFill="accent1" w:themeFillTint="33"/>
            <w:vAlign w:val="center"/>
          </w:tcPr>
          <w:p w14:paraId="6A8A3A57" w14:textId="77777777" w:rsidR="00581DD0" w:rsidRPr="00ED56C2" w:rsidRDefault="00581DD0" w:rsidP="002135B0">
            <w:pPr>
              <w:spacing w:after="0"/>
              <w:jc w:val="center"/>
              <w:rPr>
                <w:b/>
                <w:bCs/>
                <w:color w:val="000000"/>
                <w:sz w:val="20"/>
                <w:szCs w:val="20"/>
              </w:rPr>
            </w:pPr>
            <w:r w:rsidRPr="00ED56C2">
              <w:rPr>
                <w:b/>
                <w:bCs/>
                <w:sz w:val="20"/>
                <w:szCs w:val="20"/>
              </w:rPr>
              <w:t>1994-1996</w:t>
            </w:r>
          </w:p>
        </w:tc>
        <w:tc>
          <w:tcPr>
            <w:tcW w:w="1811" w:type="dxa"/>
            <w:vAlign w:val="center"/>
          </w:tcPr>
          <w:p w14:paraId="53ED192F" w14:textId="77777777" w:rsidR="00581DD0" w:rsidRPr="00ED56C2" w:rsidRDefault="00581DD0" w:rsidP="002135B0">
            <w:pPr>
              <w:spacing w:after="0"/>
              <w:jc w:val="right"/>
              <w:rPr>
                <w:color w:val="000000"/>
                <w:sz w:val="20"/>
                <w:szCs w:val="20"/>
              </w:rPr>
            </w:pPr>
            <w:r w:rsidRPr="00ED56C2">
              <w:rPr>
                <w:sz w:val="20"/>
                <w:szCs w:val="20"/>
              </w:rPr>
              <w:t>$ 455,000,000</w:t>
            </w:r>
          </w:p>
        </w:tc>
        <w:tc>
          <w:tcPr>
            <w:tcW w:w="1869" w:type="dxa"/>
            <w:vAlign w:val="center"/>
          </w:tcPr>
          <w:p w14:paraId="49EC0A66" w14:textId="77777777" w:rsidR="00581DD0" w:rsidRPr="00ED56C2" w:rsidRDefault="00581DD0" w:rsidP="002135B0">
            <w:pPr>
              <w:spacing w:after="0"/>
              <w:jc w:val="right"/>
              <w:rPr>
                <w:color w:val="000000"/>
                <w:sz w:val="20"/>
                <w:szCs w:val="20"/>
              </w:rPr>
            </w:pPr>
            <w:r w:rsidRPr="071A55BD">
              <w:rPr>
                <w:sz w:val="20"/>
                <w:szCs w:val="20"/>
              </w:rPr>
              <w:t>$ 55,000,000</w:t>
            </w:r>
          </w:p>
        </w:tc>
        <w:tc>
          <w:tcPr>
            <w:tcW w:w="1794" w:type="dxa"/>
            <w:vAlign w:val="center"/>
          </w:tcPr>
          <w:p w14:paraId="7F57BB39" w14:textId="77777777" w:rsidR="00581DD0" w:rsidRPr="00ED56C2" w:rsidRDefault="00581DD0" w:rsidP="002135B0">
            <w:pPr>
              <w:spacing w:after="0"/>
              <w:jc w:val="right"/>
              <w:rPr>
                <w:color w:val="000000"/>
                <w:sz w:val="20"/>
                <w:szCs w:val="20"/>
              </w:rPr>
            </w:pPr>
            <w:r w:rsidRPr="071A55BD">
              <w:rPr>
                <w:sz w:val="20"/>
                <w:szCs w:val="20"/>
              </w:rPr>
              <w:t>N/A</w:t>
            </w:r>
          </w:p>
        </w:tc>
        <w:tc>
          <w:tcPr>
            <w:tcW w:w="1804" w:type="dxa"/>
            <w:vAlign w:val="center"/>
          </w:tcPr>
          <w:p w14:paraId="63B6878B" w14:textId="77777777" w:rsidR="00581DD0" w:rsidRPr="00ED56C2" w:rsidRDefault="00581DD0" w:rsidP="002135B0">
            <w:pPr>
              <w:spacing w:after="0"/>
              <w:jc w:val="right"/>
              <w:rPr>
                <w:color w:val="000000"/>
                <w:sz w:val="20"/>
                <w:szCs w:val="20"/>
              </w:rPr>
            </w:pPr>
            <w:r w:rsidRPr="00ED56C2">
              <w:rPr>
                <w:sz w:val="20"/>
                <w:szCs w:val="20"/>
              </w:rPr>
              <w:t>$ 510,000,000</w:t>
            </w:r>
          </w:p>
        </w:tc>
      </w:tr>
      <w:tr w:rsidR="00581DD0" w:rsidRPr="00ED56C2" w14:paraId="7540C4AD" w14:textId="77777777" w:rsidTr="002135B0">
        <w:trPr>
          <w:trHeight w:val="224"/>
        </w:trPr>
        <w:tc>
          <w:tcPr>
            <w:tcW w:w="1796" w:type="dxa"/>
            <w:shd w:val="clear" w:color="auto" w:fill="D9E2F3" w:themeFill="accent1" w:themeFillTint="33"/>
            <w:vAlign w:val="center"/>
          </w:tcPr>
          <w:p w14:paraId="400471C9" w14:textId="77777777" w:rsidR="00581DD0" w:rsidRPr="00ED56C2" w:rsidRDefault="00581DD0" w:rsidP="002135B0">
            <w:pPr>
              <w:spacing w:after="0"/>
              <w:jc w:val="center"/>
              <w:rPr>
                <w:b/>
                <w:bCs/>
                <w:color w:val="000000"/>
                <w:sz w:val="20"/>
                <w:szCs w:val="20"/>
              </w:rPr>
            </w:pPr>
            <w:r w:rsidRPr="00ED56C2">
              <w:rPr>
                <w:b/>
                <w:bCs/>
                <w:sz w:val="20"/>
                <w:szCs w:val="20"/>
              </w:rPr>
              <w:t>1997-1999</w:t>
            </w:r>
          </w:p>
        </w:tc>
        <w:tc>
          <w:tcPr>
            <w:tcW w:w="1811" w:type="dxa"/>
            <w:vAlign w:val="center"/>
          </w:tcPr>
          <w:p w14:paraId="058E13F3" w14:textId="77777777" w:rsidR="00581DD0" w:rsidRPr="00ED56C2" w:rsidRDefault="00581DD0" w:rsidP="002135B0">
            <w:pPr>
              <w:spacing w:after="0"/>
              <w:jc w:val="right"/>
              <w:rPr>
                <w:color w:val="000000"/>
                <w:sz w:val="20"/>
                <w:szCs w:val="20"/>
              </w:rPr>
            </w:pPr>
            <w:r w:rsidRPr="00ED56C2">
              <w:rPr>
                <w:sz w:val="20"/>
                <w:szCs w:val="20"/>
              </w:rPr>
              <w:t>$ 466,000,000</w:t>
            </w:r>
          </w:p>
        </w:tc>
        <w:tc>
          <w:tcPr>
            <w:tcW w:w="1869" w:type="dxa"/>
            <w:vAlign w:val="center"/>
          </w:tcPr>
          <w:p w14:paraId="36A00248" w14:textId="77777777" w:rsidR="00581DD0" w:rsidRPr="00ED56C2" w:rsidRDefault="00581DD0" w:rsidP="002135B0">
            <w:pPr>
              <w:spacing w:after="0"/>
              <w:jc w:val="right"/>
              <w:rPr>
                <w:color w:val="000000"/>
                <w:sz w:val="20"/>
                <w:szCs w:val="20"/>
              </w:rPr>
            </w:pPr>
            <w:r w:rsidRPr="071A55BD">
              <w:rPr>
                <w:sz w:val="20"/>
                <w:szCs w:val="20"/>
              </w:rPr>
              <w:t>$ 74,000,000</w:t>
            </w:r>
          </w:p>
        </w:tc>
        <w:tc>
          <w:tcPr>
            <w:tcW w:w="1794" w:type="dxa"/>
            <w:vAlign w:val="center"/>
          </w:tcPr>
          <w:p w14:paraId="3384560E" w14:textId="77777777" w:rsidR="00581DD0" w:rsidRPr="00ED56C2" w:rsidRDefault="00581DD0" w:rsidP="002135B0">
            <w:pPr>
              <w:spacing w:after="0"/>
              <w:jc w:val="right"/>
              <w:rPr>
                <w:color w:val="000000"/>
                <w:sz w:val="20"/>
                <w:szCs w:val="20"/>
              </w:rPr>
            </w:pPr>
            <w:r w:rsidRPr="071A55BD">
              <w:rPr>
                <w:sz w:val="20"/>
                <w:szCs w:val="20"/>
              </w:rPr>
              <w:t>N/A</w:t>
            </w:r>
          </w:p>
        </w:tc>
        <w:tc>
          <w:tcPr>
            <w:tcW w:w="1804" w:type="dxa"/>
            <w:vAlign w:val="center"/>
          </w:tcPr>
          <w:p w14:paraId="76E61F04" w14:textId="77777777" w:rsidR="00581DD0" w:rsidRPr="00ED56C2" w:rsidRDefault="00581DD0" w:rsidP="002135B0">
            <w:pPr>
              <w:spacing w:after="0"/>
              <w:jc w:val="right"/>
              <w:rPr>
                <w:color w:val="000000"/>
                <w:sz w:val="20"/>
                <w:szCs w:val="20"/>
              </w:rPr>
            </w:pPr>
            <w:r w:rsidRPr="00ED56C2">
              <w:rPr>
                <w:sz w:val="20"/>
                <w:szCs w:val="20"/>
              </w:rPr>
              <w:t>$ 540,000,000</w:t>
            </w:r>
          </w:p>
        </w:tc>
      </w:tr>
      <w:tr w:rsidR="00581DD0" w:rsidRPr="00ED56C2" w14:paraId="4ACFFD80" w14:textId="77777777" w:rsidTr="002135B0">
        <w:trPr>
          <w:trHeight w:val="224"/>
        </w:trPr>
        <w:tc>
          <w:tcPr>
            <w:tcW w:w="1796" w:type="dxa"/>
            <w:shd w:val="clear" w:color="auto" w:fill="D9E2F3" w:themeFill="accent1" w:themeFillTint="33"/>
            <w:vAlign w:val="center"/>
          </w:tcPr>
          <w:p w14:paraId="50C61429" w14:textId="77777777" w:rsidR="00581DD0" w:rsidRPr="00ED56C2" w:rsidRDefault="00581DD0" w:rsidP="002135B0">
            <w:pPr>
              <w:spacing w:after="0"/>
              <w:jc w:val="center"/>
              <w:rPr>
                <w:b/>
                <w:bCs/>
                <w:color w:val="000000"/>
                <w:sz w:val="20"/>
                <w:szCs w:val="20"/>
              </w:rPr>
            </w:pPr>
            <w:r w:rsidRPr="00ED56C2">
              <w:rPr>
                <w:b/>
                <w:bCs/>
                <w:sz w:val="20"/>
                <w:szCs w:val="20"/>
              </w:rPr>
              <w:t>2000-2002</w:t>
            </w:r>
          </w:p>
        </w:tc>
        <w:tc>
          <w:tcPr>
            <w:tcW w:w="1811" w:type="dxa"/>
            <w:vAlign w:val="center"/>
          </w:tcPr>
          <w:p w14:paraId="5A0057B6" w14:textId="77777777" w:rsidR="00581DD0" w:rsidRPr="00ED56C2" w:rsidRDefault="00581DD0" w:rsidP="002135B0">
            <w:pPr>
              <w:spacing w:after="0"/>
              <w:jc w:val="right"/>
              <w:rPr>
                <w:color w:val="000000"/>
                <w:sz w:val="20"/>
                <w:szCs w:val="20"/>
              </w:rPr>
            </w:pPr>
            <w:r w:rsidRPr="00ED56C2">
              <w:rPr>
                <w:sz w:val="20"/>
                <w:szCs w:val="20"/>
              </w:rPr>
              <w:t>$ 440,000,000</w:t>
            </w:r>
          </w:p>
        </w:tc>
        <w:tc>
          <w:tcPr>
            <w:tcW w:w="1869" w:type="dxa"/>
            <w:vAlign w:val="center"/>
          </w:tcPr>
          <w:p w14:paraId="5A31D3C2" w14:textId="77777777" w:rsidR="00581DD0" w:rsidRPr="00ED56C2" w:rsidRDefault="00581DD0" w:rsidP="002135B0">
            <w:pPr>
              <w:spacing w:after="0"/>
              <w:jc w:val="right"/>
              <w:rPr>
                <w:color w:val="000000"/>
                <w:sz w:val="20"/>
                <w:szCs w:val="20"/>
              </w:rPr>
            </w:pPr>
            <w:r w:rsidRPr="071A55BD">
              <w:rPr>
                <w:sz w:val="20"/>
                <w:szCs w:val="20"/>
              </w:rPr>
              <w:t>$ 35,700,000</w:t>
            </w:r>
          </w:p>
        </w:tc>
        <w:tc>
          <w:tcPr>
            <w:tcW w:w="1794" w:type="dxa"/>
            <w:vAlign w:val="center"/>
          </w:tcPr>
          <w:p w14:paraId="44958FDE" w14:textId="77777777" w:rsidR="00581DD0" w:rsidRPr="00ED56C2" w:rsidRDefault="00581DD0" w:rsidP="002135B0">
            <w:pPr>
              <w:spacing w:after="0"/>
              <w:jc w:val="right"/>
              <w:rPr>
                <w:color w:val="000000"/>
                <w:sz w:val="20"/>
                <w:szCs w:val="20"/>
              </w:rPr>
            </w:pPr>
            <w:r w:rsidRPr="071A55BD">
              <w:rPr>
                <w:sz w:val="20"/>
                <w:szCs w:val="20"/>
              </w:rPr>
              <w:t>N/A</w:t>
            </w:r>
          </w:p>
        </w:tc>
        <w:tc>
          <w:tcPr>
            <w:tcW w:w="1804" w:type="dxa"/>
            <w:vAlign w:val="center"/>
          </w:tcPr>
          <w:p w14:paraId="38BD220C" w14:textId="77777777" w:rsidR="00581DD0" w:rsidRPr="00ED56C2" w:rsidRDefault="00581DD0" w:rsidP="002135B0">
            <w:pPr>
              <w:spacing w:after="0"/>
              <w:jc w:val="right"/>
              <w:rPr>
                <w:color w:val="000000"/>
                <w:sz w:val="20"/>
                <w:szCs w:val="20"/>
              </w:rPr>
            </w:pPr>
            <w:r w:rsidRPr="00ED56C2">
              <w:rPr>
                <w:sz w:val="20"/>
                <w:szCs w:val="20"/>
              </w:rPr>
              <w:t>$ 475,700,000</w:t>
            </w:r>
          </w:p>
        </w:tc>
      </w:tr>
      <w:tr w:rsidR="00581DD0" w:rsidRPr="00ED56C2" w14:paraId="69E077AA" w14:textId="77777777" w:rsidTr="002135B0">
        <w:trPr>
          <w:trHeight w:val="224"/>
        </w:trPr>
        <w:tc>
          <w:tcPr>
            <w:tcW w:w="1796" w:type="dxa"/>
            <w:shd w:val="clear" w:color="auto" w:fill="D9E2F3" w:themeFill="accent1" w:themeFillTint="33"/>
            <w:vAlign w:val="center"/>
          </w:tcPr>
          <w:p w14:paraId="283CFADB" w14:textId="77777777" w:rsidR="00581DD0" w:rsidRPr="00ED56C2" w:rsidRDefault="00581DD0" w:rsidP="002135B0">
            <w:pPr>
              <w:spacing w:after="0"/>
              <w:jc w:val="center"/>
              <w:rPr>
                <w:b/>
                <w:bCs/>
                <w:color w:val="000000"/>
                <w:sz w:val="20"/>
                <w:szCs w:val="20"/>
              </w:rPr>
            </w:pPr>
            <w:r w:rsidRPr="00ED56C2">
              <w:rPr>
                <w:b/>
                <w:bCs/>
                <w:sz w:val="20"/>
                <w:szCs w:val="20"/>
              </w:rPr>
              <w:t>2003-2005</w:t>
            </w:r>
          </w:p>
        </w:tc>
        <w:tc>
          <w:tcPr>
            <w:tcW w:w="1811" w:type="dxa"/>
            <w:vAlign w:val="center"/>
          </w:tcPr>
          <w:p w14:paraId="467077DA" w14:textId="77777777" w:rsidR="00581DD0" w:rsidRPr="00ED56C2" w:rsidRDefault="00581DD0" w:rsidP="002135B0">
            <w:pPr>
              <w:spacing w:after="0"/>
              <w:jc w:val="right"/>
              <w:rPr>
                <w:color w:val="000000"/>
                <w:sz w:val="20"/>
                <w:szCs w:val="20"/>
              </w:rPr>
            </w:pPr>
            <w:r w:rsidRPr="00ED56C2">
              <w:rPr>
                <w:sz w:val="20"/>
                <w:szCs w:val="20"/>
              </w:rPr>
              <w:t>$ 474,000,000</w:t>
            </w:r>
          </w:p>
        </w:tc>
        <w:tc>
          <w:tcPr>
            <w:tcW w:w="1869" w:type="dxa"/>
            <w:vAlign w:val="center"/>
          </w:tcPr>
          <w:p w14:paraId="63B2CD4B" w14:textId="77777777" w:rsidR="00581DD0" w:rsidRPr="00ED56C2" w:rsidRDefault="00581DD0" w:rsidP="002135B0">
            <w:pPr>
              <w:spacing w:after="0"/>
              <w:jc w:val="right"/>
              <w:rPr>
                <w:color w:val="000000"/>
                <w:sz w:val="20"/>
                <w:szCs w:val="20"/>
              </w:rPr>
            </w:pPr>
            <w:r w:rsidRPr="071A55BD">
              <w:rPr>
                <w:sz w:val="20"/>
                <w:szCs w:val="20"/>
              </w:rPr>
              <w:t>$ 76,000,000</w:t>
            </w:r>
          </w:p>
        </w:tc>
        <w:tc>
          <w:tcPr>
            <w:tcW w:w="1794" w:type="dxa"/>
            <w:vAlign w:val="center"/>
          </w:tcPr>
          <w:p w14:paraId="5D7AB40D" w14:textId="77777777" w:rsidR="00581DD0" w:rsidRPr="00ED56C2" w:rsidRDefault="00581DD0" w:rsidP="002135B0">
            <w:pPr>
              <w:spacing w:after="0"/>
              <w:jc w:val="right"/>
              <w:rPr>
                <w:color w:val="000000"/>
                <w:sz w:val="20"/>
                <w:szCs w:val="20"/>
              </w:rPr>
            </w:pPr>
            <w:r w:rsidRPr="071A55BD">
              <w:rPr>
                <w:sz w:val="20"/>
                <w:szCs w:val="20"/>
              </w:rPr>
              <w:t>$ 23,000,000</w:t>
            </w:r>
          </w:p>
        </w:tc>
        <w:tc>
          <w:tcPr>
            <w:tcW w:w="1804" w:type="dxa"/>
            <w:vAlign w:val="center"/>
          </w:tcPr>
          <w:p w14:paraId="475A2F96" w14:textId="1CB19204" w:rsidR="00581DD0" w:rsidRPr="00ED56C2" w:rsidRDefault="00581DD0" w:rsidP="002135B0">
            <w:pPr>
              <w:spacing w:after="0"/>
              <w:jc w:val="right"/>
              <w:rPr>
                <w:color w:val="000000"/>
                <w:sz w:val="20"/>
                <w:szCs w:val="20"/>
              </w:rPr>
            </w:pPr>
            <w:r w:rsidRPr="00ED56C2">
              <w:rPr>
                <w:sz w:val="20"/>
                <w:szCs w:val="20"/>
              </w:rPr>
              <w:t>$ 573,000,000</w:t>
            </w:r>
          </w:p>
        </w:tc>
      </w:tr>
      <w:tr w:rsidR="00581DD0" w:rsidRPr="00ED56C2" w14:paraId="1186D139" w14:textId="77777777" w:rsidTr="002135B0">
        <w:trPr>
          <w:trHeight w:val="224"/>
        </w:trPr>
        <w:tc>
          <w:tcPr>
            <w:tcW w:w="1796" w:type="dxa"/>
            <w:shd w:val="clear" w:color="auto" w:fill="D9E2F3" w:themeFill="accent1" w:themeFillTint="33"/>
            <w:vAlign w:val="center"/>
          </w:tcPr>
          <w:p w14:paraId="635B9D5B" w14:textId="77777777" w:rsidR="00581DD0" w:rsidRPr="00ED56C2" w:rsidRDefault="00581DD0" w:rsidP="002135B0">
            <w:pPr>
              <w:spacing w:after="0"/>
              <w:jc w:val="center"/>
              <w:rPr>
                <w:b/>
                <w:bCs/>
                <w:color w:val="000000"/>
                <w:sz w:val="20"/>
                <w:szCs w:val="20"/>
              </w:rPr>
            </w:pPr>
            <w:r w:rsidRPr="00ED56C2">
              <w:rPr>
                <w:b/>
                <w:bCs/>
                <w:sz w:val="20"/>
                <w:szCs w:val="20"/>
              </w:rPr>
              <w:t>2006-2008</w:t>
            </w:r>
          </w:p>
        </w:tc>
        <w:tc>
          <w:tcPr>
            <w:tcW w:w="1811" w:type="dxa"/>
            <w:vAlign w:val="center"/>
          </w:tcPr>
          <w:p w14:paraId="4CB09BC7" w14:textId="77777777" w:rsidR="00581DD0" w:rsidRPr="00ED56C2" w:rsidRDefault="00581DD0" w:rsidP="002135B0">
            <w:pPr>
              <w:spacing w:after="0"/>
              <w:jc w:val="right"/>
              <w:rPr>
                <w:color w:val="000000"/>
                <w:sz w:val="20"/>
                <w:szCs w:val="20"/>
              </w:rPr>
            </w:pPr>
            <w:r w:rsidRPr="00ED56C2">
              <w:rPr>
                <w:sz w:val="20"/>
                <w:szCs w:val="20"/>
              </w:rPr>
              <w:t>$ 400,400,000</w:t>
            </w:r>
          </w:p>
        </w:tc>
        <w:tc>
          <w:tcPr>
            <w:tcW w:w="1869" w:type="dxa"/>
            <w:vAlign w:val="center"/>
          </w:tcPr>
          <w:p w14:paraId="2E54F477" w14:textId="77777777" w:rsidR="00581DD0" w:rsidRPr="00ED56C2" w:rsidRDefault="00581DD0" w:rsidP="002135B0">
            <w:pPr>
              <w:spacing w:after="0"/>
              <w:jc w:val="right"/>
              <w:rPr>
                <w:color w:val="000000"/>
                <w:sz w:val="20"/>
                <w:szCs w:val="20"/>
              </w:rPr>
            </w:pPr>
            <w:r w:rsidRPr="071A55BD">
              <w:rPr>
                <w:sz w:val="20"/>
                <w:szCs w:val="20"/>
              </w:rPr>
              <w:t>$ 59,600,000</w:t>
            </w:r>
          </w:p>
        </w:tc>
        <w:tc>
          <w:tcPr>
            <w:tcW w:w="1794" w:type="dxa"/>
            <w:vAlign w:val="center"/>
          </w:tcPr>
          <w:p w14:paraId="0C334489" w14:textId="77777777" w:rsidR="00581DD0" w:rsidRPr="00ED56C2" w:rsidRDefault="00581DD0" w:rsidP="002135B0">
            <w:pPr>
              <w:spacing w:after="0"/>
              <w:jc w:val="right"/>
              <w:rPr>
                <w:color w:val="000000"/>
                <w:sz w:val="20"/>
                <w:szCs w:val="20"/>
              </w:rPr>
            </w:pPr>
            <w:r w:rsidRPr="071A55BD">
              <w:rPr>
                <w:sz w:val="20"/>
                <w:szCs w:val="20"/>
              </w:rPr>
              <w:t>$ 10,000,000</w:t>
            </w:r>
          </w:p>
        </w:tc>
        <w:tc>
          <w:tcPr>
            <w:tcW w:w="1804" w:type="dxa"/>
            <w:vAlign w:val="center"/>
          </w:tcPr>
          <w:p w14:paraId="25D9044D" w14:textId="77777777" w:rsidR="00581DD0" w:rsidRPr="00ED56C2" w:rsidRDefault="00581DD0" w:rsidP="002135B0">
            <w:pPr>
              <w:spacing w:after="0"/>
              <w:jc w:val="right"/>
              <w:rPr>
                <w:color w:val="000000"/>
                <w:sz w:val="20"/>
                <w:szCs w:val="20"/>
              </w:rPr>
            </w:pPr>
            <w:r w:rsidRPr="00ED56C2">
              <w:rPr>
                <w:sz w:val="20"/>
                <w:szCs w:val="20"/>
              </w:rPr>
              <w:t>$ 470,000,000</w:t>
            </w:r>
          </w:p>
        </w:tc>
      </w:tr>
      <w:tr w:rsidR="00581DD0" w:rsidRPr="00ED56C2" w14:paraId="04915E2C" w14:textId="77777777" w:rsidTr="002135B0">
        <w:trPr>
          <w:trHeight w:val="224"/>
        </w:trPr>
        <w:tc>
          <w:tcPr>
            <w:tcW w:w="1796" w:type="dxa"/>
            <w:shd w:val="clear" w:color="auto" w:fill="D9E2F3" w:themeFill="accent1" w:themeFillTint="33"/>
            <w:vAlign w:val="center"/>
          </w:tcPr>
          <w:p w14:paraId="7C15239D" w14:textId="77777777" w:rsidR="00581DD0" w:rsidRPr="00ED56C2" w:rsidRDefault="00581DD0" w:rsidP="002135B0">
            <w:pPr>
              <w:spacing w:after="0"/>
              <w:jc w:val="center"/>
              <w:rPr>
                <w:b/>
                <w:bCs/>
                <w:color w:val="000000"/>
                <w:sz w:val="20"/>
                <w:szCs w:val="20"/>
              </w:rPr>
            </w:pPr>
            <w:r w:rsidRPr="00ED56C2">
              <w:rPr>
                <w:b/>
                <w:bCs/>
                <w:sz w:val="20"/>
                <w:szCs w:val="20"/>
              </w:rPr>
              <w:t>2009-2011</w:t>
            </w:r>
          </w:p>
        </w:tc>
        <w:tc>
          <w:tcPr>
            <w:tcW w:w="1811" w:type="dxa"/>
            <w:vAlign w:val="center"/>
          </w:tcPr>
          <w:p w14:paraId="520428CF" w14:textId="77777777" w:rsidR="00581DD0" w:rsidRPr="00ED56C2" w:rsidRDefault="00581DD0" w:rsidP="002135B0">
            <w:pPr>
              <w:spacing w:after="0"/>
              <w:jc w:val="right"/>
              <w:rPr>
                <w:color w:val="000000"/>
                <w:sz w:val="20"/>
                <w:szCs w:val="20"/>
              </w:rPr>
            </w:pPr>
            <w:r w:rsidRPr="00ED56C2">
              <w:rPr>
                <w:sz w:val="20"/>
                <w:szCs w:val="20"/>
              </w:rPr>
              <w:t>$ 400,000,000</w:t>
            </w:r>
          </w:p>
        </w:tc>
        <w:tc>
          <w:tcPr>
            <w:tcW w:w="1869" w:type="dxa"/>
            <w:vAlign w:val="center"/>
          </w:tcPr>
          <w:p w14:paraId="049E60E6" w14:textId="77777777" w:rsidR="00581DD0" w:rsidRPr="00ED56C2" w:rsidRDefault="00581DD0" w:rsidP="002135B0">
            <w:pPr>
              <w:spacing w:after="0"/>
              <w:jc w:val="right"/>
              <w:rPr>
                <w:color w:val="000000"/>
                <w:sz w:val="20"/>
                <w:szCs w:val="20"/>
              </w:rPr>
            </w:pPr>
            <w:r w:rsidRPr="071A55BD">
              <w:rPr>
                <w:sz w:val="20"/>
                <w:szCs w:val="20"/>
              </w:rPr>
              <w:t>$ 73,900,000</w:t>
            </w:r>
          </w:p>
        </w:tc>
        <w:tc>
          <w:tcPr>
            <w:tcW w:w="1794" w:type="dxa"/>
            <w:vAlign w:val="center"/>
          </w:tcPr>
          <w:p w14:paraId="4AF806E9" w14:textId="77777777" w:rsidR="00581DD0" w:rsidRPr="00ED56C2" w:rsidRDefault="00581DD0" w:rsidP="002135B0">
            <w:pPr>
              <w:spacing w:after="0"/>
              <w:jc w:val="right"/>
              <w:rPr>
                <w:color w:val="000000"/>
                <w:sz w:val="20"/>
                <w:szCs w:val="20"/>
              </w:rPr>
            </w:pPr>
            <w:r w:rsidRPr="071A55BD">
              <w:rPr>
                <w:sz w:val="20"/>
                <w:szCs w:val="20"/>
              </w:rPr>
              <w:t>$ 16,100,000</w:t>
            </w:r>
          </w:p>
        </w:tc>
        <w:tc>
          <w:tcPr>
            <w:tcW w:w="1804" w:type="dxa"/>
            <w:vAlign w:val="center"/>
          </w:tcPr>
          <w:p w14:paraId="282DEAB1" w14:textId="77777777" w:rsidR="00581DD0" w:rsidRPr="00ED56C2" w:rsidRDefault="00581DD0" w:rsidP="002135B0">
            <w:pPr>
              <w:spacing w:after="0"/>
              <w:jc w:val="right"/>
              <w:rPr>
                <w:color w:val="000000"/>
                <w:sz w:val="20"/>
                <w:szCs w:val="20"/>
              </w:rPr>
            </w:pPr>
            <w:r w:rsidRPr="00ED56C2">
              <w:rPr>
                <w:sz w:val="20"/>
                <w:szCs w:val="20"/>
              </w:rPr>
              <w:t>$ 490,000,000</w:t>
            </w:r>
          </w:p>
        </w:tc>
      </w:tr>
      <w:tr w:rsidR="00581DD0" w:rsidRPr="00ED56C2" w14:paraId="6F2B1593" w14:textId="77777777" w:rsidTr="002135B0">
        <w:trPr>
          <w:trHeight w:val="224"/>
        </w:trPr>
        <w:tc>
          <w:tcPr>
            <w:tcW w:w="1796" w:type="dxa"/>
            <w:shd w:val="clear" w:color="auto" w:fill="D9E2F3" w:themeFill="accent1" w:themeFillTint="33"/>
            <w:vAlign w:val="center"/>
          </w:tcPr>
          <w:p w14:paraId="57D6779A" w14:textId="77777777" w:rsidR="00581DD0" w:rsidRPr="00ED56C2" w:rsidRDefault="00581DD0" w:rsidP="002135B0">
            <w:pPr>
              <w:spacing w:after="0"/>
              <w:jc w:val="center"/>
              <w:rPr>
                <w:b/>
                <w:bCs/>
                <w:color w:val="000000"/>
                <w:sz w:val="20"/>
                <w:szCs w:val="20"/>
              </w:rPr>
            </w:pPr>
            <w:r w:rsidRPr="00ED56C2">
              <w:rPr>
                <w:b/>
                <w:bCs/>
                <w:sz w:val="20"/>
                <w:szCs w:val="20"/>
              </w:rPr>
              <w:t>2012-2014</w:t>
            </w:r>
          </w:p>
        </w:tc>
        <w:tc>
          <w:tcPr>
            <w:tcW w:w="1811" w:type="dxa"/>
            <w:vAlign w:val="center"/>
          </w:tcPr>
          <w:p w14:paraId="59B742EF" w14:textId="77777777" w:rsidR="00581DD0" w:rsidRPr="00ED56C2" w:rsidRDefault="00581DD0" w:rsidP="002135B0">
            <w:pPr>
              <w:spacing w:after="0"/>
              <w:jc w:val="right"/>
              <w:rPr>
                <w:color w:val="000000"/>
                <w:sz w:val="20"/>
                <w:szCs w:val="20"/>
              </w:rPr>
            </w:pPr>
            <w:r w:rsidRPr="00ED56C2">
              <w:rPr>
                <w:sz w:val="20"/>
                <w:szCs w:val="20"/>
              </w:rPr>
              <w:t>$ 400,000,000</w:t>
            </w:r>
          </w:p>
        </w:tc>
        <w:tc>
          <w:tcPr>
            <w:tcW w:w="1869" w:type="dxa"/>
            <w:vAlign w:val="center"/>
          </w:tcPr>
          <w:p w14:paraId="668FAB8E" w14:textId="77777777" w:rsidR="00581DD0" w:rsidRPr="00ED56C2" w:rsidRDefault="00581DD0" w:rsidP="002135B0">
            <w:pPr>
              <w:spacing w:after="0"/>
              <w:jc w:val="right"/>
              <w:rPr>
                <w:color w:val="000000"/>
                <w:sz w:val="20"/>
                <w:szCs w:val="20"/>
              </w:rPr>
            </w:pPr>
            <w:r w:rsidRPr="071A55BD">
              <w:rPr>
                <w:sz w:val="20"/>
                <w:szCs w:val="20"/>
              </w:rPr>
              <w:t>$ 34,900,000</w:t>
            </w:r>
          </w:p>
        </w:tc>
        <w:tc>
          <w:tcPr>
            <w:tcW w:w="1794" w:type="dxa"/>
            <w:vAlign w:val="center"/>
          </w:tcPr>
          <w:p w14:paraId="30B55388" w14:textId="77777777" w:rsidR="00581DD0" w:rsidRPr="00ED56C2" w:rsidRDefault="00581DD0" w:rsidP="002135B0">
            <w:pPr>
              <w:spacing w:after="0"/>
              <w:jc w:val="right"/>
              <w:rPr>
                <w:color w:val="000000"/>
                <w:sz w:val="20"/>
                <w:szCs w:val="20"/>
              </w:rPr>
            </w:pPr>
            <w:r w:rsidRPr="071A55BD">
              <w:rPr>
                <w:sz w:val="20"/>
                <w:szCs w:val="20"/>
              </w:rPr>
              <w:t>$ 15,100,000</w:t>
            </w:r>
          </w:p>
        </w:tc>
        <w:tc>
          <w:tcPr>
            <w:tcW w:w="1804" w:type="dxa"/>
            <w:vAlign w:val="center"/>
          </w:tcPr>
          <w:p w14:paraId="3752664B" w14:textId="77777777" w:rsidR="00581DD0" w:rsidRPr="00ED56C2" w:rsidRDefault="00581DD0" w:rsidP="002135B0">
            <w:pPr>
              <w:spacing w:after="0"/>
              <w:jc w:val="right"/>
              <w:rPr>
                <w:color w:val="000000"/>
                <w:sz w:val="20"/>
                <w:szCs w:val="20"/>
              </w:rPr>
            </w:pPr>
            <w:r w:rsidRPr="00ED56C2">
              <w:rPr>
                <w:sz w:val="20"/>
                <w:szCs w:val="20"/>
              </w:rPr>
              <w:t>$ 450,000,000</w:t>
            </w:r>
          </w:p>
        </w:tc>
      </w:tr>
      <w:tr w:rsidR="00581DD0" w:rsidRPr="00ED56C2" w14:paraId="6272FECA" w14:textId="77777777" w:rsidTr="002135B0">
        <w:trPr>
          <w:trHeight w:val="224"/>
        </w:trPr>
        <w:tc>
          <w:tcPr>
            <w:tcW w:w="1796" w:type="dxa"/>
            <w:shd w:val="clear" w:color="auto" w:fill="D9E2F3" w:themeFill="accent1" w:themeFillTint="33"/>
            <w:vAlign w:val="center"/>
          </w:tcPr>
          <w:p w14:paraId="62E7896F" w14:textId="77777777" w:rsidR="00581DD0" w:rsidRPr="00ED56C2" w:rsidRDefault="00581DD0" w:rsidP="002135B0">
            <w:pPr>
              <w:spacing w:after="0"/>
              <w:jc w:val="center"/>
              <w:rPr>
                <w:b/>
                <w:bCs/>
                <w:color w:val="000000"/>
                <w:sz w:val="20"/>
                <w:szCs w:val="20"/>
              </w:rPr>
            </w:pPr>
            <w:r w:rsidRPr="00ED56C2">
              <w:rPr>
                <w:b/>
                <w:bCs/>
                <w:sz w:val="20"/>
                <w:szCs w:val="20"/>
              </w:rPr>
              <w:t>2015-2017</w:t>
            </w:r>
          </w:p>
        </w:tc>
        <w:tc>
          <w:tcPr>
            <w:tcW w:w="1811" w:type="dxa"/>
            <w:vAlign w:val="center"/>
          </w:tcPr>
          <w:p w14:paraId="679049DA" w14:textId="77777777" w:rsidR="00581DD0" w:rsidRPr="00ED56C2" w:rsidRDefault="00581DD0" w:rsidP="002135B0">
            <w:pPr>
              <w:spacing w:after="0"/>
              <w:jc w:val="right"/>
              <w:rPr>
                <w:color w:val="000000"/>
                <w:sz w:val="20"/>
                <w:szCs w:val="20"/>
              </w:rPr>
            </w:pPr>
            <w:r w:rsidRPr="00ED56C2">
              <w:rPr>
                <w:sz w:val="20"/>
                <w:szCs w:val="20"/>
              </w:rPr>
              <w:t>$ 437,500,000</w:t>
            </w:r>
          </w:p>
        </w:tc>
        <w:tc>
          <w:tcPr>
            <w:tcW w:w="1869" w:type="dxa"/>
            <w:vAlign w:val="center"/>
          </w:tcPr>
          <w:p w14:paraId="256E2AEE" w14:textId="77777777" w:rsidR="00581DD0" w:rsidRPr="00ED56C2" w:rsidRDefault="00581DD0" w:rsidP="002135B0">
            <w:pPr>
              <w:spacing w:after="0"/>
              <w:jc w:val="right"/>
              <w:rPr>
                <w:color w:val="000000"/>
                <w:sz w:val="20"/>
                <w:szCs w:val="20"/>
              </w:rPr>
            </w:pPr>
            <w:r w:rsidRPr="071A55BD">
              <w:rPr>
                <w:sz w:val="20"/>
                <w:szCs w:val="20"/>
              </w:rPr>
              <w:t>$ 64,000,000</w:t>
            </w:r>
          </w:p>
        </w:tc>
        <w:tc>
          <w:tcPr>
            <w:tcW w:w="1794" w:type="dxa"/>
            <w:vAlign w:val="center"/>
          </w:tcPr>
          <w:p w14:paraId="0E71B42C" w14:textId="77777777" w:rsidR="00581DD0" w:rsidRPr="00ED56C2" w:rsidRDefault="00581DD0" w:rsidP="002135B0">
            <w:pPr>
              <w:spacing w:after="0"/>
              <w:jc w:val="right"/>
              <w:rPr>
                <w:color w:val="000000"/>
                <w:sz w:val="20"/>
                <w:szCs w:val="20"/>
              </w:rPr>
            </w:pPr>
            <w:r w:rsidRPr="071A55BD">
              <w:rPr>
                <w:sz w:val="20"/>
                <w:szCs w:val="20"/>
              </w:rPr>
              <w:t>$   6,000,000</w:t>
            </w:r>
          </w:p>
        </w:tc>
        <w:tc>
          <w:tcPr>
            <w:tcW w:w="1804" w:type="dxa"/>
            <w:vAlign w:val="center"/>
          </w:tcPr>
          <w:p w14:paraId="3B19A8F1" w14:textId="77777777" w:rsidR="00581DD0" w:rsidRPr="00ED56C2" w:rsidRDefault="00581DD0" w:rsidP="002135B0">
            <w:pPr>
              <w:spacing w:after="0"/>
              <w:jc w:val="right"/>
              <w:rPr>
                <w:color w:val="000000"/>
                <w:sz w:val="20"/>
                <w:szCs w:val="20"/>
              </w:rPr>
            </w:pPr>
            <w:r w:rsidRPr="00ED56C2">
              <w:rPr>
                <w:sz w:val="20"/>
                <w:szCs w:val="20"/>
              </w:rPr>
              <w:t>$ 507,500,000</w:t>
            </w:r>
          </w:p>
        </w:tc>
      </w:tr>
      <w:tr w:rsidR="00581DD0" w:rsidRPr="00ED56C2" w14:paraId="422987FA" w14:textId="77777777" w:rsidTr="002135B0">
        <w:trPr>
          <w:trHeight w:val="224"/>
        </w:trPr>
        <w:tc>
          <w:tcPr>
            <w:tcW w:w="1796" w:type="dxa"/>
            <w:tcBorders>
              <w:bottom w:val="single" w:sz="4" w:space="0" w:color="auto"/>
            </w:tcBorders>
            <w:shd w:val="clear" w:color="auto" w:fill="D9E2F3" w:themeFill="accent1" w:themeFillTint="33"/>
            <w:vAlign w:val="center"/>
          </w:tcPr>
          <w:p w14:paraId="70A57208" w14:textId="4AEC7E1D" w:rsidR="00581DD0" w:rsidRPr="00ED56C2" w:rsidRDefault="00581DD0" w:rsidP="002135B0">
            <w:pPr>
              <w:spacing w:after="0"/>
              <w:jc w:val="center"/>
              <w:rPr>
                <w:b/>
                <w:bCs/>
                <w:color w:val="000000"/>
                <w:sz w:val="20"/>
                <w:szCs w:val="20"/>
              </w:rPr>
            </w:pPr>
            <w:r w:rsidRPr="00ED56C2">
              <w:rPr>
                <w:b/>
                <w:bCs/>
                <w:sz w:val="20"/>
                <w:szCs w:val="20"/>
              </w:rPr>
              <w:t>2018-2020</w:t>
            </w:r>
            <w:r w:rsidR="00547D06">
              <w:rPr>
                <w:b/>
                <w:bCs/>
                <w:sz w:val="20"/>
                <w:szCs w:val="20"/>
              </w:rPr>
              <w:t>**</w:t>
            </w:r>
          </w:p>
        </w:tc>
        <w:tc>
          <w:tcPr>
            <w:tcW w:w="1811" w:type="dxa"/>
            <w:tcBorders>
              <w:bottom w:val="single" w:sz="4" w:space="0" w:color="auto"/>
            </w:tcBorders>
            <w:vAlign w:val="center"/>
          </w:tcPr>
          <w:p w14:paraId="16149744" w14:textId="77777777" w:rsidR="00581DD0" w:rsidRPr="00ED56C2" w:rsidRDefault="00581DD0" w:rsidP="002135B0">
            <w:pPr>
              <w:spacing w:after="0"/>
              <w:jc w:val="right"/>
              <w:rPr>
                <w:color w:val="000000"/>
                <w:sz w:val="20"/>
                <w:szCs w:val="20"/>
              </w:rPr>
            </w:pPr>
            <w:r w:rsidRPr="00ED56C2">
              <w:rPr>
                <w:sz w:val="20"/>
                <w:szCs w:val="20"/>
              </w:rPr>
              <w:t>$ 500,000,000</w:t>
            </w:r>
          </w:p>
        </w:tc>
        <w:tc>
          <w:tcPr>
            <w:tcW w:w="1869" w:type="dxa"/>
            <w:tcBorders>
              <w:bottom w:val="single" w:sz="4" w:space="0" w:color="auto"/>
            </w:tcBorders>
            <w:vAlign w:val="center"/>
          </w:tcPr>
          <w:p w14:paraId="2EFBD702" w14:textId="77777777" w:rsidR="00581DD0" w:rsidRPr="00ED56C2" w:rsidRDefault="00581DD0" w:rsidP="002135B0">
            <w:pPr>
              <w:spacing w:after="0"/>
              <w:jc w:val="right"/>
              <w:rPr>
                <w:color w:val="000000"/>
                <w:sz w:val="20"/>
                <w:szCs w:val="20"/>
              </w:rPr>
            </w:pPr>
            <w:r w:rsidRPr="071A55BD">
              <w:rPr>
                <w:sz w:val="20"/>
                <w:szCs w:val="20"/>
              </w:rPr>
              <w:t>$ 34,000,000</w:t>
            </w:r>
          </w:p>
        </w:tc>
        <w:tc>
          <w:tcPr>
            <w:tcW w:w="1794" w:type="dxa"/>
            <w:tcBorders>
              <w:bottom w:val="single" w:sz="4" w:space="0" w:color="auto"/>
            </w:tcBorders>
            <w:vAlign w:val="center"/>
          </w:tcPr>
          <w:p w14:paraId="0E743043" w14:textId="77777777" w:rsidR="00581DD0" w:rsidRPr="00ED56C2" w:rsidRDefault="00581DD0" w:rsidP="002135B0">
            <w:pPr>
              <w:spacing w:after="0"/>
              <w:jc w:val="right"/>
              <w:rPr>
                <w:color w:val="000000"/>
                <w:sz w:val="20"/>
                <w:szCs w:val="20"/>
              </w:rPr>
            </w:pPr>
            <w:r w:rsidRPr="071A55BD">
              <w:rPr>
                <w:sz w:val="20"/>
                <w:szCs w:val="20"/>
              </w:rPr>
              <w:t>$   6,000,000</w:t>
            </w:r>
          </w:p>
        </w:tc>
        <w:tc>
          <w:tcPr>
            <w:tcW w:w="1804" w:type="dxa"/>
            <w:tcBorders>
              <w:bottom w:val="single" w:sz="4" w:space="0" w:color="auto"/>
            </w:tcBorders>
            <w:vAlign w:val="center"/>
          </w:tcPr>
          <w:p w14:paraId="1A6C2739" w14:textId="77777777" w:rsidR="00581DD0" w:rsidRPr="00ED56C2" w:rsidRDefault="00581DD0" w:rsidP="002135B0">
            <w:pPr>
              <w:spacing w:after="0"/>
              <w:jc w:val="right"/>
              <w:rPr>
                <w:color w:val="000000"/>
                <w:sz w:val="20"/>
                <w:szCs w:val="20"/>
              </w:rPr>
            </w:pPr>
            <w:r w:rsidRPr="00ED56C2">
              <w:rPr>
                <w:sz w:val="20"/>
                <w:szCs w:val="20"/>
              </w:rPr>
              <w:t>$ 540,000,000</w:t>
            </w:r>
          </w:p>
        </w:tc>
      </w:tr>
      <w:tr w:rsidR="00581DD0" w:rsidRPr="00ED56C2" w14:paraId="7B0FFD50" w14:textId="77777777" w:rsidTr="002135B0">
        <w:trPr>
          <w:trHeight w:val="224"/>
        </w:trPr>
        <w:tc>
          <w:tcPr>
            <w:tcW w:w="1796" w:type="dxa"/>
            <w:shd w:val="clear" w:color="auto" w:fill="D9E2F3" w:themeFill="accent1" w:themeFillTint="33"/>
            <w:vAlign w:val="center"/>
          </w:tcPr>
          <w:p w14:paraId="4E526C98" w14:textId="77777777" w:rsidR="00581DD0" w:rsidRPr="00797180" w:rsidRDefault="00581DD0" w:rsidP="002135B0">
            <w:pPr>
              <w:spacing w:after="0"/>
              <w:jc w:val="center"/>
              <w:rPr>
                <w:b/>
                <w:bCs/>
                <w:sz w:val="20"/>
                <w:szCs w:val="20"/>
                <w:highlight w:val="lightGray"/>
              </w:rPr>
            </w:pPr>
            <w:r w:rsidRPr="00DC58C1">
              <w:rPr>
                <w:b/>
                <w:bCs/>
                <w:sz w:val="20"/>
                <w:szCs w:val="20"/>
              </w:rPr>
              <w:t>2021-2023</w:t>
            </w:r>
          </w:p>
        </w:tc>
        <w:tc>
          <w:tcPr>
            <w:tcW w:w="1811" w:type="dxa"/>
            <w:vAlign w:val="center"/>
          </w:tcPr>
          <w:p w14:paraId="4B1CD6D7" w14:textId="77777777" w:rsidR="00581DD0" w:rsidRPr="00DC58C1" w:rsidRDefault="00581DD0" w:rsidP="002135B0">
            <w:pPr>
              <w:spacing w:after="0"/>
              <w:jc w:val="right"/>
              <w:rPr>
                <w:sz w:val="20"/>
                <w:szCs w:val="20"/>
              </w:rPr>
            </w:pPr>
            <w:r w:rsidRPr="071A55BD">
              <w:rPr>
                <w:sz w:val="20"/>
                <w:szCs w:val="20"/>
              </w:rPr>
              <w:t>$ 475,000,000</w:t>
            </w:r>
          </w:p>
        </w:tc>
        <w:tc>
          <w:tcPr>
            <w:tcW w:w="1869" w:type="dxa"/>
            <w:vAlign w:val="center"/>
          </w:tcPr>
          <w:p w14:paraId="2C6AC4DB" w14:textId="77777777" w:rsidR="00581DD0" w:rsidRPr="00DC58C1" w:rsidRDefault="00581DD0" w:rsidP="002135B0">
            <w:pPr>
              <w:spacing w:after="0"/>
              <w:jc w:val="right"/>
              <w:rPr>
                <w:color w:val="000000"/>
                <w:sz w:val="20"/>
                <w:szCs w:val="20"/>
              </w:rPr>
            </w:pPr>
            <w:r w:rsidRPr="071A55BD">
              <w:rPr>
                <w:sz w:val="20"/>
                <w:szCs w:val="20"/>
              </w:rPr>
              <w:t>$ 65,000,000</w:t>
            </w:r>
          </w:p>
        </w:tc>
        <w:tc>
          <w:tcPr>
            <w:tcW w:w="1794" w:type="dxa"/>
            <w:vAlign w:val="center"/>
          </w:tcPr>
          <w:p w14:paraId="170EDBBB" w14:textId="77777777" w:rsidR="00581DD0" w:rsidRPr="00DC58C1" w:rsidRDefault="00581DD0" w:rsidP="002135B0">
            <w:pPr>
              <w:spacing w:after="0"/>
              <w:jc w:val="right"/>
              <w:rPr>
                <w:color w:val="000000"/>
                <w:sz w:val="20"/>
                <w:szCs w:val="20"/>
              </w:rPr>
            </w:pPr>
            <w:r w:rsidRPr="071A55BD">
              <w:rPr>
                <w:sz w:val="20"/>
                <w:szCs w:val="20"/>
              </w:rPr>
              <w:t>N/A</w:t>
            </w:r>
          </w:p>
        </w:tc>
        <w:tc>
          <w:tcPr>
            <w:tcW w:w="1804" w:type="dxa"/>
            <w:vAlign w:val="center"/>
          </w:tcPr>
          <w:p w14:paraId="30104411" w14:textId="77777777" w:rsidR="00581DD0" w:rsidRPr="00DC58C1" w:rsidRDefault="00581DD0" w:rsidP="002135B0">
            <w:pPr>
              <w:spacing w:after="0"/>
              <w:jc w:val="right"/>
              <w:rPr>
                <w:sz w:val="20"/>
                <w:szCs w:val="20"/>
              </w:rPr>
            </w:pPr>
            <w:r w:rsidRPr="00DC58C1">
              <w:rPr>
                <w:sz w:val="20"/>
                <w:szCs w:val="20"/>
              </w:rPr>
              <w:t>$</w:t>
            </w:r>
            <w:r>
              <w:rPr>
                <w:sz w:val="20"/>
                <w:szCs w:val="20"/>
              </w:rPr>
              <w:t xml:space="preserve"> </w:t>
            </w:r>
            <w:r w:rsidRPr="00DC58C1">
              <w:rPr>
                <w:sz w:val="20"/>
                <w:szCs w:val="20"/>
              </w:rPr>
              <w:t>540,000,000</w:t>
            </w:r>
          </w:p>
        </w:tc>
      </w:tr>
      <w:tr w:rsidR="00581DD0" w:rsidRPr="00ED56C2" w14:paraId="5C322ED9" w14:textId="77777777" w:rsidTr="002135B0">
        <w:trPr>
          <w:trHeight w:val="224"/>
        </w:trPr>
        <w:tc>
          <w:tcPr>
            <w:tcW w:w="1796" w:type="dxa"/>
            <w:shd w:val="clear" w:color="auto" w:fill="D9E2F3" w:themeFill="accent1" w:themeFillTint="33"/>
            <w:vAlign w:val="center"/>
          </w:tcPr>
          <w:p w14:paraId="2F75EEA8" w14:textId="4B4005BD" w:rsidR="00581DD0" w:rsidRPr="00DC58C1" w:rsidRDefault="00581DD0" w:rsidP="002135B0">
            <w:pPr>
              <w:spacing w:after="0"/>
              <w:jc w:val="center"/>
              <w:rPr>
                <w:b/>
                <w:bCs/>
                <w:sz w:val="20"/>
                <w:szCs w:val="20"/>
              </w:rPr>
            </w:pPr>
            <w:r>
              <w:rPr>
                <w:b/>
                <w:bCs/>
                <w:sz w:val="20"/>
                <w:szCs w:val="20"/>
              </w:rPr>
              <w:t>2024-2026</w:t>
            </w:r>
          </w:p>
        </w:tc>
        <w:tc>
          <w:tcPr>
            <w:tcW w:w="1811" w:type="dxa"/>
            <w:vAlign w:val="center"/>
          </w:tcPr>
          <w:p w14:paraId="5A5181F7" w14:textId="45728980" w:rsidR="00581DD0" w:rsidRPr="00DC58C1" w:rsidRDefault="00581DD0" w:rsidP="002135B0">
            <w:pPr>
              <w:spacing w:after="0"/>
              <w:jc w:val="right"/>
              <w:rPr>
                <w:color w:val="000000"/>
                <w:sz w:val="20"/>
                <w:szCs w:val="20"/>
              </w:rPr>
            </w:pPr>
            <w:r w:rsidRPr="071A55BD">
              <w:rPr>
                <w:sz w:val="20"/>
                <w:szCs w:val="20"/>
              </w:rPr>
              <w:t>$ 525,600,000</w:t>
            </w:r>
          </w:p>
        </w:tc>
        <w:tc>
          <w:tcPr>
            <w:tcW w:w="1869" w:type="dxa"/>
            <w:vAlign w:val="center"/>
          </w:tcPr>
          <w:p w14:paraId="03F3BFE5" w14:textId="61B526DE" w:rsidR="00581DD0" w:rsidRPr="00DC58C1" w:rsidRDefault="00581DD0" w:rsidP="002135B0">
            <w:pPr>
              <w:spacing w:after="0"/>
              <w:jc w:val="right"/>
              <w:rPr>
                <w:color w:val="000000"/>
                <w:sz w:val="20"/>
                <w:szCs w:val="20"/>
              </w:rPr>
            </w:pPr>
            <w:r w:rsidRPr="071A55BD">
              <w:rPr>
                <w:sz w:val="20"/>
                <w:szCs w:val="20"/>
              </w:rPr>
              <w:t>$ 428,699,680</w:t>
            </w:r>
          </w:p>
        </w:tc>
        <w:tc>
          <w:tcPr>
            <w:tcW w:w="1794" w:type="dxa"/>
            <w:vAlign w:val="center"/>
          </w:tcPr>
          <w:p w14:paraId="39155B88" w14:textId="78502256" w:rsidR="00581DD0" w:rsidRPr="00DC58C1" w:rsidRDefault="00581DD0" w:rsidP="002135B0">
            <w:pPr>
              <w:spacing w:after="0"/>
              <w:jc w:val="right"/>
              <w:rPr>
                <w:color w:val="000000"/>
                <w:sz w:val="20"/>
                <w:szCs w:val="20"/>
              </w:rPr>
            </w:pPr>
            <w:r w:rsidRPr="071A55BD">
              <w:rPr>
                <w:sz w:val="20"/>
                <w:szCs w:val="20"/>
              </w:rPr>
              <w:t>$ 10,700,320</w:t>
            </w:r>
          </w:p>
        </w:tc>
        <w:tc>
          <w:tcPr>
            <w:tcW w:w="1804" w:type="dxa"/>
            <w:vAlign w:val="center"/>
          </w:tcPr>
          <w:p w14:paraId="036531BF" w14:textId="0147BB7A" w:rsidR="00581DD0" w:rsidRPr="00DC58C1" w:rsidRDefault="00581DD0" w:rsidP="002135B0">
            <w:pPr>
              <w:spacing w:after="0"/>
              <w:jc w:val="right"/>
              <w:rPr>
                <w:sz w:val="20"/>
                <w:szCs w:val="20"/>
              </w:rPr>
            </w:pPr>
            <w:r>
              <w:rPr>
                <w:sz w:val="20"/>
                <w:szCs w:val="20"/>
              </w:rPr>
              <w:t>$ 965,000,000</w:t>
            </w:r>
          </w:p>
        </w:tc>
      </w:tr>
    </w:tbl>
    <w:p w14:paraId="6D52E2D8" w14:textId="02FEC72F" w:rsidR="00547D06" w:rsidRDefault="000844C9" w:rsidP="00BC61F1">
      <w:pPr>
        <w:tabs>
          <w:tab w:val="clear" w:pos="0"/>
        </w:tabs>
        <w:spacing w:after="0"/>
        <w:jc w:val="both"/>
        <w:rPr>
          <w:rFonts w:eastAsiaTheme="minorEastAsia"/>
          <w:i/>
          <w:color w:val="auto"/>
          <w:sz w:val="20"/>
          <w:szCs w:val="20"/>
        </w:rPr>
      </w:pPr>
      <w:r w:rsidRPr="3B45642B">
        <w:rPr>
          <w:rFonts w:eastAsiaTheme="minorEastAsia"/>
          <w:b/>
          <w:i/>
          <w:color w:val="auto"/>
          <w:sz w:val="20"/>
          <w:szCs w:val="20"/>
        </w:rPr>
        <w:t>*</w:t>
      </w:r>
      <w:r w:rsidR="00931ED9" w:rsidRPr="00931ED9">
        <w:rPr>
          <w:sz w:val="20"/>
          <w:szCs w:val="20"/>
        </w:rPr>
        <w:t xml:space="preserve"> </w:t>
      </w:r>
      <w:r w:rsidR="00931ED9" w:rsidRPr="02400B54">
        <w:rPr>
          <w:sz w:val="20"/>
          <w:szCs w:val="20"/>
        </w:rPr>
        <w:t>Does not</w:t>
      </w:r>
      <w:r w:rsidR="00931ED9" w:rsidRPr="00545E74">
        <w:rPr>
          <w:sz w:val="20"/>
          <w:szCs w:val="20"/>
        </w:rPr>
        <w:t xml:space="preserve"> include the initial capitalisation of US$ 240 million for 1991-1993</w:t>
      </w:r>
      <w:r w:rsidR="007F7365" w:rsidRPr="3B45642B">
        <w:rPr>
          <w:rFonts w:eastAsiaTheme="minorEastAsia"/>
          <w:i/>
          <w:color w:val="auto"/>
          <w:sz w:val="20"/>
          <w:szCs w:val="20"/>
        </w:rPr>
        <w:t>.</w:t>
      </w:r>
    </w:p>
    <w:p w14:paraId="6E5E8BA6" w14:textId="6F2D432B" w:rsidR="001E7308" w:rsidRPr="00E42C5E" w:rsidRDefault="001E7308" w:rsidP="00BC61F1">
      <w:pPr>
        <w:tabs>
          <w:tab w:val="clear" w:pos="0"/>
        </w:tabs>
        <w:spacing w:after="160"/>
        <w:jc w:val="both"/>
        <w:rPr>
          <w:rFonts w:eastAsiaTheme="minorEastAsia"/>
          <w:i/>
          <w:color w:val="auto"/>
          <w:sz w:val="20"/>
          <w:szCs w:val="20"/>
        </w:rPr>
      </w:pPr>
      <w:r>
        <w:rPr>
          <w:rFonts w:eastAsiaTheme="minorEastAsia"/>
          <w:i/>
          <w:color w:val="auto"/>
          <w:sz w:val="20"/>
          <w:szCs w:val="20"/>
        </w:rPr>
        <w:t xml:space="preserve">** </w:t>
      </w:r>
      <w:r w:rsidR="004D246B" w:rsidRPr="00972FA2">
        <w:rPr>
          <w:rFonts w:eastAsiaTheme="minorEastAsia"/>
          <w:iCs/>
          <w:color w:val="auto"/>
          <w:sz w:val="20"/>
          <w:szCs w:val="20"/>
        </w:rPr>
        <w:t>In additio</w:t>
      </w:r>
      <w:r w:rsidR="00693334" w:rsidRPr="00972FA2">
        <w:rPr>
          <w:rFonts w:eastAsiaTheme="minorEastAsia"/>
          <w:iCs/>
          <w:color w:val="auto"/>
          <w:sz w:val="20"/>
          <w:szCs w:val="20"/>
        </w:rPr>
        <w:t xml:space="preserve">n, the Fifth Extraordinary Meeting of the Parties also </w:t>
      </w:r>
      <w:r w:rsidR="00EB167F" w:rsidRPr="00972FA2">
        <w:rPr>
          <w:rFonts w:eastAsiaTheme="minorEastAsia"/>
          <w:iCs/>
          <w:color w:val="auto"/>
          <w:sz w:val="20"/>
          <w:szCs w:val="20"/>
        </w:rPr>
        <w:t>noted that US</w:t>
      </w:r>
      <w:r w:rsidR="00B94BC1" w:rsidRPr="00972FA2">
        <w:rPr>
          <w:rFonts w:eastAsiaTheme="minorEastAsia"/>
          <w:iCs/>
          <w:color w:val="auto"/>
          <w:sz w:val="20"/>
          <w:szCs w:val="20"/>
        </w:rPr>
        <w:t xml:space="preserve"> $246 million in remaining funds that were due to the</w:t>
      </w:r>
      <w:r w:rsidR="002462E2" w:rsidRPr="00972FA2">
        <w:rPr>
          <w:rFonts w:eastAsiaTheme="minorEastAsia"/>
          <w:iCs/>
          <w:color w:val="auto"/>
          <w:sz w:val="20"/>
          <w:szCs w:val="20"/>
        </w:rPr>
        <w:t xml:space="preserve"> Multilateral Fund during the triennium 2018 – 2020 will be used after 2023 to support the implementation of the Montreal Protocol</w:t>
      </w:r>
      <w:r w:rsidR="009C41FC" w:rsidRPr="00972FA2">
        <w:rPr>
          <w:rFonts w:eastAsiaTheme="minorEastAsia"/>
          <w:iCs/>
          <w:color w:val="auto"/>
          <w:sz w:val="20"/>
          <w:szCs w:val="20"/>
        </w:rPr>
        <w:t xml:space="preserve"> (decision Ex.V/</w:t>
      </w:r>
      <w:r w:rsidR="00972FA2" w:rsidRPr="00972FA2">
        <w:rPr>
          <w:rFonts w:eastAsiaTheme="minorEastAsia"/>
          <w:iCs/>
          <w:color w:val="auto"/>
          <w:sz w:val="20"/>
          <w:szCs w:val="20"/>
        </w:rPr>
        <w:t>1)</w:t>
      </w:r>
      <w:r w:rsidR="00E73C25">
        <w:rPr>
          <w:rFonts w:eastAsiaTheme="minorEastAsia"/>
          <w:iCs/>
          <w:color w:val="auto"/>
          <w:sz w:val="20"/>
          <w:szCs w:val="20"/>
        </w:rPr>
        <w:t>.</w:t>
      </w:r>
    </w:p>
    <w:p w14:paraId="663035E2" w14:textId="0B9E96F7" w:rsidR="005E0BE4" w:rsidRDefault="005E0BE4" w:rsidP="005E0BE4">
      <w:r>
        <w:t>Since its inception and as of the 97</w:t>
      </w:r>
      <w:r w:rsidRPr="00C75839">
        <w:rPr>
          <w:vertAlign w:val="superscript"/>
        </w:rPr>
        <w:t>th</w:t>
      </w:r>
      <w:r>
        <w:t xml:space="preserve"> </w:t>
      </w:r>
      <w:r w:rsidR="00972FA2">
        <w:t xml:space="preserve">meeting </w:t>
      </w:r>
      <w:r>
        <w:t>of the Executive Committee (ExCom</w:t>
      </w:r>
      <w:r w:rsidR="00FB7C66">
        <w:t>-97</w:t>
      </w:r>
      <w:r>
        <w:t xml:space="preserve">), the MLF has supported 144 Article 5 (A5) parties by </w:t>
      </w:r>
      <w:r w:rsidRPr="00361622">
        <w:t>approving US$ 4.38 billion (including</w:t>
      </w:r>
      <w:r>
        <w:t xml:space="preserve"> support costs) for a total of 10,363 projects, 87% of which have been completed.</w:t>
      </w:r>
      <w:r>
        <w:rPr>
          <w:rStyle w:val="FootnoteReference"/>
        </w:rPr>
        <w:footnoteReference w:id="2"/>
      </w:r>
      <w:r>
        <w:t xml:space="preserve"> </w:t>
      </w:r>
    </w:p>
    <w:p w14:paraId="2D5B66E5" w14:textId="3A8A21E3" w:rsidR="005E0BE4" w:rsidRDefault="005E0BE4" w:rsidP="00943256">
      <w:r>
        <w:t xml:space="preserve">The replenishment of the MLF for the 2027-2029 triennium will provide financing to A5 parties for the incremental costs to complete the phase-out of ODS and to </w:t>
      </w:r>
      <w:r w:rsidR="009F1A3C">
        <w:t>continue</w:t>
      </w:r>
      <w:r>
        <w:t xml:space="preserve"> implementing the phase-down of hydrofluorocarbons (HFCs).</w:t>
      </w:r>
      <w:r w:rsidRPr="00AE211C">
        <w:t xml:space="preserve"> </w:t>
      </w:r>
      <w:r>
        <w:t>Annex C Group I (hydrochlorofluorocarbons (HCFCs)) and Annex F (HFCs) substances are the only substances under the Montreal Protocol where consumption and production are still allowed.</w:t>
      </w:r>
    </w:p>
    <w:p w14:paraId="78AB2DB9" w14:textId="2078FA51" w:rsidR="00774DC3" w:rsidRDefault="00774DC3" w:rsidP="0020582D">
      <w:pPr>
        <w:pStyle w:val="ListParagraph"/>
        <w:numPr>
          <w:ilvl w:val="0"/>
          <w:numId w:val="7"/>
        </w:numPr>
        <w:contextualSpacing/>
      </w:pPr>
      <w:r>
        <w:t>For Annex C, Group 1, controlled substances (HCFCs), the compliance target for the 2027-2029 triennium is a 97.5% reduction from baseline by 1 January 2030.</w:t>
      </w:r>
    </w:p>
    <w:p w14:paraId="0034D4C6" w14:textId="1C1065F8" w:rsidR="00455EB4" w:rsidRDefault="00792FF8" w:rsidP="002A4854">
      <w:pPr>
        <w:pStyle w:val="ListParagraph"/>
        <w:numPr>
          <w:ilvl w:val="0"/>
          <w:numId w:val="0"/>
        </w:numPr>
        <w:spacing w:after="120"/>
        <w:ind w:left="1080"/>
        <w:contextualSpacing/>
      </w:pPr>
      <w:r>
        <w:t>An</w:t>
      </w:r>
      <w:r w:rsidR="00774DC3">
        <w:t xml:space="preserve"> annual average of 2.5% is restricted to the servicing of refrigeration and air-conditioning equipment existing during 2030-2040.</w:t>
      </w:r>
      <w:r w:rsidR="00774DC3" w:rsidRPr="0083593E">
        <w:t xml:space="preserve"> Decision XXX/2 referring to Annex I of the MOP</w:t>
      </w:r>
      <w:r w:rsidR="00774DC3">
        <w:t>-</w:t>
      </w:r>
      <w:r w:rsidR="00774DC3" w:rsidRPr="0083593E">
        <w:t>30 report</w:t>
      </w:r>
      <w:r w:rsidR="00774DC3">
        <w:rPr>
          <w:rStyle w:val="FootnoteReference"/>
        </w:rPr>
        <w:footnoteReference w:id="3"/>
      </w:r>
      <w:r w:rsidR="00774DC3" w:rsidRPr="0083593E">
        <w:t>, adjusted this part of A5 (as well as 2F) to include other uses, i.e., the servicing of fire suppression and fire protection equipment existing on 1 January 2030; solvent applications in rocket engine manufacturing; and topical medical aerosol for applications for the specialised treatment of burns.</w:t>
      </w:r>
    </w:p>
    <w:p w14:paraId="16F43107" w14:textId="20EFE7FD" w:rsidR="00455EB4" w:rsidRPr="00B942AF" w:rsidRDefault="00455EB4" w:rsidP="00D71C97">
      <w:pPr>
        <w:pStyle w:val="ListParagraph"/>
        <w:spacing w:after="120"/>
        <w:contextualSpacing/>
        <w:jc w:val="both"/>
      </w:pPr>
      <w:r>
        <w:t xml:space="preserve">For Annex F controlled substances (HFCs), the compliance targets for the 2027-2029 and </w:t>
      </w:r>
      <w:r w:rsidR="00D344F9" w:rsidRPr="00D344F9">
        <w:t>the subsequent</w:t>
      </w:r>
      <w:r>
        <w:t xml:space="preserve"> two triennia are as follows:</w:t>
      </w:r>
    </w:p>
    <w:p w14:paraId="3109A3A6" w14:textId="77777777" w:rsidR="00455EB4" w:rsidRDefault="00455EB4" w:rsidP="00D71C97">
      <w:pPr>
        <w:pStyle w:val="ListParagraph"/>
        <w:numPr>
          <w:ilvl w:val="0"/>
          <w:numId w:val="0"/>
        </w:numPr>
        <w:spacing w:after="120"/>
        <w:ind w:left="1080"/>
        <w:contextualSpacing/>
        <w:jc w:val="both"/>
        <w:rPr>
          <w:strike/>
          <w:highlight w:val="yellow"/>
        </w:rPr>
      </w:pPr>
      <w:bookmarkStart w:id="92" w:name="_Hlk135754197"/>
      <w:r w:rsidRPr="00B942AF">
        <w:t xml:space="preserve">Group 1 parties: </w:t>
      </w:r>
      <w:r>
        <w:t>A</w:t>
      </w:r>
      <w:r w:rsidRPr="00B942AF">
        <w:t xml:space="preserve"> 10% reduction from baseline by 1 January 2029</w:t>
      </w:r>
      <w:r>
        <w:t>, and for future triennia 2030-2032 and 2033-2035, a 30% reduction from baseline by 1 January 2035.</w:t>
      </w:r>
    </w:p>
    <w:p w14:paraId="739A9287" w14:textId="77777777" w:rsidR="00F572A7" w:rsidRDefault="00F572A7" w:rsidP="00D71C97">
      <w:pPr>
        <w:pStyle w:val="ListParagraph"/>
        <w:numPr>
          <w:ilvl w:val="0"/>
          <w:numId w:val="0"/>
        </w:numPr>
        <w:spacing w:after="200"/>
        <w:ind w:left="1080"/>
        <w:contextualSpacing/>
      </w:pPr>
    </w:p>
    <w:p w14:paraId="59D7E36E" w14:textId="3C7D54E8" w:rsidR="00455EB4" w:rsidRDefault="00455EB4" w:rsidP="00D71C97">
      <w:pPr>
        <w:pStyle w:val="ListParagraph"/>
        <w:numPr>
          <w:ilvl w:val="0"/>
          <w:numId w:val="0"/>
        </w:numPr>
        <w:spacing w:after="200"/>
        <w:ind w:left="1080"/>
        <w:contextualSpacing/>
        <w:rPr>
          <w:strike/>
          <w:highlight w:val="yellow"/>
        </w:rPr>
      </w:pPr>
      <w:r>
        <w:lastRenderedPageBreak/>
        <w:t>Group 2 parties</w:t>
      </w:r>
      <w:r>
        <w:rPr>
          <w:rStyle w:val="FootnoteReference"/>
        </w:rPr>
        <w:footnoteReference w:id="4"/>
      </w:r>
      <w:r>
        <w:t>: A freeze of production and consumption by 1 January 2028, and for future triennia 2030-2032 and 2033-2035, a 10% reduction from baseline by 1 January 2032</w:t>
      </w:r>
      <w:r w:rsidR="00CE5B2E">
        <w:t>, and a 20% reduction by Ja</w:t>
      </w:r>
      <w:r w:rsidR="00585DA6">
        <w:t>nuar</w:t>
      </w:r>
      <w:r w:rsidR="00CE5B2E">
        <w:t>y</w:t>
      </w:r>
      <w:r w:rsidR="00585DA6">
        <w:t xml:space="preserve"> 1, 2037</w:t>
      </w:r>
      <w:r>
        <w:t xml:space="preserve">. </w:t>
      </w:r>
    </w:p>
    <w:bookmarkEnd w:id="92"/>
    <w:p w14:paraId="543026FD" w14:textId="7D7D65A4" w:rsidR="007F7365" w:rsidRPr="00141B68" w:rsidRDefault="00D863EF" w:rsidP="00863720">
      <w:pPr>
        <w:keepNext/>
        <w:rPr>
          <w:b/>
          <w:bCs/>
          <w:lang w:eastAsia="zh-CN"/>
        </w:rPr>
      </w:pPr>
      <w:r w:rsidRPr="00141B68">
        <w:rPr>
          <w:b/>
          <w:bCs/>
          <w:lang w:eastAsia="zh-CN"/>
        </w:rPr>
        <w:t>Decision XXXVII/6</w:t>
      </w:r>
      <w:r w:rsidR="00436CC7" w:rsidRPr="00141B68">
        <w:rPr>
          <w:b/>
          <w:bCs/>
          <w:lang w:eastAsia="zh-CN"/>
        </w:rPr>
        <w:t xml:space="preserve"> and TEAP</w:t>
      </w:r>
      <w:r w:rsidR="0020738A" w:rsidRPr="00141B68">
        <w:rPr>
          <w:b/>
          <w:bCs/>
          <w:lang w:eastAsia="zh-CN"/>
        </w:rPr>
        <w:t xml:space="preserve"> </w:t>
      </w:r>
      <w:r w:rsidR="00C94D3B">
        <w:rPr>
          <w:b/>
          <w:bCs/>
          <w:lang w:eastAsia="zh-CN"/>
        </w:rPr>
        <w:t>a</w:t>
      </w:r>
      <w:r w:rsidR="0020738A" w:rsidRPr="00141B68">
        <w:rPr>
          <w:b/>
          <w:bCs/>
          <w:lang w:eastAsia="zh-CN"/>
        </w:rPr>
        <w:t>pp</w:t>
      </w:r>
      <w:r w:rsidR="00E83262" w:rsidRPr="00141B68">
        <w:rPr>
          <w:b/>
          <w:bCs/>
          <w:lang w:eastAsia="zh-CN"/>
        </w:rPr>
        <w:t>roach</w:t>
      </w:r>
    </w:p>
    <w:p w14:paraId="2CE243D9" w14:textId="2019E9A8" w:rsidR="00C979EB" w:rsidRDefault="00C020D2" w:rsidP="00D71C97">
      <w:r>
        <w:rPr>
          <w:rFonts w:eastAsia="DengXian"/>
          <w:lang w:eastAsia="zh-CN"/>
        </w:rPr>
        <w:t xml:space="preserve">At the Thirty-seventh Meeting of the Parties (MOP-37), parties adopted Decision XXXVII/6 which provided the terms of reference </w:t>
      </w:r>
      <w:r w:rsidR="00710A25">
        <w:rPr>
          <w:rFonts w:eastAsia="DengXian"/>
          <w:lang w:eastAsia="zh-CN"/>
        </w:rPr>
        <w:t xml:space="preserve">(TOR) </w:t>
      </w:r>
      <w:r>
        <w:rPr>
          <w:rFonts w:eastAsia="DengXian"/>
          <w:lang w:eastAsia="zh-CN"/>
        </w:rPr>
        <w:t xml:space="preserve">for the work of the </w:t>
      </w:r>
      <w:r w:rsidR="00C979EB">
        <w:t xml:space="preserve">Technology and Economic Assessment Panel (TEAP) to prepare a report on the appropriate level of the replenishment of the MLF for the triennium 2027-2029. The parties requested the TEAP to prepare a report for submission to </w:t>
      </w:r>
      <w:r w:rsidR="007169C2">
        <w:t>M</w:t>
      </w:r>
      <w:r w:rsidR="00C979EB">
        <w:t>OP-38, and present</w:t>
      </w:r>
      <w:r w:rsidR="00846D6A">
        <w:t>ation</w:t>
      </w:r>
      <w:r w:rsidR="00C979EB">
        <w:t xml:space="preserve"> to the Open-ended Working Group at its Forty-eighth Meeting</w:t>
      </w:r>
      <w:r w:rsidR="007169C2">
        <w:t xml:space="preserve"> (OEWG-48)</w:t>
      </w:r>
      <w:r w:rsidR="00C979EB">
        <w:t xml:space="preserve">, to enable parties at MOP-38 to take a decision. </w:t>
      </w:r>
    </w:p>
    <w:p w14:paraId="7F519B98" w14:textId="7C2B5937" w:rsidR="00C979EB" w:rsidRPr="001B7005" w:rsidRDefault="00C979EB" w:rsidP="00D71C97">
      <w:pPr>
        <w:tabs>
          <w:tab w:val="left" w:pos="2160"/>
          <w:tab w:val="left" w:pos="2880"/>
          <w:tab w:val="left" w:pos="3600"/>
          <w:tab w:val="left" w:pos="4320"/>
          <w:tab w:val="left" w:pos="5040"/>
          <w:tab w:val="left" w:pos="6480"/>
          <w:tab w:val="left" w:pos="7200"/>
          <w:tab w:val="left" w:pos="7920"/>
        </w:tabs>
      </w:pPr>
      <w:r>
        <w:t xml:space="preserve">The TEAP established a </w:t>
      </w:r>
      <w:r w:rsidR="007169C2">
        <w:t>Decision XXXVII/6</w:t>
      </w:r>
      <w:r w:rsidR="002F658F">
        <w:t xml:space="preserve"> </w:t>
      </w:r>
      <w:r>
        <w:t xml:space="preserve">Replenishment Task Force (RTF), with members from TEAP, its Technical Options Committees, and other outside experts. In December 2025, one TEAP </w:t>
      </w:r>
      <w:r w:rsidR="00585DA6">
        <w:t>S</w:t>
      </w:r>
      <w:r>
        <w:t xml:space="preserve">enior </w:t>
      </w:r>
      <w:r w:rsidR="00585DA6">
        <w:t>E</w:t>
      </w:r>
      <w:r>
        <w:t xml:space="preserve">xpert attended the </w:t>
      </w:r>
      <w:r w:rsidR="00B8184C">
        <w:t xml:space="preserve">ExCom-97 </w:t>
      </w:r>
      <w:r>
        <w:t xml:space="preserve">to conduct informal discussions with ExCom members and bilateral and </w:t>
      </w:r>
      <w:r w:rsidR="00185768">
        <w:t>IAs</w:t>
      </w:r>
      <w:r>
        <w:t xml:space="preserve"> present at that meeting. </w:t>
      </w:r>
    </w:p>
    <w:p w14:paraId="1CBC16D6" w14:textId="1DCCBB70" w:rsidR="00E83262" w:rsidRDefault="00C979EB" w:rsidP="00D71C97">
      <w:pPr>
        <w:tabs>
          <w:tab w:val="left" w:pos="2160"/>
          <w:tab w:val="left" w:pos="2880"/>
          <w:tab w:val="left" w:pos="3600"/>
          <w:tab w:val="left" w:pos="4320"/>
          <w:tab w:val="left" w:pos="5040"/>
          <w:tab w:val="left" w:pos="6480"/>
          <w:tab w:val="left" w:pos="7200"/>
          <w:tab w:val="left" w:pos="7920"/>
        </w:tabs>
      </w:pPr>
      <w:r>
        <w:t>In this report, the RTF estimated the funding requirements for the 2027-2029 triennium and future triennia based on official A</w:t>
      </w:r>
      <w:r w:rsidR="00F801CE">
        <w:t xml:space="preserve">rticle </w:t>
      </w:r>
      <w:r>
        <w:t xml:space="preserve">7 </w:t>
      </w:r>
      <w:r w:rsidR="00F801CE">
        <w:t xml:space="preserve">(A7) </w:t>
      </w:r>
      <w:r>
        <w:t>data and informed by the “Consolidated Business Plan of the Multilateral Fund for 2026-2028</w:t>
      </w:r>
      <w:r w:rsidRPr="00596152">
        <w:t>,”</w:t>
      </w:r>
      <w:r w:rsidRPr="00596152">
        <w:rPr>
          <w:vertAlign w:val="superscript"/>
        </w:rPr>
        <w:footnoteReference w:id="5"/>
      </w:r>
      <w:r>
        <w:t xml:space="preserve"> relevant decisions of the ExCom up to its 97</w:t>
      </w:r>
      <w:r w:rsidRPr="0026646D">
        <w:rPr>
          <w:vertAlign w:val="superscript"/>
        </w:rPr>
        <w:t>th</w:t>
      </w:r>
      <w:r>
        <w:t xml:space="preserve"> meeting, and information available through the </w:t>
      </w:r>
      <w:r w:rsidR="0081035F">
        <w:t>Multilateral Fund Secretariat (MLFS)</w:t>
      </w:r>
      <w:r>
        <w:t xml:space="preserve"> and Ozone Secretariat</w:t>
      </w:r>
      <w:r w:rsidR="00185768">
        <w:t xml:space="preserve"> (OS)</w:t>
      </w:r>
      <w:r>
        <w:t xml:space="preserve">. </w:t>
      </w:r>
      <w:r w:rsidR="002A3B2B">
        <w:t xml:space="preserve">The RTF </w:t>
      </w:r>
      <w:r w:rsidR="00BB3F24">
        <w:t xml:space="preserve">worked primarily online and </w:t>
      </w:r>
      <w:r w:rsidR="002A3B2B">
        <w:t>held a meeting in Montreal in February 2026</w:t>
      </w:r>
      <w:r w:rsidR="00BB3F24">
        <w:t>,</w:t>
      </w:r>
      <w:r w:rsidR="006453E3">
        <w:t xml:space="preserve"> </w:t>
      </w:r>
      <w:r w:rsidR="00B14A52">
        <w:t xml:space="preserve">during </w:t>
      </w:r>
      <w:r w:rsidR="006453E3">
        <w:t xml:space="preserve">which </w:t>
      </w:r>
      <w:r w:rsidR="00B14A52">
        <w:t xml:space="preserve">the RTF </w:t>
      </w:r>
      <w:r w:rsidR="00A003EE">
        <w:t xml:space="preserve">also held </w:t>
      </w:r>
      <w:r w:rsidR="006453E3">
        <w:t>discussions with the</w:t>
      </w:r>
      <w:r w:rsidR="00855C11">
        <w:t xml:space="preserve"> MLFS</w:t>
      </w:r>
      <w:r w:rsidR="3A65D443">
        <w:t>.</w:t>
      </w:r>
      <w:r w:rsidR="006453E3">
        <w:t xml:space="preserve"> The RTF prepared its draft report which was reviewed at the TEAP’s meeting </w:t>
      </w:r>
      <w:r w:rsidR="00D8725A">
        <w:t xml:space="preserve">held </w:t>
      </w:r>
      <w:r w:rsidR="006453E3">
        <w:t>in April 2026 in Brussels. A</w:t>
      </w:r>
      <w:r w:rsidR="005C35CE">
        <w:t>fter addressing all comments, the TEAP submitted the RTF’s report</w:t>
      </w:r>
      <w:r w:rsidR="00436CC7">
        <w:t xml:space="preserve"> to the Ozone Secretariat in May 2026 for posting and review by parties.</w:t>
      </w:r>
    </w:p>
    <w:p w14:paraId="147BE3C0" w14:textId="4AAB48A1" w:rsidR="4E3F7C29" w:rsidRPr="00FA2260" w:rsidRDefault="4BCEE662" w:rsidP="4BCEE662">
      <w:pPr>
        <w:rPr>
          <w:b/>
          <w:bCs/>
          <w:color w:val="auto"/>
          <w:sz w:val="24"/>
          <w:szCs w:val="24"/>
        </w:rPr>
      </w:pPr>
      <w:r w:rsidRPr="00FA2260">
        <w:rPr>
          <w:b/>
          <w:bCs/>
          <w:color w:val="auto"/>
          <w:sz w:val="24"/>
          <w:szCs w:val="24"/>
        </w:rPr>
        <w:t xml:space="preserve">HCFC </w:t>
      </w:r>
      <w:r w:rsidR="00C94D3B">
        <w:rPr>
          <w:b/>
          <w:bCs/>
          <w:color w:val="auto"/>
          <w:sz w:val="24"/>
          <w:szCs w:val="24"/>
        </w:rPr>
        <w:t>p</w:t>
      </w:r>
      <w:r w:rsidRPr="00FA2260">
        <w:rPr>
          <w:b/>
          <w:bCs/>
          <w:color w:val="auto"/>
          <w:sz w:val="24"/>
          <w:szCs w:val="24"/>
        </w:rPr>
        <w:t xml:space="preserve">hase-out in the </w:t>
      </w:r>
      <w:r w:rsidR="00C94D3B">
        <w:rPr>
          <w:b/>
          <w:bCs/>
          <w:color w:val="auto"/>
          <w:sz w:val="24"/>
          <w:szCs w:val="24"/>
        </w:rPr>
        <w:t>c</w:t>
      </w:r>
      <w:r w:rsidRPr="00FA2260">
        <w:rPr>
          <w:b/>
          <w:bCs/>
          <w:color w:val="auto"/>
          <w:sz w:val="24"/>
          <w:szCs w:val="24"/>
        </w:rPr>
        <w:t xml:space="preserve">onsumption and </w:t>
      </w:r>
      <w:r w:rsidR="00C94D3B">
        <w:rPr>
          <w:b/>
          <w:bCs/>
          <w:color w:val="auto"/>
          <w:sz w:val="24"/>
          <w:szCs w:val="24"/>
        </w:rPr>
        <w:t>p</w:t>
      </w:r>
      <w:r w:rsidRPr="00FA2260">
        <w:rPr>
          <w:b/>
          <w:bCs/>
          <w:color w:val="auto"/>
          <w:sz w:val="24"/>
          <w:szCs w:val="24"/>
        </w:rPr>
        <w:t xml:space="preserve">roduction </w:t>
      </w:r>
      <w:r w:rsidR="00C94D3B">
        <w:rPr>
          <w:b/>
          <w:bCs/>
          <w:color w:val="auto"/>
          <w:sz w:val="24"/>
          <w:szCs w:val="24"/>
        </w:rPr>
        <w:t>s</w:t>
      </w:r>
      <w:r w:rsidRPr="00FA2260">
        <w:rPr>
          <w:b/>
          <w:bCs/>
          <w:color w:val="auto"/>
          <w:sz w:val="24"/>
          <w:szCs w:val="24"/>
        </w:rPr>
        <w:t>ectors</w:t>
      </w:r>
    </w:p>
    <w:p w14:paraId="31064399" w14:textId="1B479464" w:rsidR="4BCEE662" w:rsidRPr="007844EE" w:rsidRDefault="4BCEE662" w:rsidP="4BCEE662">
      <w:pPr>
        <w:rPr>
          <w:i/>
          <w:iCs/>
          <w:color w:val="auto"/>
        </w:rPr>
      </w:pPr>
      <w:r w:rsidRPr="007844EE">
        <w:rPr>
          <w:b/>
          <w:bCs/>
          <w:i/>
          <w:iCs/>
          <w:color w:val="auto"/>
        </w:rPr>
        <w:t xml:space="preserve">Consumption </w:t>
      </w:r>
      <w:r w:rsidR="00C94D3B">
        <w:rPr>
          <w:b/>
          <w:bCs/>
          <w:i/>
          <w:iCs/>
          <w:color w:val="auto"/>
        </w:rPr>
        <w:t>s</w:t>
      </w:r>
      <w:r w:rsidRPr="007844EE">
        <w:rPr>
          <w:b/>
          <w:bCs/>
          <w:i/>
          <w:iCs/>
          <w:color w:val="auto"/>
        </w:rPr>
        <w:t>ector</w:t>
      </w:r>
    </w:p>
    <w:p w14:paraId="5A16A496" w14:textId="2DFA2095" w:rsidR="0A12819E" w:rsidRDefault="4BCEE662" w:rsidP="00D71C97">
      <w:pPr>
        <w:spacing w:after="0"/>
      </w:pPr>
      <w:r>
        <w:t>Most A5 parties have submitted last stage/tranches for the complete phaseout of HCFCs by 2030. Therefore, at the end of 2027-2029 triennium the MLF will be celebrating the fact that the Fund will be addressing the last remaining consumption of HCFCs for the few parties that will be submitting their last HPMPs stages and tranche requests.</w:t>
      </w:r>
    </w:p>
    <w:p w14:paraId="5EA357C5" w14:textId="4FC2BBE0" w:rsidR="004A7A55" w:rsidRDefault="004A7A55" w:rsidP="00D71C97">
      <w:pPr>
        <w:spacing w:after="0"/>
      </w:pPr>
    </w:p>
    <w:p w14:paraId="5540ACB9" w14:textId="51D9CE31" w:rsidR="0A12819E" w:rsidRDefault="7C9B475D" w:rsidP="00D71C97">
      <w:pPr>
        <w:spacing w:after="0"/>
      </w:pPr>
      <w:r>
        <w:t>That said, the HCFC phase-out funding requirement for this triennium was calculated considering that the large majority of HPMPs are addressing complete phaseout by 2030.</w:t>
      </w:r>
      <w:r w:rsidR="01C75043">
        <w:t xml:space="preserve"> </w:t>
      </w:r>
      <w:r>
        <w:t xml:space="preserve">Parties that wish to phase out HCFCs completely by 1 January 2030 may do so but </w:t>
      </w:r>
      <w:r w:rsidR="6D3916AC">
        <w:t>must</w:t>
      </w:r>
      <w:r>
        <w:t xml:space="preserve"> </w:t>
      </w:r>
      <w:r w:rsidR="00994F1E" w:rsidRPr="00994F1E">
        <w:t>ensure through regulatory and policy measures</w:t>
      </w:r>
      <w:r>
        <w:t xml:space="preserve"> that HCFCs would not be imported after that date, except for those allowed for a servicing tail between 2030 and 2040, where required, consistent with the provisions of the Montreal Protocol.</w:t>
      </w:r>
    </w:p>
    <w:p w14:paraId="5CED5DAC" w14:textId="7A988A72" w:rsidR="004A7A55" w:rsidRDefault="004A7A55" w:rsidP="00D71C97">
      <w:pPr>
        <w:spacing w:after="0"/>
      </w:pPr>
    </w:p>
    <w:p w14:paraId="5EBF3DF6" w14:textId="13A4E754" w:rsidR="0042633C" w:rsidRDefault="4BCEE662" w:rsidP="077E58F6">
      <w:pPr>
        <w:spacing w:after="120"/>
      </w:pPr>
      <w:r>
        <w:t>The ExCom decided</w:t>
      </w:r>
      <w:r w:rsidR="003929A1">
        <w:t xml:space="preserve"> </w:t>
      </w:r>
      <w:r>
        <w:t>(Decision 86/51) that, to allow for consideration of the final tranches of the HCFC phase-out management plans (HPMPs) for any consuming country requesting funding for the complete phase-out of HCFCs, the relevant Government should submit a detailed description of the regulatory and policy framework in place to implement measures to ensure that HCFC consumption was in compliance with paragraph 8 ter(e)(i) of Article 5 of the Montreal Protocol for the period 2030-2040. If the country is intending to have consumption during the period 2030–2040, modifications need to be made to its Agreement with the ExCom covering the period beyond 2030.</w:t>
      </w:r>
      <w:r w:rsidRPr="4BCEE662">
        <w:rPr>
          <w:lang w:val="en-US"/>
        </w:rPr>
        <w:t xml:space="preserve"> It is important to emphasize that parties with HPMPs for total phase</w:t>
      </w:r>
      <w:r w:rsidR="000A5C5A">
        <w:rPr>
          <w:lang w:val="en-US"/>
        </w:rPr>
        <w:t>-</w:t>
      </w:r>
      <w:r w:rsidRPr="4BCEE662">
        <w:rPr>
          <w:lang w:val="en-US"/>
        </w:rPr>
        <w:t xml:space="preserve">out have no more remaining HCFC </w:t>
      </w:r>
      <w:r w:rsidRPr="4BCEE662">
        <w:rPr>
          <w:lang w:val="en-US"/>
        </w:rPr>
        <w:lastRenderedPageBreak/>
        <w:t xml:space="preserve">consumption eligible for funding. Accordingly, changes to the </w:t>
      </w:r>
      <w:r w:rsidR="000A5C5A">
        <w:rPr>
          <w:lang w:val="en-US"/>
        </w:rPr>
        <w:t>A</w:t>
      </w:r>
      <w:r w:rsidRPr="4BCEE662">
        <w:rPr>
          <w:lang w:val="en-US"/>
        </w:rPr>
        <w:t>greement might affect targets but not funding levels.</w:t>
      </w:r>
    </w:p>
    <w:p w14:paraId="46C66A1B" w14:textId="537043CC" w:rsidR="00DC2428" w:rsidRPr="00630F59" w:rsidRDefault="4BCEE662" w:rsidP="4BCEE662">
      <w:pPr>
        <w:tabs>
          <w:tab w:val="clear" w:pos="0"/>
        </w:tabs>
        <w:spacing w:after="200"/>
        <w:contextualSpacing/>
        <w:rPr>
          <w:highlight w:val="yellow"/>
          <w:lang w:val="en-US"/>
        </w:rPr>
      </w:pPr>
      <w:r w:rsidRPr="00226E83">
        <w:t>The TOR, approved by parties in Decision XXXVII/6, instructed the RTF to use "</w:t>
      </w:r>
      <w:r w:rsidRPr="00226E83">
        <w:rPr>
          <w:lang w:val="en-US"/>
        </w:rPr>
        <w:t xml:space="preserve">a clearly explained compliance-based methodology that is informed by, but independent of, the business plan of the Multilateral Fund, and that applies a range of cost-effectiveness figures for the manufacturing sectors based on historical experience rather than only on cost-effectiveness thresholds approved by the Executive Committee". Responding to that, the </w:t>
      </w:r>
      <w:r w:rsidRPr="00226E83">
        <w:t xml:space="preserve">RTF considered a range for the estimated funding requirements, for the HCFC consumption sector, based on two cost-effectiveness </w:t>
      </w:r>
      <w:r w:rsidR="008C71CD">
        <w:t>(CE</w:t>
      </w:r>
      <w:r w:rsidR="00294785">
        <w:t xml:space="preserve">) </w:t>
      </w:r>
      <w:r w:rsidRPr="00226E83">
        <w:t>scenarios, and applied to 15 non-LVC parties (including the largest consuming party-China)</w:t>
      </w:r>
      <w:r>
        <w:t xml:space="preserve"> with remaining eligible consumption in manufacturing sectors, as follows:</w:t>
      </w:r>
    </w:p>
    <w:p w14:paraId="44E17955" w14:textId="06C88454" w:rsidR="00DC2428" w:rsidRPr="00630F59" w:rsidRDefault="4BCEE662" w:rsidP="00DC2428">
      <w:pPr>
        <w:pStyle w:val="ListParagraph"/>
        <w:spacing w:after="120"/>
        <w:rPr>
          <w:rFonts w:eastAsia="Times New Roman"/>
          <w:color w:val="000000" w:themeColor="text1"/>
          <w:lang w:val="en-GB"/>
        </w:rPr>
      </w:pPr>
      <w:r w:rsidRPr="4BCEE662">
        <w:rPr>
          <w:rFonts w:eastAsia="Times New Roman"/>
          <w:b/>
          <w:bCs/>
          <w:color w:val="000000" w:themeColor="text1"/>
        </w:rPr>
        <w:t>HCFC scenario 1</w:t>
      </w:r>
      <w:r w:rsidRPr="4BCEE662">
        <w:rPr>
          <w:rFonts w:eastAsia="Times New Roman"/>
          <w:color w:val="000000" w:themeColor="text1"/>
        </w:rPr>
        <w:t xml:space="preserve">: Applying average </w:t>
      </w:r>
      <w:r w:rsidRPr="4BCEE662">
        <w:rPr>
          <w:rFonts w:eastAsia="Times New Roman"/>
          <w:color w:val="000000" w:themeColor="text1"/>
          <w:u w:val="single"/>
        </w:rPr>
        <w:t xml:space="preserve">historical </w:t>
      </w:r>
      <w:r w:rsidRPr="4BCEE662">
        <w:rPr>
          <w:rFonts w:eastAsia="Times New Roman"/>
          <w:color w:val="000000" w:themeColor="text1"/>
        </w:rPr>
        <w:t xml:space="preserve">CE thresholds in manufacturing sectors for those non-LVCs with remaining eligible consumption;   </w:t>
      </w:r>
    </w:p>
    <w:p w14:paraId="18F87E75" w14:textId="1D67FDEC" w:rsidR="00DC2428" w:rsidRPr="00610699" w:rsidRDefault="4BCEE662" w:rsidP="008515FF">
      <w:pPr>
        <w:pStyle w:val="ListParagraph"/>
        <w:rPr>
          <w:rFonts w:eastAsia="Times New Roman"/>
          <w:color w:val="000000" w:themeColor="text1"/>
          <w:lang w:val="en-GB"/>
        </w:rPr>
      </w:pPr>
      <w:r w:rsidRPr="4BCEE662">
        <w:rPr>
          <w:rFonts w:eastAsia="Times New Roman"/>
          <w:b/>
          <w:bCs/>
          <w:color w:val="000000" w:themeColor="text1"/>
        </w:rPr>
        <w:t>HCFC scenario 2:</w:t>
      </w:r>
      <w:r w:rsidRPr="4BCEE662">
        <w:rPr>
          <w:rFonts w:eastAsia="Times New Roman"/>
          <w:color w:val="000000" w:themeColor="text1"/>
        </w:rPr>
        <w:t xml:space="preserve"> Applying </w:t>
      </w:r>
      <w:r w:rsidRPr="4BCEE662">
        <w:rPr>
          <w:rFonts w:eastAsia="Times New Roman"/>
          <w:color w:val="000000" w:themeColor="text1"/>
          <w:u w:val="single"/>
        </w:rPr>
        <w:t>CEs in cost guidelines</w:t>
      </w:r>
      <w:r w:rsidRPr="4BCEE662">
        <w:rPr>
          <w:rFonts w:eastAsia="Times New Roman"/>
          <w:color w:val="000000" w:themeColor="text1"/>
        </w:rPr>
        <w:t>,</w:t>
      </w:r>
      <w:r w:rsidRPr="4BCEE662">
        <w:rPr>
          <w:rFonts w:eastAsia="Times New Roman"/>
          <w:color w:val="000000" w:themeColor="text1"/>
          <w:vertAlign w:val="superscript"/>
        </w:rPr>
        <w:t>18</w:t>
      </w:r>
      <w:r w:rsidRPr="4BCEE662">
        <w:rPr>
          <w:rFonts w:eastAsia="Times New Roman"/>
          <w:color w:val="000000" w:themeColor="text1"/>
        </w:rPr>
        <w:t xml:space="preserve"> in manufacturing sectors, for those non-LVCs with remaining eligible consumption.</w:t>
      </w:r>
    </w:p>
    <w:p w14:paraId="75BA51A6" w14:textId="64A19D7B" w:rsidR="008564D7" w:rsidRPr="000929D6" w:rsidRDefault="4BCEE662" w:rsidP="008564D7">
      <w:r>
        <w:t xml:space="preserve">In calculating funding, RTF applied a deduction of 15% to manufacturing sectors to account for potential ineligible foreign ownership of enterprises. </w:t>
      </w:r>
    </w:p>
    <w:p w14:paraId="07B9E1B3" w14:textId="55894928" w:rsidR="00DC2428" w:rsidRPr="00610699" w:rsidRDefault="4BCEE662" w:rsidP="00944405">
      <w:pPr>
        <w:spacing w:after="120"/>
        <w:rPr>
          <w:lang w:val="en-GB"/>
        </w:rPr>
      </w:pPr>
      <w:r w:rsidRPr="4BCEE662">
        <w:rPr>
          <w:lang w:val="en-GB"/>
        </w:rPr>
        <w:t xml:space="preserve">RTF considered the total phaseout to happen by 2030 with the special allowances under the Montreal Protocol, as described previously, regarding the servicing tail. ExCom Decision 62/17 “requested the bilateral and </w:t>
      </w:r>
      <w:r w:rsidR="00185768">
        <w:rPr>
          <w:lang w:val="en-GB"/>
        </w:rPr>
        <w:t>IAs</w:t>
      </w:r>
      <w:r w:rsidRPr="4BCEE662">
        <w:rPr>
          <w:lang w:val="en-GB"/>
        </w:rPr>
        <w:t>, when preparing multi-year HPMPs, to ensure that the last tranche comprised 10% of the total funding for the refrigeration servicing sector in the agreement and was scheduled for the last year of the plan.” RTF considered that the last tranche of the HPMPs would occur in 2030; consequently, 90% of the total phase-out resource allocation would be within the 2027-2029 triennium and the 10% for the last tranche would be allocated to the next triennium 2030-2032, following the intention of decision ExCom 62/17.</w:t>
      </w:r>
    </w:p>
    <w:p w14:paraId="081A6BC3" w14:textId="5F6BC4A6" w:rsidR="4BCEE662" w:rsidRDefault="4BCEE662" w:rsidP="4BCEE662">
      <w:pPr>
        <w:spacing w:after="120"/>
        <w:rPr>
          <w:color w:val="FF0000"/>
          <w:lang w:val="en-GB"/>
        </w:rPr>
      </w:pPr>
    </w:p>
    <w:p w14:paraId="51D5CB3B" w14:textId="2CBDDB33" w:rsidR="00025B10" w:rsidRPr="007844EE" w:rsidRDefault="4BCEE662" w:rsidP="00025B10">
      <w:pPr>
        <w:spacing w:after="120"/>
        <w:contextualSpacing/>
        <w:rPr>
          <w:b/>
          <w:bCs/>
          <w:i/>
          <w:iCs/>
          <w:color w:val="auto"/>
          <w:lang w:val="en-GB"/>
        </w:rPr>
      </w:pPr>
      <w:r w:rsidRPr="007844EE">
        <w:rPr>
          <w:b/>
          <w:bCs/>
          <w:i/>
          <w:iCs/>
          <w:color w:val="auto"/>
          <w:lang w:val="en-GB"/>
        </w:rPr>
        <w:t xml:space="preserve">Production </w:t>
      </w:r>
      <w:r w:rsidR="00C94D3B">
        <w:rPr>
          <w:b/>
          <w:bCs/>
          <w:i/>
          <w:iCs/>
          <w:color w:val="auto"/>
          <w:lang w:val="en-GB"/>
        </w:rPr>
        <w:t>s</w:t>
      </w:r>
      <w:r w:rsidRPr="007844EE">
        <w:rPr>
          <w:b/>
          <w:bCs/>
          <w:i/>
          <w:iCs/>
          <w:color w:val="auto"/>
          <w:lang w:val="en-GB"/>
        </w:rPr>
        <w:t>ector</w:t>
      </w:r>
    </w:p>
    <w:p w14:paraId="015749BA" w14:textId="77777777" w:rsidR="00025B10" w:rsidRDefault="00025B10" w:rsidP="00025B10">
      <w:pPr>
        <w:spacing w:after="120"/>
        <w:contextualSpacing/>
      </w:pPr>
    </w:p>
    <w:p w14:paraId="62F423FF" w14:textId="7727EDAC" w:rsidR="00C33B1E" w:rsidRDefault="00C33B1E" w:rsidP="00025B10">
      <w:pPr>
        <w:spacing w:after="200"/>
        <w:contextualSpacing/>
      </w:pPr>
      <w:r>
        <w:t>The total production of HCFC</w:t>
      </w:r>
      <w:r w:rsidR="009C4AFC">
        <w:t xml:space="preserve"> is well below the aggregated production baseline.</w:t>
      </w:r>
      <w:r w:rsidR="00F90247">
        <w:t xml:space="preserve"> Only </w:t>
      </w:r>
      <w:r w:rsidR="00080411">
        <w:t xml:space="preserve">one production sector project </w:t>
      </w:r>
      <w:r w:rsidR="00700121">
        <w:t xml:space="preserve">(China </w:t>
      </w:r>
      <w:r w:rsidR="00F16020">
        <w:t>Stage III HCFC Production Phaseout Management Plan (HPPMP))</w:t>
      </w:r>
      <w:r w:rsidR="007E2E24">
        <w:t xml:space="preserve"> </w:t>
      </w:r>
      <w:r w:rsidR="00080411">
        <w:t>had</w:t>
      </w:r>
      <w:r w:rsidR="00700121">
        <w:t xml:space="preserve"> been included in the “Consolidated Business </w:t>
      </w:r>
      <w:r w:rsidR="007E2E24">
        <w:t>Plan of the Multilateral Fund for 2026-2028”</w:t>
      </w:r>
      <w:r w:rsidR="006C2FD7">
        <w:t xml:space="preserve"> and</w:t>
      </w:r>
      <w:r w:rsidR="00D17805">
        <w:t xml:space="preserve"> would require funding in the 2027-2029 triennium.</w:t>
      </w:r>
    </w:p>
    <w:p w14:paraId="2ED85FD6" w14:textId="7AEB90F8" w:rsidR="4BCEE662" w:rsidRDefault="4BCEE662" w:rsidP="4BCEE662">
      <w:pPr>
        <w:spacing w:after="120"/>
        <w:rPr>
          <w:lang w:val="en-GB"/>
        </w:rPr>
      </w:pPr>
    </w:p>
    <w:p w14:paraId="3D2F148A" w14:textId="17C7B055" w:rsidR="00801977" w:rsidRPr="00952AA4" w:rsidRDefault="4BCEE662" w:rsidP="4BCEE662">
      <w:pPr>
        <w:keepNext/>
        <w:keepLines/>
        <w:rPr>
          <w:b/>
          <w:bCs/>
          <w:color w:val="auto"/>
          <w:sz w:val="24"/>
          <w:szCs w:val="24"/>
        </w:rPr>
      </w:pPr>
      <w:r w:rsidRPr="00952AA4">
        <w:rPr>
          <w:b/>
          <w:bCs/>
          <w:color w:val="auto"/>
          <w:sz w:val="24"/>
          <w:szCs w:val="24"/>
        </w:rPr>
        <w:t>Summary of Funding Estimates for HCFC Phaseout in the Consumption and Production Sectors</w:t>
      </w:r>
    </w:p>
    <w:p w14:paraId="5A2CB905" w14:textId="0E286FFF" w:rsidR="00801977" w:rsidRDefault="4BCEE662" w:rsidP="00801977">
      <w:pPr>
        <w:keepNext/>
        <w:keepLines/>
      </w:pPr>
      <w:r>
        <w:t xml:space="preserve">The estimated total funding requirement range for 2027-2029 triennium and 2030-2032 triennium for the HCFC consumption and production sectors are </w:t>
      </w:r>
      <w:r w:rsidR="009403E9">
        <w:t>summarised</w:t>
      </w:r>
      <w:r>
        <w:t xml:space="preserve"> below and in Table ES.2:</w:t>
      </w:r>
    </w:p>
    <w:p w14:paraId="00C2D5C7" w14:textId="77777777" w:rsidR="00801977" w:rsidRPr="006264FD" w:rsidRDefault="00801977" w:rsidP="00801977">
      <w:pPr>
        <w:pStyle w:val="ListParagraph"/>
        <w:keepNext/>
        <w:keepLines/>
        <w:numPr>
          <w:ilvl w:val="0"/>
          <w:numId w:val="72"/>
        </w:numPr>
        <w:spacing w:after="120"/>
        <w:rPr>
          <w:b/>
          <w:bCs/>
        </w:rPr>
      </w:pPr>
      <w:r w:rsidRPr="009E4856">
        <w:rPr>
          <w:b/>
          <w:bCs/>
        </w:rPr>
        <w:t>2027-2029: US$ 4</w:t>
      </w:r>
      <w:r>
        <w:rPr>
          <w:b/>
          <w:bCs/>
        </w:rPr>
        <w:t>51 m</w:t>
      </w:r>
      <w:r w:rsidRPr="009E4856">
        <w:rPr>
          <w:b/>
          <w:bCs/>
        </w:rPr>
        <w:t>illion to US$ 5</w:t>
      </w:r>
      <w:r>
        <w:rPr>
          <w:b/>
          <w:bCs/>
        </w:rPr>
        <w:t>73</w:t>
      </w:r>
      <w:r w:rsidRPr="009E4856">
        <w:rPr>
          <w:b/>
          <w:bCs/>
        </w:rPr>
        <w:t xml:space="preserve"> million</w:t>
      </w:r>
    </w:p>
    <w:p w14:paraId="4D8FE86B" w14:textId="04CAF0DB" w:rsidR="00801977" w:rsidRPr="006264FD" w:rsidRDefault="00801977" w:rsidP="00801977">
      <w:pPr>
        <w:pStyle w:val="ListParagraph"/>
        <w:keepNext/>
        <w:keepLines/>
        <w:numPr>
          <w:ilvl w:val="0"/>
          <w:numId w:val="72"/>
        </w:numPr>
        <w:rPr>
          <w:b/>
          <w:bCs/>
        </w:rPr>
      </w:pPr>
      <w:r w:rsidRPr="009E4856">
        <w:rPr>
          <w:b/>
          <w:bCs/>
        </w:rPr>
        <w:t xml:space="preserve">2030-2032: US$ </w:t>
      </w:r>
      <w:r w:rsidR="00A45B32">
        <w:rPr>
          <w:b/>
          <w:bCs/>
        </w:rPr>
        <w:t>83</w:t>
      </w:r>
      <w:r w:rsidR="00A45B32" w:rsidRPr="009E4856">
        <w:rPr>
          <w:b/>
          <w:bCs/>
        </w:rPr>
        <w:t xml:space="preserve"> </w:t>
      </w:r>
      <w:r w:rsidRPr="009E4856">
        <w:rPr>
          <w:b/>
          <w:bCs/>
        </w:rPr>
        <w:t xml:space="preserve">million to US$ </w:t>
      </w:r>
      <w:r w:rsidR="00A45B32">
        <w:rPr>
          <w:b/>
          <w:bCs/>
        </w:rPr>
        <w:t>96</w:t>
      </w:r>
      <w:r w:rsidR="00A45B32" w:rsidRPr="009E4856">
        <w:rPr>
          <w:b/>
          <w:bCs/>
        </w:rPr>
        <w:t xml:space="preserve"> </w:t>
      </w:r>
      <w:r w:rsidRPr="009E4856">
        <w:rPr>
          <w:b/>
          <w:bCs/>
        </w:rPr>
        <w:t>million</w:t>
      </w:r>
    </w:p>
    <w:p w14:paraId="571E98E7" w14:textId="77777777" w:rsidR="005E0ACB" w:rsidRDefault="005E0ACB">
      <w:pPr>
        <w:tabs>
          <w:tab w:val="clear" w:pos="0"/>
        </w:tabs>
        <w:spacing w:after="0"/>
        <w:rPr>
          <w:rFonts w:eastAsiaTheme="minorEastAsia"/>
          <w:b/>
          <w:bCs/>
        </w:rPr>
      </w:pPr>
      <w:r>
        <w:rPr>
          <w:rFonts w:eastAsiaTheme="minorEastAsia"/>
          <w:b/>
          <w:bCs/>
        </w:rPr>
        <w:br w:type="page"/>
      </w:r>
    </w:p>
    <w:p w14:paraId="24D42265" w14:textId="577F6F95" w:rsidR="00801977" w:rsidRDefault="00801977" w:rsidP="002135B0">
      <w:pPr>
        <w:tabs>
          <w:tab w:val="left" w:pos="1276"/>
        </w:tabs>
        <w:ind w:left="1276" w:hanging="1418"/>
        <w:rPr>
          <w:rFonts w:eastAsiaTheme="minorEastAsia"/>
          <w:b/>
          <w:bCs/>
          <w:highlight w:val="yellow"/>
        </w:rPr>
      </w:pPr>
      <w:r w:rsidRPr="222ABFFA">
        <w:rPr>
          <w:rFonts w:eastAsiaTheme="minorEastAsia"/>
          <w:b/>
          <w:bCs/>
        </w:rPr>
        <w:lastRenderedPageBreak/>
        <w:t xml:space="preserve">Table </w:t>
      </w:r>
      <w:r w:rsidR="00564C8D">
        <w:rPr>
          <w:rFonts w:eastAsiaTheme="minorEastAsia"/>
          <w:b/>
          <w:bCs/>
        </w:rPr>
        <w:t>ES.2</w:t>
      </w:r>
      <w:r w:rsidR="00C43778">
        <w:t>:</w:t>
      </w:r>
      <w:r w:rsidR="00C43778">
        <w:tab/>
      </w:r>
      <w:r w:rsidRPr="222ABFFA">
        <w:rPr>
          <w:rFonts w:eastAsiaTheme="minorEastAsia"/>
          <w:b/>
          <w:bCs/>
        </w:rPr>
        <w:t xml:space="preserve">Estimated funding requirement for HCFC </w:t>
      </w:r>
      <w:r w:rsidR="239CCF04" w:rsidRPr="239CCF04">
        <w:rPr>
          <w:rFonts w:eastAsiaTheme="minorEastAsia"/>
          <w:b/>
          <w:bCs/>
        </w:rPr>
        <w:t xml:space="preserve">total </w:t>
      </w:r>
      <w:r w:rsidR="005C590D">
        <w:rPr>
          <w:rFonts w:eastAsiaTheme="minorEastAsia"/>
          <w:b/>
          <w:bCs/>
        </w:rPr>
        <w:t xml:space="preserve">phase-out </w:t>
      </w:r>
      <w:r w:rsidR="00555113">
        <w:rPr>
          <w:rFonts w:eastAsiaTheme="minorEastAsia"/>
          <w:b/>
          <w:bCs/>
        </w:rPr>
        <w:t xml:space="preserve">for 2027-2029 and </w:t>
      </w:r>
      <w:r w:rsidR="00944405">
        <w:rPr>
          <w:rFonts w:eastAsiaTheme="minorEastAsia"/>
          <w:b/>
          <w:bCs/>
        </w:rPr>
        <w:t>2030-2032</w:t>
      </w:r>
      <w:r w:rsidR="00555113">
        <w:rPr>
          <w:rFonts w:eastAsiaTheme="minorEastAsia"/>
          <w:b/>
          <w:bCs/>
        </w:rPr>
        <w:t xml:space="preserve"> </w:t>
      </w:r>
      <w:r w:rsidR="005B36CE" w:rsidRPr="239CCF04">
        <w:rPr>
          <w:b/>
          <w:bCs/>
          <w:sz w:val="21"/>
          <w:szCs w:val="21"/>
          <w:lang w:val="en-US"/>
        </w:rPr>
        <w:t>(US$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1"/>
        <w:gridCol w:w="2573"/>
        <w:gridCol w:w="2582"/>
        <w:gridCol w:w="2521"/>
      </w:tblGrid>
      <w:tr w:rsidR="00801977" w:rsidRPr="00E537F3" w14:paraId="695BD438" w14:textId="77777777" w:rsidTr="002135B0">
        <w:trPr>
          <w:trHeight w:val="300"/>
        </w:trPr>
        <w:tc>
          <w:tcPr>
            <w:tcW w:w="743" w:type="pct"/>
            <w:vMerge w:val="restart"/>
            <w:shd w:val="clear" w:color="auto" w:fill="DEEAF6" w:themeFill="accent5" w:themeFillTint="33"/>
            <w:vAlign w:val="center"/>
          </w:tcPr>
          <w:p w14:paraId="7938539B" w14:textId="77777777" w:rsidR="00801977" w:rsidRPr="00E537F3" w:rsidRDefault="00801977" w:rsidP="00547F8B">
            <w:pPr>
              <w:tabs>
                <w:tab w:val="clear" w:pos="0"/>
              </w:tabs>
              <w:spacing w:after="0"/>
              <w:jc w:val="center"/>
              <w:textAlignment w:val="baseline"/>
              <w:rPr>
                <w:b/>
                <w:bCs/>
                <w:color w:val="000000"/>
                <w:sz w:val="21"/>
                <w:szCs w:val="21"/>
                <w:lang w:val="en-US"/>
              </w:rPr>
            </w:pPr>
            <w:r>
              <w:rPr>
                <w:b/>
                <w:bCs/>
                <w:color w:val="000000"/>
                <w:sz w:val="21"/>
                <w:szCs w:val="21"/>
                <w:lang w:val="en-US"/>
              </w:rPr>
              <w:t>Triennium</w:t>
            </w:r>
          </w:p>
        </w:tc>
        <w:tc>
          <w:tcPr>
            <w:tcW w:w="1427" w:type="pct"/>
            <w:vMerge w:val="restart"/>
            <w:shd w:val="clear" w:color="auto" w:fill="DEEAF6" w:themeFill="accent5" w:themeFillTint="33"/>
            <w:vAlign w:val="center"/>
            <w:hideMark/>
          </w:tcPr>
          <w:p w14:paraId="00EC5620" w14:textId="641B8C1A" w:rsidR="00801977" w:rsidRPr="00E537F3" w:rsidRDefault="00801977" w:rsidP="000654B9">
            <w:pPr>
              <w:tabs>
                <w:tab w:val="clear" w:pos="0"/>
              </w:tabs>
              <w:spacing w:after="0"/>
              <w:jc w:val="center"/>
              <w:textAlignment w:val="baseline"/>
              <w:rPr>
                <w:rFonts w:ascii="Segoe UI" w:hAnsi="Segoe UI" w:cs="Segoe UI"/>
                <w:color w:val="000000"/>
                <w:sz w:val="18"/>
                <w:szCs w:val="18"/>
                <w:lang w:val="en-US"/>
              </w:rPr>
            </w:pPr>
            <w:r>
              <w:rPr>
                <w:b/>
                <w:bCs/>
                <w:color w:val="000000"/>
                <w:sz w:val="21"/>
                <w:szCs w:val="21"/>
                <w:lang w:val="en-US"/>
              </w:rPr>
              <w:t>Sector</w:t>
            </w:r>
          </w:p>
        </w:tc>
        <w:tc>
          <w:tcPr>
            <w:tcW w:w="2830" w:type="pct"/>
            <w:gridSpan w:val="2"/>
            <w:shd w:val="clear" w:color="auto" w:fill="DEEAF6" w:themeFill="accent5" w:themeFillTint="33"/>
            <w:vAlign w:val="center"/>
            <w:hideMark/>
          </w:tcPr>
          <w:p w14:paraId="05B0C3FF" w14:textId="0FDAB523" w:rsidR="00801977" w:rsidRPr="00E537F3" w:rsidRDefault="00801977" w:rsidP="000654B9">
            <w:pPr>
              <w:tabs>
                <w:tab w:val="clear" w:pos="0"/>
              </w:tabs>
              <w:spacing w:after="0"/>
              <w:jc w:val="center"/>
              <w:textAlignment w:val="baseline"/>
              <w:rPr>
                <w:rFonts w:ascii="Segoe UI" w:hAnsi="Segoe UI" w:cs="Segoe UI"/>
                <w:b/>
                <w:bCs/>
                <w:color w:val="000000"/>
                <w:sz w:val="18"/>
                <w:szCs w:val="18"/>
                <w:lang w:val="en-US"/>
              </w:rPr>
            </w:pPr>
            <w:r w:rsidRPr="239CCF04">
              <w:rPr>
                <w:b/>
                <w:bCs/>
                <w:sz w:val="21"/>
                <w:szCs w:val="21"/>
                <w:lang w:val="en-US"/>
              </w:rPr>
              <w:t>HCFC ESTIMATED FUNDING RANGE</w:t>
            </w:r>
          </w:p>
        </w:tc>
      </w:tr>
      <w:tr w:rsidR="00801977" w:rsidRPr="00E537F3" w14:paraId="5B33151C" w14:textId="77777777" w:rsidTr="002135B0">
        <w:trPr>
          <w:trHeight w:val="60"/>
        </w:trPr>
        <w:tc>
          <w:tcPr>
            <w:tcW w:w="743" w:type="pct"/>
            <w:vMerge/>
            <w:vAlign w:val="center"/>
          </w:tcPr>
          <w:p w14:paraId="02E951BB" w14:textId="77777777" w:rsidR="00801977" w:rsidRPr="00E537F3" w:rsidRDefault="00801977" w:rsidP="002135B0">
            <w:pPr>
              <w:tabs>
                <w:tab w:val="clear" w:pos="0"/>
              </w:tabs>
              <w:spacing w:after="0"/>
              <w:jc w:val="center"/>
              <w:rPr>
                <w:rFonts w:ascii="Segoe UI" w:hAnsi="Segoe UI" w:cs="Segoe UI"/>
                <w:color w:val="000000"/>
                <w:sz w:val="18"/>
                <w:szCs w:val="18"/>
                <w:lang w:val="en-US"/>
              </w:rPr>
            </w:pPr>
          </w:p>
        </w:tc>
        <w:tc>
          <w:tcPr>
            <w:tcW w:w="1427" w:type="pct"/>
            <w:vMerge/>
            <w:vAlign w:val="center"/>
            <w:hideMark/>
          </w:tcPr>
          <w:p w14:paraId="4BF11DF1" w14:textId="77777777" w:rsidR="00801977" w:rsidRPr="00E537F3" w:rsidRDefault="00801977" w:rsidP="002135B0">
            <w:pPr>
              <w:tabs>
                <w:tab w:val="clear" w:pos="0"/>
              </w:tabs>
              <w:spacing w:after="0"/>
              <w:jc w:val="center"/>
              <w:rPr>
                <w:rFonts w:ascii="Segoe UI" w:hAnsi="Segoe UI" w:cs="Segoe UI"/>
                <w:color w:val="000000"/>
                <w:sz w:val="18"/>
                <w:szCs w:val="18"/>
                <w:lang w:val="en-US"/>
              </w:rPr>
            </w:pPr>
          </w:p>
        </w:tc>
        <w:tc>
          <w:tcPr>
            <w:tcW w:w="1432" w:type="pct"/>
            <w:shd w:val="clear" w:color="auto" w:fill="DEEAF6" w:themeFill="accent5" w:themeFillTint="33"/>
            <w:vAlign w:val="center"/>
            <w:hideMark/>
          </w:tcPr>
          <w:p w14:paraId="7C168A6E" w14:textId="337ABC0D" w:rsidR="00801977" w:rsidRPr="00E537F3" w:rsidRDefault="239CCF04" w:rsidP="000654B9">
            <w:pPr>
              <w:tabs>
                <w:tab w:val="clear" w:pos="0"/>
              </w:tabs>
              <w:spacing w:after="0"/>
              <w:jc w:val="center"/>
              <w:textAlignment w:val="baseline"/>
              <w:rPr>
                <w:rFonts w:ascii="Segoe UI" w:hAnsi="Segoe UI" w:cs="Segoe UI"/>
                <w:color w:val="000000"/>
                <w:sz w:val="18"/>
                <w:szCs w:val="18"/>
                <w:lang w:val="en-US"/>
              </w:rPr>
            </w:pPr>
            <w:r w:rsidRPr="239CCF04">
              <w:rPr>
                <w:b/>
                <w:bCs/>
                <w:sz w:val="21"/>
                <w:szCs w:val="21"/>
                <w:lang w:val="en-US"/>
              </w:rPr>
              <w:t xml:space="preserve">HCFC </w:t>
            </w:r>
            <w:r w:rsidR="00801977" w:rsidRPr="239CCF04">
              <w:rPr>
                <w:b/>
                <w:bCs/>
                <w:sz w:val="21"/>
                <w:szCs w:val="21"/>
                <w:lang w:val="en-US"/>
              </w:rPr>
              <w:t>Scenario</w:t>
            </w:r>
            <w:r w:rsidR="007947C2">
              <w:rPr>
                <w:b/>
                <w:bCs/>
                <w:sz w:val="21"/>
                <w:szCs w:val="21"/>
                <w:lang w:val="en-US"/>
              </w:rPr>
              <w:t xml:space="preserve"> 1</w:t>
            </w:r>
            <w:r w:rsidR="00801977" w:rsidRPr="239CCF04">
              <w:rPr>
                <w:b/>
                <w:bCs/>
                <w:sz w:val="21"/>
                <w:szCs w:val="21"/>
                <w:lang w:val="en-US"/>
              </w:rPr>
              <w:t xml:space="preserve"> with 90%/10% Allocation</w:t>
            </w:r>
          </w:p>
        </w:tc>
        <w:tc>
          <w:tcPr>
            <w:tcW w:w="1398" w:type="pct"/>
            <w:shd w:val="clear" w:color="auto" w:fill="DEEAF6" w:themeFill="accent5" w:themeFillTint="33"/>
            <w:vAlign w:val="center"/>
            <w:hideMark/>
          </w:tcPr>
          <w:p w14:paraId="07C993AD" w14:textId="4BB6AAFE" w:rsidR="00801977" w:rsidRPr="00E537F3" w:rsidRDefault="239CCF04" w:rsidP="000654B9">
            <w:pPr>
              <w:tabs>
                <w:tab w:val="clear" w:pos="0"/>
              </w:tabs>
              <w:spacing w:after="0"/>
              <w:jc w:val="center"/>
              <w:textAlignment w:val="baseline"/>
              <w:rPr>
                <w:rFonts w:ascii="Segoe UI" w:hAnsi="Segoe UI" w:cs="Segoe UI"/>
                <w:color w:val="000000"/>
                <w:sz w:val="18"/>
                <w:szCs w:val="18"/>
                <w:lang w:val="en-US"/>
              </w:rPr>
            </w:pPr>
            <w:r w:rsidRPr="239CCF04">
              <w:rPr>
                <w:b/>
                <w:bCs/>
                <w:sz w:val="21"/>
                <w:szCs w:val="21"/>
                <w:lang w:val="en-US"/>
              </w:rPr>
              <w:t xml:space="preserve">HCFC </w:t>
            </w:r>
            <w:r w:rsidR="00801977" w:rsidRPr="239CCF04">
              <w:rPr>
                <w:b/>
                <w:bCs/>
                <w:sz w:val="21"/>
                <w:szCs w:val="21"/>
                <w:lang w:val="en-US"/>
              </w:rPr>
              <w:t>Scenario</w:t>
            </w:r>
            <w:r w:rsidR="007947C2">
              <w:rPr>
                <w:b/>
                <w:bCs/>
                <w:sz w:val="21"/>
                <w:szCs w:val="21"/>
                <w:lang w:val="en-US"/>
              </w:rPr>
              <w:t xml:space="preserve"> 2</w:t>
            </w:r>
            <w:r w:rsidR="00801977" w:rsidRPr="239CCF04">
              <w:rPr>
                <w:b/>
                <w:bCs/>
                <w:sz w:val="21"/>
                <w:szCs w:val="21"/>
                <w:lang w:val="en-US"/>
              </w:rPr>
              <w:t xml:space="preserve"> with 90%/10% Allocation</w:t>
            </w:r>
          </w:p>
        </w:tc>
      </w:tr>
      <w:tr w:rsidR="00801977" w:rsidRPr="00E537F3" w14:paraId="5BE4C7A1" w14:textId="77777777" w:rsidTr="002135B0">
        <w:trPr>
          <w:trHeight w:val="285"/>
        </w:trPr>
        <w:tc>
          <w:tcPr>
            <w:tcW w:w="743" w:type="pct"/>
            <w:vMerge w:val="restart"/>
            <w:shd w:val="clear" w:color="auto" w:fill="E2EFD9" w:themeFill="accent6" w:themeFillTint="33"/>
            <w:vAlign w:val="center"/>
          </w:tcPr>
          <w:p w14:paraId="51BDB507" w14:textId="77777777" w:rsidR="00801977" w:rsidRPr="00E537F3" w:rsidRDefault="00801977" w:rsidP="00547F8B">
            <w:pPr>
              <w:tabs>
                <w:tab w:val="clear" w:pos="0"/>
              </w:tabs>
              <w:spacing w:after="0"/>
              <w:jc w:val="center"/>
              <w:textAlignment w:val="baseline"/>
              <w:rPr>
                <w:b/>
                <w:bCs/>
                <w:color w:val="000000"/>
                <w:lang w:val="en-US"/>
              </w:rPr>
            </w:pPr>
            <w:r>
              <w:rPr>
                <w:b/>
                <w:bCs/>
                <w:color w:val="000000"/>
                <w:lang w:val="en-US"/>
              </w:rPr>
              <w:t>2027-2029</w:t>
            </w:r>
          </w:p>
        </w:tc>
        <w:tc>
          <w:tcPr>
            <w:tcW w:w="1427" w:type="pct"/>
            <w:shd w:val="clear" w:color="auto" w:fill="FFFFFF" w:themeFill="background1"/>
            <w:vAlign w:val="bottom"/>
            <w:hideMark/>
          </w:tcPr>
          <w:p w14:paraId="75D6AFEC" w14:textId="08E1118E" w:rsidR="00801977" w:rsidRPr="00E537F3" w:rsidRDefault="00801977">
            <w:pPr>
              <w:tabs>
                <w:tab w:val="clear" w:pos="0"/>
              </w:tabs>
              <w:spacing w:after="0"/>
              <w:textAlignment w:val="baseline"/>
              <w:rPr>
                <w:rFonts w:ascii="Segoe UI" w:hAnsi="Segoe UI" w:cs="Segoe UI"/>
                <w:color w:val="000000"/>
                <w:sz w:val="18"/>
                <w:szCs w:val="18"/>
                <w:lang w:val="en-US"/>
              </w:rPr>
            </w:pPr>
            <w:r>
              <w:rPr>
                <w:b/>
                <w:bCs/>
                <w:color w:val="000000"/>
                <w:lang w:val="en-US"/>
              </w:rPr>
              <w:t xml:space="preserve">HCFC Consumption sector </w:t>
            </w:r>
          </w:p>
        </w:tc>
        <w:tc>
          <w:tcPr>
            <w:tcW w:w="1432" w:type="pct"/>
            <w:shd w:val="clear" w:color="auto" w:fill="FFFFFF" w:themeFill="background1"/>
            <w:vAlign w:val="center"/>
            <w:hideMark/>
          </w:tcPr>
          <w:p w14:paraId="4827DD88" w14:textId="77777777" w:rsidR="00801977" w:rsidRPr="00E537F3" w:rsidRDefault="00801977">
            <w:pPr>
              <w:tabs>
                <w:tab w:val="clear" w:pos="0"/>
              </w:tabs>
              <w:spacing w:after="0"/>
              <w:jc w:val="center"/>
              <w:textAlignment w:val="baseline"/>
              <w:rPr>
                <w:rFonts w:ascii="Segoe UI" w:hAnsi="Segoe UI" w:cs="Segoe UI"/>
                <w:b/>
                <w:bCs/>
                <w:color w:val="000000"/>
                <w:sz w:val="18"/>
                <w:szCs w:val="18"/>
                <w:lang w:val="en-US"/>
              </w:rPr>
            </w:pPr>
            <w:r w:rsidRPr="00E537F3">
              <w:rPr>
                <w:b/>
                <w:bCs/>
                <w:color w:val="000000"/>
                <w:lang w:val="en-US"/>
              </w:rPr>
              <w:t>42</w:t>
            </w:r>
            <w:r>
              <w:rPr>
                <w:b/>
                <w:bCs/>
                <w:color w:val="000000"/>
                <w:lang w:val="en-US"/>
              </w:rPr>
              <w:t>7.56</w:t>
            </w:r>
          </w:p>
        </w:tc>
        <w:tc>
          <w:tcPr>
            <w:tcW w:w="1398" w:type="pct"/>
            <w:shd w:val="clear" w:color="auto" w:fill="FFFFFF" w:themeFill="background1"/>
            <w:vAlign w:val="center"/>
            <w:hideMark/>
          </w:tcPr>
          <w:p w14:paraId="3C6A7A5B" w14:textId="77777777" w:rsidR="00801977" w:rsidRPr="00E537F3" w:rsidRDefault="00801977">
            <w:pPr>
              <w:tabs>
                <w:tab w:val="clear" w:pos="0"/>
              </w:tabs>
              <w:spacing w:after="0"/>
              <w:jc w:val="center"/>
              <w:textAlignment w:val="baseline"/>
              <w:rPr>
                <w:rFonts w:ascii="Segoe UI" w:hAnsi="Segoe UI" w:cs="Segoe UI"/>
                <w:b/>
                <w:bCs/>
                <w:color w:val="000000"/>
                <w:sz w:val="18"/>
                <w:szCs w:val="18"/>
                <w:lang w:val="en-US"/>
              </w:rPr>
            </w:pPr>
            <w:r w:rsidRPr="00E537F3">
              <w:rPr>
                <w:b/>
                <w:bCs/>
                <w:color w:val="000000"/>
                <w:lang w:val="en-US"/>
              </w:rPr>
              <w:t>549</w:t>
            </w:r>
            <w:r>
              <w:rPr>
                <w:b/>
                <w:bCs/>
                <w:color w:val="000000"/>
                <w:lang w:val="en-US"/>
              </w:rPr>
              <w:t>.44</w:t>
            </w:r>
          </w:p>
        </w:tc>
      </w:tr>
      <w:tr w:rsidR="00801977" w:rsidRPr="00E537F3" w14:paraId="0FB7EDF5" w14:textId="77777777" w:rsidTr="002135B0">
        <w:trPr>
          <w:trHeight w:val="285"/>
        </w:trPr>
        <w:tc>
          <w:tcPr>
            <w:tcW w:w="743" w:type="pct"/>
            <w:vMerge/>
            <w:vAlign w:val="center"/>
          </w:tcPr>
          <w:p w14:paraId="72CB4BC5" w14:textId="77777777" w:rsidR="00801977" w:rsidRPr="00E537F3" w:rsidRDefault="00801977" w:rsidP="00547F8B">
            <w:pPr>
              <w:tabs>
                <w:tab w:val="clear" w:pos="0"/>
              </w:tabs>
              <w:spacing w:after="0"/>
              <w:jc w:val="center"/>
              <w:textAlignment w:val="baseline"/>
              <w:rPr>
                <w:b/>
                <w:bCs/>
                <w:color w:val="000000"/>
                <w:lang w:val="en-US"/>
              </w:rPr>
            </w:pPr>
          </w:p>
        </w:tc>
        <w:tc>
          <w:tcPr>
            <w:tcW w:w="1427" w:type="pct"/>
            <w:shd w:val="clear" w:color="auto" w:fill="FFFFFF" w:themeFill="background1"/>
            <w:vAlign w:val="bottom"/>
          </w:tcPr>
          <w:p w14:paraId="7C26AE10" w14:textId="77777777" w:rsidR="00801977" w:rsidRPr="00E537F3" w:rsidRDefault="00801977">
            <w:pPr>
              <w:tabs>
                <w:tab w:val="clear" w:pos="0"/>
              </w:tabs>
              <w:spacing w:after="0"/>
              <w:textAlignment w:val="baseline"/>
              <w:rPr>
                <w:b/>
                <w:bCs/>
                <w:color w:val="000000"/>
                <w:lang w:val="en-US"/>
              </w:rPr>
            </w:pPr>
            <w:r>
              <w:rPr>
                <w:b/>
                <w:bCs/>
                <w:color w:val="000000"/>
                <w:lang w:val="en-US"/>
              </w:rPr>
              <w:t>HCFC Production sector</w:t>
            </w:r>
          </w:p>
        </w:tc>
        <w:tc>
          <w:tcPr>
            <w:tcW w:w="1432" w:type="pct"/>
            <w:shd w:val="clear" w:color="auto" w:fill="FFFFFF" w:themeFill="background1"/>
            <w:vAlign w:val="center"/>
          </w:tcPr>
          <w:p w14:paraId="72F0926C" w14:textId="77777777" w:rsidR="00801977" w:rsidRPr="00E537F3" w:rsidRDefault="00801977">
            <w:pPr>
              <w:tabs>
                <w:tab w:val="clear" w:pos="0"/>
              </w:tabs>
              <w:spacing w:after="0"/>
              <w:jc w:val="center"/>
              <w:textAlignment w:val="baseline"/>
              <w:rPr>
                <w:b/>
                <w:bCs/>
                <w:color w:val="000000"/>
                <w:lang w:val="en-US"/>
              </w:rPr>
            </w:pPr>
            <w:r>
              <w:rPr>
                <w:b/>
                <w:bCs/>
                <w:color w:val="000000"/>
                <w:lang w:val="en-US"/>
              </w:rPr>
              <w:t>23.54</w:t>
            </w:r>
          </w:p>
        </w:tc>
        <w:tc>
          <w:tcPr>
            <w:tcW w:w="1398" w:type="pct"/>
            <w:shd w:val="clear" w:color="auto" w:fill="FFFFFF" w:themeFill="background1"/>
            <w:vAlign w:val="center"/>
          </w:tcPr>
          <w:p w14:paraId="122E27C2" w14:textId="77777777" w:rsidR="00801977" w:rsidRPr="00E537F3" w:rsidRDefault="00801977">
            <w:pPr>
              <w:tabs>
                <w:tab w:val="clear" w:pos="0"/>
              </w:tabs>
              <w:spacing w:after="0"/>
              <w:jc w:val="center"/>
              <w:textAlignment w:val="baseline"/>
              <w:rPr>
                <w:b/>
                <w:bCs/>
                <w:color w:val="000000"/>
                <w:lang w:val="en-US"/>
              </w:rPr>
            </w:pPr>
            <w:r>
              <w:rPr>
                <w:b/>
                <w:bCs/>
                <w:color w:val="000000"/>
                <w:lang w:val="en-US"/>
              </w:rPr>
              <w:t>23.54</w:t>
            </w:r>
          </w:p>
        </w:tc>
      </w:tr>
      <w:tr w:rsidR="00801977" w:rsidRPr="00E537F3" w14:paraId="6976C2A3" w14:textId="77777777" w:rsidTr="002135B0">
        <w:trPr>
          <w:trHeight w:val="285"/>
        </w:trPr>
        <w:tc>
          <w:tcPr>
            <w:tcW w:w="743" w:type="pct"/>
            <w:vMerge/>
            <w:vAlign w:val="center"/>
          </w:tcPr>
          <w:p w14:paraId="1E30977D" w14:textId="77777777" w:rsidR="00801977" w:rsidRPr="00E537F3" w:rsidRDefault="00801977" w:rsidP="00547F8B">
            <w:pPr>
              <w:tabs>
                <w:tab w:val="clear" w:pos="0"/>
              </w:tabs>
              <w:spacing w:after="0"/>
              <w:jc w:val="center"/>
              <w:textAlignment w:val="baseline"/>
              <w:rPr>
                <w:b/>
                <w:bCs/>
                <w:color w:val="000000"/>
                <w:lang w:val="en-US"/>
              </w:rPr>
            </w:pPr>
          </w:p>
        </w:tc>
        <w:tc>
          <w:tcPr>
            <w:tcW w:w="1427" w:type="pct"/>
            <w:shd w:val="clear" w:color="auto" w:fill="FFFF00"/>
            <w:vAlign w:val="bottom"/>
          </w:tcPr>
          <w:p w14:paraId="493054D3" w14:textId="77777777" w:rsidR="00801977" w:rsidRDefault="00801977">
            <w:pPr>
              <w:tabs>
                <w:tab w:val="clear" w:pos="0"/>
              </w:tabs>
              <w:spacing w:after="0"/>
              <w:textAlignment w:val="baseline"/>
              <w:rPr>
                <w:b/>
                <w:bCs/>
                <w:color w:val="000000"/>
                <w:lang w:val="en-US"/>
              </w:rPr>
            </w:pPr>
            <w:r>
              <w:rPr>
                <w:b/>
                <w:bCs/>
                <w:color w:val="000000"/>
                <w:lang w:val="en-US"/>
              </w:rPr>
              <w:t>TOTAL RANGE</w:t>
            </w:r>
          </w:p>
        </w:tc>
        <w:tc>
          <w:tcPr>
            <w:tcW w:w="1432" w:type="pct"/>
            <w:shd w:val="clear" w:color="auto" w:fill="FFFF00"/>
            <w:vAlign w:val="center"/>
          </w:tcPr>
          <w:p w14:paraId="5E330841" w14:textId="28ECDE9D" w:rsidR="00801977" w:rsidRDefault="00801977">
            <w:pPr>
              <w:tabs>
                <w:tab w:val="clear" w:pos="0"/>
              </w:tabs>
              <w:spacing w:after="0"/>
              <w:jc w:val="center"/>
              <w:textAlignment w:val="baseline"/>
              <w:rPr>
                <w:b/>
                <w:bCs/>
                <w:color w:val="000000"/>
                <w:lang w:val="en-US"/>
              </w:rPr>
            </w:pPr>
            <w:r>
              <w:rPr>
                <w:b/>
                <w:bCs/>
                <w:color w:val="000000"/>
                <w:lang w:val="en-US"/>
              </w:rPr>
              <w:t>451.10</w:t>
            </w:r>
          </w:p>
        </w:tc>
        <w:tc>
          <w:tcPr>
            <w:tcW w:w="1398" w:type="pct"/>
            <w:shd w:val="clear" w:color="auto" w:fill="FFFF00"/>
            <w:vAlign w:val="center"/>
          </w:tcPr>
          <w:p w14:paraId="66D08B24" w14:textId="06A803A2" w:rsidR="00801977" w:rsidRDefault="00801977">
            <w:pPr>
              <w:tabs>
                <w:tab w:val="clear" w:pos="0"/>
              </w:tabs>
              <w:spacing w:after="0"/>
              <w:jc w:val="center"/>
              <w:textAlignment w:val="baseline"/>
              <w:rPr>
                <w:b/>
                <w:bCs/>
                <w:color w:val="000000"/>
                <w:lang w:val="en-US"/>
              </w:rPr>
            </w:pPr>
            <w:r>
              <w:rPr>
                <w:b/>
                <w:bCs/>
                <w:color w:val="000000"/>
                <w:lang w:val="en-US"/>
              </w:rPr>
              <w:t>572.98</w:t>
            </w:r>
          </w:p>
        </w:tc>
      </w:tr>
      <w:tr w:rsidR="00801977" w:rsidRPr="00E537F3" w14:paraId="45A6D2AB" w14:textId="77777777" w:rsidTr="002135B0">
        <w:trPr>
          <w:trHeight w:val="285"/>
        </w:trPr>
        <w:tc>
          <w:tcPr>
            <w:tcW w:w="743" w:type="pct"/>
            <w:vMerge w:val="restart"/>
            <w:shd w:val="clear" w:color="auto" w:fill="E2EFD9" w:themeFill="accent6" w:themeFillTint="33"/>
            <w:vAlign w:val="center"/>
          </w:tcPr>
          <w:p w14:paraId="0C15C9E6" w14:textId="77777777" w:rsidR="00801977" w:rsidRPr="00E537F3" w:rsidRDefault="00801977" w:rsidP="00547F8B">
            <w:pPr>
              <w:tabs>
                <w:tab w:val="clear" w:pos="0"/>
              </w:tabs>
              <w:spacing w:after="0"/>
              <w:jc w:val="center"/>
              <w:textAlignment w:val="baseline"/>
              <w:rPr>
                <w:b/>
                <w:bCs/>
                <w:color w:val="000000"/>
                <w:lang w:val="en-US"/>
              </w:rPr>
            </w:pPr>
            <w:r>
              <w:rPr>
                <w:b/>
                <w:bCs/>
                <w:color w:val="000000"/>
                <w:lang w:val="en-US"/>
              </w:rPr>
              <w:t>2030-2032</w:t>
            </w:r>
          </w:p>
        </w:tc>
        <w:tc>
          <w:tcPr>
            <w:tcW w:w="1427" w:type="pct"/>
            <w:shd w:val="clear" w:color="auto" w:fill="FFFFFF" w:themeFill="background1"/>
            <w:vAlign w:val="bottom"/>
          </w:tcPr>
          <w:p w14:paraId="3AEF387F" w14:textId="52F83EF7" w:rsidR="00801977" w:rsidRPr="00E537F3" w:rsidRDefault="00801977">
            <w:pPr>
              <w:tabs>
                <w:tab w:val="clear" w:pos="0"/>
              </w:tabs>
              <w:spacing w:after="0"/>
              <w:textAlignment w:val="baseline"/>
              <w:rPr>
                <w:b/>
                <w:bCs/>
                <w:color w:val="000000"/>
                <w:lang w:val="en-US"/>
              </w:rPr>
            </w:pPr>
            <w:r>
              <w:rPr>
                <w:b/>
                <w:bCs/>
                <w:color w:val="000000"/>
                <w:lang w:val="en-US"/>
              </w:rPr>
              <w:t xml:space="preserve">HCFC Consumption sector </w:t>
            </w:r>
          </w:p>
        </w:tc>
        <w:tc>
          <w:tcPr>
            <w:tcW w:w="1432" w:type="pct"/>
            <w:shd w:val="clear" w:color="auto" w:fill="FFFFFF" w:themeFill="background1"/>
            <w:vAlign w:val="center"/>
          </w:tcPr>
          <w:p w14:paraId="065745F8" w14:textId="77777777" w:rsidR="00801977" w:rsidRPr="00E537F3" w:rsidRDefault="00801977">
            <w:pPr>
              <w:tabs>
                <w:tab w:val="clear" w:pos="0"/>
              </w:tabs>
              <w:spacing w:after="0"/>
              <w:jc w:val="center"/>
              <w:textAlignment w:val="baseline"/>
              <w:rPr>
                <w:b/>
                <w:bCs/>
                <w:color w:val="000000"/>
                <w:lang w:val="en-US"/>
              </w:rPr>
            </w:pPr>
            <w:r w:rsidRPr="00E537F3">
              <w:rPr>
                <w:b/>
                <w:bCs/>
                <w:color w:val="000000"/>
                <w:lang w:val="en-US"/>
              </w:rPr>
              <w:t>5</w:t>
            </w:r>
            <w:r>
              <w:rPr>
                <w:b/>
                <w:bCs/>
                <w:color w:val="000000"/>
                <w:lang w:val="en-US"/>
              </w:rPr>
              <w:t>8.96</w:t>
            </w:r>
          </w:p>
        </w:tc>
        <w:tc>
          <w:tcPr>
            <w:tcW w:w="1398" w:type="pct"/>
            <w:shd w:val="clear" w:color="auto" w:fill="FFFFFF" w:themeFill="background1"/>
            <w:vAlign w:val="center"/>
          </w:tcPr>
          <w:p w14:paraId="5D23E8CC" w14:textId="77777777" w:rsidR="00801977" w:rsidRPr="00E537F3" w:rsidRDefault="00801977">
            <w:pPr>
              <w:tabs>
                <w:tab w:val="clear" w:pos="0"/>
              </w:tabs>
              <w:spacing w:after="0"/>
              <w:jc w:val="center"/>
              <w:textAlignment w:val="baseline"/>
              <w:rPr>
                <w:b/>
                <w:bCs/>
                <w:color w:val="000000"/>
                <w:lang w:val="en-US"/>
              </w:rPr>
            </w:pPr>
            <w:r w:rsidRPr="00E537F3">
              <w:rPr>
                <w:b/>
                <w:bCs/>
                <w:color w:val="000000"/>
                <w:lang w:val="en-US"/>
              </w:rPr>
              <w:t>7</w:t>
            </w:r>
            <w:r>
              <w:rPr>
                <w:b/>
                <w:bCs/>
                <w:color w:val="000000"/>
                <w:lang w:val="en-US"/>
              </w:rPr>
              <w:t>2.50</w:t>
            </w:r>
          </w:p>
        </w:tc>
      </w:tr>
      <w:tr w:rsidR="00801977" w:rsidRPr="00E537F3" w14:paraId="3AC828B0" w14:textId="77777777" w:rsidTr="00003A0E">
        <w:trPr>
          <w:trHeight w:val="285"/>
        </w:trPr>
        <w:tc>
          <w:tcPr>
            <w:tcW w:w="743" w:type="pct"/>
            <w:vMerge/>
          </w:tcPr>
          <w:p w14:paraId="2BECCDED" w14:textId="77777777" w:rsidR="00801977" w:rsidRDefault="00801977">
            <w:pPr>
              <w:tabs>
                <w:tab w:val="clear" w:pos="0"/>
              </w:tabs>
              <w:spacing w:after="0"/>
              <w:jc w:val="center"/>
              <w:textAlignment w:val="baseline"/>
              <w:rPr>
                <w:b/>
                <w:bCs/>
                <w:color w:val="000000"/>
                <w:lang w:val="en-US"/>
              </w:rPr>
            </w:pPr>
          </w:p>
        </w:tc>
        <w:tc>
          <w:tcPr>
            <w:tcW w:w="1427" w:type="pct"/>
            <w:shd w:val="clear" w:color="auto" w:fill="FFFFFF" w:themeFill="background1"/>
            <w:vAlign w:val="bottom"/>
          </w:tcPr>
          <w:p w14:paraId="36A4D4D7" w14:textId="77777777" w:rsidR="00801977" w:rsidRDefault="00801977">
            <w:pPr>
              <w:tabs>
                <w:tab w:val="clear" w:pos="0"/>
              </w:tabs>
              <w:spacing w:after="0"/>
              <w:textAlignment w:val="baseline"/>
              <w:rPr>
                <w:b/>
                <w:bCs/>
                <w:color w:val="000000"/>
                <w:lang w:val="en-US"/>
              </w:rPr>
            </w:pPr>
            <w:r>
              <w:rPr>
                <w:b/>
                <w:bCs/>
                <w:color w:val="000000"/>
                <w:lang w:val="en-US"/>
              </w:rPr>
              <w:t>HCFC Production sector</w:t>
            </w:r>
          </w:p>
        </w:tc>
        <w:tc>
          <w:tcPr>
            <w:tcW w:w="1432" w:type="pct"/>
            <w:shd w:val="clear" w:color="auto" w:fill="FFFFFF" w:themeFill="background1"/>
            <w:vAlign w:val="center"/>
          </w:tcPr>
          <w:p w14:paraId="6C860A7A" w14:textId="3B129642" w:rsidR="00801977" w:rsidRPr="00E537F3" w:rsidRDefault="00075461">
            <w:pPr>
              <w:tabs>
                <w:tab w:val="clear" w:pos="0"/>
              </w:tabs>
              <w:spacing w:after="0"/>
              <w:jc w:val="center"/>
              <w:textAlignment w:val="baseline"/>
              <w:rPr>
                <w:b/>
                <w:bCs/>
                <w:color w:val="000000"/>
                <w:lang w:val="en-US"/>
              </w:rPr>
            </w:pPr>
            <w:r>
              <w:rPr>
                <w:b/>
                <w:bCs/>
                <w:color w:val="000000"/>
                <w:lang w:val="en-US"/>
              </w:rPr>
              <w:t>23.54</w:t>
            </w:r>
          </w:p>
        </w:tc>
        <w:tc>
          <w:tcPr>
            <w:tcW w:w="1398" w:type="pct"/>
            <w:shd w:val="clear" w:color="auto" w:fill="FFFFFF" w:themeFill="background1"/>
            <w:vAlign w:val="center"/>
          </w:tcPr>
          <w:p w14:paraId="6D4CEA5F" w14:textId="3007207C" w:rsidR="00801977" w:rsidRPr="00E537F3" w:rsidRDefault="00075461">
            <w:pPr>
              <w:tabs>
                <w:tab w:val="clear" w:pos="0"/>
              </w:tabs>
              <w:spacing w:after="0"/>
              <w:jc w:val="center"/>
              <w:textAlignment w:val="baseline"/>
              <w:rPr>
                <w:b/>
                <w:bCs/>
                <w:color w:val="000000"/>
                <w:lang w:val="en-US"/>
              </w:rPr>
            </w:pPr>
            <w:r>
              <w:rPr>
                <w:b/>
                <w:bCs/>
                <w:color w:val="000000"/>
                <w:lang w:val="en-US"/>
              </w:rPr>
              <w:t>23.54</w:t>
            </w:r>
          </w:p>
        </w:tc>
      </w:tr>
      <w:tr w:rsidR="00801977" w:rsidRPr="00E537F3" w14:paraId="4F5E694C" w14:textId="77777777" w:rsidTr="00003A0E">
        <w:trPr>
          <w:trHeight w:val="285"/>
        </w:trPr>
        <w:tc>
          <w:tcPr>
            <w:tcW w:w="743" w:type="pct"/>
            <w:vMerge/>
          </w:tcPr>
          <w:p w14:paraId="2BCDAA40" w14:textId="77777777" w:rsidR="00801977" w:rsidRDefault="00801977">
            <w:pPr>
              <w:tabs>
                <w:tab w:val="clear" w:pos="0"/>
              </w:tabs>
              <w:spacing w:after="0"/>
              <w:jc w:val="center"/>
              <w:textAlignment w:val="baseline"/>
              <w:rPr>
                <w:b/>
                <w:bCs/>
                <w:color w:val="000000"/>
                <w:lang w:val="en-US"/>
              </w:rPr>
            </w:pPr>
          </w:p>
        </w:tc>
        <w:tc>
          <w:tcPr>
            <w:tcW w:w="1427" w:type="pct"/>
            <w:shd w:val="clear" w:color="auto" w:fill="FFFF00"/>
            <w:vAlign w:val="bottom"/>
          </w:tcPr>
          <w:p w14:paraId="0C092994" w14:textId="77777777" w:rsidR="00801977" w:rsidRDefault="00801977">
            <w:pPr>
              <w:tabs>
                <w:tab w:val="clear" w:pos="0"/>
              </w:tabs>
              <w:spacing w:after="0"/>
              <w:textAlignment w:val="baseline"/>
              <w:rPr>
                <w:b/>
                <w:bCs/>
                <w:color w:val="000000"/>
                <w:lang w:val="en-US"/>
              </w:rPr>
            </w:pPr>
            <w:r>
              <w:rPr>
                <w:b/>
                <w:bCs/>
                <w:color w:val="000000"/>
                <w:lang w:val="en-US"/>
              </w:rPr>
              <w:t>TOTAL RANGE</w:t>
            </w:r>
          </w:p>
        </w:tc>
        <w:tc>
          <w:tcPr>
            <w:tcW w:w="1432" w:type="pct"/>
            <w:shd w:val="clear" w:color="auto" w:fill="FFFF00"/>
            <w:vAlign w:val="center"/>
          </w:tcPr>
          <w:p w14:paraId="568CBB73" w14:textId="3C964729" w:rsidR="00801977" w:rsidRDefault="008A3EA6">
            <w:pPr>
              <w:tabs>
                <w:tab w:val="clear" w:pos="0"/>
              </w:tabs>
              <w:spacing w:after="0"/>
              <w:jc w:val="center"/>
              <w:textAlignment w:val="baseline"/>
              <w:rPr>
                <w:b/>
                <w:bCs/>
                <w:color w:val="000000"/>
                <w:lang w:val="en-US"/>
              </w:rPr>
            </w:pPr>
            <w:r>
              <w:rPr>
                <w:b/>
                <w:bCs/>
                <w:color w:val="000000"/>
                <w:lang w:val="en-US"/>
              </w:rPr>
              <w:t>8</w:t>
            </w:r>
            <w:r w:rsidR="004075A0">
              <w:rPr>
                <w:b/>
                <w:bCs/>
                <w:color w:val="000000"/>
                <w:lang w:val="en-US"/>
              </w:rPr>
              <w:t>2.5</w:t>
            </w:r>
          </w:p>
        </w:tc>
        <w:tc>
          <w:tcPr>
            <w:tcW w:w="1398" w:type="pct"/>
            <w:shd w:val="clear" w:color="auto" w:fill="FFFF00"/>
            <w:vAlign w:val="center"/>
          </w:tcPr>
          <w:p w14:paraId="70001CD1" w14:textId="0D44337E" w:rsidR="00801977" w:rsidRDefault="008A3EA6">
            <w:pPr>
              <w:tabs>
                <w:tab w:val="clear" w:pos="0"/>
              </w:tabs>
              <w:spacing w:after="0"/>
              <w:jc w:val="center"/>
              <w:textAlignment w:val="baseline"/>
              <w:rPr>
                <w:b/>
                <w:bCs/>
                <w:color w:val="000000"/>
                <w:lang w:val="en-US"/>
              </w:rPr>
            </w:pPr>
            <w:r>
              <w:rPr>
                <w:b/>
                <w:bCs/>
                <w:color w:val="000000"/>
                <w:lang w:val="en-US"/>
              </w:rPr>
              <w:t>96</w:t>
            </w:r>
            <w:r w:rsidR="004075A0">
              <w:rPr>
                <w:b/>
                <w:bCs/>
                <w:color w:val="000000"/>
                <w:lang w:val="en-US"/>
              </w:rPr>
              <w:t>.04</w:t>
            </w:r>
          </w:p>
        </w:tc>
      </w:tr>
    </w:tbl>
    <w:p w14:paraId="25ED09F3" w14:textId="1A9CD206" w:rsidR="00103775" w:rsidRPr="000929D6" w:rsidRDefault="00103775" w:rsidP="746C5C73">
      <w:pPr>
        <w:spacing w:after="160" w:line="259" w:lineRule="auto"/>
        <w:contextualSpacing/>
        <w:rPr>
          <w:b/>
          <w:color w:val="auto"/>
        </w:rPr>
      </w:pPr>
    </w:p>
    <w:p w14:paraId="0AC65B7D" w14:textId="44AA7BA5" w:rsidR="4BCEE662" w:rsidRDefault="4BCEE662" w:rsidP="4BCEE662">
      <w:pPr>
        <w:spacing w:after="160" w:line="259" w:lineRule="auto"/>
        <w:contextualSpacing/>
        <w:rPr>
          <w:b/>
          <w:bCs/>
          <w:color w:val="auto"/>
        </w:rPr>
      </w:pPr>
    </w:p>
    <w:p w14:paraId="435D5248" w14:textId="2612A74E" w:rsidR="00103775" w:rsidRPr="000929D6" w:rsidRDefault="4BCEE662" w:rsidP="4BCEE662">
      <w:pPr>
        <w:spacing w:after="160" w:line="259" w:lineRule="auto"/>
        <w:contextualSpacing/>
        <w:rPr>
          <w:b/>
          <w:bCs/>
          <w:color w:val="auto"/>
          <w:sz w:val="24"/>
          <w:szCs w:val="24"/>
        </w:rPr>
      </w:pPr>
      <w:r w:rsidRPr="4BCEE662">
        <w:rPr>
          <w:b/>
          <w:bCs/>
          <w:color w:val="auto"/>
          <w:sz w:val="24"/>
          <w:szCs w:val="24"/>
        </w:rPr>
        <w:t xml:space="preserve">HFC </w:t>
      </w:r>
      <w:r w:rsidR="00C94D3B">
        <w:rPr>
          <w:b/>
          <w:bCs/>
          <w:color w:val="auto"/>
          <w:sz w:val="24"/>
          <w:szCs w:val="24"/>
        </w:rPr>
        <w:t>p</w:t>
      </w:r>
      <w:r w:rsidRPr="4BCEE662">
        <w:rPr>
          <w:b/>
          <w:bCs/>
          <w:color w:val="auto"/>
          <w:sz w:val="24"/>
          <w:szCs w:val="24"/>
        </w:rPr>
        <w:t xml:space="preserve">hase-down in the </w:t>
      </w:r>
      <w:r w:rsidR="00C94D3B">
        <w:rPr>
          <w:b/>
          <w:bCs/>
          <w:color w:val="auto"/>
          <w:sz w:val="24"/>
          <w:szCs w:val="24"/>
        </w:rPr>
        <w:t>c</w:t>
      </w:r>
      <w:r w:rsidRPr="4BCEE662">
        <w:rPr>
          <w:b/>
          <w:bCs/>
          <w:color w:val="auto"/>
          <w:sz w:val="24"/>
          <w:szCs w:val="24"/>
        </w:rPr>
        <w:t xml:space="preserve">onsumption and </w:t>
      </w:r>
      <w:r w:rsidR="00C94D3B">
        <w:rPr>
          <w:b/>
          <w:bCs/>
          <w:color w:val="auto"/>
          <w:sz w:val="24"/>
          <w:szCs w:val="24"/>
        </w:rPr>
        <w:t>p</w:t>
      </w:r>
      <w:r w:rsidRPr="4BCEE662">
        <w:rPr>
          <w:b/>
          <w:bCs/>
          <w:color w:val="auto"/>
          <w:sz w:val="24"/>
          <w:szCs w:val="24"/>
        </w:rPr>
        <w:t xml:space="preserve">roduction </w:t>
      </w:r>
      <w:r w:rsidR="00C94D3B">
        <w:rPr>
          <w:b/>
          <w:bCs/>
          <w:color w:val="auto"/>
          <w:sz w:val="24"/>
          <w:szCs w:val="24"/>
        </w:rPr>
        <w:t>s</w:t>
      </w:r>
      <w:r w:rsidRPr="4BCEE662">
        <w:rPr>
          <w:b/>
          <w:bCs/>
          <w:color w:val="auto"/>
          <w:sz w:val="24"/>
          <w:szCs w:val="24"/>
        </w:rPr>
        <w:t>ectors</w:t>
      </w:r>
    </w:p>
    <w:p w14:paraId="0701F01D" w14:textId="15FDF516" w:rsidR="00103775" w:rsidRPr="000929D6" w:rsidRDefault="00103775" w:rsidP="4BCEE662">
      <w:pPr>
        <w:spacing w:after="160" w:line="259" w:lineRule="auto"/>
        <w:contextualSpacing/>
        <w:rPr>
          <w:b/>
          <w:bCs/>
          <w:color w:val="auto"/>
        </w:rPr>
      </w:pPr>
    </w:p>
    <w:p w14:paraId="60FC0D21" w14:textId="1F9D26BC" w:rsidR="00103775" w:rsidRPr="00497898" w:rsidRDefault="4BCEE662" w:rsidP="4BCEE662">
      <w:pPr>
        <w:spacing w:after="160" w:line="259" w:lineRule="auto"/>
        <w:contextualSpacing/>
        <w:rPr>
          <w:b/>
          <w:bCs/>
          <w:i/>
          <w:iCs/>
          <w:color w:val="auto"/>
        </w:rPr>
      </w:pPr>
      <w:r w:rsidRPr="4BCEE662">
        <w:rPr>
          <w:b/>
          <w:bCs/>
        </w:rPr>
        <w:t xml:space="preserve"> </w:t>
      </w:r>
      <w:r w:rsidRPr="00497898">
        <w:rPr>
          <w:b/>
          <w:bCs/>
          <w:i/>
          <w:iCs/>
          <w:color w:val="auto"/>
        </w:rPr>
        <w:t xml:space="preserve">HFC </w:t>
      </w:r>
      <w:r w:rsidR="00C94D3B">
        <w:rPr>
          <w:b/>
          <w:bCs/>
          <w:i/>
          <w:iCs/>
          <w:color w:val="auto"/>
        </w:rPr>
        <w:t>c</w:t>
      </w:r>
      <w:r w:rsidRPr="00497898">
        <w:rPr>
          <w:b/>
          <w:bCs/>
          <w:i/>
          <w:iCs/>
          <w:color w:val="auto"/>
        </w:rPr>
        <w:t>onsumption sector</w:t>
      </w:r>
    </w:p>
    <w:p w14:paraId="59F9D6E1" w14:textId="30B7E312" w:rsidR="00F363FA" w:rsidRPr="00F363FA" w:rsidRDefault="00F363FA" w:rsidP="696095AF">
      <w:pPr>
        <w:spacing w:after="160" w:line="259" w:lineRule="auto"/>
        <w:contextualSpacing/>
        <w:rPr>
          <w:b/>
          <w:i/>
          <w:iCs/>
          <w:color w:val="auto"/>
        </w:rPr>
      </w:pPr>
    </w:p>
    <w:p w14:paraId="542B52E2" w14:textId="6AC1AAA7" w:rsidR="00387A9B" w:rsidRDefault="00103775" w:rsidP="696095AF">
      <w:pPr>
        <w:spacing w:after="160" w:line="259" w:lineRule="auto"/>
        <w:contextualSpacing/>
      </w:pPr>
      <w:r w:rsidRPr="001B7005">
        <w:t xml:space="preserve">The </w:t>
      </w:r>
      <w:r>
        <w:t xml:space="preserve">estimates for the HFC phase-down funding </w:t>
      </w:r>
      <w:r w:rsidRPr="1701BD94">
        <w:rPr>
          <w:color w:val="auto"/>
        </w:rPr>
        <w:t>requirement</w:t>
      </w:r>
      <w:r>
        <w:t xml:space="preserve"> for the 2027-2029 triennium and future triennia, 2030-2032 and 2033-2035, are based on A5 parties meeting the relevant Group 1 </w:t>
      </w:r>
      <w:r w:rsidR="00F174F3">
        <w:t xml:space="preserve">(G1) </w:t>
      </w:r>
      <w:r>
        <w:t xml:space="preserve">or Group 2 </w:t>
      </w:r>
      <w:r w:rsidR="008D3C5A">
        <w:t xml:space="preserve">(G2) </w:t>
      </w:r>
      <w:r>
        <w:t xml:space="preserve">reduction targets. </w:t>
      </w:r>
    </w:p>
    <w:p w14:paraId="45F1D09A" w14:textId="77777777" w:rsidR="00387A9B" w:rsidRDefault="00387A9B" w:rsidP="696095AF">
      <w:pPr>
        <w:spacing w:after="160" w:line="259" w:lineRule="auto"/>
        <w:contextualSpacing/>
      </w:pPr>
    </w:p>
    <w:p w14:paraId="63F745D4" w14:textId="7D318103" w:rsidR="00103775" w:rsidRPr="000929D6" w:rsidRDefault="00103775" w:rsidP="05C0614E">
      <w:pPr>
        <w:spacing w:after="160" w:line="259" w:lineRule="auto"/>
        <w:contextualSpacing/>
        <w:rPr>
          <w:b/>
        </w:rPr>
      </w:pPr>
      <w:r>
        <w:t>Estimated funding</w:t>
      </w:r>
      <w:r w:rsidRPr="001B7005">
        <w:t xml:space="preserve"> requirement</w:t>
      </w:r>
      <w:r w:rsidR="00287C4A">
        <w:t>s</w:t>
      </w:r>
      <w:r w:rsidRPr="001B7005">
        <w:t xml:space="preserve"> for the HFC consumption </w:t>
      </w:r>
      <w:r>
        <w:t>sector</w:t>
      </w:r>
      <w:r w:rsidRPr="001B7005">
        <w:t xml:space="preserve"> incl</w:t>
      </w:r>
      <w:r>
        <w:t>ude the following:</w:t>
      </w:r>
    </w:p>
    <w:p w14:paraId="46EE0520" w14:textId="54213365" w:rsidR="00103775" w:rsidRDefault="00103775" w:rsidP="00387A9B">
      <w:pPr>
        <w:pStyle w:val="ListParagraph"/>
        <w:spacing w:after="0"/>
      </w:pPr>
      <w:r w:rsidRPr="00387A9B">
        <w:t>Committed Funding for approved Kigali HFC Implementation Plans (KIPs);</w:t>
      </w:r>
    </w:p>
    <w:p w14:paraId="6E545D6E" w14:textId="7CD08A9F" w:rsidR="00103775" w:rsidRDefault="00103775" w:rsidP="00387A9B">
      <w:pPr>
        <w:pStyle w:val="ListParagraph"/>
        <w:spacing w:after="0"/>
      </w:pPr>
      <w:r w:rsidRPr="00131EFD">
        <w:t>Estimated Funding for new KIPs;</w:t>
      </w:r>
    </w:p>
    <w:p w14:paraId="7847E43F" w14:textId="1B042833" w:rsidR="002F05EC" w:rsidRDefault="002F05EC" w:rsidP="00387A9B">
      <w:pPr>
        <w:pStyle w:val="ListParagraph"/>
        <w:spacing w:after="0"/>
      </w:pPr>
      <w:r>
        <w:t>Estimated Funding for project preparation costs;</w:t>
      </w:r>
    </w:p>
    <w:p w14:paraId="2C69F139" w14:textId="2378C7F1" w:rsidR="00FB310B" w:rsidRPr="00131EFD" w:rsidRDefault="00FB310B" w:rsidP="00387A9B">
      <w:pPr>
        <w:pStyle w:val="ListParagraph"/>
        <w:spacing w:after="0"/>
      </w:pPr>
      <w:r>
        <w:t>Estimated Funding for HFC consumption verification;</w:t>
      </w:r>
    </w:p>
    <w:p w14:paraId="7A5B27EE" w14:textId="0097D5BA" w:rsidR="00887DC1" w:rsidRDefault="00103775" w:rsidP="00387A9B">
      <w:pPr>
        <w:pStyle w:val="ListParagraph"/>
        <w:spacing w:after="0"/>
      </w:pPr>
      <w:r w:rsidRPr="00131EFD">
        <w:t xml:space="preserve">Estimated Funding </w:t>
      </w:r>
      <w:r w:rsidR="000B01B6">
        <w:t>associated with</w:t>
      </w:r>
      <w:r w:rsidRPr="00131EFD">
        <w:t xml:space="preserve"> energy efficiency </w:t>
      </w:r>
      <w:r w:rsidR="00FC430C">
        <w:t xml:space="preserve">activities </w:t>
      </w:r>
      <w:r w:rsidRPr="00131EFD">
        <w:t xml:space="preserve">(ExCom Decision 91/65 </w:t>
      </w:r>
      <w:r w:rsidR="310BD7DB" w:rsidRPr="00131EFD">
        <w:t>for</w:t>
      </w:r>
      <w:r w:rsidR="007E19A9" w:rsidRPr="00131EFD">
        <w:t xml:space="preserve"> the servicing sector</w:t>
      </w:r>
      <w:r w:rsidR="007C540C" w:rsidRPr="00131EFD">
        <w:t>, ExCom Decision 94/60</w:t>
      </w:r>
      <w:r w:rsidR="007E19A9" w:rsidRPr="00131EFD">
        <w:t xml:space="preserve"> for the manufacturing sectors</w:t>
      </w:r>
      <w:r w:rsidR="007C540C" w:rsidRPr="00131EFD">
        <w:t>, and ExCom Decision 95/87</w:t>
      </w:r>
      <w:r w:rsidR="007E19A9" w:rsidRPr="00131EFD">
        <w:t xml:space="preserve"> for a revolving fund</w:t>
      </w:r>
      <w:r w:rsidR="00F07B07">
        <w:t>)</w:t>
      </w:r>
      <w:r w:rsidR="00887DC1">
        <w:t>; and</w:t>
      </w:r>
    </w:p>
    <w:p w14:paraId="76D44880" w14:textId="0DB263FF" w:rsidR="00103775" w:rsidRPr="00131EFD" w:rsidRDefault="00887DC1" w:rsidP="00387A9B">
      <w:pPr>
        <w:pStyle w:val="ListParagraph"/>
        <w:spacing w:after="0"/>
      </w:pPr>
      <w:r>
        <w:t>Funding for enhancing regional atmospheric monitoring</w:t>
      </w:r>
      <w:r w:rsidR="00A14394">
        <w:t xml:space="preserve"> capa</w:t>
      </w:r>
      <w:r w:rsidR="00A245D1">
        <w:t>city</w:t>
      </w:r>
      <w:r w:rsidR="007C540C" w:rsidRPr="00131EFD">
        <w:t>.</w:t>
      </w:r>
      <w:r w:rsidR="6B5C313E" w:rsidRPr="00131EFD">
        <w:t xml:space="preserve"> </w:t>
      </w:r>
    </w:p>
    <w:p w14:paraId="48EE411F" w14:textId="77777777" w:rsidR="00103775" w:rsidRPr="00854A5F" w:rsidRDefault="00103775" w:rsidP="00387A9B">
      <w:pPr>
        <w:pStyle w:val="a"/>
        <w:tabs>
          <w:tab w:val="left" w:pos="1680"/>
        </w:tabs>
        <w:spacing w:after="0"/>
        <w:ind w:left="778"/>
        <w:contextualSpacing/>
        <w:rPr>
          <w:rFonts w:ascii="Times New Roman" w:hAnsi="Times New Roman"/>
        </w:rPr>
      </w:pPr>
    </w:p>
    <w:p w14:paraId="52341C45" w14:textId="2115F0C6" w:rsidR="00BC024D" w:rsidRDefault="5A15BCEB" w:rsidP="00BC024D">
      <w:pPr>
        <w:spacing w:after="200"/>
        <w:contextualSpacing/>
      </w:pPr>
      <w:r>
        <w:t>As of 8 April 2026, 125 A5 parties</w:t>
      </w:r>
      <w:r w:rsidR="00887DC1">
        <w:t>,</w:t>
      </w:r>
      <w:r>
        <w:t xml:space="preserve"> out of 144</w:t>
      </w:r>
      <w:r w:rsidR="00887DC1">
        <w:t>,</w:t>
      </w:r>
      <w:r>
        <w:t xml:space="preserve"> had ratified the Kigali Amendment. For the analysis of estimated funding in the 2027-2029 triennium for HFC phase-down, the RTF assumed ratification by the remaining 19 parties </w:t>
      </w:r>
      <w:r w:rsidR="752691A4">
        <w:t>will happen</w:t>
      </w:r>
      <w:r>
        <w:t xml:space="preserve"> by 2029. </w:t>
      </w:r>
    </w:p>
    <w:p w14:paraId="1145ADC5" w14:textId="77777777" w:rsidR="00BC024D" w:rsidRDefault="00BC024D" w:rsidP="00BC024D">
      <w:pPr>
        <w:spacing w:after="200"/>
        <w:contextualSpacing/>
      </w:pPr>
    </w:p>
    <w:p w14:paraId="4904D897" w14:textId="02E76FD9" w:rsidR="00103775" w:rsidRPr="001B7005" w:rsidRDefault="274D2446" w:rsidP="274D2446">
      <w:r>
        <w:t>Given that KIPs are only in the early stages of implementation, RTF did not identify sufficient historical analysis of CEs for the manufacturing sectors from approved KIPs, and available data did not provide sufficient information to consider historical values beyond the CE cost guidelines. RTF estimated the funding based on HFC KIP Stage I Cost Guidelines for the agreed manufacturing sectors. When these were absent for some individual sectors treated on a case-by-case basis, the RTF used CEs based on TEAP, the TOCs, and the RTF sector experts' advice. Funding was also estimated for Stage II KIPs, using Stage I CEs, without considering any potential impact of the guidelines review expected in 20</w:t>
      </w:r>
      <w:r w:rsidRPr="274D2446">
        <w:t xml:space="preserve">28. Important to note that </w:t>
      </w:r>
      <w:r w:rsidR="00F5430E">
        <w:t>t</w:t>
      </w:r>
      <w:r w:rsidRPr="00854A5F">
        <w:rPr>
          <w:color w:val="242424"/>
        </w:rPr>
        <w:t xml:space="preserve">he CE for servicing under </w:t>
      </w:r>
      <w:r w:rsidR="002743BF">
        <w:rPr>
          <w:color w:val="242424"/>
        </w:rPr>
        <w:t>Stage</w:t>
      </w:r>
      <w:r w:rsidRPr="00854A5F">
        <w:rPr>
          <w:color w:val="242424"/>
        </w:rPr>
        <w:t xml:space="preserve"> I </w:t>
      </w:r>
      <w:r w:rsidRPr="00854A5F">
        <w:t>was considered for the period when a country’s KIP and HPMP would be implemented simultaneously. Stage II would be predominantly implemented when such simultaneous implementation did not take place.</w:t>
      </w:r>
    </w:p>
    <w:p w14:paraId="1DFCBEF6" w14:textId="5526FFC5" w:rsidR="00103775" w:rsidRPr="001B7005" w:rsidRDefault="5A15BCEB" w:rsidP="523782A4">
      <w:pPr>
        <w:spacing w:line="259" w:lineRule="auto"/>
      </w:pPr>
      <w:r>
        <w:t xml:space="preserve">RTF is </w:t>
      </w:r>
      <w:r w:rsidR="23A41A33">
        <w:t xml:space="preserve">using </w:t>
      </w:r>
      <w:r>
        <w:t xml:space="preserve">the Kigali Amendment </w:t>
      </w:r>
      <w:r w:rsidR="23A41A33">
        <w:t xml:space="preserve">schedules </w:t>
      </w:r>
      <w:r>
        <w:t xml:space="preserve">for its compliance model and using reductions from the </w:t>
      </w:r>
      <w:r w:rsidR="23A41A33">
        <w:t>established</w:t>
      </w:r>
      <w:r w:rsidR="1398BEE0">
        <w:t xml:space="preserve"> </w:t>
      </w:r>
      <w:r>
        <w:t>baseline</w:t>
      </w:r>
      <w:r w:rsidR="23A41A33">
        <w:t xml:space="preserve"> definition.</w:t>
      </w:r>
      <w:r>
        <w:t xml:space="preserve"> For funding estimates, the 65% HCFC </w:t>
      </w:r>
      <w:r w:rsidR="076586FA">
        <w:t xml:space="preserve">component </w:t>
      </w:r>
      <w:r>
        <w:t xml:space="preserve">of the baseline </w:t>
      </w:r>
      <w:r>
        <w:lastRenderedPageBreak/>
        <w:t>is considered as consumption under the servicing sector</w:t>
      </w:r>
      <w:r w:rsidR="23A41A33">
        <w:t>,</w:t>
      </w:r>
      <w:r>
        <w:t xml:space="preserve"> and funding calculated following cost guidelines CE thresholds approved for the sector. </w:t>
      </w:r>
    </w:p>
    <w:p w14:paraId="1FDCF3CE" w14:textId="34E10B02" w:rsidR="004A3F6A" w:rsidRDefault="274D2446" w:rsidP="752691A4">
      <w:pPr>
        <w:spacing w:line="259" w:lineRule="auto"/>
        <w:rPr>
          <w:highlight w:val="yellow"/>
        </w:rPr>
      </w:pPr>
      <w:r>
        <w:t>As detailed in Chapter 3 and Annexes 3 and 4 of this report, the RTF compliance model methodology for the consumption sector calculates funding to address the needs of parties to comply with the Kigali Amendment phase</w:t>
      </w:r>
      <w:r w:rsidR="00D23C5A">
        <w:t>-</w:t>
      </w:r>
      <w:r>
        <w:t xml:space="preserve">down schedules, as </w:t>
      </w:r>
      <w:r w:rsidR="00500D33">
        <w:t>follows:</w:t>
      </w:r>
    </w:p>
    <w:p w14:paraId="7F80BB5E" w14:textId="449C1A29" w:rsidR="004A3F6A" w:rsidRDefault="274D2446" w:rsidP="5EB6B47A">
      <w:pPr>
        <w:pStyle w:val="ListParagraph"/>
        <w:spacing w:line="259" w:lineRule="auto"/>
        <w:rPr>
          <w:color w:val="000000" w:themeColor="text1"/>
        </w:rPr>
      </w:pPr>
      <w:r>
        <w:t>G1 parties: 10% reduction from the baseline by 2029 (Stage I KIP), 30% reduction by 2035 (Stage II KIP</w:t>
      </w:r>
      <w:r w:rsidR="00500D33">
        <w:t>),</w:t>
      </w:r>
      <w:r>
        <w:t xml:space="preserve"> </w:t>
      </w:r>
    </w:p>
    <w:p w14:paraId="25F589CE" w14:textId="33A47F45" w:rsidR="004A3F6A" w:rsidRDefault="4BCEE662" w:rsidP="274D2446">
      <w:pPr>
        <w:pStyle w:val="ListParagraph"/>
        <w:spacing w:line="259" w:lineRule="auto"/>
      </w:pPr>
      <w:r>
        <w:t>G2 parties: freeze by 2028; a 10% reduction from the baseline by 2032 (Stage I KIP).</w:t>
      </w:r>
    </w:p>
    <w:p w14:paraId="5F73BBB9" w14:textId="4F8B109C" w:rsidR="00103775" w:rsidRPr="00607E4B" w:rsidRDefault="4BCEE662" w:rsidP="4BCEE662">
      <w:pPr>
        <w:spacing w:line="259" w:lineRule="auto"/>
      </w:pPr>
      <w:r w:rsidRPr="00607E4B">
        <w:t xml:space="preserve">The RTF compliance model to estimate required funding reflects the MLF project cycle to account for different progress by different parties, as well as reductions that exceed control targets for some parties. The model takes into consideration each individual country reduction addressed under a KIP. The model estimates funding for the HFC consumption sector by starting with the calculation of the total funding required to address both Stage I and Stage II reduction targets for G1 parties, and for G2 parties Stage I reduction target. These totals cover funding needs for a 9-year period (2027-2035). </w:t>
      </w:r>
    </w:p>
    <w:p w14:paraId="041207F3" w14:textId="6AE3C479" w:rsidR="00103775" w:rsidRPr="00607E4B" w:rsidRDefault="4BCEE662" w:rsidP="4BCEE662">
      <w:pPr>
        <w:spacing w:line="259" w:lineRule="auto"/>
      </w:pPr>
      <w:r w:rsidRPr="00607E4B">
        <w:t>Then, RTF distributed the estimated total to each of the three triennia in the 2027 -2035</w:t>
      </w:r>
      <w:r w:rsidRPr="00607E4B">
        <w:rPr>
          <w:i/>
          <w:iCs/>
        </w:rPr>
        <w:t xml:space="preserve"> </w:t>
      </w:r>
      <w:r w:rsidRPr="00607E4B">
        <w:t>period, using two Resource Allocation Proposals (A and B), suggested for parties' consideration, and/or any further instructions for the RTF</w:t>
      </w:r>
      <w:r w:rsidR="00E61B43" w:rsidRPr="00607E4B">
        <w:t xml:space="preserve"> supplementary report</w:t>
      </w:r>
      <w:r w:rsidRPr="00607E4B">
        <w:t xml:space="preserve">. This methodology allows consideration of different compliance targets for G1 and </w:t>
      </w:r>
      <w:r w:rsidR="00E61B43" w:rsidRPr="00607E4B">
        <w:t>G</w:t>
      </w:r>
      <w:r w:rsidRPr="00607E4B">
        <w:t xml:space="preserve">2 </w:t>
      </w:r>
      <w:r w:rsidR="00E61B43" w:rsidRPr="00607E4B">
        <w:t xml:space="preserve">parties </w:t>
      </w:r>
      <w:r w:rsidRPr="00607E4B">
        <w:t>while addressing national circumstances and different control targets in the country groups.</w:t>
      </w:r>
    </w:p>
    <w:p w14:paraId="0DFE63EA" w14:textId="2FDD295F" w:rsidR="00103775" w:rsidRPr="00607E4B" w:rsidRDefault="4BCEE662" w:rsidP="4BCEE662">
      <w:pPr>
        <w:spacing w:line="259" w:lineRule="auto"/>
        <w:rPr>
          <w:lang w:val="en-US"/>
        </w:rPr>
      </w:pPr>
      <w:r w:rsidRPr="00607E4B">
        <w:t xml:space="preserve"> The TOR, approved by parties in Decision XXXVII/6, instructed the RTF to use "</w:t>
      </w:r>
      <w:r w:rsidRPr="00607E4B">
        <w:rPr>
          <w:lang w:val="en-US"/>
        </w:rPr>
        <w:t>a clearly explained compliance-based methodology that is informed by, but independent of, the business plan of the Multilateral Fund, and that applies a range of cost-effectiveness figures for the manufacturing sectors based on historical experience rather than only on cost-effectiveness thresholds approved by the Executive Committee".</w:t>
      </w:r>
      <w:r w:rsidRPr="00607E4B">
        <w:rPr>
          <w:i/>
          <w:iCs/>
          <w:lang w:val="en-US"/>
        </w:rPr>
        <w:t xml:space="preserve"> </w:t>
      </w:r>
      <w:r w:rsidRPr="00607E4B">
        <w:rPr>
          <w:lang w:val="en-US"/>
        </w:rPr>
        <w:t xml:space="preserve">In response to this request and in the absence of historical CE values due to limited experience with KIP implementation, and in order to present an estimated funding range, RTF based its calculations </w:t>
      </w:r>
      <w:r w:rsidR="005E296E" w:rsidRPr="00607E4B">
        <w:rPr>
          <w:lang w:val="en-US"/>
        </w:rPr>
        <w:t>on</w:t>
      </w:r>
      <w:r w:rsidRPr="00607E4B">
        <w:rPr>
          <w:lang w:val="en-US"/>
        </w:rPr>
        <w:t xml:space="preserve"> two </w:t>
      </w:r>
      <w:r w:rsidR="005E296E" w:rsidRPr="00607E4B">
        <w:rPr>
          <w:lang w:val="en-US"/>
        </w:rPr>
        <w:t>s</w:t>
      </w:r>
      <w:r w:rsidRPr="00607E4B">
        <w:rPr>
          <w:lang w:val="en-US"/>
        </w:rPr>
        <w:t xml:space="preserve">cenarios, </w:t>
      </w:r>
      <w:r w:rsidRPr="00607E4B">
        <w:t>as follows:</w:t>
      </w:r>
    </w:p>
    <w:p w14:paraId="56569D72" w14:textId="230BA901" w:rsidR="00103775" w:rsidRPr="00AB36F3" w:rsidRDefault="007947C2" w:rsidP="274D2446">
      <w:pPr>
        <w:pStyle w:val="ListParagraph"/>
        <w:spacing w:line="259" w:lineRule="auto"/>
      </w:pPr>
      <w:r>
        <w:t xml:space="preserve">HFC </w:t>
      </w:r>
      <w:r w:rsidR="274D2446" w:rsidRPr="00AB36F3">
        <w:t xml:space="preserve">Scenario </w:t>
      </w:r>
      <w:r w:rsidR="0075450F" w:rsidRPr="00AB36F3">
        <w:t>1</w:t>
      </w:r>
      <w:r w:rsidR="274D2446" w:rsidRPr="00AB36F3">
        <w:t xml:space="preserve">: </w:t>
      </w:r>
      <w:r w:rsidR="00C051CF" w:rsidRPr="00AB36F3">
        <w:t xml:space="preserve">applying the approved CEs for the different sectors as per cost guidelines, and without </w:t>
      </w:r>
      <w:r w:rsidR="005E296E">
        <w:t>small</w:t>
      </w:r>
      <w:r w:rsidR="004A0FC4">
        <w:t>-</w:t>
      </w:r>
      <w:r w:rsidR="005E296E">
        <w:t xml:space="preserve"> and medium-sized enterprises</w:t>
      </w:r>
      <w:r w:rsidR="005E296E" w:rsidRPr="00AB36F3">
        <w:t xml:space="preserve"> </w:t>
      </w:r>
      <w:r w:rsidR="005E296E">
        <w:t>(</w:t>
      </w:r>
      <w:r w:rsidR="00C051CF" w:rsidRPr="00AB36F3">
        <w:t>SMEs</w:t>
      </w:r>
      <w:r w:rsidR="00C965AA">
        <w:t>)</w:t>
      </w:r>
      <w:r w:rsidR="00C051CF" w:rsidRPr="00AB36F3">
        <w:t xml:space="preserve"> consideration</w:t>
      </w:r>
      <w:r w:rsidR="000766BF" w:rsidRPr="00AB36F3">
        <w:t>;</w:t>
      </w:r>
      <w:r w:rsidR="274D2446" w:rsidRPr="00AB36F3">
        <w:t xml:space="preserve"> </w:t>
      </w:r>
    </w:p>
    <w:p w14:paraId="4436F857" w14:textId="5C15AF2C" w:rsidR="00103775" w:rsidRPr="001B7005" w:rsidRDefault="0075450F" w:rsidP="274D2446">
      <w:pPr>
        <w:pStyle w:val="ListParagraph"/>
        <w:spacing w:line="259" w:lineRule="auto"/>
      </w:pPr>
      <w:r w:rsidRPr="00AB36F3">
        <w:t>HFC</w:t>
      </w:r>
      <w:r w:rsidR="274D2446" w:rsidRPr="00AB36F3">
        <w:t xml:space="preserve"> Scenario </w:t>
      </w:r>
      <w:r w:rsidRPr="00AB36F3">
        <w:t>2</w:t>
      </w:r>
      <w:r w:rsidR="274D2446" w:rsidRPr="00AB36F3">
        <w:t xml:space="preserve">: </w:t>
      </w:r>
      <w:r w:rsidR="000766BF" w:rsidRPr="00AB36F3">
        <w:t>a</w:t>
      </w:r>
      <w:r w:rsidR="00C051CF" w:rsidRPr="00AB36F3">
        <w:t>pplying</w:t>
      </w:r>
      <w:r w:rsidR="00C051CF" w:rsidRPr="005C66F1">
        <w:t xml:space="preserve"> </w:t>
      </w:r>
      <w:r w:rsidR="00C051CF">
        <w:t>CEs according to the percentage (SMEs) participation in some manufacturing sectors and applies their (larger</w:t>
      </w:r>
      <w:r w:rsidR="000766BF">
        <w:t>)</w:t>
      </w:r>
      <w:r w:rsidR="00C051CF">
        <w:t xml:space="preserve"> CE thresholds;</w:t>
      </w:r>
    </w:p>
    <w:p w14:paraId="1B512692" w14:textId="6F8901A0" w:rsidR="00103775" w:rsidRPr="001B7005" w:rsidRDefault="274D2446" w:rsidP="274D2446">
      <w:pPr>
        <w:spacing w:line="259" w:lineRule="auto"/>
      </w:pPr>
      <w:r>
        <w:t>For both scenarios:</w:t>
      </w:r>
    </w:p>
    <w:p w14:paraId="0BBB3681" w14:textId="4D98A41B" w:rsidR="00103775" w:rsidRPr="001B7005" w:rsidRDefault="274D2446" w:rsidP="274D2446">
      <w:pPr>
        <w:pStyle w:val="ListParagraph"/>
        <w:spacing w:line="259" w:lineRule="auto"/>
      </w:pPr>
      <w:r>
        <w:t xml:space="preserve">a 15% deduction was applied to account for ineligible foreign ownership in the manufacturing sectors (please refer to note below); </w:t>
      </w:r>
    </w:p>
    <w:p w14:paraId="64959B7D" w14:textId="3EF54F6B" w:rsidR="00103775" w:rsidRDefault="274D2446">
      <w:pPr>
        <w:pStyle w:val="ListParagraph"/>
        <w:spacing w:line="259" w:lineRule="auto"/>
      </w:pPr>
      <w:r>
        <w:t>Stage I cost guidelines CEs were applied to Stage II funding calculations. The potential impact of any guidelines review in 2028 was not considered.</w:t>
      </w:r>
    </w:p>
    <w:p w14:paraId="0AC339A5" w14:textId="0BDFFD88" w:rsidR="4BCEE662" w:rsidRDefault="4BCEE662" w:rsidP="4BCEE662">
      <w:pPr>
        <w:spacing w:line="259" w:lineRule="auto"/>
      </w:pPr>
      <w:r>
        <w:t>There are two considerations mentioned under caveats in section 1.6.10 regarding the additional costs of project management units were not</w:t>
      </w:r>
      <w:r w:rsidR="005B316D">
        <w:t xml:space="preserve"> included in the </w:t>
      </w:r>
      <w:r w:rsidR="00607E4B">
        <w:t>modelling</w:t>
      </w:r>
      <w:r>
        <w:t xml:space="preserve">, and the 15% foreign ownership deduction for the manufacturing sectors which </w:t>
      </w:r>
      <w:r w:rsidR="00607E4B">
        <w:t>was included</w:t>
      </w:r>
      <w:r>
        <w:t xml:space="preserve">. The combined effect of these two considerations is to potentially increase the total estimated funding requirement by around 15%. RTF </w:t>
      </w:r>
      <w:r>
        <w:lastRenderedPageBreak/>
        <w:t xml:space="preserve">made these deviations for reasons explained in section 1.6.10 and appreciates the parties’ guidance on the need to adjust its estimates accordingly for the </w:t>
      </w:r>
      <w:r w:rsidR="00607E4B">
        <w:t xml:space="preserve">RTF </w:t>
      </w:r>
      <w:r>
        <w:t>supplementary report.</w:t>
      </w:r>
    </w:p>
    <w:p w14:paraId="577E98AF" w14:textId="7AE4E726" w:rsidR="001B2DBD" w:rsidRPr="00FE1D0D" w:rsidRDefault="4BCEE662" w:rsidP="4BCEE662">
      <w:pPr>
        <w:keepNext/>
        <w:keepLines/>
        <w:spacing w:after="120"/>
        <w:contextualSpacing/>
        <w:rPr>
          <w:b/>
          <w:bCs/>
          <w:i/>
          <w:iCs/>
          <w:color w:val="auto"/>
        </w:rPr>
      </w:pPr>
      <w:r w:rsidRPr="00FE1D0D">
        <w:rPr>
          <w:b/>
          <w:bCs/>
          <w:i/>
          <w:iCs/>
          <w:color w:val="auto"/>
        </w:rPr>
        <w:t xml:space="preserve">HFC </w:t>
      </w:r>
      <w:r w:rsidR="00C94D3B">
        <w:rPr>
          <w:b/>
          <w:bCs/>
          <w:i/>
          <w:iCs/>
          <w:color w:val="auto"/>
        </w:rPr>
        <w:t>p</w:t>
      </w:r>
      <w:r w:rsidRPr="00FE1D0D">
        <w:rPr>
          <w:b/>
          <w:bCs/>
          <w:i/>
          <w:iCs/>
          <w:color w:val="auto"/>
        </w:rPr>
        <w:t xml:space="preserve">roduction </w:t>
      </w:r>
      <w:r w:rsidR="00C94D3B">
        <w:rPr>
          <w:b/>
          <w:bCs/>
          <w:i/>
          <w:iCs/>
          <w:color w:val="auto"/>
        </w:rPr>
        <w:t>s</w:t>
      </w:r>
      <w:r w:rsidRPr="00FE1D0D">
        <w:rPr>
          <w:b/>
          <w:bCs/>
          <w:i/>
          <w:iCs/>
          <w:color w:val="auto"/>
        </w:rPr>
        <w:t>ector</w:t>
      </w:r>
    </w:p>
    <w:p w14:paraId="5FD4D29B" w14:textId="77777777" w:rsidR="00457C53" w:rsidRDefault="00457C53" w:rsidP="4BCEE662">
      <w:pPr>
        <w:spacing w:after="120"/>
        <w:contextualSpacing/>
        <w:rPr>
          <w:color w:val="FF0000"/>
        </w:rPr>
      </w:pPr>
    </w:p>
    <w:p w14:paraId="3371306A" w14:textId="047D8E9D" w:rsidR="001B2DBD" w:rsidRPr="00387A9B" w:rsidRDefault="4BCEE662" w:rsidP="4BCEE662">
      <w:pPr>
        <w:spacing w:after="120"/>
        <w:contextualSpacing/>
      </w:pPr>
      <w:r>
        <w:t>HFC production sector and HFC-23 mitigation funding estimates include:</w:t>
      </w:r>
    </w:p>
    <w:p w14:paraId="185B3232" w14:textId="77777777" w:rsidR="001B2DBD" w:rsidRPr="00387A9B" w:rsidRDefault="001B2DBD" w:rsidP="001B2DBD">
      <w:pPr>
        <w:pStyle w:val="a"/>
        <w:numPr>
          <w:ilvl w:val="0"/>
          <w:numId w:val="47"/>
        </w:numPr>
        <w:tabs>
          <w:tab w:val="left" w:pos="1680"/>
        </w:tabs>
        <w:spacing w:after="120"/>
        <w:contextualSpacing/>
        <w:rPr>
          <w:rFonts w:ascii="Times New Roman" w:hAnsi="Times New Roman"/>
          <w:bCs/>
        </w:rPr>
      </w:pPr>
      <w:r w:rsidRPr="00387A9B">
        <w:rPr>
          <w:rFonts w:ascii="Times New Roman" w:hAnsi="Times New Roman"/>
          <w:bCs/>
        </w:rPr>
        <w:t>Estimated Funding for HFC Production project preparation;</w:t>
      </w:r>
    </w:p>
    <w:p w14:paraId="7DA159EA" w14:textId="319FE915" w:rsidR="001B2DBD" w:rsidRPr="00387A9B" w:rsidRDefault="274D2446" w:rsidP="274D2446">
      <w:pPr>
        <w:pStyle w:val="a"/>
        <w:numPr>
          <w:ilvl w:val="0"/>
          <w:numId w:val="47"/>
        </w:numPr>
        <w:tabs>
          <w:tab w:val="left" w:pos="1680"/>
        </w:tabs>
        <w:spacing w:after="120"/>
        <w:contextualSpacing/>
        <w:rPr>
          <w:rFonts w:ascii="Times New Roman" w:hAnsi="Times New Roman"/>
        </w:rPr>
      </w:pPr>
      <w:r w:rsidRPr="274D2446">
        <w:rPr>
          <w:rFonts w:ascii="Times New Roman" w:hAnsi="Times New Roman"/>
        </w:rPr>
        <w:t>Estimated Funding for Kigali HFC Production Phase-down Management Plan (KPPMPs), if any;</w:t>
      </w:r>
    </w:p>
    <w:p w14:paraId="3203573A" w14:textId="77777777" w:rsidR="001B2DBD" w:rsidRPr="00387A9B" w:rsidRDefault="001B2DBD" w:rsidP="001B2DBD">
      <w:pPr>
        <w:pStyle w:val="a"/>
        <w:numPr>
          <w:ilvl w:val="0"/>
          <w:numId w:val="47"/>
        </w:numPr>
        <w:tabs>
          <w:tab w:val="left" w:pos="1680"/>
        </w:tabs>
        <w:spacing w:after="120"/>
        <w:contextualSpacing/>
        <w:rPr>
          <w:rFonts w:ascii="Times New Roman" w:hAnsi="Times New Roman"/>
          <w:bCs/>
        </w:rPr>
      </w:pPr>
      <w:r w:rsidRPr="00387A9B">
        <w:rPr>
          <w:rFonts w:ascii="Times New Roman" w:hAnsi="Times New Roman"/>
          <w:bCs/>
        </w:rPr>
        <w:t>Estimated Funding for HFC-23 mitigation investment project;</w:t>
      </w:r>
    </w:p>
    <w:p w14:paraId="4536113B" w14:textId="77777777" w:rsidR="001B2DBD" w:rsidRPr="00387A9B" w:rsidRDefault="001B2DBD" w:rsidP="001B2DBD">
      <w:pPr>
        <w:pStyle w:val="a"/>
        <w:numPr>
          <w:ilvl w:val="0"/>
          <w:numId w:val="47"/>
        </w:numPr>
        <w:tabs>
          <w:tab w:val="left" w:pos="1680"/>
        </w:tabs>
        <w:spacing w:after="120"/>
        <w:contextualSpacing/>
        <w:rPr>
          <w:rFonts w:ascii="Times New Roman" w:hAnsi="Times New Roman"/>
          <w:bCs/>
        </w:rPr>
      </w:pPr>
      <w:r w:rsidRPr="00387A9B">
        <w:rPr>
          <w:rFonts w:ascii="Times New Roman" w:hAnsi="Times New Roman"/>
          <w:bCs/>
        </w:rPr>
        <w:t>Estimated Funding for HFC-23 mitigation project preparation; and</w:t>
      </w:r>
    </w:p>
    <w:p w14:paraId="463FD103" w14:textId="77777777" w:rsidR="001B2DBD" w:rsidRDefault="4BCEE662" w:rsidP="4BCEE662">
      <w:pPr>
        <w:pStyle w:val="a"/>
        <w:numPr>
          <w:ilvl w:val="0"/>
          <w:numId w:val="47"/>
        </w:numPr>
        <w:tabs>
          <w:tab w:val="left" w:pos="1680"/>
        </w:tabs>
        <w:spacing w:after="240"/>
        <w:contextualSpacing/>
        <w:rPr>
          <w:rFonts w:ascii="Times New Roman" w:hAnsi="Times New Roman"/>
        </w:rPr>
      </w:pPr>
      <w:r w:rsidRPr="4BCEE662">
        <w:rPr>
          <w:rFonts w:asciiTheme="majorBidi" w:hAnsiTheme="majorBidi" w:cstheme="majorBidi"/>
        </w:rPr>
        <w:t>Committed Funding for approved HFC-23 mitigation project</w:t>
      </w:r>
      <w:r>
        <w:t xml:space="preserve">. </w:t>
      </w:r>
    </w:p>
    <w:p w14:paraId="74401631" w14:textId="7B3B3D7F" w:rsidR="005B44BE" w:rsidRDefault="005B44BE" w:rsidP="4BCEE662">
      <w:pPr>
        <w:pStyle w:val="a"/>
        <w:keepNext/>
        <w:keepLines/>
        <w:tabs>
          <w:tab w:val="left" w:pos="1680"/>
        </w:tabs>
        <w:spacing w:after="240"/>
        <w:ind w:left="0"/>
        <w:contextualSpacing/>
        <w:rPr>
          <w:rFonts w:ascii="Times New Roman" w:hAnsi="Times New Roman"/>
        </w:rPr>
      </w:pPr>
    </w:p>
    <w:p w14:paraId="67645C41" w14:textId="0EC857AE" w:rsidR="00F3659B" w:rsidRDefault="00F3659B" w:rsidP="4BCEE662">
      <w:pPr>
        <w:pStyle w:val="a"/>
        <w:keepNext/>
        <w:keepLines/>
        <w:tabs>
          <w:tab w:val="left" w:pos="1680"/>
        </w:tabs>
        <w:spacing w:after="240"/>
        <w:ind w:left="0"/>
        <w:contextualSpacing/>
        <w:rPr>
          <w:rFonts w:ascii="Times New Roman" w:hAnsi="Times New Roman"/>
        </w:rPr>
      </w:pPr>
      <w:r w:rsidRPr="00FE1D0D">
        <w:rPr>
          <w:rFonts w:ascii="Times New Roman" w:hAnsi="Times New Roman"/>
        </w:rPr>
        <w:t>RTF considered two</w:t>
      </w:r>
      <w:r w:rsidR="00272EDE" w:rsidRPr="00FE1D0D">
        <w:rPr>
          <w:rFonts w:ascii="Times New Roman" w:hAnsi="Times New Roman"/>
        </w:rPr>
        <w:t xml:space="preserve"> A5 HFC producing countries for estimated funding requirement for the production sector 2027-202</w:t>
      </w:r>
      <w:r w:rsidR="00620332" w:rsidRPr="00FE1D0D">
        <w:rPr>
          <w:rFonts w:ascii="Times New Roman" w:hAnsi="Times New Roman"/>
        </w:rPr>
        <w:t xml:space="preserve">9. Both China (G1) and India (G2) </w:t>
      </w:r>
      <w:r w:rsidR="00947E3A" w:rsidRPr="00FE1D0D">
        <w:rPr>
          <w:rFonts w:ascii="Times New Roman" w:hAnsi="Times New Roman"/>
        </w:rPr>
        <w:t xml:space="preserve">reported production of HFC are significantly </w:t>
      </w:r>
      <w:r w:rsidR="00142421" w:rsidRPr="00FE1D0D">
        <w:rPr>
          <w:rFonts w:ascii="Times New Roman" w:hAnsi="Times New Roman"/>
        </w:rPr>
        <w:t>below the 10% reduction target from baseline for G1 parties and the 2028 freeze and 10% reduction target for G2 parties</w:t>
      </w:r>
      <w:r w:rsidR="00D91A81" w:rsidRPr="00FE1D0D">
        <w:rPr>
          <w:rFonts w:ascii="Times New Roman" w:hAnsi="Times New Roman"/>
        </w:rPr>
        <w:t xml:space="preserve">. RTF estimated that for the 2027-2029 triennium, only project preparation </w:t>
      </w:r>
      <w:r w:rsidR="003063D6" w:rsidRPr="00FE1D0D">
        <w:rPr>
          <w:rFonts w:ascii="Times New Roman" w:hAnsi="Times New Roman"/>
        </w:rPr>
        <w:t>funding may be needed for HFC production sector plans preparation for the two parties</w:t>
      </w:r>
      <w:r w:rsidR="00FE1D0D" w:rsidRPr="00FE1D0D">
        <w:rPr>
          <w:rFonts w:ascii="Times New Roman" w:hAnsi="Times New Roman"/>
        </w:rPr>
        <w:t>, with no investment funding required in this triennium.</w:t>
      </w:r>
      <w:r w:rsidR="00142421" w:rsidRPr="00FE1D0D">
        <w:rPr>
          <w:rFonts w:ascii="Times New Roman" w:hAnsi="Times New Roman"/>
        </w:rPr>
        <w:t xml:space="preserve"> </w:t>
      </w:r>
    </w:p>
    <w:p w14:paraId="589B2AFE" w14:textId="77777777" w:rsidR="00F722CB" w:rsidRDefault="00F722CB" w:rsidP="4BCEE662">
      <w:pPr>
        <w:pStyle w:val="a"/>
        <w:keepNext/>
        <w:keepLines/>
        <w:tabs>
          <w:tab w:val="left" w:pos="1680"/>
        </w:tabs>
        <w:spacing w:after="240"/>
        <w:ind w:left="0"/>
        <w:contextualSpacing/>
        <w:rPr>
          <w:rFonts w:ascii="Times New Roman" w:hAnsi="Times New Roman"/>
        </w:rPr>
      </w:pPr>
    </w:p>
    <w:p w14:paraId="78EA670E" w14:textId="64258713" w:rsidR="00DB5FA0" w:rsidRPr="00FE1D0D" w:rsidRDefault="00895AE3" w:rsidP="4BCEE662">
      <w:pPr>
        <w:pStyle w:val="a"/>
        <w:keepNext/>
        <w:keepLines/>
        <w:tabs>
          <w:tab w:val="left" w:pos="1680"/>
        </w:tabs>
        <w:spacing w:after="240"/>
        <w:ind w:left="0"/>
        <w:contextualSpacing/>
        <w:rPr>
          <w:rFonts w:ascii="Times New Roman" w:hAnsi="Times New Roman"/>
        </w:rPr>
      </w:pPr>
      <w:r>
        <w:rPr>
          <w:rFonts w:ascii="Times New Roman" w:hAnsi="Times New Roman"/>
        </w:rPr>
        <w:t>To support A5 parties in meeting their obligations under the Kigali Amendment, t</w:t>
      </w:r>
      <w:r w:rsidR="000A2B44">
        <w:rPr>
          <w:rFonts w:ascii="Times New Roman" w:hAnsi="Times New Roman"/>
        </w:rPr>
        <w:t xml:space="preserve">he MLF funds the costs </w:t>
      </w:r>
      <w:r w:rsidR="00150D61">
        <w:rPr>
          <w:rFonts w:ascii="Times New Roman" w:hAnsi="Times New Roman"/>
        </w:rPr>
        <w:t xml:space="preserve">for A5 parties to reduce </w:t>
      </w:r>
      <w:r w:rsidR="000A2B44">
        <w:rPr>
          <w:rFonts w:ascii="Times New Roman" w:hAnsi="Times New Roman"/>
        </w:rPr>
        <w:t>emissions of HFC-23, a by-product of the production process of HCFC-22, by reducing</w:t>
      </w:r>
      <w:r w:rsidR="00C32A52">
        <w:rPr>
          <w:rFonts w:ascii="Times New Roman" w:hAnsi="Times New Roman"/>
        </w:rPr>
        <w:t xml:space="preserve"> emission rate in the process, destroying it from the off-gas, or by collecting</w:t>
      </w:r>
      <w:r w:rsidR="00150D61">
        <w:rPr>
          <w:rFonts w:ascii="Times New Roman" w:hAnsi="Times New Roman"/>
        </w:rPr>
        <w:t xml:space="preserve"> and converting it to other environmentally safe chemicals.</w:t>
      </w:r>
      <w:r w:rsidR="003A0B3D">
        <w:rPr>
          <w:rFonts w:ascii="Times New Roman" w:hAnsi="Times New Roman"/>
        </w:rPr>
        <w:t xml:space="preserve"> For the 2027-2029 triennium, the RTF estimated funding requirements for two parties with </w:t>
      </w:r>
      <w:r w:rsidR="008D2AE8">
        <w:rPr>
          <w:rFonts w:ascii="Times New Roman" w:hAnsi="Times New Roman"/>
        </w:rPr>
        <w:t>approved HFC-23 phase-out plans and project preparation and implementation funding for two additional parties.</w:t>
      </w:r>
    </w:p>
    <w:p w14:paraId="577CC840" w14:textId="12B19DA2" w:rsidR="005B44BE" w:rsidRPr="00FE1D0D" w:rsidRDefault="4BCEE662" w:rsidP="4BCEE662">
      <w:pPr>
        <w:keepNext/>
        <w:keepLines/>
        <w:rPr>
          <w:b/>
          <w:bCs/>
          <w:color w:val="auto"/>
        </w:rPr>
      </w:pPr>
      <w:r w:rsidRPr="00FE1D0D">
        <w:rPr>
          <w:b/>
          <w:bCs/>
          <w:color w:val="auto"/>
          <w:sz w:val="24"/>
          <w:szCs w:val="24"/>
        </w:rPr>
        <w:t xml:space="preserve">Summary of </w:t>
      </w:r>
      <w:r w:rsidR="00C94D3B">
        <w:rPr>
          <w:b/>
          <w:bCs/>
          <w:color w:val="auto"/>
          <w:sz w:val="24"/>
          <w:szCs w:val="24"/>
        </w:rPr>
        <w:t>f</w:t>
      </w:r>
      <w:r w:rsidRPr="00FE1D0D">
        <w:rPr>
          <w:b/>
          <w:bCs/>
          <w:color w:val="auto"/>
          <w:sz w:val="24"/>
          <w:szCs w:val="24"/>
        </w:rPr>
        <w:t xml:space="preserve">unding </w:t>
      </w:r>
      <w:r w:rsidR="00C94D3B">
        <w:rPr>
          <w:b/>
          <w:bCs/>
          <w:color w:val="auto"/>
          <w:sz w:val="24"/>
          <w:szCs w:val="24"/>
        </w:rPr>
        <w:t>e</w:t>
      </w:r>
      <w:r w:rsidRPr="00FE1D0D">
        <w:rPr>
          <w:b/>
          <w:bCs/>
          <w:color w:val="auto"/>
          <w:sz w:val="24"/>
          <w:szCs w:val="24"/>
        </w:rPr>
        <w:t xml:space="preserve">stimates for HFC </w:t>
      </w:r>
      <w:r w:rsidR="00C94D3B">
        <w:rPr>
          <w:b/>
          <w:bCs/>
          <w:color w:val="auto"/>
          <w:sz w:val="24"/>
          <w:szCs w:val="24"/>
        </w:rPr>
        <w:t>p</w:t>
      </w:r>
      <w:r w:rsidRPr="00FE1D0D">
        <w:rPr>
          <w:b/>
          <w:bCs/>
          <w:color w:val="auto"/>
          <w:sz w:val="24"/>
          <w:szCs w:val="24"/>
        </w:rPr>
        <w:t xml:space="preserve">hase-down in the </w:t>
      </w:r>
      <w:r w:rsidR="00C94D3B">
        <w:rPr>
          <w:b/>
          <w:bCs/>
          <w:color w:val="auto"/>
          <w:sz w:val="24"/>
          <w:szCs w:val="24"/>
        </w:rPr>
        <w:t>c</w:t>
      </w:r>
      <w:r w:rsidRPr="00FE1D0D">
        <w:rPr>
          <w:b/>
          <w:bCs/>
          <w:color w:val="auto"/>
          <w:sz w:val="24"/>
          <w:szCs w:val="24"/>
        </w:rPr>
        <w:t xml:space="preserve">onsumption and </w:t>
      </w:r>
      <w:r w:rsidR="00C94D3B">
        <w:rPr>
          <w:b/>
          <w:bCs/>
          <w:color w:val="auto"/>
          <w:sz w:val="24"/>
          <w:szCs w:val="24"/>
        </w:rPr>
        <w:t>p</w:t>
      </w:r>
      <w:r w:rsidRPr="00FE1D0D">
        <w:rPr>
          <w:b/>
          <w:bCs/>
          <w:color w:val="auto"/>
          <w:sz w:val="24"/>
          <w:szCs w:val="24"/>
        </w:rPr>
        <w:t xml:space="preserve">roduction </w:t>
      </w:r>
      <w:r w:rsidR="00C94D3B">
        <w:rPr>
          <w:b/>
          <w:bCs/>
          <w:color w:val="auto"/>
          <w:sz w:val="24"/>
          <w:szCs w:val="24"/>
        </w:rPr>
        <w:t>s</w:t>
      </w:r>
      <w:r w:rsidRPr="00FE1D0D">
        <w:rPr>
          <w:b/>
          <w:bCs/>
          <w:color w:val="auto"/>
          <w:sz w:val="24"/>
          <w:szCs w:val="24"/>
        </w:rPr>
        <w:t>ectors</w:t>
      </w:r>
      <w:r w:rsidRPr="00FE1D0D">
        <w:rPr>
          <w:b/>
          <w:bCs/>
          <w:color w:val="auto"/>
        </w:rPr>
        <w:t xml:space="preserve"> </w:t>
      </w:r>
    </w:p>
    <w:p w14:paraId="38B53554" w14:textId="52A84299" w:rsidR="005B44BE" w:rsidRDefault="4BCEE662" w:rsidP="005B44BE">
      <w:pPr>
        <w:keepNext/>
        <w:keepLines/>
      </w:pPr>
      <w:r>
        <w:t xml:space="preserve">The range of estimated total funding requirement for the HFC consumption and production sectors for the 2027-2029 and future triennia are </w:t>
      </w:r>
      <w:r w:rsidR="009403E9">
        <w:t>summarised</w:t>
      </w:r>
      <w:r>
        <w:t xml:space="preserve"> below and in Table ES.3.</w:t>
      </w:r>
    </w:p>
    <w:p w14:paraId="1ACBB122" w14:textId="048D61A5" w:rsidR="005B44BE" w:rsidRDefault="005B44BE" w:rsidP="005B44BE">
      <w:pPr>
        <w:pStyle w:val="ListParagraph"/>
        <w:keepNext/>
        <w:keepLines/>
        <w:numPr>
          <w:ilvl w:val="0"/>
          <w:numId w:val="0"/>
        </w:numPr>
        <w:spacing w:after="120"/>
        <w:ind w:left="720"/>
        <w:rPr>
          <w:b/>
          <w:bCs/>
        </w:rPr>
      </w:pPr>
      <w:r>
        <w:rPr>
          <w:b/>
          <w:bCs/>
        </w:rPr>
        <w:t xml:space="preserve">For the </w:t>
      </w:r>
      <w:r w:rsidRPr="009E4856">
        <w:rPr>
          <w:b/>
          <w:bCs/>
        </w:rPr>
        <w:t>2027-2029</w:t>
      </w:r>
      <w:r>
        <w:rPr>
          <w:b/>
          <w:bCs/>
        </w:rPr>
        <w:t xml:space="preserve"> trienn</w:t>
      </w:r>
      <w:r w:rsidR="007349AE">
        <w:rPr>
          <w:b/>
          <w:bCs/>
        </w:rPr>
        <w:t>i</w:t>
      </w:r>
      <w:r>
        <w:rPr>
          <w:b/>
          <w:bCs/>
        </w:rPr>
        <w:t>um</w:t>
      </w:r>
      <w:r w:rsidRPr="009E4856">
        <w:rPr>
          <w:b/>
          <w:bCs/>
        </w:rPr>
        <w:t xml:space="preserve">: </w:t>
      </w:r>
    </w:p>
    <w:p w14:paraId="1357221F" w14:textId="5B98C566" w:rsidR="005B44BE" w:rsidRDefault="005B44BE" w:rsidP="005B44BE">
      <w:pPr>
        <w:pStyle w:val="ListParagraph"/>
        <w:keepNext/>
        <w:keepLines/>
        <w:numPr>
          <w:ilvl w:val="0"/>
          <w:numId w:val="85"/>
        </w:numPr>
        <w:spacing w:after="120"/>
        <w:rPr>
          <w:b/>
          <w:bCs/>
        </w:rPr>
      </w:pPr>
      <w:r w:rsidRPr="009E4856">
        <w:rPr>
          <w:b/>
          <w:bCs/>
        </w:rPr>
        <w:t xml:space="preserve">US$ </w:t>
      </w:r>
      <w:r>
        <w:rPr>
          <w:b/>
          <w:bCs/>
        </w:rPr>
        <w:t>970-1,053 m</w:t>
      </w:r>
      <w:r w:rsidRPr="009E4856">
        <w:rPr>
          <w:b/>
          <w:bCs/>
        </w:rPr>
        <w:t xml:space="preserve">illion </w:t>
      </w:r>
      <w:r>
        <w:rPr>
          <w:b/>
          <w:bCs/>
        </w:rPr>
        <w:t>under a resource allocation schedule A</w:t>
      </w:r>
    </w:p>
    <w:p w14:paraId="66D2D9C4" w14:textId="2EEB4DAE" w:rsidR="005B44BE" w:rsidRPr="00D93187" w:rsidRDefault="005B44BE" w:rsidP="00D93187">
      <w:pPr>
        <w:pStyle w:val="ListParagraph"/>
        <w:keepNext/>
        <w:keepLines/>
        <w:numPr>
          <w:ilvl w:val="0"/>
          <w:numId w:val="85"/>
        </w:numPr>
        <w:rPr>
          <w:rFonts w:eastAsiaTheme="minorEastAsia"/>
          <w:b/>
        </w:rPr>
      </w:pPr>
      <w:r>
        <w:rPr>
          <w:b/>
          <w:bCs/>
        </w:rPr>
        <w:t xml:space="preserve">US$ 702-781 </w:t>
      </w:r>
      <w:r w:rsidRPr="009E4856">
        <w:rPr>
          <w:b/>
          <w:bCs/>
        </w:rPr>
        <w:t>million</w:t>
      </w:r>
      <w:r>
        <w:rPr>
          <w:b/>
          <w:bCs/>
        </w:rPr>
        <w:t xml:space="preserve"> under a resource allocation schedule B</w:t>
      </w:r>
    </w:p>
    <w:p w14:paraId="50D7CF1A" w14:textId="77777777" w:rsidR="00C251D0" w:rsidRDefault="00C251D0">
      <w:pPr>
        <w:tabs>
          <w:tab w:val="clear" w:pos="0"/>
        </w:tabs>
        <w:spacing w:after="0"/>
        <w:rPr>
          <w:rFonts w:eastAsiaTheme="minorEastAsia"/>
          <w:b/>
          <w:bCs/>
        </w:rPr>
      </w:pPr>
      <w:r>
        <w:rPr>
          <w:rFonts w:eastAsiaTheme="minorEastAsia"/>
          <w:b/>
          <w:bCs/>
        </w:rPr>
        <w:br w:type="page"/>
      </w:r>
    </w:p>
    <w:p w14:paraId="41F930E2" w14:textId="4EE88FCE" w:rsidR="005B44BE" w:rsidRDefault="005B44BE" w:rsidP="002135B0">
      <w:pPr>
        <w:tabs>
          <w:tab w:val="left" w:pos="1276"/>
        </w:tabs>
        <w:ind w:left="1276" w:hanging="1418"/>
        <w:rPr>
          <w:rFonts w:eastAsiaTheme="minorEastAsia"/>
          <w:b/>
          <w:bCs/>
          <w:highlight w:val="yellow"/>
        </w:rPr>
      </w:pPr>
      <w:r w:rsidRPr="222ABFFA">
        <w:rPr>
          <w:rFonts w:eastAsiaTheme="minorEastAsia"/>
          <w:b/>
          <w:bCs/>
        </w:rPr>
        <w:lastRenderedPageBreak/>
        <w:t xml:space="preserve">Table </w:t>
      </w:r>
      <w:r w:rsidR="008849BE">
        <w:rPr>
          <w:rFonts w:eastAsiaTheme="minorEastAsia"/>
          <w:b/>
          <w:bCs/>
        </w:rPr>
        <w:t>ES</w:t>
      </w:r>
      <w:r w:rsidR="00D93187">
        <w:rPr>
          <w:rFonts w:eastAsiaTheme="minorEastAsia"/>
          <w:b/>
          <w:bCs/>
        </w:rPr>
        <w:t>.3</w:t>
      </w:r>
      <w:r w:rsidR="004D443C">
        <w:t>:</w:t>
      </w:r>
      <w:r w:rsidR="00BB33B4">
        <w:tab/>
      </w:r>
      <w:r w:rsidRPr="222ABFFA">
        <w:rPr>
          <w:rFonts w:eastAsiaTheme="minorEastAsia"/>
          <w:b/>
          <w:bCs/>
        </w:rPr>
        <w:t>Estimated</w:t>
      </w:r>
      <w:r>
        <w:rPr>
          <w:rFonts w:eastAsiaTheme="minorEastAsia"/>
          <w:b/>
          <w:bCs/>
        </w:rPr>
        <w:t xml:space="preserve"> total</w:t>
      </w:r>
      <w:r w:rsidRPr="222ABFFA">
        <w:rPr>
          <w:rFonts w:eastAsiaTheme="minorEastAsia"/>
          <w:b/>
          <w:bCs/>
        </w:rPr>
        <w:t xml:space="preserve"> funding requirement for HFC </w:t>
      </w:r>
      <w:r>
        <w:rPr>
          <w:rFonts w:eastAsiaTheme="minorEastAsia"/>
          <w:b/>
          <w:bCs/>
        </w:rPr>
        <w:t>phase-down for 2027-2029 and future triennia</w:t>
      </w:r>
      <w:r w:rsidRPr="222ABFFA">
        <w:rPr>
          <w:rFonts w:eastAsiaTheme="minorEastAsia"/>
          <w:b/>
          <w:bCs/>
        </w:rPr>
        <w:t xml:space="preserve"> (US</w:t>
      </w:r>
      <w:r w:rsidRPr="531ECB33">
        <w:rPr>
          <w:rFonts w:eastAsiaTheme="minorEastAsia"/>
          <w:b/>
          <w:bCs/>
        </w:rPr>
        <w:t>$ million)</w:t>
      </w:r>
      <w:r w:rsidRPr="222ABFFA">
        <w:rPr>
          <w:rFonts w:eastAsiaTheme="minorEastAsia"/>
          <w:b/>
          <w:bCs/>
        </w:rPr>
        <w:t xml:space="preserve"> </w:t>
      </w:r>
    </w:p>
    <w:tbl>
      <w:tblPr>
        <w:tblW w:w="9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338"/>
        <w:gridCol w:w="2571"/>
        <w:gridCol w:w="2580"/>
        <w:gridCol w:w="2655"/>
      </w:tblGrid>
      <w:tr w:rsidR="005B44BE" w:rsidRPr="00E537F3" w14:paraId="0A566544" w14:textId="77777777" w:rsidTr="002135B0">
        <w:trPr>
          <w:trHeight w:val="300"/>
          <w:tblHeader/>
        </w:trPr>
        <w:tc>
          <w:tcPr>
            <w:tcW w:w="1338" w:type="dxa"/>
            <w:vMerge w:val="restart"/>
            <w:shd w:val="clear" w:color="auto" w:fill="DEEAF6" w:themeFill="accent5" w:themeFillTint="33"/>
            <w:vAlign w:val="center"/>
          </w:tcPr>
          <w:p w14:paraId="0FD53189" w14:textId="77777777" w:rsidR="005B44BE" w:rsidRPr="00E537F3" w:rsidRDefault="005B44BE" w:rsidP="00547F8B">
            <w:pPr>
              <w:tabs>
                <w:tab w:val="clear" w:pos="0"/>
              </w:tabs>
              <w:spacing w:after="0"/>
              <w:jc w:val="center"/>
              <w:textAlignment w:val="baseline"/>
              <w:rPr>
                <w:b/>
                <w:bCs/>
                <w:color w:val="000000"/>
                <w:sz w:val="21"/>
                <w:szCs w:val="21"/>
                <w:lang w:val="en-US"/>
              </w:rPr>
            </w:pPr>
            <w:r>
              <w:rPr>
                <w:b/>
                <w:bCs/>
                <w:color w:val="000000"/>
                <w:sz w:val="21"/>
                <w:szCs w:val="21"/>
                <w:lang w:val="en-US"/>
              </w:rPr>
              <w:t>Triennium</w:t>
            </w:r>
          </w:p>
        </w:tc>
        <w:tc>
          <w:tcPr>
            <w:tcW w:w="2571" w:type="dxa"/>
            <w:vMerge w:val="restart"/>
            <w:shd w:val="clear" w:color="auto" w:fill="DEEAF6" w:themeFill="accent5" w:themeFillTint="33"/>
            <w:vAlign w:val="center"/>
            <w:hideMark/>
          </w:tcPr>
          <w:p w14:paraId="00DA09AC" w14:textId="4B22B141" w:rsidR="005B44BE" w:rsidRPr="00E537F3" w:rsidRDefault="005B44BE" w:rsidP="00547F8B">
            <w:pPr>
              <w:tabs>
                <w:tab w:val="clear" w:pos="0"/>
              </w:tabs>
              <w:spacing w:after="0"/>
              <w:jc w:val="center"/>
              <w:textAlignment w:val="baseline"/>
              <w:rPr>
                <w:rFonts w:ascii="Segoe UI" w:hAnsi="Segoe UI" w:cs="Segoe UI"/>
                <w:color w:val="000000"/>
                <w:sz w:val="18"/>
                <w:szCs w:val="18"/>
                <w:lang w:val="en-US"/>
              </w:rPr>
            </w:pPr>
            <w:r>
              <w:rPr>
                <w:b/>
                <w:bCs/>
                <w:color w:val="000000"/>
                <w:sz w:val="21"/>
                <w:szCs w:val="21"/>
                <w:lang w:val="en-US"/>
              </w:rPr>
              <w:t>Sector</w:t>
            </w:r>
          </w:p>
        </w:tc>
        <w:tc>
          <w:tcPr>
            <w:tcW w:w="5235" w:type="dxa"/>
            <w:gridSpan w:val="2"/>
            <w:shd w:val="clear" w:color="auto" w:fill="DEEAF6" w:themeFill="accent5" w:themeFillTint="33"/>
            <w:vAlign w:val="center"/>
            <w:hideMark/>
          </w:tcPr>
          <w:p w14:paraId="47B1C81A" w14:textId="77777777" w:rsidR="005B44BE" w:rsidRPr="00E537F3" w:rsidRDefault="005B44BE" w:rsidP="00547F8B">
            <w:pPr>
              <w:tabs>
                <w:tab w:val="clear" w:pos="0"/>
              </w:tabs>
              <w:spacing w:after="0"/>
              <w:jc w:val="center"/>
              <w:textAlignment w:val="baseline"/>
              <w:rPr>
                <w:rFonts w:ascii="Segoe UI" w:hAnsi="Segoe UI" w:cs="Segoe UI"/>
                <w:b/>
                <w:bCs/>
                <w:color w:val="000000"/>
                <w:sz w:val="18"/>
                <w:szCs w:val="18"/>
                <w:lang w:val="en-US"/>
              </w:rPr>
            </w:pPr>
            <w:r w:rsidRPr="00E537F3">
              <w:rPr>
                <w:b/>
                <w:bCs/>
                <w:color w:val="000000"/>
                <w:sz w:val="21"/>
                <w:szCs w:val="21"/>
                <w:lang w:val="en-US"/>
              </w:rPr>
              <w:t xml:space="preserve">HFC ESTIMATED </w:t>
            </w:r>
            <w:r w:rsidRPr="00E537F3">
              <w:rPr>
                <w:b/>
                <w:bCs/>
                <w:color w:val="000000"/>
                <w:sz w:val="21"/>
                <w:szCs w:val="21"/>
                <w:lang w:val="en-US"/>
              </w:rPr>
              <w:br/>
              <w:t>FUNDING RANGE (US$ million)</w:t>
            </w:r>
          </w:p>
        </w:tc>
      </w:tr>
      <w:tr w:rsidR="005B44BE" w:rsidRPr="00E537F3" w14:paraId="7328D891" w14:textId="77777777" w:rsidTr="002135B0">
        <w:trPr>
          <w:trHeight w:val="60"/>
          <w:tblHeader/>
        </w:trPr>
        <w:tc>
          <w:tcPr>
            <w:tcW w:w="1338" w:type="dxa"/>
            <w:vMerge/>
            <w:vAlign w:val="center"/>
          </w:tcPr>
          <w:p w14:paraId="2F779C26" w14:textId="77777777" w:rsidR="005B44BE" w:rsidRPr="00E537F3" w:rsidRDefault="005B44BE" w:rsidP="002135B0">
            <w:pPr>
              <w:tabs>
                <w:tab w:val="clear" w:pos="0"/>
              </w:tabs>
              <w:spacing w:after="0"/>
              <w:jc w:val="center"/>
              <w:rPr>
                <w:rFonts w:ascii="Segoe UI" w:hAnsi="Segoe UI" w:cs="Segoe UI"/>
                <w:color w:val="000000"/>
                <w:sz w:val="18"/>
                <w:szCs w:val="18"/>
                <w:lang w:val="en-US"/>
              </w:rPr>
            </w:pPr>
          </w:p>
        </w:tc>
        <w:tc>
          <w:tcPr>
            <w:tcW w:w="2571" w:type="dxa"/>
            <w:vMerge/>
            <w:vAlign w:val="center"/>
            <w:hideMark/>
          </w:tcPr>
          <w:p w14:paraId="1AAE2B5C" w14:textId="77777777" w:rsidR="005B44BE" w:rsidRPr="00E537F3" w:rsidRDefault="005B44BE" w:rsidP="002135B0">
            <w:pPr>
              <w:tabs>
                <w:tab w:val="clear" w:pos="0"/>
              </w:tabs>
              <w:spacing w:after="0"/>
              <w:jc w:val="center"/>
              <w:rPr>
                <w:rFonts w:ascii="Segoe UI" w:hAnsi="Segoe UI" w:cs="Segoe UI"/>
                <w:color w:val="000000"/>
                <w:sz w:val="18"/>
                <w:szCs w:val="18"/>
                <w:lang w:val="en-US"/>
              </w:rPr>
            </w:pPr>
          </w:p>
        </w:tc>
        <w:tc>
          <w:tcPr>
            <w:tcW w:w="2580" w:type="dxa"/>
            <w:shd w:val="clear" w:color="auto" w:fill="DEEAF6" w:themeFill="accent5" w:themeFillTint="33"/>
            <w:vAlign w:val="center"/>
            <w:hideMark/>
          </w:tcPr>
          <w:p w14:paraId="26C21BD3" w14:textId="564FF0C3" w:rsidR="005B44BE" w:rsidRPr="00E537F3" w:rsidRDefault="004D372C" w:rsidP="00547F8B">
            <w:pPr>
              <w:tabs>
                <w:tab w:val="clear" w:pos="0"/>
              </w:tabs>
              <w:spacing w:after="0"/>
              <w:jc w:val="center"/>
              <w:textAlignment w:val="baseline"/>
              <w:rPr>
                <w:rFonts w:ascii="Segoe UI" w:hAnsi="Segoe UI" w:cs="Segoe UI"/>
                <w:color w:val="000000"/>
                <w:sz w:val="18"/>
                <w:szCs w:val="18"/>
                <w:lang w:val="en-US"/>
              </w:rPr>
            </w:pPr>
            <w:r>
              <w:rPr>
                <w:b/>
                <w:bCs/>
                <w:sz w:val="21"/>
                <w:szCs w:val="21"/>
                <w:lang w:val="en-US"/>
              </w:rPr>
              <w:t>HFC</w:t>
            </w:r>
            <w:r w:rsidR="239CCF04" w:rsidRPr="239CCF04">
              <w:rPr>
                <w:b/>
                <w:bCs/>
                <w:sz w:val="21"/>
                <w:szCs w:val="21"/>
                <w:lang w:val="en-US"/>
              </w:rPr>
              <w:t xml:space="preserve"> </w:t>
            </w:r>
            <w:r w:rsidR="005B44BE" w:rsidRPr="239CCF04">
              <w:rPr>
                <w:b/>
                <w:bCs/>
                <w:sz w:val="21"/>
                <w:szCs w:val="21"/>
                <w:lang w:val="en-US"/>
              </w:rPr>
              <w:t xml:space="preserve">Scenario </w:t>
            </w:r>
            <w:r>
              <w:rPr>
                <w:b/>
                <w:bCs/>
                <w:sz w:val="21"/>
                <w:szCs w:val="21"/>
                <w:lang w:val="en-US"/>
              </w:rPr>
              <w:t>1</w:t>
            </w:r>
            <w:r w:rsidR="239CCF04" w:rsidRPr="239CCF04">
              <w:rPr>
                <w:b/>
                <w:bCs/>
                <w:sz w:val="21"/>
                <w:szCs w:val="21"/>
                <w:lang w:val="en-US"/>
              </w:rPr>
              <w:t xml:space="preserve"> </w:t>
            </w:r>
            <w:r w:rsidR="005B44BE" w:rsidRPr="239CCF04">
              <w:rPr>
                <w:b/>
                <w:bCs/>
                <w:sz w:val="21"/>
                <w:szCs w:val="21"/>
                <w:lang w:val="en-US"/>
              </w:rPr>
              <w:t>with Resource Allocation A</w:t>
            </w:r>
          </w:p>
        </w:tc>
        <w:tc>
          <w:tcPr>
            <w:tcW w:w="2655" w:type="dxa"/>
            <w:shd w:val="clear" w:color="auto" w:fill="DEEAF6" w:themeFill="accent5" w:themeFillTint="33"/>
            <w:vAlign w:val="center"/>
            <w:hideMark/>
          </w:tcPr>
          <w:p w14:paraId="7FB2385A" w14:textId="6C35606E" w:rsidR="005B44BE" w:rsidRPr="00E537F3" w:rsidRDefault="004D372C" w:rsidP="00547F8B">
            <w:pPr>
              <w:tabs>
                <w:tab w:val="clear" w:pos="0"/>
              </w:tabs>
              <w:spacing w:after="0"/>
              <w:jc w:val="center"/>
              <w:textAlignment w:val="baseline"/>
              <w:rPr>
                <w:rFonts w:ascii="Segoe UI" w:hAnsi="Segoe UI" w:cs="Segoe UI"/>
                <w:color w:val="000000"/>
                <w:sz w:val="18"/>
                <w:szCs w:val="18"/>
                <w:lang w:val="en-US"/>
              </w:rPr>
            </w:pPr>
            <w:r>
              <w:rPr>
                <w:b/>
                <w:bCs/>
                <w:sz w:val="21"/>
                <w:szCs w:val="21"/>
                <w:lang w:val="en-US"/>
              </w:rPr>
              <w:t>HFC</w:t>
            </w:r>
            <w:r w:rsidR="239CCF04" w:rsidRPr="239CCF04">
              <w:rPr>
                <w:b/>
                <w:bCs/>
                <w:sz w:val="21"/>
                <w:szCs w:val="21"/>
                <w:lang w:val="en-US"/>
              </w:rPr>
              <w:t xml:space="preserve"> </w:t>
            </w:r>
            <w:r w:rsidR="005B44BE" w:rsidRPr="239CCF04">
              <w:rPr>
                <w:b/>
                <w:bCs/>
                <w:sz w:val="21"/>
                <w:szCs w:val="21"/>
                <w:lang w:val="en-US"/>
              </w:rPr>
              <w:t xml:space="preserve">Scenario </w:t>
            </w:r>
            <w:r>
              <w:rPr>
                <w:b/>
                <w:bCs/>
                <w:sz w:val="21"/>
                <w:szCs w:val="21"/>
                <w:lang w:val="en-US"/>
              </w:rPr>
              <w:t>2</w:t>
            </w:r>
            <w:r w:rsidR="239CCF04" w:rsidRPr="239CCF04">
              <w:rPr>
                <w:b/>
                <w:bCs/>
                <w:sz w:val="21"/>
                <w:szCs w:val="21"/>
                <w:lang w:val="en-US"/>
              </w:rPr>
              <w:t xml:space="preserve"> </w:t>
            </w:r>
            <w:r w:rsidR="005B44BE" w:rsidRPr="239CCF04">
              <w:rPr>
                <w:b/>
                <w:bCs/>
                <w:sz w:val="21"/>
                <w:szCs w:val="21"/>
                <w:lang w:val="en-US"/>
              </w:rPr>
              <w:t>with Resource Allocation B</w:t>
            </w:r>
          </w:p>
        </w:tc>
      </w:tr>
      <w:tr w:rsidR="005B44BE" w:rsidRPr="00E537F3" w14:paraId="716CE0C3" w14:textId="77777777" w:rsidTr="002135B0">
        <w:trPr>
          <w:trHeight w:val="285"/>
        </w:trPr>
        <w:tc>
          <w:tcPr>
            <w:tcW w:w="1338" w:type="dxa"/>
            <w:vMerge w:val="restart"/>
            <w:shd w:val="clear" w:color="auto" w:fill="E2EFD9" w:themeFill="accent6" w:themeFillTint="33"/>
            <w:vAlign w:val="center"/>
          </w:tcPr>
          <w:p w14:paraId="010926E5" w14:textId="77777777" w:rsidR="005B44BE" w:rsidRPr="00E537F3" w:rsidRDefault="005B44BE" w:rsidP="00547F8B">
            <w:pPr>
              <w:tabs>
                <w:tab w:val="clear" w:pos="0"/>
              </w:tabs>
              <w:spacing w:after="0"/>
              <w:jc w:val="center"/>
              <w:textAlignment w:val="baseline"/>
              <w:rPr>
                <w:b/>
                <w:bCs/>
                <w:color w:val="000000"/>
                <w:lang w:val="en-US"/>
              </w:rPr>
            </w:pPr>
            <w:r>
              <w:rPr>
                <w:b/>
                <w:bCs/>
                <w:color w:val="000000"/>
                <w:lang w:val="en-US"/>
              </w:rPr>
              <w:t>2027-2029</w:t>
            </w:r>
          </w:p>
        </w:tc>
        <w:tc>
          <w:tcPr>
            <w:tcW w:w="2571" w:type="dxa"/>
            <w:shd w:val="clear" w:color="auto" w:fill="FFFFFF" w:themeFill="background1"/>
            <w:vAlign w:val="center"/>
            <w:hideMark/>
          </w:tcPr>
          <w:p w14:paraId="5725C82D" w14:textId="04755345" w:rsidR="005B44BE" w:rsidRPr="00A11B07" w:rsidRDefault="005B44BE" w:rsidP="00D47352">
            <w:pPr>
              <w:tabs>
                <w:tab w:val="clear" w:pos="0"/>
              </w:tabs>
              <w:spacing w:after="0"/>
              <w:textAlignment w:val="baseline"/>
              <w:rPr>
                <w:rFonts w:ascii="Segoe UI" w:hAnsi="Segoe UI" w:cs="Segoe UI"/>
                <w:color w:val="000000"/>
                <w:sz w:val="18"/>
                <w:szCs w:val="18"/>
                <w:lang w:val="en-US"/>
              </w:rPr>
            </w:pPr>
            <w:r w:rsidRPr="00A11B07">
              <w:rPr>
                <w:color w:val="000000"/>
                <w:lang w:val="en-US"/>
              </w:rPr>
              <w:t xml:space="preserve">HFC Consumption sector </w:t>
            </w:r>
          </w:p>
        </w:tc>
        <w:tc>
          <w:tcPr>
            <w:tcW w:w="2580" w:type="dxa"/>
            <w:shd w:val="clear" w:color="auto" w:fill="FFFFFF" w:themeFill="background1"/>
            <w:vAlign w:val="center"/>
            <w:hideMark/>
          </w:tcPr>
          <w:p w14:paraId="5F7D4DE6" w14:textId="77777777" w:rsidR="005B44BE" w:rsidRPr="00A11B07" w:rsidRDefault="005B44BE">
            <w:pPr>
              <w:tabs>
                <w:tab w:val="clear" w:pos="0"/>
              </w:tabs>
              <w:spacing w:after="0"/>
              <w:jc w:val="center"/>
              <w:textAlignment w:val="baseline"/>
              <w:rPr>
                <w:rFonts w:ascii="Segoe UI" w:hAnsi="Segoe UI" w:cs="Segoe UI"/>
                <w:color w:val="000000"/>
                <w:sz w:val="18"/>
                <w:szCs w:val="18"/>
                <w:lang w:val="en-US"/>
              </w:rPr>
            </w:pPr>
            <w:r w:rsidRPr="00A11B07">
              <w:t>958 – 1,042</w:t>
            </w:r>
          </w:p>
        </w:tc>
        <w:tc>
          <w:tcPr>
            <w:tcW w:w="2655" w:type="dxa"/>
            <w:shd w:val="clear" w:color="auto" w:fill="FFFFFF" w:themeFill="background1"/>
            <w:vAlign w:val="center"/>
            <w:hideMark/>
          </w:tcPr>
          <w:p w14:paraId="652256E8" w14:textId="77777777" w:rsidR="005B44BE" w:rsidRPr="00A11B07" w:rsidRDefault="005B44BE">
            <w:pPr>
              <w:tabs>
                <w:tab w:val="clear" w:pos="0"/>
              </w:tabs>
              <w:spacing w:after="0"/>
              <w:jc w:val="center"/>
              <w:textAlignment w:val="baseline"/>
              <w:rPr>
                <w:rFonts w:ascii="Segoe UI" w:hAnsi="Segoe UI" w:cs="Segoe UI"/>
                <w:color w:val="000000"/>
                <w:sz w:val="18"/>
                <w:szCs w:val="18"/>
                <w:lang w:val="en-US"/>
              </w:rPr>
            </w:pPr>
            <w:r w:rsidRPr="00A11B07">
              <w:t>690 – 769</w:t>
            </w:r>
          </w:p>
        </w:tc>
      </w:tr>
      <w:tr w:rsidR="005B44BE" w:rsidRPr="00E537F3" w14:paraId="43E71FCB" w14:textId="77777777" w:rsidTr="002135B0">
        <w:trPr>
          <w:trHeight w:val="285"/>
        </w:trPr>
        <w:tc>
          <w:tcPr>
            <w:tcW w:w="1338" w:type="dxa"/>
            <w:vMerge/>
            <w:vAlign w:val="center"/>
          </w:tcPr>
          <w:p w14:paraId="78F79AEA" w14:textId="77777777" w:rsidR="005B44BE" w:rsidRPr="00E537F3" w:rsidRDefault="005B44BE" w:rsidP="00547F8B">
            <w:pPr>
              <w:tabs>
                <w:tab w:val="clear" w:pos="0"/>
              </w:tabs>
              <w:spacing w:after="0"/>
              <w:jc w:val="center"/>
              <w:textAlignment w:val="baseline"/>
              <w:rPr>
                <w:b/>
                <w:bCs/>
                <w:color w:val="000000"/>
                <w:lang w:val="en-US"/>
              </w:rPr>
            </w:pPr>
          </w:p>
        </w:tc>
        <w:tc>
          <w:tcPr>
            <w:tcW w:w="2571" w:type="dxa"/>
            <w:shd w:val="clear" w:color="auto" w:fill="FFFFFF" w:themeFill="background1"/>
            <w:vAlign w:val="center"/>
          </w:tcPr>
          <w:p w14:paraId="4DFEE96F" w14:textId="77777777" w:rsidR="005B44BE" w:rsidRPr="00A11B07" w:rsidRDefault="005B44BE" w:rsidP="00D47352">
            <w:pPr>
              <w:tabs>
                <w:tab w:val="clear" w:pos="0"/>
              </w:tabs>
              <w:spacing w:after="0"/>
              <w:textAlignment w:val="baseline"/>
              <w:rPr>
                <w:color w:val="000000"/>
                <w:lang w:val="en-US"/>
              </w:rPr>
            </w:pPr>
            <w:r w:rsidRPr="00A11B07">
              <w:rPr>
                <w:color w:val="000000"/>
                <w:lang w:val="en-US"/>
              </w:rPr>
              <w:t>HFC Production sector and HFC-23 mitigation</w:t>
            </w:r>
          </w:p>
        </w:tc>
        <w:tc>
          <w:tcPr>
            <w:tcW w:w="2580" w:type="dxa"/>
            <w:shd w:val="clear" w:color="auto" w:fill="FFFFFF" w:themeFill="background1"/>
            <w:vAlign w:val="center"/>
          </w:tcPr>
          <w:p w14:paraId="474E2CDA" w14:textId="77777777" w:rsidR="005B44BE" w:rsidRPr="00A11B07" w:rsidRDefault="005B44BE">
            <w:pPr>
              <w:tabs>
                <w:tab w:val="clear" w:pos="0"/>
              </w:tabs>
              <w:spacing w:after="0"/>
              <w:jc w:val="center"/>
              <w:textAlignment w:val="baseline"/>
              <w:rPr>
                <w:color w:val="000000"/>
                <w:lang w:val="en-US"/>
              </w:rPr>
            </w:pPr>
            <w:r w:rsidRPr="00A11B07">
              <w:rPr>
                <w:color w:val="000000"/>
                <w:lang w:val="en-US"/>
              </w:rPr>
              <w:t>11.76</w:t>
            </w:r>
          </w:p>
        </w:tc>
        <w:tc>
          <w:tcPr>
            <w:tcW w:w="2655" w:type="dxa"/>
            <w:shd w:val="clear" w:color="auto" w:fill="FFFFFF" w:themeFill="background1"/>
            <w:vAlign w:val="center"/>
          </w:tcPr>
          <w:p w14:paraId="1D1B85C2" w14:textId="77777777" w:rsidR="005B44BE" w:rsidRPr="00A11B07" w:rsidRDefault="005B44BE">
            <w:pPr>
              <w:tabs>
                <w:tab w:val="clear" w:pos="0"/>
              </w:tabs>
              <w:spacing w:after="0"/>
              <w:jc w:val="center"/>
              <w:textAlignment w:val="baseline"/>
              <w:rPr>
                <w:color w:val="000000"/>
                <w:lang w:val="en-US"/>
              </w:rPr>
            </w:pPr>
            <w:r w:rsidRPr="00A11B07">
              <w:rPr>
                <w:color w:val="000000"/>
                <w:lang w:val="en-US"/>
              </w:rPr>
              <w:t>11.76</w:t>
            </w:r>
          </w:p>
        </w:tc>
      </w:tr>
      <w:tr w:rsidR="005B44BE" w:rsidRPr="00E537F3" w14:paraId="5C27FB98" w14:textId="77777777" w:rsidTr="002135B0">
        <w:trPr>
          <w:trHeight w:val="285"/>
        </w:trPr>
        <w:tc>
          <w:tcPr>
            <w:tcW w:w="1338" w:type="dxa"/>
            <w:vMerge/>
            <w:vAlign w:val="center"/>
          </w:tcPr>
          <w:p w14:paraId="14BB910E" w14:textId="77777777" w:rsidR="005B44BE" w:rsidRPr="00E537F3" w:rsidRDefault="005B44BE" w:rsidP="00547F8B">
            <w:pPr>
              <w:tabs>
                <w:tab w:val="clear" w:pos="0"/>
              </w:tabs>
              <w:spacing w:after="0"/>
              <w:jc w:val="center"/>
              <w:textAlignment w:val="baseline"/>
              <w:rPr>
                <w:b/>
                <w:bCs/>
                <w:color w:val="000000"/>
                <w:lang w:val="en-US"/>
              </w:rPr>
            </w:pPr>
          </w:p>
        </w:tc>
        <w:tc>
          <w:tcPr>
            <w:tcW w:w="2571" w:type="dxa"/>
            <w:shd w:val="clear" w:color="auto" w:fill="FFFF00"/>
            <w:vAlign w:val="center"/>
          </w:tcPr>
          <w:p w14:paraId="7AB8858C" w14:textId="77777777" w:rsidR="005B44BE" w:rsidRDefault="005B44BE" w:rsidP="00D47352">
            <w:pPr>
              <w:tabs>
                <w:tab w:val="clear" w:pos="0"/>
              </w:tabs>
              <w:spacing w:after="0"/>
              <w:textAlignment w:val="baseline"/>
              <w:rPr>
                <w:b/>
                <w:bCs/>
                <w:color w:val="000000"/>
                <w:lang w:val="en-US"/>
              </w:rPr>
            </w:pPr>
            <w:r>
              <w:rPr>
                <w:b/>
                <w:bCs/>
                <w:color w:val="000000"/>
                <w:lang w:val="en-US"/>
              </w:rPr>
              <w:t>TOTAL RANGE</w:t>
            </w:r>
          </w:p>
        </w:tc>
        <w:tc>
          <w:tcPr>
            <w:tcW w:w="2580" w:type="dxa"/>
            <w:shd w:val="clear" w:color="auto" w:fill="FFFF00"/>
            <w:vAlign w:val="center"/>
          </w:tcPr>
          <w:p w14:paraId="13E8464C" w14:textId="77777777" w:rsidR="005B44BE" w:rsidRDefault="005B44BE">
            <w:pPr>
              <w:tabs>
                <w:tab w:val="clear" w:pos="0"/>
              </w:tabs>
              <w:spacing w:after="0"/>
              <w:jc w:val="center"/>
              <w:textAlignment w:val="baseline"/>
              <w:rPr>
                <w:b/>
                <w:bCs/>
                <w:color w:val="000000"/>
                <w:lang w:val="en-US"/>
              </w:rPr>
            </w:pPr>
            <w:r>
              <w:rPr>
                <w:b/>
                <w:bCs/>
                <w:color w:val="000000"/>
                <w:lang w:val="en-US"/>
              </w:rPr>
              <w:t>970 – 1,053</w:t>
            </w:r>
          </w:p>
        </w:tc>
        <w:tc>
          <w:tcPr>
            <w:tcW w:w="2655" w:type="dxa"/>
            <w:shd w:val="clear" w:color="auto" w:fill="FFFF00"/>
            <w:vAlign w:val="center"/>
          </w:tcPr>
          <w:p w14:paraId="50DD7D97" w14:textId="77777777" w:rsidR="005B44BE" w:rsidRDefault="005B44BE">
            <w:pPr>
              <w:tabs>
                <w:tab w:val="clear" w:pos="0"/>
              </w:tabs>
              <w:spacing w:after="0"/>
              <w:jc w:val="center"/>
              <w:textAlignment w:val="baseline"/>
              <w:rPr>
                <w:b/>
                <w:bCs/>
                <w:color w:val="000000"/>
                <w:lang w:val="en-US"/>
              </w:rPr>
            </w:pPr>
            <w:r>
              <w:rPr>
                <w:b/>
                <w:bCs/>
                <w:color w:val="000000"/>
                <w:lang w:val="en-US"/>
              </w:rPr>
              <w:t>702 – 781</w:t>
            </w:r>
          </w:p>
        </w:tc>
      </w:tr>
      <w:tr w:rsidR="005B44BE" w:rsidRPr="00E537F3" w14:paraId="25E9D81A" w14:textId="77777777" w:rsidTr="002135B0">
        <w:trPr>
          <w:trHeight w:val="285"/>
        </w:trPr>
        <w:tc>
          <w:tcPr>
            <w:tcW w:w="1338" w:type="dxa"/>
            <w:vMerge w:val="restart"/>
            <w:shd w:val="clear" w:color="auto" w:fill="E2EFD9" w:themeFill="accent6" w:themeFillTint="33"/>
            <w:vAlign w:val="center"/>
          </w:tcPr>
          <w:p w14:paraId="04EBEC16" w14:textId="77777777" w:rsidR="005B44BE" w:rsidRPr="00E537F3" w:rsidRDefault="005B44BE" w:rsidP="00547F8B">
            <w:pPr>
              <w:tabs>
                <w:tab w:val="clear" w:pos="0"/>
              </w:tabs>
              <w:spacing w:after="0"/>
              <w:jc w:val="center"/>
              <w:textAlignment w:val="baseline"/>
              <w:rPr>
                <w:b/>
                <w:bCs/>
                <w:color w:val="000000"/>
                <w:lang w:val="en-US"/>
              </w:rPr>
            </w:pPr>
            <w:r>
              <w:rPr>
                <w:b/>
                <w:bCs/>
                <w:color w:val="000000"/>
                <w:lang w:val="en-US"/>
              </w:rPr>
              <w:t>2030-2032</w:t>
            </w:r>
          </w:p>
        </w:tc>
        <w:tc>
          <w:tcPr>
            <w:tcW w:w="2571" w:type="dxa"/>
            <w:shd w:val="clear" w:color="auto" w:fill="FFFFFF" w:themeFill="background1"/>
            <w:vAlign w:val="center"/>
          </w:tcPr>
          <w:p w14:paraId="69CCB0C0" w14:textId="24082328" w:rsidR="005B44BE" w:rsidRPr="00A11B07" w:rsidRDefault="005B44BE" w:rsidP="00D47352">
            <w:pPr>
              <w:tabs>
                <w:tab w:val="clear" w:pos="0"/>
              </w:tabs>
              <w:spacing w:after="0"/>
              <w:textAlignment w:val="baseline"/>
              <w:rPr>
                <w:color w:val="000000"/>
                <w:lang w:val="en-US"/>
              </w:rPr>
            </w:pPr>
            <w:r w:rsidRPr="00A11B07">
              <w:rPr>
                <w:color w:val="000000"/>
                <w:lang w:val="en-US"/>
              </w:rPr>
              <w:t xml:space="preserve">HFC Consumption sector </w:t>
            </w:r>
          </w:p>
        </w:tc>
        <w:tc>
          <w:tcPr>
            <w:tcW w:w="2580" w:type="dxa"/>
            <w:shd w:val="clear" w:color="auto" w:fill="FFFFFF" w:themeFill="background1"/>
          </w:tcPr>
          <w:p w14:paraId="6CA5AEC2" w14:textId="77777777" w:rsidR="005B44BE" w:rsidRPr="00A11B07" w:rsidRDefault="005B44BE">
            <w:pPr>
              <w:tabs>
                <w:tab w:val="clear" w:pos="0"/>
              </w:tabs>
              <w:spacing w:after="0"/>
              <w:jc w:val="center"/>
              <w:textAlignment w:val="baseline"/>
              <w:rPr>
                <w:color w:val="000000"/>
                <w:lang w:val="en-US"/>
              </w:rPr>
            </w:pPr>
            <w:r w:rsidRPr="00A11B07">
              <w:t>876 – 907</w:t>
            </w:r>
          </w:p>
        </w:tc>
        <w:tc>
          <w:tcPr>
            <w:tcW w:w="2655" w:type="dxa"/>
            <w:shd w:val="clear" w:color="auto" w:fill="FFFFFF" w:themeFill="background1"/>
          </w:tcPr>
          <w:p w14:paraId="2B2E2FBB" w14:textId="77777777" w:rsidR="005B44BE" w:rsidRPr="00A11B07" w:rsidRDefault="005B44BE">
            <w:pPr>
              <w:tabs>
                <w:tab w:val="clear" w:pos="0"/>
              </w:tabs>
              <w:spacing w:after="0"/>
              <w:jc w:val="center"/>
              <w:textAlignment w:val="baseline"/>
              <w:rPr>
                <w:color w:val="000000"/>
                <w:lang w:val="en-US"/>
              </w:rPr>
            </w:pPr>
            <w:r w:rsidRPr="00A11B07">
              <w:t>1,049 – 1,084</w:t>
            </w:r>
          </w:p>
        </w:tc>
      </w:tr>
      <w:tr w:rsidR="005B44BE" w:rsidRPr="00E537F3" w14:paraId="5F9A139D" w14:textId="77777777" w:rsidTr="002135B0">
        <w:trPr>
          <w:trHeight w:val="285"/>
        </w:trPr>
        <w:tc>
          <w:tcPr>
            <w:tcW w:w="1338" w:type="dxa"/>
            <w:vMerge/>
          </w:tcPr>
          <w:p w14:paraId="171415A5" w14:textId="77777777" w:rsidR="005B44BE" w:rsidRDefault="005B44BE">
            <w:pPr>
              <w:tabs>
                <w:tab w:val="clear" w:pos="0"/>
              </w:tabs>
              <w:spacing w:after="0"/>
              <w:jc w:val="center"/>
              <w:textAlignment w:val="baseline"/>
              <w:rPr>
                <w:b/>
                <w:bCs/>
                <w:color w:val="000000"/>
                <w:lang w:val="en-US"/>
              </w:rPr>
            </w:pPr>
          </w:p>
        </w:tc>
        <w:tc>
          <w:tcPr>
            <w:tcW w:w="2571" w:type="dxa"/>
            <w:shd w:val="clear" w:color="auto" w:fill="FFFFFF" w:themeFill="background1"/>
            <w:vAlign w:val="center"/>
          </w:tcPr>
          <w:p w14:paraId="788F1741" w14:textId="77777777" w:rsidR="005B44BE" w:rsidRPr="00A11B07" w:rsidRDefault="005B44BE" w:rsidP="00D47352">
            <w:pPr>
              <w:tabs>
                <w:tab w:val="clear" w:pos="0"/>
              </w:tabs>
              <w:spacing w:after="0"/>
              <w:textAlignment w:val="baseline"/>
              <w:rPr>
                <w:color w:val="000000"/>
                <w:lang w:val="en-US"/>
              </w:rPr>
            </w:pPr>
            <w:r w:rsidRPr="00A11B07">
              <w:rPr>
                <w:color w:val="000000"/>
                <w:lang w:val="en-US"/>
              </w:rPr>
              <w:t>HFC Production sector and HFC-23 mitigation</w:t>
            </w:r>
          </w:p>
        </w:tc>
        <w:tc>
          <w:tcPr>
            <w:tcW w:w="2580" w:type="dxa"/>
            <w:shd w:val="clear" w:color="auto" w:fill="FFFFFF" w:themeFill="background1"/>
            <w:vAlign w:val="center"/>
          </w:tcPr>
          <w:p w14:paraId="247C2149" w14:textId="77777777" w:rsidR="005B44BE" w:rsidRPr="00A11B07" w:rsidRDefault="005B44BE">
            <w:pPr>
              <w:tabs>
                <w:tab w:val="clear" w:pos="0"/>
              </w:tabs>
              <w:spacing w:after="0"/>
              <w:jc w:val="center"/>
              <w:textAlignment w:val="baseline"/>
              <w:rPr>
                <w:color w:val="000000"/>
                <w:lang w:val="en-US"/>
              </w:rPr>
            </w:pPr>
            <w:r w:rsidRPr="00A11B07">
              <w:rPr>
                <w:color w:val="000000"/>
                <w:lang w:val="en-US"/>
              </w:rPr>
              <w:t>0.51</w:t>
            </w:r>
          </w:p>
        </w:tc>
        <w:tc>
          <w:tcPr>
            <w:tcW w:w="2655" w:type="dxa"/>
            <w:shd w:val="clear" w:color="auto" w:fill="FFFFFF" w:themeFill="background1"/>
            <w:vAlign w:val="center"/>
          </w:tcPr>
          <w:p w14:paraId="4915ACFC" w14:textId="77777777" w:rsidR="005B44BE" w:rsidRPr="00A11B07" w:rsidRDefault="005B44BE">
            <w:pPr>
              <w:tabs>
                <w:tab w:val="clear" w:pos="0"/>
              </w:tabs>
              <w:spacing w:after="0"/>
              <w:jc w:val="center"/>
              <w:textAlignment w:val="baseline"/>
              <w:rPr>
                <w:color w:val="000000"/>
                <w:lang w:val="en-US"/>
              </w:rPr>
            </w:pPr>
            <w:r w:rsidRPr="00A11B07">
              <w:rPr>
                <w:color w:val="000000"/>
                <w:lang w:val="en-US"/>
              </w:rPr>
              <w:t>0.51</w:t>
            </w:r>
          </w:p>
        </w:tc>
      </w:tr>
      <w:tr w:rsidR="005B44BE" w:rsidRPr="00E537F3" w14:paraId="273209DD" w14:textId="77777777" w:rsidTr="002135B0">
        <w:trPr>
          <w:trHeight w:val="285"/>
        </w:trPr>
        <w:tc>
          <w:tcPr>
            <w:tcW w:w="1338" w:type="dxa"/>
            <w:vMerge/>
          </w:tcPr>
          <w:p w14:paraId="34EF6699" w14:textId="77777777" w:rsidR="005B44BE" w:rsidRDefault="005B44BE">
            <w:pPr>
              <w:tabs>
                <w:tab w:val="clear" w:pos="0"/>
              </w:tabs>
              <w:spacing w:after="0"/>
              <w:jc w:val="center"/>
              <w:textAlignment w:val="baseline"/>
              <w:rPr>
                <w:b/>
                <w:bCs/>
                <w:color w:val="000000"/>
                <w:lang w:val="en-US"/>
              </w:rPr>
            </w:pPr>
          </w:p>
        </w:tc>
        <w:tc>
          <w:tcPr>
            <w:tcW w:w="2571" w:type="dxa"/>
            <w:shd w:val="clear" w:color="auto" w:fill="FFFF00"/>
            <w:vAlign w:val="center"/>
          </w:tcPr>
          <w:p w14:paraId="5F3FB906" w14:textId="77777777" w:rsidR="005B44BE" w:rsidRDefault="005B44BE" w:rsidP="00D47352">
            <w:pPr>
              <w:tabs>
                <w:tab w:val="clear" w:pos="0"/>
              </w:tabs>
              <w:spacing w:after="0"/>
              <w:textAlignment w:val="baseline"/>
              <w:rPr>
                <w:b/>
                <w:bCs/>
                <w:color w:val="000000"/>
                <w:lang w:val="en-US"/>
              </w:rPr>
            </w:pPr>
            <w:r>
              <w:rPr>
                <w:b/>
                <w:bCs/>
                <w:color w:val="000000"/>
                <w:lang w:val="en-US"/>
              </w:rPr>
              <w:t>TOTAL RANGE</w:t>
            </w:r>
          </w:p>
        </w:tc>
        <w:tc>
          <w:tcPr>
            <w:tcW w:w="2580" w:type="dxa"/>
            <w:shd w:val="clear" w:color="auto" w:fill="FFFF00"/>
            <w:vAlign w:val="center"/>
          </w:tcPr>
          <w:p w14:paraId="2AA9F2EC" w14:textId="77777777" w:rsidR="005B44BE" w:rsidRDefault="005B44BE">
            <w:pPr>
              <w:tabs>
                <w:tab w:val="clear" w:pos="0"/>
              </w:tabs>
              <w:spacing w:after="0"/>
              <w:jc w:val="center"/>
              <w:textAlignment w:val="baseline"/>
              <w:rPr>
                <w:b/>
                <w:bCs/>
                <w:color w:val="000000"/>
                <w:lang w:val="en-US"/>
              </w:rPr>
            </w:pPr>
            <w:r>
              <w:rPr>
                <w:b/>
                <w:bCs/>
                <w:color w:val="000000"/>
                <w:lang w:val="en-US"/>
              </w:rPr>
              <w:t>877 – 908</w:t>
            </w:r>
          </w:p>
        </w:tc>
        <w:tc>
          <w:tcPr>
            <w:tcW w:w="2655" w:type="dxa"/>
            <w:shd w:val="clear" w:color="auto" w:fill="FFFF00"/>
            <w:vAlign w:val="center"/>
          </w:tcPr>
          <w:p w14:paraId="54D9161C" w14:textId="77777777" w:rsidR="005B44BE" w:rsidRDefault="005B44BE">
            <w:pPr>
              <w:tabs>
                <w:tab w:val="clear" w:pos="0"/>
              </w:tabs>
              <w:spacing w:after="0"/>
              <w:jc w:val="center"/>
              <w:textAlignment w:val="baseline"/>
              <w:rPr>
                <w:b/>
                <w:bCs/>
                <w:color w:val="000000"/>
                <w:lang w:val="en-US"/>
              </w:rPr>
            </w:pPr>
            <w:r>
              <w:rPr>
                <w:b/>
                <w:bCs/>
                <w:color w:val="000000"/>
                <w:lang w:val="en-US"/>
              </w:rPr>
              <w:t>1,050 – 1,085</w:t>
            </w:r>
          </w:p>
        </w:tc>
      </w:tr>
      <w:tr w:rsidR="005B44BE" w:rsidRPr="00E537F3" w14:paraId="6646E7F8" w14:textId="77777777" w:rsidTr="0006403F">
        <w:trPr>
          <w:trHeight w:val="285"/>
        </w:trPr>
        <w:tc>
          <w:tcPr>
            <w:tcW w:w="1338" w:type="dxa"/>
            <w:vMerge w:val="restart"/>
            <w:shd w:val="clear" w:color="auto" w:fill="E2EFD9" w:themeFill="accent6" w:themeFillTint="33"/>
            <w:vAlign w:val="center"/>
          </w:tcPr>
          <w:p w14:paraId="45B12705" w14:textId="77777777" w:rsidR="005B44BE" w:rsidRDefault="005B44BE" w:rsidP="0032663E">
            <w:pPr>
              <w:tabs>
                <w:tab w:val="clear" w:pos="0"/>
              </w:tabs>
              <w:spacing w:after="0"/>
              <w:jc w:val="center"/>
              <w:textAlignment w:val="baseline"/>
              <w:rPr>
                <w:b/>
                <w:bCs/>
                <w:color w:val="000000"/>
                <w:lang w:val="en-US"/>
              </w:rPr>
            </w:pPr>
            <w:r>
              <w:rPr>
                <w:b/>
                <w:bCs/>
                <w:color w:val="000000"/>
                <w:lang w:val="en-US"/>
              </w:rPr>
              <w:t>2033-2035</w:t>
            </w:r>
          </w:p>
        </w:tc>
        <w:tc>
          <w:tcPr>
            <w:tcW w:w="2571" w:type="dxa"/>
            <w:shd w:val="clear" w:color="auto" w:fill="FFFFFF" w:themeFill="background1"/>
            <w:vAlign w:val="bottom"/>
          </w:tcPr>
          <w:p w14:paraId="3832CC73" w14:textId="67398BFF" w:rsidR="005B44BE" w:rsidRPr="00A11B07" w:rsidRDefault="005B44BE">
            <w:pPr>
              <w:tabs>
                <w:tab w:val="clear" w:pos="0"/>
              </w:tabs>
              <w:spacing w:after="0"/>
              <w:textAlignment w:val="baseline"/>
              <w:rPr>
                <w:color w:val="000000"/>
                <w:lang w:val="en-US"/>
              </w:rPr>
            </w:pPr>
            <w:r w:rsidRPr="00A11B07">
              <w:rPr>
                <w:color w:val="000000"/>
                <w:lang w:val="en-US"/>
              </w:rPr>
              <w:t xml:space="preserve">HFC Consumption sector </w:t>
            </w:r>
          </w:p>
        </w:tc>
        <w:tc>
          <w:tcPr>
            <w:tcW w:w="2580" w:type="dxa"/>
            <w:shd w:val="clear" w:color="auto" w:fill="FFFFFF" w:themeFill="background1"/>
            <w:vAlign w:val="center"/>
          </w:tcPr>
          <w:p w14:paraId="0FDA2542" w14:textId="77777777" w:rsidR="005B44BE" w:rsidRPr="00A11B07" w:rsidRDefault="005B44BE">
            <w:pPr>
              <w:tabs>
                <w:tab w:val="clear" w:pos="0"/>
              </w:tabs>
              <w:spacing w:after="0"/>
              <w:jc w:val="center"/>
              <w:textAlignment w:val="baseline"/>
              <w:rPr>
                <w:color w:val="000000"/>
                <w:lang w:val="en-US"/>
              </w:rPr>
            </w:pPr>
            <w:r w:rsidRPr="00A11B07">
              <w:t>487 – 503</w:t>
            </w:r>
          </w:p>
        </w:tc>
        <w:tc>
          <w:tcPr>
            <w:tcW w:w="2655" w:type="dxa"/>
            <w:shd w:val="clear" w:color="auto" w:fill="FFFFFF" w:themeFill="background1"/>
            <w:vAlign w:val="center"/>
          </w:tcPr>
          <w:p w14:paraId="3ED40169" w14:textId="77777777" w:rsidR="005B44BE" w:rsidRPr="00A11B07" w:rsidRDefault="005B44BE">
            <w:pPr>
              <w:tabs>
                <w:tab w:val="clear" w:pos="0"/>
              </w:tabs>
              <w:spacing w:after="0"/>
              <w:jc w:val="center"/>
              <w:textAlignment w:val="baseline"/>
              <w:rPr>
                <w:color w:val="000000"/>
                <w:lang w:val="en-US"/>
              </w:rPr>
            </w:pPr>
            <w:r w:rsidRPr="00A11B07">
              <w:t>583 – 600</w:t>
            </w:r>
          </w:p>
        </w:tc>
      </w:tr>
      <w:tr w:rsidR="005B44BE" w:rsidRPr="00E537F3" w14:paraId="380B8D0E" w14:textId="77777777" w:rsidTr="00A9633A">
        <w:trPr>
          <w:trHeight w:val="285"/>
        </w:trPr>
        <w:tc>
          <w:tcPr>
            <w:tcW w:w="1338" w:type="dxa"/>
            <w:vMerge/>
          </w:tcPr>
          <w:p w14:paraId="493DF23B" w14:textId="77777777" w:rsidR="005B44BE" w:rsidRDefault="005B44BE">
            <w:pPr>
              <w:tabs>
                <w:tab w:val="clear" w:pos="0"/>
              </w:tabs>
              <w:spacing w:after="0"/>
              <w:jc w:val="center"/>
              <w:textAlignment w:val="baseline"/>
              <w:rPr>
                <w:b/>
                <w:bCs/>
                <w:color w:val="000000"/>
                <w:lang w:val="en-US"/>
              </w:rPr>
            </w:pPr>
          </w:p>
        </w:tc>
        <w:tc>
          <w:tcPr>
            <w:tcW w:w="2571" w:type="dxa"/>
            <w:shd w:val="clear" w:color="auto" w:fill="FFFFFF" w:themeFill="background1"/>
            <w:vAlign w:val="bottom"/>
          </w:tcPr>
          <w:p w14:paraId="688292CE" w14:textId="77777777" w:rsidR="005B44BE" w:rsidRPr="00A11B07" w:rsidRDefault="005B44BE">
            <w:pPr>
              <w:tabs>
                <w:tab w:val="clear" w:pos="0"/>
              </w:tabs>
              <w:spacing w:after="0"/>
              <w:textAlignment w:val="baseline"/>
              <w:rPr>
                <w:color w:val="000000"/>
                <w:lang w:val="en-US"/>
              </w:rPr>
            </w:pPr>
            <w:r w:rsidRPr="00A11B07">
              <w:rPr>
                <w:color w:val="000000"/>
                <w:lang w:val="en-US"/>
              </w:rPr>
              <w:t>HFC Production sector and HFC-23 mitigation</w:t>
            </w:r>
          </w:p>
        </w:tc>
        <w:tc>
          <w:tcPr>
            <w:tcW w:w="2580" w:type="dxa"/>
            <w:shd w:val="clear" w:color="auto" w:fill="FFFFFF" w:themeFill="background1"/>
            <w:vAlign w:val="center"/>
          </w:tcPr>
          <w:p w14:paraId="7446CCB6" w14:textId="314B14DB" w:rsidR="005B44BE" w:rsidRPr="00A11B07" w:rsidRDefault="274D2446">
            <w:pPr>
              <w:tabs>
                <w:tab w:val="clear" w:pos="0"/>
              </w:tabs>
              <w:spacing w:after="0"/>
              <w:jc w:val="center"/>
              <w:textAlignment w:val="baseline"/>
              <w:rPr>
                <w:color w:val="000000"/>
                <w:lang w:val="en-US"/>
              </w:rPr>
            </w:pPr>
            <w:r w:rsidRPr="274D2446">
              <w:rPr>
                <w:lang w:val="en-US"/>
              </w:rPr>
              <w:t>0</w:t>
            </w:r>
          </w:p>
        </w:tc>
        <w:tc>
          <w:tcPr>
            <w:tcW w:w="2655" w:type="dxa"/>
            <w:shd w:val="clear" w:color="auto" w:fill="FFFFFF" w:themeFill="background1"/>
            <w:vAlign w:val="center"/>
          </w:tcPr>
          <w:p w14:paraId="5B286730" w14:textId="6C152405" w:rsidR="005B44BE" w:rsidRPr="00A11B07" w:rsidRDefault="274D2446">
            <w:pPr>
              <w:tabs>
                <w:tab w:val="clear" w:pos="0"/>
              </w:tabs>
              <w:spacing w:after="0"/>
              <w:jc w:val="center"/>
              <w:textAlignment w:val="baseline"/>
              <w:rPr>
                <w:color w:val="000000"/>
                <w:lang w:val="en-US"/>
              </w:rPr>
            </w:pPr>
            <w:r w:rsidRPr="274D2446">
              <w:rPr>
                <w:lang w:val="en-US"/>
              </w:rPr>
              <w:t>0</w:t>
            </w:r>
          </w:p>
        </w:tc>
      </w:tr>
      <w:tr w:rsidR="005B44BE" w:rsidRPr="00E537F3" w14:paraId="0F860C4C" w14:textId="77777777" w:rsidTr="00A9633A">
        <w:trPr>
          <w:trHeight w:val="285"/>
        </w:trPr>
        <w:tc>
          <w:tcPr>
            <w:tcW w:w="1338" w:type="dxa"/>
            <w:vMerge/>
          </w:tcPr>
          <w:p w14:paraId="2E2F2C27" w14:textId="77777777" w:rsidR="005B44BE" w:rsidRDefault="005B44BE">
            <w:pPr>
              <w:tabs>
                <w:tab w:val="clear" w:pos="0"/>
              </w:tabs>
              <w:spacing w:after="0"/>
              <w:jc w:val="center"/>
              <w:textAlignment w:val="baseline"/>
              <w:rPr>
                <w:b/>
                <w:bCs/>
                <w:color w:val="000000"/>
                <w:lang w:val="en-US"/>
              </w:rPr>
            </w:pPr>
          </w:p>
        </w:tc>
        <w:tc>
          <w:tcPr>
            <w:tcW w:w="2571" w:type="dxa"/>
            <w:shd w:val="clear" w:color="auto" w:fill="FFFF00"/>
            <w:vAlign w:val="bottom"/>
          </w:tcPr>
          <w:p w14:paraId="62BD9461" w14:textId="77777777" w:rsidR="005B44BE" w:rsidRDefault="005B44BE">
            <w:pPr>
              <w:tabs>
                <w:tab w:val="clear" w:pos="0"/>
              </w:tabs>
              <w:spacing w:after="0"/>
              <w:textAlignment w:val="baseline"/>
              <w:rPr>
                <w:b/>
                <w:bCs/>
                <w:color w:val="000000"/>
                <w:lang w:val="en-US"/>
              </w:rPr>
            </w:pPr>
            <w:r>
              <w:rPr>
                <w:b/>
                <w:bCs/>
                <w:color w:val="000000"/>
                <w:lang w:val="en-US"/>
              </w:rPr>
              <w:t>TOTAL RANGE</w:t>
            </w:r>
          </w:p>
        </w:tc>
        <w:tc>
          <w:tcPr>
            <w:tcW w:w="2580" w:type="dxa"/>
            <w:shd w:val="clear" w:color="auto" w:fill="FFFF00"/>
            <w:vAlign w:val="center"/>
          </w:tcPr>
          <w:p w14:paraId="1DF240A1" w14:textId="77777777" w:rsidR="005B44BE" w:rsidRDefault="005B44BE">
            <w:pPr>
              <w:tabs>
                <w:tab w:val="clear" w:pos="0"/>
              </w:tabs>
              <w:spacing w:after="0"/>
              <w:jc w:val="center"/>
              <w:textAlignment w:val="baseline"/>
              <w:rPr>
                <w:b/>
                <w:bCs/>
                <w:color w:val="000000"/>
                <w:lang w:val="en-US"/>
              </w:rPr>
            </w:pPr>
            <w:r w:rsidRPr="00C64C29">
              <w:rPr>
                <w:b/>
                <w:bCs/>
                <w:color w:val="000000"/>
                <w:lang w:val="en-US"/>
              </w:rPr>
              <w:t>487 – 503</w:t>
            </w:r>
          </w:p>
        </w:tc>
        <w:tc>
          <w:tcPr>
            <w:tcW w:w="2655" w:type="dxa"/>
            <w:shd w:val="clear" w:color="auto" w:fill="FFFF00"/>
            <w:vAlign w:val="center"/>
          </w:tcPr>
          <w:p w14:paraId="71A62FD6" w14:textId="77777777" w:rsidR="005B44BE" w:rsidRDefault="005B44BE">
            <w:pPr>
              <w:tabs>
                <w:tab w:val="clear" w:pos="0"/>
              </w:tabs>
              <w:spacing w:after="0"/>
              <w:jc w:val="center"/>
              <w:textAlignment w:val="baseline"/>
              <w:rPr>
                <w:b/>
                <w:bCs/>
                <w:color w:val="000000"/>
                <w:lang w:val="en-US"/>
              </w:rPr>
            </w:pPr>
            <w:r w:rsidRPr="00C64C29">
              <w:rPr>
                <w:b/>
                <w:bCs/>
                <w:color w:val="000000"/>
              </w:rPr>
              <w:t>583 – 600</w:t>
            </w:r>
          </w:p>
        </w:tc>
      </w:tr>
    </w:tbl>
    <w:p w14:paraId="24927449" w14:textId="77777777" w:rsidR="005B44BE" w:rsidRDefault="005B44BE" w:rsidP="005B44BE">
      <w:pPr>
        <w:keepNext/>
        <w:keepLines/>
      </w:pPr>
    </w:p>
    <w:p w14:paraId="327785BD" w14:textId="340EA3C5" w:rsidR="000E57A4" w:rsidRPr="000E57A4" w:rsidRDefault="000E57A4" w:rsidP="00581B63">
      <w:pPr>
        <w:tabs>
          <w:tab w:val="clear" w:pos="0"/>
        </w:tabs>
        <w:spacing w:after="200"/>
        <w:rPr>
          <w:rFonts w:eastAsia="SimSun"/>
          <w:b/>
          <w:bCs/>
          <w:color w:val="auto"/>
        </w:rPr>
      </w:pPr>
      <w:r w:rsidRPr="000E57A4">
        <w:rPr>
          <w:rFonts w:eastAsia="SimSun"/>
          <w:b/>
          <w:bCs/>
          <w:color w:val="auto"/>
        </w:rPr>
        <w:t xml:space="preserve">Other </w:t>
      </w:r>
      <w:r w:rsidR="007A5515">
        <w:rPr>
          <w:rFonts w:eastAsia="SimSun"/>
          <w:b/>
          <w:bCs/>
          <w:color w:val="auto"/>
        </w:rPr>
        <w:t xml:space="preserve">funding </w:t>
      </w:r>
      <w:r w:rsidRPr="000E57A4">
        <w:rPr>
          <w:rFonts w:eastAsia="SimSun"/>
          <w:b/>
          <w:bCs/>
          <w:color w:val="auto"/>
        </w:rPr>
        <w:t>considerations</w:t>
      </w:r>
      <w:r w:rsidR="007A5515">
        <w:rPr>
          <w:rFonts w:eastAsia="SimSun"/>
          <w:b/>
          <w:bCs/>
          <w:color w:val="auto"/>
        </w:rPr>
        <w:t xml:space="preserve"> and information for parties</w:t>
      </w:r>
    </w:p>
    <w:p w14:paraId="3EE1D109" w14:textId="36D86103" w:rsidR="005A35F3" w:rsidRPr="00915DFB" w:rsidRDefault="005130F5" w:rsidP="239CCF04">
      <w:pPr>
        <w:spacing w:after="200"/>
        <w:rPr>
          <w:rFonts w:eastAsia="SimSun"/>
          <w:color w:val="auto"/>
        </w:rPr>
      </w:pPr>
      <w:r w:rsidRPr="005130F5">
        <w:rPr>
          <w:rFonts w:eastAsia="SimSun"/>
          <w:color w:val="auto"/>
        </w:rPr>
        <w:t xml:space="preserve">In accordance with </w:t>
      </w:r>
      <w:r w:rsidR="000E57A4">
        <w:rPr>
          <w:rFonts w:eastAsia="SimSun"/>
          <w:color w:val="auto"/>
        </w:rPr>
        <w:t xml:space="preserve">the </w:t>
      </w:r>
      <w:r w:rsidR="00DF56ED">
        <w:rPr>
          <w:rFonts w:eastAsia="SimSun"/>
          <w:color w:val="auto"/>
        </w:rPr>
        <w:t>Decision XXXVII/6</w:t>
      </w:r>
      <w:r w:rsidR="00751CB9">
        <w:rPr>
          <w:rFonts w:eastAsia="SimSun"/>
          <w:color w:val="auto"/>
        </w:rPr>
        <w:t xml:space="preserve"> </w:t>
      </w:r>
      <w:r w:rsidR="00D801A2">
        <w:rPr>
          <w:rFonts w:eastAsia="SimSun"/>
          <w:color w:val="auto"/>
        </w:rPr>
        <w:t>TOR</w:t>
      </w:r>
      <w:r w:rsidR="00C25127">
        <w:rPr>
          <w:rFonts w:eastAsia="SimSun"/>
          <w:color w:val="auto"/>
        </w:rPr>
        <w:t xml:space="preserve"> for </w:t>
      </w:r>
      <w:r w:rsidR="00751CB9">
        <w:rPr>
          <w:rFonts w:eastAsia="SimSun"/>
          <w:color w:val="auto"/>
        </w:rPr>
        <w:t xml:space="preserve">the </w:t>
      </w:r>
      <w:r w:rsidR="239CCF04" w:rsidRPr="239CCF04">
        <w:rPr>
          <w:rFonts w:eastAsia="SimSun"/>
          <w:color w:val="auto"/>
        </w:rPr>
        <w:t>RTF's</w:t>
      </w:r>
      <w:r w:rsidR="00C25127">
        <w:rPr>
          <w:rFonts w:eastAsia="SimSun"/>
          <w:color w:val="auto"/>
        </w:rPr>
        <w:t xml:space="preserve"> assessment, funding requirements </w:t>
      </w:r>
      <w:r w:rsidR="239CCF04" w:rsidRPr="239CCF04">
        <w:rPr>
          <w:rFonts w:eastAsia="SimSun"/>
          <w:color w:val="auto"/>
        </w:rPr>
        <w:t xml:space="preserve">were estimated </w:t>
      </w:r>
      <w:r w:rsidR="00C25127">
        <w:rPr>
          <w:rFonts w:eastAsia="SimSun"/>
          <w:color w:val="auto"/>
        </w:rPr>
        <w:t xml:space="preserve">for </w:t>
      </w:r>
      <w:r w:rsidR="00EA0AC5">
        <w:rPr>
          <w:rFonts w:eastAsia="SimSun"/>
          <w:color w:val="auto"/>
        </w:rPr>
        <w:t>i</w:t>
      </w:r>
      <w:r w:rsidR="239CCF04" w:rsidRPr="239CCF04">
        <w:rPr>
          <w:rFonts w:eastAsia="SimSun"/>
          <w:color w:val="auto"/>
        </w:rPr>
        <w:t xml:space="preserve">nstitutional </w:t>
      </w:r>
      <w:r w:rsidR="00EA0AC5">
        <w:rPr>
          <w:rFonts w:eastAsia="SimSun"/>
          <w:color w:val="auto"/>
        </w:rPr>
        <w:t>s</w:t>
      </w:r>
      <w:r w:rsidR="239CCF04" w:rsidRPr="239CCF04">
        <w:rPr>
          <w:rFonts w:eastAsia="SimSun"/>
          <w:color w:val="auto"/>
        </w:rPr>
        <w:t>trengthening</w:t>
      </w:r>
      <w:r w:rsidR="00431A2A">
        <w:rPr>
          <w:rFonts w:eastAsia="SimSun"/>
          <w:color w:val="auto"/>
        </w:rPr>
        <w:t xml:space="preserve"> and </w:t>
      </w:r>
      <w:r w:rsidR="00EA0AC5">
        <w:rPr>
          <w:rFonts w:eastAsia="SimSun"/>
          <w:color w:val="auto"/>
        </w:rPr>
        <w:t>s</w:t>
      </w:r>
      <w:r w:rsidR="239CCF04" w:rsidRPr="239CCF04">
        <w:rPr>
          <w:rFonts w:eastAsia="SimSun"/>
          <w:color w:val="auto"/>
        </w:rPr>
        <w:t xml:space="preserve">tandard </w:t>
      </w:r>
      <w:r w:rsidR="00EA0AC5">
        <w:rPr>
          <w:rFonts w:eastAsia="SimSun"/>
          <w:color w:val="auto"/>
        </w:rPr>
        <w:t>a</w:t>
      </w:r>
      <w:r w:rsidR="239CCF04" w:rsidRPr="239CCF04">
        <w:rPr>
          <w:rFonts w:eastAsia="SimSun"/>
          <w:color w:val="auto"/>
        </w:rPr>
        <w:t>ctivities</w:t>
      </w:r>
      <w:r w:rsidR="00431A2A">
        <w:rPr>
          <w:rFonts w:eastAsia="SimSun"/>
          <w:color w:val="auto"/>
        </w:rPr>
        <w:t xml:space="preserve">, funding for energy efficiency, and a funding modality for pilot projects </w:t>
      </w:r>
      <w:r w:rsidR="009E3293">
        <w:rPr>
          <w:rFonts w:eastAsia="SimSun"/>
          <w:color w:val="auto"/>
        </w:rPr>
        <w:t xml:space="preserve">aimed at </w:t>
      </w:r>
      <w:r w:rsidR="239CCF04" w:rsidRPr="239CCF04">
        <w:rPr>
          <w:rFonts w:eastAsia="SimSun"/>
          <w:color w:val="auto"/>
        </w:rPr>
        <w:t>enhancing</w:t>
      </w:r>
      <w:r w:rsidR="00431A2A">
        <w:rPr>
          <w:rFonts w:eastAsia="SimSun"/>
          <w:color w:val="auto"/>
        </w:rPr>
        <w:t xml:space="preserve"> regional atmospheric monitoring.</w:t>
      </w:r>
      <w:r w:rsidR="00A85696" w:rsidRPr="00A85696">
        <w:t xml:space="preserve"> </w:t>
      </w:r>
      <w:r w:rsidR="239CCF04" w:rsidRPr="239CCF04">
        <w:rPr>
          <w:rFonts w:eastAsia="SimSun"/>
          <w:color w:val="auto"/>
        </w:rPr>
        <w:t xml:space="preserve">RTF </w:t>
      </w:r>
      <w:r w:rsidR="00DF56ED">
        <w:rPr>
          <w:rFonts w:eastAsia="SimSun"/>
          <w:color w:val="auto"/>
        </w:rPr>
        <w:t xml:space="preserve">also </w:t>
      </w:r>
      <w:r w:rsidR="239CCF04" w:rsidRPr="239CCF04">
        <w:rPr>
          <w:rFonts w:eastAsia="SimSun"/>
          <w:color w:val="auto"/>
        </w:rPr>
        <w:t>provided</w:t>
      </w:r>
      <w:r w:rsidR="007A5515">
        <w:rPr>
          <w:rFonts w:eastAsia="SimSun"/>
          <w:color w:val="auto"/>
        </w:rPr>
        <w:t xml:space="preserve"> updated information on </w:t>
      </w:r>
      <w:r w:rsidR="239CCF04" w:rsidRPr="239CCF04">
        <w:rPr>
          <w:rFonts w:eastAsia="SimSun"/>
          <w:color w:val="auto"/>
        </w:rPr>
        <w:t>“</w:t>
      </w:r>
      <w:r w:rsidR="00012726">
        <w:rPr>
          <w:rFonts w:eastAsia="SimSun"/>
          <w:color w:val="auto"/>
        </w:rPr>
        <w:t>the special needs of low-volume-consuming and very-low-volume consuming countries</w:t>
      </w:r>
      <w:r w:rsidR="239CCF04" w:rsidRPr="239CCF04">
        <w:rPr>
          <w:rFonts w:eastAsia="SimSun"/>
          <w:color w:val="auto"/>
        </w:rPr>
        <w:t>”,</w:t>
      </w:r>
      <w:r w:rsidR="00AD244B">
        <w:rPr>
          <w:rFonts w:eastAsia="SimSun"/>
          <w:color w:val="auto"/>
        </w:rPr>
        <w:t xml:space="preserve"> and </w:t>
      </w:r>
      <w:r w:rsidR="239CCF04" w:rsidRPr="239CCF04">
        <w:rPr>
          <w:rFonts w:eastAsia="SimSun"/>
          <w:color w:val="auto"/>
        </w:rPr>
        <w:t>on “</w:t>
      </w:r>
      <w:r w:rsidR="00AD244B">
        <w:rPr>
          <w:rFonts w:eastAsia="SimSun"/>
          <w:color w:val="auto"/>
        </w:rPr>
        <w:t>digital</w:t>
      </w:r>
      <w:r w:rsidR="00A85696">
        <w:rPr>
          <w:rFonts w:eastAsia="SimSun"/>
          <w:color w:val="auto"/>
        </w:rPr>
        <w:t xml:space="preserve"> technologies and tools within the servicing sector</w:t>
      </w:r>
      <w:r w:rsidR="239CCF04" w:rsidRPr="239CCF04">
        <w:rPr>
          <w:rFonts w:eastAsia="SimSun"/>
          <w:color w:val="auto"/>
        </w:rPr>
        <w:t>”.</w:t>
      </w:r>
    </w:p>
    <w:p w14:paraId="2BC47481" w14:textId="2A2FAFD7" w:rsidR="00103775" w:rsidRPr="00CD3630" w:rsidRDefault="00A62A2F" w:rsidP="5D4EE825">
      <w:pPr>
        <w:spacing w:line="259" w:lineRule="auto"/>
        <w:rPr>
          <w:b/>
          <w:bCs/>
        </w:rPr>
      </w:pPr>
      <w:bookmarkStart w:id="93" w:name="_Hlk78119192"/>
      <w:r>
        <w:rPr>
          <w:b/>
          <w:bCs/>
        </w:rPr>
        <w:t xml:space="preserve">Range of </w:t>
      </w:r>
      <w:r w:rsidR="00C94D3B">
        <w:rPr>
          <w:b/>
          <w:bCs/>
        </w:rPr>
        <w:t>e</w:t>
      </w:r>
      <w:r w:rsidR="00103775" w:rsidRPr="00CD3630">
        <w:rPr>
          <w:b/>
          <w:bCs/>
        </w:rPr>
        <w:t xml:space="preserve">stimated </w:t>
      </w:r>
      <w:r w:rsidR="00C224DE">
        <w:rPr>
          <w:b/>
          <w:bCs/>
        </w:rPr>
        <w:t>t</w:t>
      </w:r>
      <w:r w:rsidR="00103775" w:rsidRPr="00CD3630">
        <w:rPr>
          <w:b/>
          <w:bCs/>
        </w:rPr>
        <w:t xml:space="preserve">otal </w:t>
      </w:r>
      <w:r w:rsidR="00C224DE">
        <w:rPr>
          <w:b/>
          <w:bCs/>
        </w:rPr>
        <w:t>f</w:t>
      </w:r>
      <w:r w:rsidR="00103775" w:rsidRPr="00CD3630">
        <w:rPr>
          <w:b/>
          <w:bCs/>
        </w:rPr>
        <w:t xml:space="preserve">unding </w:t>
      </w:r>
      <w:r w:rsidR="00C224DE">
        <w:rPr>
          <w:b/>
          <w:bCs/>
        </w:rPr>
        <w:t>r</w:t>
      </w:r>
      <w:r w:rsidR="00103775" w:rsidRPr="00CD3630">
        <w:rPr>
          <w:b/>
          <w:bCs/>
        </w:rPr>
        <w:t xml:space="preserve">equirements for the 2027-2029 </w:t>
      </w:r>
      <w:r w:rsidR="00C224DE">
        <w:rPr>
          <w:b/>
          <w:bCs/>
        </w:rPr>
        <w:t>t</w:t>
      </w:r>
      <w:r w:rsidR="00280990" w:rsidRPr="00CD3630">
        <w:rPr>
          <w:b/>
          <w:bCs/>
        </w:rPr>
        <w:t>riennium</w:t>
      </w:r>
    </w:p>
    <w:p w14:paraId="001A22DA" w14:textId="35325B1D" w:rsidR="003612D1" w:rsidRDefault="003612D1" w:rsidP="003612D1">
      <w:r w:rsidRPr="00CD3630">
        <w:t xml:space="preserve">The </w:t>
      </w:r>
      <w:r w:rsidR="008C5D6E" w:rsidRPr="00CD3630">
        <w:t xml:space="preserve">range of </w:t>
      </w:r>
      <w:r w:rsidRPr="00CD3630">
        <w:t>total estimated funding requirement for the replenishment of the MLF in the 2027-2029 triennium, including support costs, is presented in Tables ES</w:t>
      </w:r>
      <w:r w:rsidR="008C5D6E" w:rsidRPr="00CD3630">
        <w:t>.4</w:t>
      </w:r>
      <w:bookmarkStart w:id="94" w:name="_Hlk81676469"/>
      <w:r w:rsidRPr="00CD3630">
        <w:t>.</w:t>
      </w:r>
      <w:r w:rsidRPr="00FC240F">
        <w:t xml:space="preserve"> </w:t>
      </w:r>
      <w:bookmarkEnd w:id="94"/>
    </w:p>
    <w:p w14:paraId="3EE4B94B" w14:textId="4AE1A229" w:rsidR="00A10EE7" w:rsidRDefault="274D2446" w:rsidP="002135B0">
      <w:pPr>
        <w:ind w:left="1276" w:hanging="1276"/>
        <w:rPr>
          <w:rFonts w:eastAsiaTheme="minorEastAsia"/>
          <w:b/>
          <w:bCs/>
          <w:highlight w:val="yellow"/>
        </w:rPr>
      </w:pPr>
      <w:r w:rsidRPr="274D2446">
        <w:rPr>
          <w:rFonts w:eastAsiaTheme="minorEastAsia"/>
          <w:b/>
          <w:bCs/>
        </w:rPr>
        <w:t>Table ES.4</w:t>
      </w:r>
      <w:r w:rsidR="00C251D0">
        <w:t>:</w:t>
      </w:r>
      <w:r w:rsidR="008E5ADF">
        <w:tab/>
      </w:r>
      <w:r w:rsidR="00315883" w:rsidRPr="00315883">
        <w:rPr>
          <w:b/>
          <w:bCs/>
        </w:rPr>
        <w:t>Range of total funding requirement for the replenishment of the MLF 2027-2029 based on different scenarios and resource allocation schedules, and IS and SA (US$ million)</w:t>
      </w:r>
      <w:bookmarkEnd w:id="93"/>
      <w:r w:rsidR="00A10EE7" w:rsidRPr="222ABFFA">
        <w:rPr>
          <w:rFonts w:eastAsiaTheme="minorEastAsia"/>
          <w:b/>
          <w:bCs/>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19"/>
        <w:gridCol w:w="3030"/>
        <w:gridCol w:w="2958"/>
      </w:tblGrid>
      <w:tr w:rsidR="00A10EE7" w:rsidRPr="005B7137" w14:paraId="48AB4936" w14:textId="77777777" w:rsidTr="4BCEE662">
        <w:trPr>
          <w:trHeight w:val="60"/>
        </w:trPr>
        <w:tc>
          <w:tcPr>
            <w:tcW w:w="1676" w:type="pct"/>
            <w:shd w:val="clear" w:color="auto" w:fill="D9E2F3" w:themeFill="accent1" w:themeFillTint="33"/>
            <w:vAlign w:val="center"/>
            <w:hideMark/>
          </w:tcPr>
          <w:p w14:paraId="67A540B2" w14:textId="77777777" w:rsidR="00A10EE7" w:rsidRPr="005B7137" w:rsidRDefault="00A10EE7">
            <w:pPr>
              <w:tabs>
                <w:tab w:val="clear" w:pos="0"/>
              </w:tabs>
              <w:spacing w:after="0"/>
              <w:jc w:val="center"/>
              <w:rPr>
                <w:b/>
                <w:bCs/>
                <w:color w:val="000000"/>
                <w:lang w:val="en-US"/>
              </w:rPr>
            </w:pPr>
            <w:r w:rsidRPr="005B7137">
              <w:rPr>
                <w:b/>
                <w:bCs/>
                <w:color w:val="000000"/>
                <w:lang w:val="en-US"/>
              </w:rPr>
              <w:t>2027-2029 Triennium</w:t>
            </w:r>
          </w:p>
        </w:tc>
        <w:tc>
          <w:tcPr>
            <w:tcW w:w="1682" w:type="pct"/>
            <w:shd w:val="clear" w:color="auto" w:fill="D9E2F3" w:themeFill="accent1" w:themeFillTint="33"/>
            <w:vAlign w:val="center"/>
            <w:hideMark/>
          </w:tcPr>
          <w:p w14:paraId="49AFCD52" w14:textId="260E8FC6" w:rsidR="00A10EE7" w:rsidRPr="005B7137" w:rsidRDefault="4BCEE662" w:rsidP="4BCEE662">
            <w:pPr>
              <w:tabs>
                <w:tab w:val="clear" w:pos="0"/>
              </w:tabs>
              <w:spacing w:after="0"/>
              <w:jc w:val="center"/>
              <w:textAlignment w:val="baseline"/>
              <w:rPr>
                <w:b/>
                <w:bCs/>
                <w:lang w:val="en-US"/>
              </w:rPr>
            </w:pPr>
            <w:r w:rsidRPr="4BCEE662">
              <w:rPr>
                <w:b/>
                <w:bCs/>
                <w:lang w:val="en-US"/>
              </w:rPr>
              <w:t xml:space="preserve">Low-end Range </w:t>
            </w:r>
          </w:p>
        </w:tc>
        <w:tc>
          <w:tcPr>
            <w:tcW w:w="1642" w:type="pct"/>
            <w:shd w:val="clear" w:color="auto" w:fill="D9E2F3" w:themeFill="accent1" w:themeFillTint="33"/>
            <w:vAlign w:val="center"/>
            <w:hideMark/>
          </w:tcPr>
          <w:p w14:paraId="7864A8C3" w14:textId="17AE770C" w:rsidR="00A10EE7" w:rsidRPr="005B7137" w:rsidRDefault="4BCEE662" w:rsidP="4BCEE662">
            <w:pPr>
              <w:tabs>
                <w:tab w:val="clear" w:pos="0"/>
              </w:tabs>
              <w:spacing w:after="0" w:line="259" w:lineRule="auto"/>
              <w:jc w:val="center"/>
              <w:rPr>
                <w:b/>
                <w:bCs/>
                <w:lang w:val="en-US"/>
              </w:rPr>
            </w:pPr>
            <w:r w:rsidRPr="4BCEE662">
              <w:rPr>
                <w:b/>
                <w:bCs/>
                <w:lang w:val="en-US"/>
              </w:rPr>
              <w:t>High-end Range</w:t>
            </w:r>
          </w:p>
        </w:tc>
      </w:tr>
      <w:tr w:rsidR="00A10EE7" w:rsidRPr="005B7137" w14:paraId="5CB148A4" w14:textId="77777777" w:rsidTr="4BCEE662">
        <w:trPr>
          <w:trHeight w:val="285"/>
        </w:trPr>
        <w:tc>
          <w:tcPr>
            <w:tcW w:w="1676" w:type="pct"/>
            <w:shd w:val="clear" w:color="auto" w:fill="E2EFD9" w:themeFill="accent6" w:themeFillTint="33"/>
            <w:vAlign w:val="bottom"/>
          </w:tcPr>
          <w:p w14:paraId="6E246692" w14:textId="77777777" w:rsidR="00A10EE7" w:rsidRPr="005B7137" w:rsidRDefault="00A10EE7">
            <w:pPr>
              <w:tabs>
                <w:tab w:val="clear" w:pos="0"/>
              </w:tabs>
              <w:spacing w:after="0" w:line="259" w:lineRule="auto"/>
              <w:rPr>
                <w:b/>
                <w:lang w:val="en-US"/>
              </w:rPr>
            </w:pPr>
            <w:r w:rsidRPr="5A587C39">
              <w:rPr>
                <w:b/>
                <w:lang w:val="en-US"/>
              </w:rPr>
              <w:t>SUBTOTAL – HCFC ACTIVITIES</w:t>
            </w:r>
          </w:p>
        </w:tc>
        <w:tc>
          <w:tcPr>
            <w:tcW w:w="1682" w:type="pct"/>
            <w:shd w:val="clear" w:color="auto" w:fill="FFFFFF" w:themeFill="background1"/>
            <w:vAlign w:val="center"/>
          </w:tcPr>
          <w:p w14:paraId="057FD399" w14:textId="77777777" w:rsidR="00A10EE7" w:rsidRPr="005B7137" w:rsidRDefault="00A10EE7">
            <w:pPr>
              <w:tabs>
                <w:tab w:val="clear" w:pos="0"/>
              </w:tabs>
              <w:spacing w:after="0"/>
              <w:jc w:val="center"/>
              <w:textAlignment w:val="baseline"/>
              <w:rPr>
                <w:b/>
                <w:bCs/>
                <w:color w:val="000000"/>
                <w:lang w:val="en-US"/>
              </w:rPr>
            </w:pPr>
            <w:r w:rsidRPr="7630C527">
              <w:rPr>
                <w:b/>
                <w:lang w:val="en-US"/>
              </w:rPr>
              <w:t>451</w:t>
            </w:r>
          </w:p>
        </w:tc>
        <w:tc>
          <w:tcPr>
            <w:tcW w:w="1642" w:type="pct"/>
            <w:shd w:val="clear" w:color="auto" w:fill="FFFFFF" w:themeFill="background1"/>
            <w:vAlign w:val="center"/>
          </w:tcPr>
          <w:p w14:paraId="13E53F12" w14:textId="77777777" w:rsidR="00A10EE7" w:rsidRPr="005B7137" w:rsidRDefault="00A10EE7">
            <w:pPr>
              <w:tabs>
                <w:tab w:val="clear" w:pos="0"/>
              </w:tabs>
              <w:spacing w:after="0"/>
              <w:jc w:val="center"/>
              <w:textAlignment w:val="baseline"/>
              <w:rPr>
                <w:b/>
                <w:bCs/>
                <w:color w:val="000000"/>
                <w:lang w:val="en-US"/>
              </w:rPr>
            </w:pPr>
            <w:r w:rsidRPr="7630C527">
              <w:rPr>
                <w:b/>
                <w:bCs/>
                <w:lang w:val="en-US"/>
              </w:rPr>
              <w:t>57</w:t>
            </w:r>
            <w:r>
              <w:rPr>
                <w:b/>
                <w:bCs/>
                <w:lang w:val="en-US"/>
              </w:rPr>
              <w:t>3</w:t>
            </w:r>
          </w:p>
        </w:tc>
      </w:tr>
      <w:tr w:rsidR="00A10EE7" w:rsidRPr="005B7137" w14:paraId="02CD521F" w14:textId="77777777" w:rsidTr="4BCEE662">
        <w:trPr>
          <w:trHeight w:val="285"/>
        </w:trPr>
        <w:tc>
          <w:tcPr>
            <w:tcW w:w="1676" w:type="pct"/>
            <w:shd w:val="clear" w:color="auto" w:fill="E2EFD9" w:themeFill="accent6" w:themeFillTint="33"/>
            <w:vAlign w:val="bottom"/>
          </w:tcPr>
          <w:p w14:paraId="183C90C6" w14:textId="77777777" w:rsidR="00A10EE7" w:rsidRPr="005B7137" w:rsidRDefault="00A10EE7">
            <w:pPr>
              <w:tabs>
                <w:tab w:val="clear" w:pos="0"/>
              </w:tabs>
              <w:spacing w:after="0"/>
              <w:textAlignment w:val="baseline"/>
              <w:rPr>
                <w:b/>
                <w:bCs/>
                <w:color w:val="000000"/>
                <w:lang w:val="en-US"/>
              </w:rPr>
            </w:pPr>
            <w:r w:rsidRPr="005B7137">
              <w:rPr>
                <w:b/>
                <w:bCs/>
                <w:color w:val="000000"/>
                <w:lang w:val="en-US"/>
              </w:rPr>
              <w:t>SUBTOTAL – HFC ACTIVITES</w:t>
            </w:r>
          </w:p>
        </w:tc>
        <w:tc>
          <w:tcPr>
            <w:tcW w:w="1682" w:type="pct"/>
            <w:shd w:val="clear" w:color="auto" w:fill="FFFFFF" w:themeFill="background1"/>
            <w:vAlign w:val="center"/>
          </w:tcPr>
          <w:p w14:paraId="668AC38F" w14:textId="77777777" w:rsidR="00A10EE7" w:rsidRPr="005B7137" w:rsidRDefault="00A10EE7">
            <w:pPr>
              <w:tabs>
                <w:tab w:val="clear" w:pos="0"/>
              </w:tabs>
              <w:spacing w:after="0"/>
              <w:jc w:val="center"/>
              <w:textAlignment w:val="baseline"/>
              <w:rPr>
                <w:b/>
                <w:bCs/>
                <w:color w:val="000000"/>
                <w:lang w:val="en-US"/>
              </w:rPr>
            </w:pPr>
            <w:r w:rsidRPr="5E53E144">
              <w:rPr>
                <w:b/>
                <w:bCs/>
                <w:lang w:val="en-US"/>
              </w:rPr>
              <w:t>702 – 781</w:t>
            </w:r>
          </w:p>
        </w:tc>
        <w:tc>
          <w:tcPr>
            <w:tcW w:w="1642" w:type="pct"/>
            <w:shd w:val="clear" w:color="auto" w:fill="FFFFFF" w:themeFill="background1"/>
            <w:vAlign w:val="center"/>
          </w:tcPr>
          <w:p w14:paraId="747D37A9" w14:textId="77777777" w:rsidR="00A10EE7" w:rsidRPr="005B7137" w:rsidRDefault="00A10EE7">
            <w:pPr>
              <w:tabs>
                <w:tab w:val="clear" w:pos="0"/>
              </w:tabs>
              <w:spacing w:after="0"/>
              <w:jc w:val="center"/>
              <w:textAlignment w:val="baseline"/>
              <w:rPr>
                <w:b/>
                <w:bCs/>
                <w:color w:val="000000"/>
                <w:lang w:val="en-US"/>
              </w:rPr>
            </w:pPr>
            <w:r w:rsidRPr="5E53E144">
              <w:rPr>
                <w:b/>
                <w:bCs/>
                <w:lang w:val="en-US"/>
              </w:rPr>
              <w:t>970 – 1,053</w:t>
            </w:r>
          </w:p>
        </w:tc>
      </w:tr>
      <w:tr w:rsidR="00A10EE7" w:rsidRPr="005B7137" w14:paraId="3DC3ABA7" w14:textId="77777777" w:rsidTr="4BCEE662">
        <w:trPr>
          <w:trHeight w:val="285"/>
        </w:trPr>
        <w:tc>
          <w:tcPr>
            <w:tcW w:w="1676" w:type="pct"/>
            <w:shd w:val="clear" w:color="auto" w:fill="E2EFD9" w:themeFill="accent6" w:themeFillTint="33"/>
            <w:vAlign w:val="bottom"/>
          </w:tcPr>
          <w:p w14:paraId="19D42F54" w14:textId="77777777" w:rsidR="00A10EE7" w:rsidRPr="005B7137" w:rsidRDefault="00A10EE7">
            <w:pPr>
              <w:tabs>
                <w:tab w:val="clear" w:pos="0"/>
              </w:tabs>
              <w:spacing w:after="0"/>
              <w:textAlignment w:val="baseline"/>
              <w:rPr>
                <w:b/>
                <w:bCs/>
                <w:color w:val="000000"/>
                <w:lang w:val="en-US"/>
              </w:rPr>
            </w:pPr>
            <w:r w:rsidRPr="005B7137">
              <w:rPr>
                <w:b/>
                <w:bCs/>
                <w:color w:val="000000"/>
                <w:lang w:val="en-US"/>
              </w:rPr>
              <w:t>SUBTOTAL – IS &amp; SA</w:t>
            </w:r>
          </w:p>
        </w:tc>
        <w:tc>
          <w:tcPr>
            <w:tcW w:w="1682" w:type="pct"/>
            <w:shd w:val="clear" w:color="auto" w:fill="FFFFFF" w:themeFill="background1"/>
            <w:vAlign w:val="center"/>
          </w:tcPr>
          <w:p w14:paraId="7C28689B" w14:textId="77777777" w:rsidR="00A10EE7" w:rsidRPr="005B7137" w:rsidRDefault="00A10EE7">
            <w:pPr>
              <w:tabs>
                <w:tab w:val="clear" w:pos="0"/>
              </w:tabs>
              <w:spacing w:after="0"/>
              <w:jc w:val="center"/>
              <w:textAlignment w:val="baseline"/>
              <w:rPr>
                <w:b/>
                <w:bCs/>
                <w:color w:val="000000"/>
                <w:lang w:val="en-US"/>
              </w:rPr>
            </w:pPr>
            <w:r w:rsidRPr="7630C527">
              <w:rPr>
                <w:b/>
                <w:lang w:val="en-US"/>
              </w:rPr>
              <w:t>129</w:t>
            </w:r>
          </w:p>
        </w:tc>
        <w:tc>
          <w:tcPr>
            <w:tcW w:w="1642" w:type="pct"/>
            <w:shd w:val="clear" w:color="auto" w:fill="FFFFFF" w:themeFill="background1"/>
            <w:vAlign w:val="center"/>
          </w:tcPr>
          <w:p w14:paraId="3541F0E7" w14:textId="77777777" w:rsidR="00A10EE7" w:rsidRPr="005B7137" w:rsidRDefault="00A10EE7">
            <w:pPr>
              <w:tabs>
                <w:tab w:val="clear" w:pos="0"/>
              </w:tabs>
              <w:spacing w:after="0"/>
              <w:jc w:val="center"/>
              <w:textAlignment w:val="baseline"/>
              <w:rPr>
                <w:b/>
                <w:bCs/>
                <w:color w:val="000000"/>
                <w:lang w:val="en-US"/>
              </w:rPr>
            </w:pPr>
            <w:r w:rsidRPr="7630C527">
              <w:rPr>
                <w:b/>
                <w:lang w:val="en-US"/>
              </w:rPr>
              <w:t>129</w:t>
            </w:r>
          </w:p>
        </w:tc>
      </w:tr>
      <w:tr w:rsidR="00A10EE7" w:rsidRPr="005B7137" w14:paraId="277B1145" w14:textId="77777777" w:rsidTr="4BCEE662">
        <w:trPr>
          <w:trHeight w:val="285"/>
        </w:trPr>
        <w:tc>
          <w:tcPr>
            <w:tcW w:w="1676" w:type="pct"/>
            <w:shd w:val="clear" w:color="auto" w:fill="FFFF00"/>
            <w:vAlign w:val="bottom"/>
          </w:tcPr>
          <w:p w14:paraId="169D086D" w14:textId="57249BB5" w:rsidR="00A10EE7" w:rsidRPr="005B7137" w:rsidRDefault="4BCEE662">
            <w:pPr>
              <w:tabs>
                <w:tab w:val="clear" w:pos="0"/>
              </w:tabs>
              <w:spacing w:after="0"/>
              <w:textAlignment w:val="baseline"/>
              <w:rPr>
                <w:b/>
                <w:bCs/>
                <w:color w:val="000000"/>
                <w:lang w:val="en-US"/>
              </w:rPr>
            </w:pPr>
            <w:r w:rsidRPr="4BCEE662">
              <w:rPr>
                <w:b/>
                <w:bCs/>
                <w:lang w:val="en-US"/>
              </w:rPr>
              <w:t xml:space="preserve">GRAND TOTAL </w:t>
            </w:r>
          </w:p>
        </w:tc>
        <w:tc>
          <w:tcPr>
            <w:tcW w:w="1682" w:type="pct"/>
            <w:shd w:val="clear" w:color="auto" w:fill="FFFF00"/>
            <w:vAlign w:val="center"/>
          </w:tcPr>
          <w:p w14:paraId="21590083" w14:textId="77777777" w:rsidR="00A10EE7" w:rsidRPr="005B7137" w:rsidRDefault="00A10EE7">
            <w:pPr>
              <w:tabs>
                <w:tab w:val="clear" w:pos="0"/>
              </w:tabs>
              <w:spacing w:after="0"/>
              <w:jc w:val="center"/>
              <w:textAlignment w:val="baseline"/>
              <w:rPr>
                <w:b/>
                <w:bCs/>
                <w:color w:val="000000"/>
                <w:lang w:val="en-US"/>
              </w:rPr>
            </w:pPr>
            <w:r w:rsidRPr="7630C527">
              <w:rPr>
                <w:b/>
                <w:bCs/>
                <w:lang w:val="en-US"/>
              </w:rPr>
              <w:t>1,282 – 1,361</w:t>
            </w:r>
          </w:p>
        </w:tc>
        <w:tc>
          <w:tcPr>
            <w:tcW w:w="1642" w:type="pct"/>
            <w:shd w:val="clear" w:color="auto" w:fill="FFFF00"/>
            <w:vAlign w:val="center"/>
          </w:tcPr>
          <w:p w14:paraId="6E755CEE" w14:textId="77777777" w:rsidR="00A10EE7" w:rsidRPr="005B7137" w:rsidRDefault="00A10EE7">
            <w:pPr>
              <w:tabs>
                <w:tab w:val="clear" w:pos="0"/>
              </w:tabs>
              <w:spacing w:after="0"/>
              <w:jc w:val="center"/>
              <w:textAlignment w:val="baseline"/>
              <w:rPr>
                <w:b/>
                <w:bCs/>
                <w:color w:val="000000"/>
                <w:lang w:val="en-US"/>
              </w:rPr>
            </w:pPr>
            <w:r w:rsidRPr="7630C527">
              <w:rPr>
                <w:b/>
                <w:bCs/>
                <w:lang w:val="en-US"/>
              </w:rPr>
              <w:t>1,672 – 1,755</w:t>
            </w:r>
          </w:p>
        </w:tc>
      </w:tr>
    </w:tbl>
    <w:p w14:paraId="59F59D24" w14:textId="77777777" w:rsidR="00B32BBE" w:rsidRDefault="00B32BBE" w:rsidP="005D31A7">
      <w:pPr>
        <w:pStyle w:val="Heading1"/>
        <w:sectPr w:rsidR="00B32BBE" w:rsidSect="00B10EF4">
          <w:type w:val="oddPage"/>
          <w:pgSz w:w="11907" w:h="16839" w:code="9"/>
          <w:pgMar w:top="1440" w:right="1440" w:bottom="1440" w:left="1440" w:header="720" w:footer="794" w:gutter="0"/>
          <w:pgNumType w:start="1"/>
          <w:cols w:space="720"/>
          <w:docGrid w:linePitch="299"/>
        </w:sectPr>
      </w:pPr>
      <w:bookmarkStart w:id="95" w:name="_Toc119436506"/>
    </w:p>
    <w:p w14:paraId="6697EE2E" w14:textId="3420EDE2" w:rsidR="000E5797" w:rsidRPr="00E42C5E" w:rsidRDefault="000E5797" w:rsidP="005D31A7">
      <w:pPr>
        <w:pStyle w:val="Heading1"/>
      </w:pPr>
      <w:bookmarkStart w:id="96" w:name="_Toc230099031"/>
      <w:r w:rsidRPr="00E42C5E">
        <w:lastRenderedPageBreak/>
        <w:t>1</w:t>
      </w:r>
      <w:r w:rsidRPr="00E42C5E">
        <w:tab/>
      </w:r>
      <w:r w:rsidR="00382665">
        <w:t>Introduction</w:t>
      </w:r>
      <w:bookmarkEnd w:id="95"/>
      <w:bookmarkEnd w:id="96"/>
    </w:p>
    <w:p w14:paraId="13C60830" w14:textId="3117A20A" w:rsidR="00825BC1" w:rsidRPr="00E42C5E" w:rsidRDefault="00825BC1" w:rsidP="002D02B7">
      <w:pPr>
        <w:pStyle w:val="Heading2"/>
      </w:pPr>
      <w:bookmarkStart w:id="97" w:name="_Toc285914773"/>
      <w:bookmarkStart w:id="98" w:name="_Toc534820112"/>
      <w:bookmarkStart w:id="99" w:name="_Toc119436507"/>
      <w:bookmarkStart w:id="100" w:name="_Toc230099032"/>
      <w:r w:rsidRPr="00E42C5E">
        <w:t>1.1</w:t>
      </w:r>
      <w:r w:rsidRPr="00E42C5E">
        <w:tab/>
      </w:r>
      <w:r w:rsidR="00382665">
        <w:t xml:space="preserve">Terms of </w:t>
      </w:r>
      <w:r w:rsidR="00B11764">
        <w:t>r</w:t>
      </w:r>
      <w:r w:rsidR="00382665">
        <w:t>eference</w:t>
      </w:r>
      <w:bookmarkEnd w:id="97"/>
      <w:bookmarkEnd w:id="98"/>
      <w:bookmarkEnd w:id="99"/>
      <w:bookmarkEnd w:id="100"/>
    </w:p>
    <w:p w14:paraId="664A801A" w14:textId="7FABD929" w:rsidR="00B11764" w:rsidRPr="00B60E38" w:rsidRDefault="00F32903" w:rsidP="00B11764">
      <w:bookmarkStart w:id="101" w:name="_Hlk40973516"/>
      <w:r>
        <w:t>“</w:t>
      </w:r>
      <w:r w:rsidR="00B11764">
        <w:t>Decision XXXVII/6</w:t>
      </w:r>
      <w:r>
        <w:t xml:space="preserve">: </w:t>
      </w:r>
      <w:r w:rsidR="00822240" w:rsidRPr="00726CE9">
        <w:rPr>
          <w:lang w:val="en-US"/>
        </w:rPr>
        <w:t>Terms of reference for the study on the 202</w:t>
      </w:r>
      <w:r w:rsidR="00822240">
        <w:rPr>
          <w:lang w:val="en-US"/>
        </w:rPr>
        <w:t>7</w:t>
      </w:r>
      <w:r w:rsidR="00822240" w:rsidRPr="00726CE9">
        <w:rPr>
          <w:lang w:val="en-US"/>
        </w:rPr>
        <w:t>–202</w:t>
      </w:r>
      <w:r w:rsidR="00822240">
        <w:rPr>
          <w:lang w:val="en-US"/>
        </w:rPr>
        <w:t>9</w:t>
      </w:r>
      <w:r w:rsidR="00822240" w:rsidRPr="00726CE9">
        <w:rPr>
          <w:lang w:val="en-US"/>
        </w:rPr>
        <w:t xml:space="preserve"> replenishment of the Multilateral Fund for the Implementation of the Montreal Protocol</w:t>
      </w:r>
      <w:r w:rsidR="00C80D06">
        <w:rPr>
          <w:lang w:val="en-US"/>
        </w:rPr>
        <w:t>,</w:t>
      </w:r>
      <w:r w:rsidR="00822240" w:rsidRPr="00726CE9">
        <w:rPr>
          <w:lang w:val="en-US"/>
        </w:rPr>
        <w:t xml:space="preserve">” </w:t>
      </w:r>
      <w:r w:rsidR="00C80D06">
        <w:rPr>
          <w:lang w:val="en-US"/>
        </w:rPr>
        <w:t>adopted at</w:t>
      </w:r>
      <w:r w:rsidR="00B11764">
        <w:t xml:space="preserve"> the Thirty-seventh Meeting of the Parties (MOP-37)</w:t>
      </w:r>
      <w:r w:rsidR="00C80D06">
        <w:t>,</w:t>
      </w:r>
      <w:r w:rsidR="00B11764">
        <w:t xml:space="preserve"> provided the terms of reference </w:t>
      </w:r>
      <w:r w:rsidR="00FF19D7">
        <w:t xml:space="preserve">(TOR) </w:t>
      </w:r>
      <w:r w:rsidR="00B11764">
        <w:t xml:space="preserve">for the work of the Technology and Economic Assessment Panel (TEAP) to prepare a report on the appropriate level of the replenishment of the Multilateral Fund for the Implementation of the Montreal Protocol (MLF) for the triennium 2027-2029.  </w:t>
      </w:r>
      <w:bookmarkEnd w:id="101"/>
      <w:r w:rsidR="00B11764">
        <w:t>The parties requested the TEAP to prepare a report for submission MOP-38, and to present it to the Open-ended Working Group at its Forty-eighth meeting (OEWG-48), to enable parties at MOP-38 to take a decision.</w:t>
      </w:r>
    </w:p>
    <w:p w14:paraId="237A7024" w14:textId="7FD2A195" w:rsidR="00825BC1" w:rsidRPr="00E42C5E" w:rsidRDefault="00825BC1" w:rsidP="002D02B7">
      <w:pPr>
        <w:pStyle w:val="Heading2"/>
      </w:pPr>
      <w:bookmarkStart w:id="102" w:name="_Toc119436508"/>
      <w:bookmarkStart w:id="103" w:name="_Toc230099033"/>
      <w:bookmarkStart w:id="104" w:name="_Toc285914774"/>
      <w:bookmarkStart w:id="105" w:name="_Toc534820113"/>
      <w:r w:rsidRPr="00E42C5E">
        <w:t>1.2</w:t>
      </w:r>
      <w:r w:rsidRPr="00E42C5E">
        <w:tab/>
      </w:r>
      <w:r w:rsidR="00B11764">
        <w:t>Scope and coverage</w:t>
      </w:r>
      <w:bookmarkEnd w:id="102"/>
      <w:bookmarkEnd w:id="103"/>
      <w:r w:rsidRPr="00E42C5E">
        <w:t xml:space="preserve"> </w:t>
      </w:r>
      <w:bookmarkEnd w:id="104"/>
      <w:bookmarkEnd w:id="105"/>
    </w:p>
    <w:p w14:paraId="143EBF98" w14:textId="276532E8" w:rsidR="00822240" w:rsidRPr="00ED56C2" w:rsidRDefault="006B6216" w:rsidP="00822240">
      <w:pPr>
        <w:rPr>
          <w:lang w:val="en-US"/>
        </w:rPr>
      </w:pPr>
      <w:bookmarkStart w:id="106" w:name="_Hlk40729073"/>
      <w:bookmarkStart w:id="107" w:name="_Toc119436509"/>
      <w:r>
        <w:rPr>
          <w:lang w:val="en-US"/>
        </w:rPr>
        <w:t xml:space="preserve">The text of </w:t>
      </w:r>
      <w:r w:rsidR="00822240" w:rsidRPr="00726CE9">
        <w:rPr>
          <w:lang w:val="en-US"/>
        </w:rPr>
        <w:t xml:space="preserve">Decision </w:t>
      </w:r>
      <w:r w:rsidR="00822240">
        <w:rPr>
          <w:lang w:val="en-US"/>
        </w:rPr>
        <w:t>XXVII/6</w:t>
      </w:r>
      <w:r w:rsidR="00C80D06">
        <w:rPr>
          <w:lang w:val="en-US"/>
        </w:rPr>
        <w:t xml:space="preserve"> </w:t>
      </w:r>
      <w:r>
        <w:rPr>
          <w:lang w:val="en-US"/>
        </w:rPr>
        <w:t>is as follows</w:t>
      </w:r>
      <w:r w:rsidR="00822240" w:rsidRPr="00726CE9">
        <w:rPr>
          <w:lang w:val="en-US"/>
        </w:rPr>
        <w:t>:</w:t>
      </w:r>
    </w:p>
    <w:p w14:paraId="4648E1BE" w14:textId="77777777" w:rsidR="00822240" w:rsidRPr="00732790" w:rsidRDefault="00822240" w:rsidP="00822240">
      <w:pPr>
        <w:ind w:left="360"/>
        <w:rPr>
          <w:b/>
          <w:bCs/>
          <w:i/>
          <w:iCs/>
        </w:rPr>
      </w:pPr>
      <w:r w:rsidRPr="00732790">
        <w:rPr>
          <w:b/>
          <w:bCs/>
          <w:i/>
          <w:iCs/>
        </w:rPr>
        <w:t>The Thirty-Seventh Meeting of the Parties,</w:t>
      </w:r>
    </w:p>
    <w:p w14:paraId="75090059" w14:textId="77777777" w:rsidR="00822240" w:rsidRPr="00732790" w:rsidRDefault="00822240" w:rsidP="00822240">
      <w:pPr>
        <w:ind w:left="360"/>
        <w:rPr>
          <w:i/>
          <w:iCs/>
        </w:rPr>
      </w:pPr>
      <w:r w:rsidRPr="00732790">
        <w:rPr>
          <w:b/>
          <w:bCs/>
          <w:i/>
          <w:iCs/>
        </w:rPr>
        <w:t>Recalling</w:t>
      </w:r>
      <w:r w:rsidRPr="00732790">
        <w:rPr>
          <w:i/>
          <w:iCs/>
        </w:rPr>
        <w:t> the decisions of the Meetings of the Parties on previous terms of reference for studies on the replenishment of the Multilateral Fund for the Implementation of the Montreal Protocol on Substances that Deplete the Ozone Layer,</w:t>
      </w:r>
    </w:p>
    <w:p w14:paraId="755F5DB9" w14:textId="77777777" w:rsidR="00822240" w:rsidRPr="00732790" w:rsidRDefault="00822240" w:rsidP="00822240">
      <w:pPr>
        <w:ind w:left="360"/>
        <w:rPr>
          <w:i/>
          <w:iCs/>
          <w:lang w:val="en-US"/>
        </w:rPr>
      </w:pPr>
      <w:r w:rsidRPr="00732790">
        <w:rPr>
          <w:b/>
          <w:bCs/>
          <w:i/>
          <w:iCs/>
          <w:lang w:val="en-US"/>
        </w:rPr>
        <w:t>Recalling</w:t>
      </w:r>
      <w:r w:rsidRPr="00732790">
        <w:rPr>
          <w:i/>
          <w:iCs/>
          <w:lang w:val="en-US"/>
        </w:rPr>
        <w:t xml:space="preserve"> also the decisions of the Meetings of the Parties on previous replenishments of the Multilateral Fund,</w:t>
      </w:r>
    </w:p>
    <w:p w14:paraId="669B8B19" w14:textId="77777777" w:rsidR="00822240" w:rsidRPr="00732790" w:rsidRDefault="00822240" w:rsidP="00822240">
      <w:pPr>
        <w:ind w:left="360"/>
        <w:rPr>
          <w:b/>
          <w:bCs/>
          <w:i/>
          <w:iCs/>
          <w:lang w:val="en-US"/>
        </w:rPr>
      </w:pPr>
      <w:r w:rsidRPr="00732790">
        <w:rPr>
          <w:b/>
          <w:bCs/>
          <w:i/>
          <w:iCs/>
          <w:lang w:val="en-US"/>
        </w:rPr>
        <w:t>Decides:</w:t>
      </w:r>
    </w:p>
    <w:p w14:paraId="06775182" w14:textId="4385F476" w:rsidR="00822240" w:rsidRPr="00732790" w:rsidRDefault="00822240" w:rsidP="000E79CB">
      <w:pPr>
        <w:pStyle w:val="ListParagraph"/>
        <w:numPr>
          <w:ilvl w:val="0"/>
          <w:numId w:val="10"/>
        </w:numPr>
        <w:spacing w:after="200"/>
        <w:contextualSpacing/>
        <w:rPr>
          <w:i/>
          <w:iCs/>
          <w:lang w:val="en-US"/>
        </w:rPr>
      </w:pPr>
      <w:r w:rsidRPr="00732790">
        <w:rPr>
          <w:i/>
          <w:iCs/>
          <w:lang w:val="en-US"/>
        </w:rPr>
        <w:t>To request the Technology and Economic Assessment Panel to prepare a report for submission to the Thirty-Eighth Meeting of the Parties to the Montreal Protocol on Substances that Deplete the Ozone Layer, and to submit it through the Open-ended Working Group of the Parties to the Montreal Protocol at its forty-eighth meeting, to enable the Thirty-Eighth Meeting of the Parties to adopt a decision on the appropriate level of the 2027–2029 replenishment of the Multilateral Fund for the Implementation of the Montreal Protocol;</w:t>
      </w:r>
    </w:p>
    <w:p w14:paraId="771451E4" w14:textId="77777777" w:rsidR="00240EE5" w:rsidRPr="00732790" w:rsidRDefault="00240EE5" w:rsidP="00240EE5">
      <w:pPr>
        <w:pStyle w:val="ListParagraph"/>
        <w:numPr>
          <w:ilvl w:val="0"/>
          <w:numId w:val="0"/>
        </w:numPr>
        <w:spacing w:after="200"/>
        <w:ind w:left="1068"/>
        <w:contextualSpacing/>
        <w:rPr>
          <w:i/>
          <w:iCs/>
          <w:lang w:val="en-US"/>
        </w:rPr>
      </w:pPr>
    </w:p>
    <w:p w14:paraId="5495AC2B" w14:textId="3442F33C" w:rsidR="00822240" w:rsidRPr="00732790" w:rsidRDefault="00822240" w:rsidP="000E79CB">
      <w:pPr>
        <w:pStyle w:val="ListParagraph"/>
        <w:numPr>
          <w:ilvl w:val="0"/>
          <w:numId w:val="10"/>
        </w:numPr>
        <w:spacing w:after="200"/>
        <w:contextualSpacing/>
        <w:rPr>
          <w:i/>
          <w:iCs/>
          <w:lang w:val="en-US"/>
        </w:rPr>
      </w:pPr>
      <w:r w:rsidRPr="00732790">
        <w:rPr>
          <w:i/>
          <w:iCs/>
        </w:rPr>
        <w:t>That, in preparing the report referred to in paragraph 1 above, the Panel should take into account, among other things</w:t>
      </w:r>
      <w:r w:rsidRPr="00732790">
        <w:rPr>
          <w:i/>
          <w:iCs/>
          <w:lang w:val="en-US"/>
        </w:rPr>
        <w:t xml:space="preserve">:  </w:t>
      </w:r>
    </w:p>
    <w:p w14:paraId="0CFAC883" w14:textId="77777777" w:rsidR="00822240" w:rsidRPr="00732790" w:rsidRDefault="00822240" w:rsidP="000E79CB">
      <w:pPr>
        <w:pStyle w:val="ListParagraph"/>
        <w:numPr>
          <w:ilvl w:val="0"/>
          <w:numId w:val="9"/>
        </w:numPr>
        <w:spacing w:after="120"/>
        <w:ind w:left="1797" w:hanging="357"/>
        <w:contextualSpacing/>
        <w:rPr>
          <w:i/>
          <w:iCs/>
          <w:lang w:val="en-US"/>
        </w:rPr>
      </w:pPr>
      <w:r w:rsidRPr="00732790">
        <w:rPr>
          <w:i/>
          <w:iCs/>
          <w:lang w:val="en-US"/>
        </w:rPr>
        <w:t xml:space="preserve">All control measures and relevant decisions agreed upon by the parties to the Montreal Protocol and the Executive Committee of the Multilateral Fund, including those relevant to decision XXVIII/2, and the decisions of the Meeting of the Parties up to and including the Thirty-Seventh Meeting of the Parties and of the Executive Committee up to and including its ninety-eighth meeting, insofar as those decisions will necessitate expenditure by the Multilateral Fund during the period 2027-2029; </w:t>
      </w:r>
    </w:p>
    <w:p w14:paraId="0BEB09BB" w14:textId="77777777" w:rsidR="00822240" w:rsidRPr="00732790" w:rsidRDefault="00822240" w:rsidP="000E79CB">
      <w:pPr>
        <w:pStyle w:val="ListParagraph"/>
        <w:numPr>
          <w:ilvl w:val="0"/>
          <w:numId w:val="9"/>
        </w:numPr>
        <w:spacing w:after="120"/>
        <w:ind w:left="1797" w:hanging="357"/>
        <w:contextualSpacing/>
        <w:rPr>
          <w:i/>
          <w:iCs/>
          <w:lang w:val="en-US"/>
        </w:rPr>
      </w:pPr>
      <w:r w:rsidRPr="00732790">
        <w:rPr>
          <w:i/>
          <w:iCs/>
          <w:lang w:val="en-US"/>
        </w:rPr>
        <w:t>The special needs of low-volume-consuming and very-low-volume-consuming countries, taking into account relevant decisions of the Executive Committee pertaining to those countries;</w:t>
      </w:r>
    </w:p>
    <w:p w14:paraId="52E110FE" w14:textId="77777777" w:rsidR="00822240" w:rsidRPr="00732790" w:rsidRDefault="00822240" w:rsidP="000E79CB">
      <w:pPr>
        <w:pStyle w:val="ListParagraph"/>
        <w:numPr>
          <w:ilvl w:val="0"/>
          <w:numId w:val="9"/>
        </w:numPr>
        <w:spacing w:after="120"/>
        <w:ind w:left="1797" w:hanging="357"/>
        <w:contextualSpacing/>
        <w:rPr>
          <w:i/>
          <w:iCs/>
          <w:lang w:val="en-US"/>
        </w:rPr>
      </w:pPr>
      <w:r w:rsidRPr="00732790">
        <w:rPr>
          <w:i/>
          <w:iCs/>
          <w:lang w:val="en-US"/>
        </w:rPr>
        <w:t xml:space="preserve">The need to allocate resources to enable all parties operating under paragraph 1 of Article 5 of the Montreal Protocol to comply with Articles 2A to 2J of the Protocol, and the reductions and extended commitments made by parties operating under paragraph 1 of Article 5 under approved hydrochlorofluorocarbon phase-out management plans and Kigali implementation plans; </w:t>
      </w:r>
    </w:p>
    <w:p w14:paraId="1F55B3BF" w14:textId="77777777" w:rsidR="00822240" w:rsidRPr="00732790" w:rsidRDefault="00822240" w:rsidP="000E79CB">
      <w:pPr>
        <w:pStyle w:val="ListParagraph"/>
        <w:numPr>
          <w:ilvl w:val="0"/>
          <w:numId w:val="9"/>
        </w:numPr>
        <w:spacing w:after="120"/>
        <w:ind w:left="1797" w:hanging="357"/>
        <w:contextualSpacing/>
        <w:rPr>
          <w:i/>
          <w:iCs/>
          <w:lang w:val="en-US"/>
        </w:rPr>
      </w:pPr>
      <w:r w:rsidRPr="00732790">
        <w:rPr>
          <w:i/>
          <w:iCs/>
        </w:rPr>
        <w:t>The integration of digital technologies and tools within the servicing sector</w:t>
      </w:r>
      <w:r w:rsidRPr="00732790">
        <w:rPr>
          <w:i/>
          <w:iCs/>
          <w:lang w:val="en-US"/>
        </w:rPr>
        <w:t>;</w:t>
      </w:r>
    </w:p>
    <w:p w14:paraId="09CCEDF1" w14:textId="0C4868B0" w:rsidR="00822240" w:rsidRPr="00732790" w:rsidRDefault="00822240" w:rsidP="000E79CB">
      <w:pPr>
        <w:pStyle w:val="ListParagraph"/>
        <w:numPr>
          <w:ilvl w:val="0"/>
          <w:numId w:val="9"/>
        </w:numPr>
        <w:spacing w:after="200"/>
        <w:contextualSpacing/>
        <w:rPr>
          <w:i/>
          <w:iCs/>
          <w:lang w:val="en-US"/>
        </w:rPr>
      </w:pPr>
      <w:bookmarkStart w:id="108" w:name="_Hlk131453086"/>
      <w:r w:rsidRPr="00732790">
        <w:rPr>
          <w:i/>
          <w:iCs/>
          <w:lang w:val="en-US"/>
        </w:rPr>
        <w:lastRenderedPageBreak/>
        <w:t>A scenario to allocate resources for a funding modality to support a limited number of pilot projects to enhance regional atmospheric monitoring of substances controlled by the Montreal Protocol, taking into account decision XXXVI/1 and any other decisions of the Meetings of the Parties and the Executive Committee;</w:t>
      </w:r>
      <w:bookmarkEnd w:id="108"/>
    </w:p>
    <w:p w14:paraId="70C9509C" w14:textId="77777777" w:rsidR="00497764" w:rsidRPr="00732790" w:rsidRDefault="00497764" w:rsidP="00497764">
      <w:pPr>
        <w:pStyle w:val="ListParagraph"/>
        <w:numPr>
          <w:ilvl w:val="0"/>
          <w:numId w:val="0"/>
        </w:numPr>
        <w:spacing w:after="200"/>
        <w:ind w:left="1800"/>
        <w:contextualSpacing/>
        <w:rPr>
          <w:i/>
          <w:iCs/>
          <w:lang w:val="en-US"/>
        </w:rPr>
      </w:pPr>
    </w:p>
    <w:p w14:paraId="09EB6903" w14:textId="67C9C5C4" w:rsidR="00822240" w:rsidRPr="00732790" w:rsidRDefault="00822240" w:rsidP="000E79CB">
      <w:pPr>
        <w:pStyle w:val="ListParagraph"/>
        <w:numPr>
          <w:ilvl w:val="0"/>
          <w:numId w:val="8"/>
        </w:numPr>
        <w:spacing w:after="200"/>
        <w:contextualSpacing/>
        <w:rPr>
          <w:i/>
          <w:iCs/>
          <w:lang w:val="en-US"/>
        </w:rPr>
      </w:pPr>
      <w:r w:rsidRPr="00732790">
        <w:rPr>
          <w:i/>
          <w:iCs/>
          <w:lang w:val="en-US"/>
        </w:rPr>
        <w:t>That, in estimating the funding requirement associated with the reduction targets, the Panel will use a clearly explained compliance-based methodology that is informed by, but independent of, the business plan of the Multilateral Fund, and that applies a range of cost-effectiveness figures for the manufacturing sectors based on historical experience rather than only on cost-effectiveness thresholds approved by the Executive Committee;</w:t>
      </w:r>
    </w:p>
    <w:p w14:paraId="302A51F7" w14:textId="77777777" w:rsidR="00497764" w:rsidRPr="00732790" w:rsidRDefault="00497764" w:rsidP="00497764">
      <w:pPr>
        <w:pStyle w:val="ListParagraph"/>
        <w:numPr>
          <w:ilvl w:val="0"/>
          <w:numId w:val="0"/>
        </w:numPr>
        <w:spacing w:after="200"/>
        <w:ind w:left="1080"/>
        <w:contextualSpacing/>
        <w:rPr>
          <w:i/>
          <w:iCs/>
          <w:lang w:val="en-US"/>
        </w:rPr>
      </w:pPr>
    </w:p>
    <w:p w14:paraId="272856CF" w14:textId="77777777" w:rsidR="00822240" w:rsidRPr="00732790" w:rsidRDefault="00822240" w:rsidP="000E79CB">
      <w:pPr>
        <w:pStyle w:val="ListParagraph"/>
        <w:numPr>
          <w:ilvl w:val="0"/>
          <w:numId w:val="8"/>
        </w:numPr>
        <w:spacing w:after="200"/>
        <w:contextualSpacing/>
        <w:rPr>
          <w:i/>
          <w:iCs/>
          <w:lang w:val="en-US"/>
        </w:rPr>
      </w:pPr>
      <w:r w:rsidRPr="00732790">
        <w:rPr>
          <w:i/>
          <w:iCs/>
          <w:lang w:val="en-US"/>
        </w:rPr>
        <w:t>That, separately from the main estimated funding requirement, the Panel should prepare scenarios for varying numbers of Article 5 parties that have not yet submitted Kigali implementation plans for phasing down hydrofluorocarbons in advance of the Montreal Protocol targets on a voluntary basis;</w:t>
      </w:r>
    </w:p>
    <w:p w14:paraId="48108542" w14:textId="77777777" w:rsidR="00497764" w:rsidRPr="00732790" w:rsidRDefault="00497764" w:rsidP="00497764">
      <w:pPr>
        <w:pStyle w:val="ListParagraph"/>
        <w:numPr>
          <w:ilvl w:val="0"/>
          <w:numId w:val="0"/>
        </w:numPr>
        <w:spacing w:after="200"/>
        <w:ind w:left="1080"/>
        <w:contextualSpacing/>
        <w:rPr>
          <w:i/>
          <w:iCs/>
          <w:lang w:val="en-US"/>
        </w:rPr>
      </w:pPr>
    </w:p>
    <w:p w14:paraId="13BAA36C" w14:textId="52F4D915" w:rsidR="00144EDE" w:rsidRPr="00732790" w:rsidRDefault="00822240" w:rsidP="000E79CB">
      <w:pPr>
        <w:pStyle w:val="ListParagraph"/>
        <w:numPr>
          <w:ilvl w:val="0"/>
          <w:numId w:val="8"/>
        </w:numPr>
        <w:spacing w:after="200"/>
        <w:contextualSpacing/>
        <w:rPr>
          <w:i/>
          <w:iCs/>
          <w:lang w:val="en-US"/>
        </w:rPr>
      </w:pPr>
      <w:r w:rsidRPr="00732790">
        <w:rPr>
          <w:i/>
          <w:iCs/>
          <w:lang w:val="en-US"/>
        </w:rPr>
        <w:t>That, in preparing the report, the Panel should consult widely, including all relevant persons and institutions and other relevant sources of information deemed useful;</w:t>
      </w:r>
    </w:p>
    <w:p w14:paraId="1F91B65E" w14:textId="77777777" w:rsidR="00144EDE" w:rsidRPr="00732790" w:rsidRDefault="00144EDE" w:rsidP="00144EDE">
      <w:pPr>
        <w:pStyle w:val="ListParagraph"/>
        <w:numPr>
          <w:ilvl w:val="0"/>
          <w:numId w:val="0"/>
        </w:numPr>
        <w:spacing w:after="200"/>
        <w:ind w:left="1080"/>
        <w:contextualSpacing/>
        <w:rPr>
          <w:i/>
          <w:iCs/>
          <w:lang w:val="en-US"/>
        </w:rPr>
      </w:pPr>
    </w:p>
    <w:p w14:paraId="4EA19A35" w14:textId="0AB77618" w:rsidR="00822240" w:rsidRPr="00732790" w:rsidRDefault="00822240" w:rsidP="000E79CB">
      <w:pPr>
        <w:pStyle w:val="ListParagraph"/>
        <w:numPr>
          <w:ilvl w:val="0"/>
          <w:numId w:val="8"/>
        </w:numPr>
        <w:spacing w:after="200"/>
        <w:contextualSpacing/>
        <w:rPr>
          <w:i/>
          <w:iCs/>
          <w:lang w:val="en-US"/>
        </w:rPr>
      </w:pPr>
      <w:r w:rsidRPr="00732790">
        <w:rPr>
          <w:i/>
          <w:iCs/>
          <w:lang w:val="en-US"/>
        </w:rPr>
        <w:t>That the Panel should strive to complete the report in good time to enable it to be distributed to all parties two months before the forty-eighth meeting of the Open-ended Working Group;</w:t>
      </w:r>
    </w:p>
    <w:p w14:paraId="43F294FF" w14:textId="77777777" w:rsidR="00144EDE" w:rsidRPr="00732790" w:rsidRDefault="00144EDE" w:rsidP="00144EDE">
      <w:pPr>
        <w:pStyle w:val="ListParagraph"/>
        <w:numPr>
          <w:ilvl w:val="0"/>
          <w:numId w:val="0"/>
        </w:numPr>
        <w:spacing w:after="200"/>
        <w:ind w:left="1080"/>
        <w:contextualSpacing/>
        <w:rPr>
          <w:i/>
          <w:iCs/>
          <w:lang w:val="en-US"/>
        </w:rPr>
      </w:pPr>
    </w:p>
    <w:p w14:paraId="7C3F71C3" w14:textId="212D4833" w:rsidR="00822240" w:rsidRPr="00732790" w:rsidRDefault="00822240" w:rsidP="000E79CB">
      <w:pPr>
        <w:pStyle w:val="ListParagraph"/>
        <w:numPr>
          <w:ilvl w:val="0"/>
          <w:numId w:val="8"/>
        </w:numPr>
        <w:spacing w:after="200"/>
        <w:contextualSpacing/>
        <w:rPr>
          <w:i/>
          <w:iCs/>
          <w:lang w:val="en-US"/>
        </w:rPr>
      </w:pPr>
      <w:r w:rsidRPr="00732790">
        <w:rPr>
          <w:i/>
          <w:iCs/>
          <w:lang w:val="en-US"/>
        </w:rPr>
        <w:t>That the Panel should provide indicative figures for the periods 2030-2032 and 2033-2035 to support a stable and sufficient level of funding, on the understanding that those figures will be updated in subsequent replenishment studies.</w:t>
      </w:r>
    </w:p>
    <w:p w14:paraId="3EE3F3C4" w14:textId="77777777" w:rsidR="00144EDE" w:rsidRPr="00732790" w:rsidRDefault="00144EDE" w:rsidP="00144EDE">
      <w:pPr>
        <w:pStyle w:val="ListParagraph"/>
        <w:numPr>
          <w:ilvl w:val="0"/>
          <w:numId w:val="0"/>
        </w:numPr>
        <w:spacing w:after="200"/>
        <w:ind w:left="1080"/>
        <w:contextualSpacing/>
        <w:rPr>
          <w:i/>
          <w:iCs/>
          <w:lang w:val="en-US"/>
        </w:rPr>
      </w:pPr>
    </w:p>
    <w:p w14:paraId="28FC484B" w14:textId="77777777" w:rsidR="00822240" w:rsidRPr="00732790" w:rsidRDefault="00822240" w:rsidP="000E79CB">
      <w:pPr>
        <w:pStyle w:val="ListParagraph"/>
        <w:numPr>
          <w:ilvl w:val="0"/>
          <w:numId w:val="8"/>
        </w:numPr>
        <w:spacing w:after="200"/>
        <w:contextualSpacing/>
        <w:rPr>
          <w:i/>
          <w:iCs/>
          <w:lang w:val="en-US"/>
        </w:rPr>
      </w:pPr>
      <w:r w:rsidRPr="00732790">
        <w:rPr>
          <w:i/>
          <w:iCs/>
          <w:lang w:val="en-US"/>
        </w:rPr>
        <w:t>That the Panel should share the details of the calculations in the form of an appendix to the report to enable parties to fully understand the Panel’s analysis.</w:t>
      </w:r>
    </w:p>
    <w:p w14:paraId="2490AD16" w14:textId="65685832" w:rsidR="009C5ADC" w:rsidRPr="00E42C5E" w:rsidRDefault="009C5ADC" w:rsidP="002D02B7">
      <w:pPr>
        <w:pStyle w:val="Heading2"/>
      </w:pPr>
      <w:bookmarkStart w:id="109" w:name="_Toc230099034"/>
      <w:bookmarkEnd w:id="106"/>
      <w:r w:rsidRPr="00E42C5E">
        <w:t>1.3</w:t>
      </w:r>
      <w:r w:rsidRPr="00E42C5E">
        <w:tab/>
      </w:r>
      <w:r w:rsidR="00B61B8F">
        <w:t xml:space="preserve">TEAP approach to </w:t>
      </w:r>
      <w:r w:rsidR="00BE36E7">
        <w:t>Decision XXXVII/6</w:t>
      </w:r>
      <w:bookmarkEnd w:id="107"/>
      <w:bookmarkEnd w:id="109"/>
    </w:p>
    <w:p w14:paraId="5EF8BD9D" w14:textId="4E737511" w:rsidR="00B25E07" w:rsidRPr="00E42C5E" w:rsidRDefault="00B25E07" w:rsidP="007C77CF">
      <w:pPr>
        <w:pStyle w:val="Heading3"/>
      </w:pPr>
      <w:bookmarkStart w:id="110" w:name="_Toc119436511"/>
      <w:bookmarkStart w:id="111" w:name="_Toc230099035"/>
      <w:r w:rsidRPr="00E42C5E">
        <w:t>1.3.</w:t>
      </w:r>
      <w:r w:rsidR="00FF66FC">
        <w:t>1</w:t>
      </w:r>
      <w:r w:rsidRPr="00E42C5E">
        <w:tab/>
      </w:r>
      <w:r w:rsidR="00D64477">
        <w:t xml:space="preserve">2026 TEAP Decision XXXVII/6 </w:t>
      </w:r>
      <w:r w:rsidR="00FF66FC">
        <w:t xml:space="preserve">Replenishment </w:t>
      </w:r>
      <w:r w:rsidR="00D64477">
        <w:t>Task Force</w:t>
      </w:r>
      <w:bookmarkEnd w:id="110"/>
      <w:bookmarkEnd w:id="111"/>
    </w:p>
    <w:p w14:paraId="555FC2A5" w14:textId="2A90691A" w:rsidR="003477F3" w:rsidRDefault="00FF66FC" w:rsidP="003477F3">
      <w:r>
        <w:t>In response to Decision XXXVII/6, TEAP established a Replenishment Task Force (RTF)</w:t>
      </w:r>
      <w:r w:rsidR="00AA3AB4">
        <w:t xml:space="preserve">, with members from TEAP, its </w:t>
      </w:r>
      <w:r w:rsidR="69B44636">
        <w:t>Technical</w:t>
      </w:r>
      <w:r w:rsidR="00AA3AB4">
        <w:t xml:space="preserve"> Options </w:t>
      </w:r>
      <w:r w:rsidR="69B44636">
        <w:t>Committees</w:t>
      </w:r>
      <w:r w:rsidR="00AA3AB4">
        <w:t xml:space="preserve"> (TOCs), and other outside experts. The composition of the RTF is below</w:t>
      </w:r>
      <w:r w:rsidR="003477F3" w:rsidRPr="00E42C5E">
        <w:t>.</w:t>
      </w:r>
    </w:p>
    <w:p w14:paraId="723B921F" w14:textId="64538F05" w:rsidR="00AA3AB4" w:rsidRPr="00AA3AB4" w:rsidRDefault="00AA3AB4" w:rsidP="002135B0">
      <w:pPr>
        <w:tabs>
          <w:tab w:val="left" w:pos="1134"/>
        </w:tabs>
        <w:spacing w:after="120"/>
        <w:ind w:left="1418" w:hanging="1418"/>
        <w:rPr>
          <w:rFonts w:eastAsiaTheme="minorHAnsi"/>
          <w:b/>
          <w:bCs/>
        </w:rPr>
      </w:pPr>
      <w:r w:rsidRPr="00E42C5E">
        <w:rPr>
          <w:rFonts w:eastAsiaTheme="minorHAnsi"/>
          <w:b/>
          <w:bCs/>
        </w:rPr>
        <w:t xml:space="preserve">Table </w:t>
      </w:r>
      <w:r w:rsidR="007B5919">
        <w:rPr>
          <w:rFonts w:eastAsiaTheme="minorHAnsi"/>
          <w:b/>
          <w:bCs/>
        </w:rPr>
        <w:t>1</w:t>
      </w:r>
      <w:r w:rsidRPr="00E42C5E">
        <w:rPr>
          <w:rFonts w:eastAsiaTheme="minorHAnsi"/>
          <w:b/>
          <w:bCs/>
        </w:rPr>
        <w:t>.1</w:t>
      </w:r>
      <w:r w:rsidR="00A604F2">
        <w:rPr>
          <w:rFonts w:eastAsiaTheme="minorHAnsi"/>
          <w:b/>
          <w:bCs/>
        </w:rPr>
        <w:t>:</w:t>
      </w:r>
      <w:r w:rsidRPr="00E42C5E">
        <w:rPr>
          <w:rFonts w:eastAsiaTheme="minorHAnsi"/>
          <w:b/>
          <w:bCs/>
        </w:rPr>
        <w:tab/>
      </w:r>
      <w:r w:rsidR="006D6305">
        <w:rPr>
          <w:rFonts w:eastAsiaTheme="minorHAnsi"/>
          <w:b/>
          <w:bCs/>
        </w:rPr>
        <w:t xml:space="preserve">Composition of the 2026 TEAP </w:t>
      </w:r>
      <w:r w:rsidRPr="00A26D49">
        <w:rPr>
          <w:rFonts w:eastAsia="SimSun"/>
          <w:b/>
          <w:bCs/>
          <w:color w:val="auto"/>
        </w:rPr>
        <w:t>Replenishment</w:t>
      </w:r>
      <w:r w:rsidR="006D6305">
        <w:rPr>
          <w:rFonts w:eastAsia="SimSun"/>
          <w:b/>
          <w:bCs/>
          <w:color w:val="auto"/>
        </w:rPr>
        <w:t xml:space="preserve"> Task Force</w:t>
      </w:r>
    </w:p>
    <w:tbl>
      <w:tblPr>
        <w:tblStyle w:val="TableGrid"/>
        <w:tblW w:w="8595" w:type="dxa"/>
        <w:tblLook w:val="04A0" w:firstRow="1" w:lastRow="0" w:firstColumn="1" w:lastColumn="0" w:noHBand="0" w:noVBand="1"/>
      </w:tblPr>
      <w:tblGrid>
        <w:gridCol w:w="1830"/>
        <w:gridCol w:w="4185"/>
        <w:gridCol w:w="2580"/>
      </w:tblGrid>
      <w:tr w:rsidR="00D64477" w:rsidRPr="00A11826" w14:paraId="1E5B7429" w14:textId="77777777" w:rsidTr="005B550D">
        <w:trPr>
          <w:trHeight w:val="300"/>
        </w:trPr>
        <w:tc>
          <w:tcPr>
            <w:tcW w:w="1830" w:type="dxa"/>
            <w:shd w:val="clear" w:color="auto" w:fill="D9E2F3" w:themeFill="accent1" w:themeFillTint="33"/>
            <w:vAlign w:val="center"/>
          </w:tcPr>
          <w:p w14:paraId="2A942DC0" w14:textId="77777777" w:rsidR="00D64477" w:rsidRPr="00415C42" w:rsidRDefault="00D64477" w:rsidP="005B550D">
            <w:pPr>
              <w:spacing w:after="0"/>
              <w:rPr>
                <w:b/>
                <w:sz w:val="20"/>
                <w:szCs w:val="20"/>
              </w:rPr>
            </w:pPr>
            <w:r w:rsidRPr="00415C42">
              <w:rPr>
                <w:b/>
                <w:sz w:val="20"/>
                <w:szCs w:val="20"/>
              </w:rPr>
              <w:t>Co-chairs</w:t>
            </w:r>
          </w:p>
        </w:tc>
        <w:tc>
          <w:tcPr>
            <w:tcW w:w="4185" w:type="dxa"/>
            <w:shd w:val="clear" w:color="auto" w:fill="D9E2F3" w:themeFill="accent1" w:themeFillTint="33"/>
            <w:vAlign w:val="center"/>
          </w:tcPr>
          <w:p w14:paraId="11ABE855" w14:textId="77777777" w:rsidR="00D64477" w:rsidRPr="00415C42" w:rsidRDefault="00D64477" w:rsidP="005B550D">
            <w:pPr>
              <w:spacing w:after="0"/>
              <w:rPr>
                <w:b/>
                <w:sz w:val="20"/>
                <w:szCs w:val="20"/>
              </w:rPr>
            </w:pPr>
            <w:r w:rsidRPr="00415C42">
              <w:rPr>
                <w:b/>
                <w:sz w:val="20"/>
                <w:szCs w:val="20"/>
              </w:rPr>
              <w:t>Affiliation</w:t>
            </w:r>
          </w:p>
        </w:tc>
        <w:tc>
          <w:tcPr>
            <w:tcW w:w="2580" w:type="dxa"/>
            <w:shd w:val="clear" w:color="auto" w:fill="D9E2F3" w:themeFill="accent1" w:themeFillTint="33"/>
            <w:vAlign w:val="center"/>
          </w:tcPr>
          <w:p w14:paraId="0AFCC698" w14:textId="77777777" w:rsidR="00D64477" w:rsidRPr="00415C42" w:rsidRDefault="00D64477" w:rsidP="005B550D">
            <w:pPr>
              <w:spacing w:after="0"/>
              <w:rPr>
                <w:b/>
                <w:sz w:val="20"/>
                <w:szCs w:val="20"/>
              </w:rPr>
            </w:pPr>
            <w:r w:rsidRPr="00415C42">
              <w:rPr>
                <w:b/>
                <w:sz w:val="20"/>
                <w:szCs w:val="20"/>
              </w:rPr>
              <w:t>Country</w:t>
            </w:r>
          </w:p>
        </w:tc>
      </w:tr>
      <w:tr w:rsidR="00D64477" w:rsidRPr="00A11826" w14:paraId="45751D79" w14:textId="77777777" w:rsidTr="531ECB33">
        <w:trPr>
          <w:trHeight w:val="300"/>
        </w:trPr>
        <w:tc>
          <w:tcPr>
            <w:tcW w:w="1830" w:type="dxa"/>
          </w:tcPr>
          <w:p w14:paraId="3584128D" w14:textId="77777777" w:rsidR="00D64477" w:rsidRPr="00A11826" w:rsidRDefault="00D64477" w:rsidP="006233FA">
            <w:pPr>
              <w:spacing w:after="0"/>
              <w:rPr>
                <w:sz w:val="20"/>
                <w:szCs w:val="20"/>
              </w:rPr>
            </w:pPr>
            <w:r>
              <w:rPr>
                <w:sz w:val="20"/>
                <w:szCs w:val="20"/>
              </w:rPr>
              <w:t>Suely Carvalho</w:t>
            </w:r>
          </w:p>
        </w:tc>
        <w:tc>
          <w:tcPr>
            <w:tcW w:w="4185" w:type="dxa"/>
          </w:tcPr>
          <w:p w14:paraId="26C873E8" w14:textId="77777777" w:rsidR="00D64477" w:rsidRPr="00A11826" w:rsidRDefault="00D64477" w:rsidP="006233FA">
            <w:pPr>
              <w:spacing w:after="0"/>
              <w:rPr>
                <w:sz w:val="20"/>
                <w:szCs w:val="20"/>
              </w:rPr>
            </w:pPr>
            <w:r>
              <w:rPr>
                <w:sz w:val="20"/>
                <w:szCs w:val="20"/>
              </w:rPr>
              <w:t>TEAP Senior Expert</w:t>
            </w:r>
            <w:r w:rsidRPr="00A11826">
              <w:rPr>
                <w:sz w:val="20"/>
                <w:szCs w:val="20"/>
              </w:rPr>
              <w:t xml:space="preserve"> </w:t>
            </w:r>
          </w:p>
        </w:tc>
        <w:tc>
          <w:tcPr>
            <w:tcW w:w="2580" w:type="dxa"/>
          </w:tcPr>
          <w:p w14:paraId="73134619" w14:textId="77777777" w:rsidR="00D64477" w:rsidRPr="00A11826" w:rsidRDefault="00D64477" w:rsidP="006233FA">
            <w:pPr>
              <w:spacing w:after="0"/>
              <w:rPr>
                <w:sz w:val="20"/>
                <w:szCs w:val="20"/>
              </w:rPr>
            </w:pPr>
            <w:r>
              <w:rPr>
                <w:sz w:val="20"/>
                <w:szCs w:val="20"/>
              </w:rPr>
              <w:t>Brazil</w:t>
            </w:r>
          </w:p>
        </w:tc>
      </w:tr>
      <w:tr w:rsidR="00D64477" w:rsidRPr="00A11826" w14:paraId="29452370" w14:textId="77777777" w:rsidTr="531ECB33">
        <w:trPr>
          <w:trHeight w:val="300"/>
        </w:trPr>
        <w:tc>
          <w:tcPr>
            <w:tcW w:w="1830" w:type="dxa"/>
          </w:tcPr>
          <w:p w14:paraId="38F8967B" w14:textId="77777777" w:rsidR="00D64477" w:rsidRPr="00A11826" w:rsidRDefault="00D64477" w:rsidP="006233FA">
            <w:pPr>
              <w:spacing w:after="0"/>
              <w:rPr>
                <w:sz w:val="20"/>
                <w:szCs w:val="20"/>
              </w:rPr>
            </w:pPr>
            <w:r>
              <w:rPr>
                <w:sz w:val="20"/>
                <w:szCs w:val="20"/>
              </w:rPr>
              <w:t>Bella Maranion</w:t>
            </w:r>
          </w:p>
        </w:tc>
        <w:tc>
          <w:tcPr>
            <w:tcW w:w="4185" w:type="dxa"/>
          </w:tcPr>
          <w:p w14:paraId="33B1B943" w14:textId="77777777" w:rsidR="00D64477" w:rsidRPr="00A11826" w:rsidRDefault="00D64477" w:rsidP="006233FA">
            <w:pPr>
              <w:spacing w:after="0"/>
              <w:rPr>
                <w:sz w:val="20"/>
                <w:szCs w:val="20"/>
              </w:rPr>
            </w:pPr>
            <w:r>
              <w:rPr>
                <w:sz w:val="20"/>
                <w:szCs w:val="20"/>
              </w:rPr>
              <w:t>TEAP Co-chair</w:t>
            </w:r>
          </w:p>
        </w:tc>
        <w:tc>
          <w:tcPr>
            <w:tcW w:w="2580" w:type="dxa"/>
          </w:tcPr>
          <w:p w14:paraId="441D0B3E" w14:textId="68EC41F1" w:rsidR="00D64477" w:rsidRPr="00A11826" w:rsidRDefault="00D64477" w:rsidP="006233FA">
            <w:pPr>
              <w:spacing w:after="0"/>
              <w:rPr>
                <w:sz w:val="20"/>
                <w:szCs w:val="20"/>
              </w:rPr>
            </w:pPr>
            <w:r>
              <w:rPr>
                <w:sz w:val="20"/>
                <w:szCs w:val="20"/>
              </w:rPr>
              <w:t>U</w:t>
            </w:r>
            <w:r w:rsidR="00444C51">
              <w:rPr>
                <w:sz w:val="20"/>
                <w:szCs w:val="20"/>
              </w:rPr>
              <w:t>nited States of America (U</w:t>
            </w:r>
            <w:r>
              <w:rPr>
                <w:sz w:val="20"/>
                <w:szCs w:val="20"/>
              </w:rPr>
              <w:t>SA</w:t>
            </w:r>
            <w:r w:rsidR="00444C51">
              <w:rPr>
                <w:sz w:val="20"/>
                <w:szCs w:val="20"/>
              </w:rPr>
              <w:t>)</w:t>
            </w:r>
          </w:p>
        </w:tc>
      </w:tr>
      <w:tr w:rsidR="002A08DD" w:rsidRPr="00A11826" w14:paraId="7BC16FFD" w14:textId="77777777" w:rsidTr="005B550D">
        <w:trPr>
          <w:trHeight w:val="300"/>
        </w:trPr>
        <w:tc>
          <w:tcPr>
            <w:tcW w:w="8595" w:type="dxa"/>
            <w:gridSpan w:val="3"/>
            <w:shd w:val="clear" w:color="auto" w:fill="D9E2F3" w:themeFill="accent1" w:themeFillTint="33"/>
            <w:vAlign w:val="center"/>
          </w:tcPr>
          <w:p w14:paraId="2D1AE49F" w14:textId="57006F24" w:rsidR="002A08DD" w:rsidRPr="00415C42" w:rsidRDefault="002A08DD" w:rsidP="005B550D">
            <w:pPr>
              <w:spacing w:after="0"/>
              <w:rPr>
                <w:b/>
                <w:sz w:val="20"/>
                <w:szCs w:val="20"/>
              </w:rPr>
            </w:pPr>
            <w:r w:rsidRPr="00415C42">
              <w:rPr>
                <w:b/>
                <w:sz w:val="20"/>
                <w:szCs w:val="20"/>
              </w:rPr>
              <w:t>Members</w:t>
            </w:r>
          </w:p>
        </w:tc>
      </w:tr>
      <w:tr w:rsidR="00D64477" w:rsidRPr="00A11826" w14:paraId="4D54C99A" w14:textId="77777777" w:rsidTr="531ECB33">
        <w:trPr>
          <w:trHeight w:val="300"/>
        </w:trPr>
        <w:tc>
          <w:tcPr>
            <w:tcW w:w="1830" w:type="dxa"/>
          </w:tcPr>
          <w:p w14:paraId="46F24102" w14:textId="77777777" w:rsidR="00D64477" w:rsidRPr="00A11826" w:rsidRDefault="00D64477" w:rsidP="006233FA">
            <w:pPr>
              <w:spacing w:after="0"/>
              <w:rPr>
                <w:sz w:val="20"/>
                <w:szCs w:val="20"/>
              </w:rPr>
            </w:pPr>
            <w:r>
              <w:rPr>
                <w:sz w:val="20"/>
                <w:szCs w:val="20"/>
              </w:rPr>
              <w:t>Omar Abdelaziz</w:t>
            </w:r>
          </w:p>
        </w:tc>
        <w:tc>
          <w:tcPr>
            <w:tcW w:w="4185" w:type="dxa"/>
          </w:tcPr>
          <w:p w14:paraId="56B4CC8E" w14:textId="77777777" w:rsidR="00D64477" w:rsidRPr="00A11826" w:rsidRDefault="00D64477" w:rsidP="006233FA">
            <w:pPr>
              <w:spacing w:after="0"/>
              <w:rPr>
                <w:sz w:val="20"/>
                <w:szCs w:val="20"/>
              </w:rPr>
            </w:pPr>
            <w:r>
              <w:rPr>
                <w:sz w:val="20"/>
                <w:szCs w:val="20"/>
              </w:rPr>
              <w:t>Refrigeration, Air Conditioning, and Heat Pumps Technical Options Committee (RTOC) Co-chair</w:t>
            </w:r>
          </w:p>
        </w:tc>
        <w:tc>
          <w:tcPr>
            <w:tcW w:w="2580" w:type="dxa"/>
          </w:tcPr>
          <w:p w14:paraId="711853D3" w14:textId="77777777" w:rsidR="00D64477" w:rsidRPr="00A11826" w:rsidRDefault="00D64477" w:rsidP="006233FA">
            <w:pPr>
              <w:spacing w:after="0"/>
              <w:rPr>
                <w:sz w:val="20"/>
                <w:szCs w:val="20"/>
              </w:rPr>
            </w:pPr>
            <w:r>
              <w:rPr>
                <w:sz w:val="20"/>
                <w:szCs w:val="20"/>
              </w:rPr>
              <w:t>Egypt</w:t>
            </w:r>
          </w:p>
        </w:tc>
      </w:tr>
      <w:tr w:rsidR="00D64477" w:rsidRPr="00A11826" w14:paraId="5DBB5424" w14:textId="77777777" w:rsidTr="531ECB33">
        <w:trPr>
          <w:trHeight w:val="300"/>
        </w:trPr>
        <w:tc>
          <w:tcPr>
            <w:tcW w:w="1830" w:type="dxa"/>
          </w:tcPr>
          <w:p w14:paraId="48C6EDD7" w14:textId="77777777" w:rsidR="00D64477" w:rsidRPr="00A11826" w:rsidRDefault="00D64477" w:rsidP="006233FA">
            <w:pPr>
              <w:spacing w:after="0"/>
              <w:rPr>
                <w:sz w:val="20"/>
                <w:szCs w:val="20"/>
              </w:rPr>
            </w:pPr>
            <w:r>
              <w:rPr>
                <w:sz w:val="20"/>
                <w:szCs w:val="20"/>
              </w:rPr>
              <w:t>Adam Chattaway</w:t>
            </w:r>
          </w:p>
        </w:tc>
        <w:tc>
          <w:tcPr>
            <w:tcW w:w="4185" w:type="dxa"/>
          </w:tcPr>
          <w:p w14:paraId="129F233B" w14:textId="77777777" w:rsidR="00D64477" w:rsidRPr="00A11826" w:rsidRDefault="00D64477" w:rsidP="006233FA">
            <w:pPr>
              <w:spacing w:after="0"/>
              <w:rPr>
                <w:sz w:val="20"/>
                <w:szCs w:val="20"/>
              </w:rPr>
            </w:pPr>
            <w:r>
              <w:rPr>
                <w:sz w:val="20"/>
                <w:szCs w:val="20"/>
              </w:rPr>
              <w:t>Fire Suppression Technical Options Committee (FSTOC) Co-chair</w:t>
            </w:r>
          </w:p>
        </w:tc>
        <w:tc>
          <w:tcPr>
            <w:tcW w:w="2580" w:type="dxa"/>
          </w:tcPr>
          <w:p w14:paraId="7E1744E7" w14:textId="5013C6EA" w:rsidR="00D64477" w:rsidRPr="00A11826" w:rsidRDefault="00D64477" w:rsidP="006233FA">
            <w:pPr>
              <w:spacing w:after="0"/>
              <w:rPr>
                <w:sz w:val="20"/>
                <w:szCs w:val="20"/>
              </w:rPr>
            </w:pPr>
            <w:r>
              <w:rPr>
                <w:sz w:val="20"/>
                <w:szCs w:val="20"/>
              </w:rPr>
              <w:t>U</w:t>
            </w:r>
            <w:r w:rsidR="00444C51">
              <w:rPr>
                <w:sz w:val="20"/>
                <w:szCs w:val="20"/>
              </w:rPr>
              <w:t>nited Kingdom (U</w:t>
            </w:r>
            <w:r>
              <w:rPr>
                <w:sz w:val="20"/>
                <w:szCs w:val="20"/>
              </w:rPr>
              <w:t>K</w:t>
            </w:r>
            <w:r w:rsidR="00444C51">
              <w:rPr>
                <w:sz w:val="20"/>
                <w:szCs w:val="20"/>
              </w:rPr>
              <w:t>)</w:t>
            </w:r>
          </w:p>
        </w:tc>
      </w:tr>
      <w:tr w:rsidR="00D64477" w:rsidRPr="00A11826" w14:paraId="7941EA1D" w14:textId="77777777" w:rsidTr="531ECB33">
        <w:trPr>
          <w:trHeight w:val="300"/>
        </w:trPr>
        <w:tc>
          <w:tcPr>
            <w:tcW w:w="1830" w:type="dxa"/>
          </w:tcPr>
          <w:p w14:paraId="7697DD97" w14:textId="77777777" w:rsidR="00D64477" w:rsidRPr="00A11826" w:rsidRDefault="00D64477" w:rsidP="006233FA">
            <w:pPr>
              <w:spacing w:after="0"/>
              <w:rPr>
                <w:sz w:val="20"/>
                <w:szCs w:val="20"/>
              </w:rPr>
            </w:pPr>
            <w:r>
              <w:rPr>
                <w:sz w:val="20"/>
                <w:szCs w:val="20"/>
              </w:rPr>
              <w:t>Sukumar Devotta</w:t>
            </w:r>
          </w:p>
        </w:tc>
        <w:tc>
          <w:tcPr>
            <w:tcW w:w="4185" w:type="dxa"/>
          </w:tcPr>
          <w:p w14:paraId="3B1CD501" w14:textId="77777777" w:rsidR="00D64477" w:rsidRPr="00A11826" w:rsidRDefault="00D64477" w:rsidP="006233FA">
            <w:pPr>
              <w:spacing w:after="0"/>
              <w:rPr>
                <w:sz w:val="20"/>
                <w:szCs w:val="20"/>
              </w:rPr>
            </w:pPr>
            <w:r>
              <w:rPr>
                <w:sz w:val="20"/>
                <w:szCs w:val="20"/>
              </w:rPr>
              <w:t>TEAP Senior Expert</w:t>
            </w:r>
          </w:p>
        </w:tc>
        <w:tc>
          <w:tcPr>
            <w:tcW w:w="2580" w:type="dxa"/>
          </w:tcPr>
          <w:p w14:paraId="5C24579C" w14:textId="6E2CB75F" w:rsidR="00D64477" w:rsidRPr="00A11826" w:rsidRDefault="00D64477" w:rsidP="006233FA">
            <w:pPr>
              <w:spacing w:after="0"/>
              <w:rPr>
                <w:sz w:val="20"/>
                <w:szCs w:val="20"/>
              </w:rPr>
            </w:pPr>
            <w:r>
              <w:rPr>
                <w:sz w:val="20"/>
                <w:szCs w:val="20"/>
              </w:rPr>
              <w:t>Ind</w:t>
            </w:r>
            <w:r w:rsidR="00CE326C">
              <w:rPr>
                <w:sz w:val="20"/>
                <w:szCs w:val="20"/>
              </w:rPr>
              <w:t>i</w:t>
            </w:r>
            <w:r>
              <w:rPr>
                <w:sz w:val="20"/>
                <w:szCs w:val="20"/>
              </w:rPr>
              <w:t>a</w:t>
            </w:r>
          </w:p>
        </w:tc>
      </w:tr>
      <w:tr w:rsidR="00D64477" w:rsidRPr="00A11826" w14:paraId="62EBF7F5" w14:textId="77777777" w:rsidTr="531ECB33">
        <w:trPr>
          <w:trHeight w:val="300"/>
        </w:trPr>
        <w:tc>
          <w:tcPr>
            <w:tcW w:w="1830" w:type="dxa"/>
          </w:tcPr>
          <w:p w14:paraId="70BF50B2" w14:textId="77777777" w:rsidR="00D64477" w:rsidRPr="00A11826" w:rsidRDefault="00D64477" w:rsidP="006233FA">
            <w:pPr>
              <w:spacing w:after="0"/>
              <w:rPr>
                <w:sz w:val="20"/>
                <w:szCs w:val="20"/>
              </w:rPr>
            </w:pPr>
            <w:r>
              <w:rPr>
                <w:sz w:val="20"/>
                <w:szCs w:val="20"/>
              </w:rPr>
              <w:t>Gabrielle Dreyfus</w:t>
            </w:r>
          </w:p>
        </w:tc>
        <w:tc>
          <w:tcPr>
            <w:tcW w:w="4185" w:type="dxa"/>
          </w:tcPr>
          <w:p w14:paraId="7687A7BC" w14:textId="77777777" w:rsidR="00D64477" w:rsidRPr="00A11826" w:rsidRDefault="00D64477" w:rsidP="006233FA">
            <w:pPr>
              <w:spacing w:after="0"/>
              <w:rPr>
                <w:sz w:val="20"/>
                <w:szCs w:val="20"/>
              </w:rPr>
            </w:pPr>
            <w:r>
              <w:rPr>
                <w:sz w:val="20"/>
                <w:szCs w:val="20"/>
              </w:rPr>
              <w:t>RTOC Member</w:t>
            </w:r>
          </w:p>
        </w:tc>
        <w:tc>
          <w:tcPr>
            <w:tcW w:w="2580" w:type="dxa"/>
          </w:tcPr>
          <w:p w14:paraId="4D3AC6DD" w14:textId="77777777" w:rsidR="00D64477" w:rsidRPr="00A11826" w:rsidRDefault="00D64477" w:rsidP="006233FA">
            <w:pPr>
              <w:spacing w:after="0"/>
              <w:rPr>
                <w:sz w:val="20"/>
                <w:szCs w:val="20"/>
              </w:rPr>
            </w:pPr>
            <w:r>
              <w:rPr>
                <w:sz w:val="20"/>
                <w:szCs w:val="20"/>
              </w:rPr>
              <w:t>USA</w:t>
            </w:r>
          </w:p>
        </w:tc>
      </w:tr>
      <w:tr w:rsidR="00D64477" w:rsidRPr="00A11826" w14:paraId="4A0A48A5" w14:textId="77777777" w:rsidTr="531ECB33">
        <w:trPr>
          <w:trHeight w:val="300"/>
        </w:trPr>
        <w:tc>
          <w:tcPr>
            <w:tcW w:w="1830" w:type="dxa"/>
          </w:tcPr>
          <w:p w14:paraId="11944C85" w14:textId="77777777" w:rsidR="00D64477" w:rsidRPr="00A11826" w:rsidRDefault="00D64477" w:rsidP="006233FA">
            <w:pPr>
              <w:spacing w:after="0"/>
              <w:rPr>
                <w:sz w:val="20"/>
                <w:szCs w:val="20"/>
              </w:rPr>
            </w:pPr>
            <w:r>
              <w:rPr>
                <w:sz w:val="20"/>
                <w:szCs w:val="20"/>
              </w:rPr>
              <w:t>Bassam Elassaad</w:t>
            </w:r>
          </w:p>
        </w:tc>
        <w:tc>
          <w:tcPr>
            <w:tcW w:w="4185" w:type="dxa"/>
          </w:tcPr>
          <w:p w14:paraId="01484DFB" w14:textId="77777777" w:rsidR="00D64477" w:rsidRPr="00A11826" w:rsidRDefault="00D64477" w:rsidP="006233FA">
            <w:pPr>
              <w:spacing w:after="0"/>
              <w:rPr>
                <w:sz w:val="20"/>
                <w:szCs w:val="20"/>
              </w:rPr>
            </w:pPr>
            <w:r>
              <w:rPr>
                <w:sz w:val="20"/>
                <w:szCs w:val="20"/>
              </w:rPr>
              <w:t>TEAP Senior Expert and RTOC Member</w:t>
            </w:r>
          </w:p>
        </w:tc>
        <w:tc>
          <w:tcPr>
            <w:tcW w:w="2580" w:type="dxa"/>
          </w:tcPr>
          <w:p w14:paraId="4DE44A7C" w14:textId="77777777" w:rsidR="00D64477" w:rsidRPr="00A11826" w:rsidRDefault="00D64477" w:rsidP="006233FA">
            <w:pPr>
              <w:spacing w:after="0"/>
              <w:rPr>
                <w:sz w:val="20"/>
                <w:szCs w:val="20"/>
              </w:rPr>
            </w:pPr>
            <w:r>
              <w:rPr>
                <w:sz w:val="20"/>
                <w:szCs w:val="20"/>
              </w:rPr>
              <w:t>Lebanon</w:t>
            </w:r>
          </w:p>
        </w:tc>
      </w:tr>
      <w:tr w:rsidR="00D64477" w:rsidRPr="00A11826" w14:paraId="2EAB1188" w14:textId="77777777" w:rsidTr="531ECB33">
        <w:trPr>
          <w:trHeight w:val="300"/>
        </w:trPr>
        <w:tc>
          <w:tcPr>
            <w:tcW w:w="1830" w:type="dxa"/>
          </w:tcPr>
          <w:p w14:paraId="0791BFD5" w14:textId="77777777" w:rsidR="00D64477" w:rsidRPr="00A11826" w:rsidRDefault="00D64477" w:rsidP="006233FA">
            <w:pPr>
              <w:spacing w:after="0"/>
              <w:rPr>
                <w:sz w:val="20"/>
                <w:szCs w:val="20"/>
              </w:rPr>
            </w:pPr>
            <w:r>
              <w:rPr>
                <w:sz w:val="20"/>
                <w:szCs w:val="20"/>
              </w:rPr>
              <w:t>Carlos Froes Lima</w:t>
            </w:r>
          </w:p>
        </w:tc>
        <w:tc>
          <w:tcPr>
            <w:tcW w:w="4185" w:type="dxa"/>
          </w:tcPr>
          <w:p w14:paraId="7D78F257" w14:textId="77777777" w:rsidR="00D64477" w:rsidRPr="00A11826" w:rsidRDefault="00D64477" w:rsidP="006233FA">
            <w:pPr>
              <w:spacing w:after="0"/>
              <w:rPr>
                <w:sz w:val="20"/>
                <w:szCs w:val="20"/>
              </w:rPr>
            </w:pPr>
            <w:r>
              <w:rPr>
                <w:sz w:val="20"/>
                <w:szCs w:val="20"/>
              </w:rPr>
              <w:t>Independent consultant</w:t>
            </w:r>
          </w:p>
        </w:tc>
        <w:tc>
          <w:tcPr>
            <w:tcW w:w="2580" w:type="dxa"/>
          </w:tcPr>
          <w:p w14:paraId="23F5FB01" w14:textId="77777777" w:rsidR="00D64477" w:rsidRPr="00A11826" w:rsidRDefault="00D64477" w:rsidP="006233FA">
            <w:pPr>
              <w:spacing w:after="0"/>
              <w:rPr>
                <w:sz w:val="20"/>
                <w:szCs w:val="20"/>
              </w:rPr>
            </w:pPr>
            <w:r>
              <w:rPr>
                <w:sz w:val="20"/>
                <w:szCs w:val="20"/>
              </w:rPr>
              <w:t>Brazil</w:t>
            </w:r>
          </w:p>
        </w:tc>
      </w:tr>
      <w:tr w:rsidR="00D64477" w:rsidRPr="00A11826" w14:paraId="39C97DE7" w14:textId="77777777" w:rsidTr="531ECB33">
        <w:trPr>
          <w:trHeight w:val="300"/>
        </w:trPr>
        <w:tc>
          <w:tcPr>
            <w:tcW w:w="1830" w:type="dxa"/>
          </w:tcPr>
          <w:p w14:paraId="73CC62C6" w14:textId="77777777" w:rsidR="00D64477" w:rsidRPr="00A11826" w:rsidRDefault="00D64477" w:rsidP="006233FA">
            <w:pPr>
              <w:spacing w:after="0"/>
              <w:rPr>
                <w:sz w:val="20"/>
                <w:szCs w:val="20"/>
              </w:rPr>
            </w:pPr>
            <w:r>
              <w:rPr>
                <w:sz w:val="20"/>
                <w:szCs w:val="20"/>
              </w:rPr>
              <w:t>Marco Gonzalez</w:t>
            </w:r>
          </w:p>
        </w:tc>
        <w:tc>
          <w:tcPr>
            <w:tcW w:w="4185" w:type="dxa"/>
          </w:tcPr>
          <w:p w14:paraId="02F63401" w14:textId="77777777" w:rsidR="00D64477" w:rsidRPr="00A11826" w:rsidRDefault="00D64477" w:rsidP="006233FA">
            <w:pPr>
              <w:spacing w:after="0"/>
              <w:rPr>
                <w:sz w:val="20"/>
                <w:szCs w:val="20"/>
              </w:rPr>
            </w:pPr>
            <w:r>
              <w:rPr>
                <w:sz w:val="20"/>
                <w:szCs w:val="20"/>
              </w:rPr>
              <w:t>TEAP Senior Expert</w:t>
            </w:r>
          </w:p>
        </w:tc>
        <w:tc>
          <w:tcPr>
            <w:tcW w:w="2580" w:type="dxa"/>
          </w:tcPr>
          <w:p w14:paraId="3A35B765" w14:textId="77777777" w:rsidR="00D64477" w:rsidRPr="00A11826" w:rsidRDefault="00D64477" w:rsidP="006233FA">
            <w:pPr>
              <w:spacing w:after="0"/>
              <w:rPr>
                <w:sz w:val="20"/>
                <w:szCs w:val="20"/>
              </w:rPr>
            </w:pPr>
            <w:r>
              <w:rPr>
                <w:sz w:val="20"/>
                <w:szCs w:val="20"/>
              </w:rPr>
              <w:t>Costa Rica</w:t>
            </w:r>
          </w:p>
        </w:tc>
      </w:tr>
      <w:tr w:rsidR="00D64477" w:rsidRPr="00A11826" w14:paraId="79D26458" w14:textId="77777777" w:rsidTr="531ECB33">
        <w:trPr>
          <w:trHeight w:val="300"/>
        </w:trPr>
        <w:tc>
          <w:tcPr>
            <w:tcW w:w="1830" w:type="dxa"/>
          </w:tcPr>
          <w:p w14:paraId="01EFDA18" w14:textId="77777777" w:rsidR="00D64477" w:rsidRPr="00A11826" w:rsidRDefault="00D64477" w:rsidP="006233FA">
            <w:pPr>
              <w:spacing w:after="0"/>
              <w:rPr>
                <w:sz w:val="20"/>
                <w:szCs w:val="20"/>
              </w:rPr>
            </w:pPr>
            <w:r>
              <w:rPr>
                <w:sz w:val="20"/>
                <w:szCs w:val="20"/>
              </w:rPr>
              <w:lastRenderedPageBreak/>
              <w:t>Mary Najjuma</w:t>
            </w:r>
          </w:p>
        </w:tc>
        <w:tc>
          <w:tcPr>
            <w:tcW w:w="4185" w:type="dxa"/>
          </w:tcPr>
          <w:p w14:paraId="698E6FA8" w14:textId="77777777" w:rsidR="00D64477" w:rsidRPr="00A11826" w:rsidRDefault="00D64477" w:rsidP="006233FA">
            <w:pPr>
              <w:spacing w:after="0"/>
              <w:rPr>
                <w:sz w:val="20"/>
                <w:szCs w:val="20"/>
              </w:rPr>
            </w:pPr>
            <w:r>
              <w:rPr>
                <w:sz w:val="20"/>
                <w:szCs w:val="20"/>
              </w:rPr>
              <w:t>Independent consultant</w:t>
            </w:r>
          </w:p>
        </w:tc>
        <w:tc>
          <w:tcPr>
            <w:tcW w:w="2580" w:type="dxa"/>
          </w:tcPr>
          <w:p w14:paraId="185E6EEE" w14:textId="77777777" w:rsidR="00D64477" w:rsidRPr="00A11826" w:rsidRDefault="00D64477" w:rsidP="006233FA">
            <w:pPr>
              <w:spacing w:after="0"/>
              <w:rPr>
                <w:sz w:val="20"/>
                <w:szCs w:val="20"/>
              </w:rPr>
            </w:pPr>
            <w:r>
              <w:rPr>
                <w:sz w:val="20"/>
                <w:szCs w:val="20"/>
              </w:rPr>
              <w:t>Uganda</w:t>
            </w:r>
          </w:p>
        </w:tc>
      </w:tr>
      <w:tr w:rsidR="00D64477" w:rsidRPr="00A11826" w14:paraId="44AF0D56" w14:textId="77777777" w:rsidTr="531ECB33">
        <w:trPr>
          <w:trHeight w:val="300"/>
        </w:trPr>
        <w:tc>
          <w:tcPr>
            <w:tcW w:w="1830" w:type="dxa"/>
          </w:tcPr>
          <w:p w14:paraId="1760738A" w14:textId="77777777" w:rsidR="00D64477" w:rsidRPr="00A11826" w:rsidRDefault="00D64477" w:rsidP="006233FA">
            <w:pPr>
              <w:spacing w:after="0"/>
              <w:rPr>
                <w:sz w:val="20"/>
              </w:rPr>
            </w:pPr>
            <w:r>
              <w:rPr>
                <w:sz w:val="20"/>
              </w:rPr>
              <w:t>Marta Pizano</w:t>
            </w:r>
          </w:p>
        </w:tc>
        <w:tc>
          <w:tcPr>
            <w:tcW w:w="4185" w:type="dxa"/>
          </w:tcPr>
          <w:p w14:paraId="6A3D3A70" w14:textId="77777777" w:rsidR="00D64477" w:rsidRPr="00A11826" w:rsidRDefault="00D64477" w:rsidP="006233FA">
            <w:pPr>
              <w:spacing w:after="0"/>
              <w:rPr>
                <w:sz w:val="20"/>
              </w:rPr>
            </w:pPr>
            <w:r>
              <w:rPr>
                <w:sz w:val="20"/>
              </w:rPr>
              <w:t>TEAP and Methyl Bromide Technical Options Committee (MBTOC) Co-chair</w:t>
            </w:r>
          </w:p>
        </w:tc>
        <w:tc>
          <w:tcPr>
            <w:tcW w:w="2580" w:type="dxa"/>
          </w:tcPr>
          <w:p w14:paraId="49F7DB90" w14:textId="77777777" w:rsidR="00D64477" w:rsidRPr="00A11826" w:rsidRDefault="00D64477" w:rsidP="006233FA">
            <w:pPr>
              <w:spacing w:after="0"/>
              <w:rPr>
                <w:sz w:val="20"/>
              </w:rPr>
            </w:pPr>
            <w:r>
              <w:rPr>
                <w:sz w:val="20"/>
              </w:rPr>
              <w:t>Colombia</w:t>
            </w:r>
          </w:p>
        </w:tc>
      </w:tr>
      <w:tr w:rsidR="00D64477" w:rsidRPr="00A11826" w14:paraId="1321643E" w14:textId="77777777" w:rsidTr="531ECB33">
        <w:trPr>
          <w:trHeight w:val="300"/>
        </w:trPr>
        <w:tc>
          <w:tcPr>
            <w:tcW w:w="1830" w:type="dxa"/>
          </w:tcPr>
          <w:p w14:paraId="0A9F76E9" w14:textId="748BFDA6" w:rsidR="00D64477" w:rsidRPr="00A11826" w:rsidRDefault="7D5B7647" w:rsidP="006233FA">
            <w:pPr>
              <w:spacing w:after="0"/>
              <w:rPr>
                <w:sz w:val="20"/>
                <w:szCs w:val="20"/>
              </w:rPr>
            </w:pPr>
            <w:r w:rsidRPr="531ECB33">
              <w:rPr>
                <w:sz w:val="20"/>
                <w:szCs w:val="20"/>
              </w:rPr>
              <w:t xml:space="preserve">Pallav </w:t>
            </w:r>
            <w:r w:rsidR="529A79C0" w:rsidRPr="531ECB33">
              <w:rPr>
                <w:sz w:val="20"/>
                <w:szCs w:val="20"/>
              </w:rPr>
              <w:t>Purohit</w:t>
            </w:r>
          </w:p>
        </w:tc>
        <w:tc>
          <w:tcPr>
            <w:tcW w:w="4185" w:type="dxa"/>
          </w:tcPr>
          <w:p w14:paraId="22A173E1" w14:textId="77777777" w:rsidR="00D64477" w:rsidRPr="00A11826" w:rsidRDefault="00D64477" w:rsidP="006233FA">
            <w:pPr>
              <w:spacing w:after="0"/>
              <w:rPr>
                <w:sz w:val="20"/>
                <w:szCs w:val="20"/>
              </w:rPr>
            </w:pPr>
            <w:r>
              <w:rPr>
                <w:sz w:val="20"/>
                <w:szCs w:val="20"/>
              </w:rPr>
              <w:t>RTOC Member</w:t>
            </w:r>
          </w:p>
        </w:tc>
        <w:tc>
          <w:tcPr>
            <w:tcW w:w="2580" w:type="dxa"/>
          </w:tcPr>
          <w:p w14:paraId="26E75129" w14:textId="77777777" w:rsidR="00D64477" w:rsidRPr="00A11826" w:rsidRDefault="00D64477" w:rsidP="006233FA">
            <w:pPr>
              <w:spacing w:after="0"/>
              <w:rPr>
                <w:sz w:val="20"/>
                <w:szCs w:val="20"/>
              </w:rPr>
            </w:pPr>
            <w:r>
              <w:rPr>
                <w:sz w:val="20"/>
                <w:szCs w:val="20"/>
              </w:rPr>
              <w:t>India</w:t>
            </w:r>
          </w:p>
        </w:tc>
      </w:tr>
      <w:tr w:rsidR="00D64477" w:rsidRPr="00A11826" w14:paraId="0FA1DD48" w14:textId="77777777" w:rsidTr="531ECB33">
        <w:trPr>
          <w:trHeight w:val="300"/>
        </w:trPr>
        <w:tc>
          <w:tcPr>
            <w:tcW w:w="1830" w:type="dxa"/>
          </w:tcPr>
          <w:p w14:paraId="030F69E8" w14:textId="77777777" w:rsidR="00D64477" w:rsidRPr="00A11826" w:rsidRDefault="00D64477" w:rsidP="006233FA">
            <w:pPr>
              <w:spacing w:after="0"/>
              <w:rPr>
                <w:sz w:val="20"/>
                <w:szCs w:val="20"/>
              </w:rPr>
            </w:pPr>
            <w:r>
              <w:rPr>
                <w:sz w:val="20"/>
                <w:szCs w:val="20"/>
              </w:rPr>
              <w:t>Rajan Rajendran</w:t>
            </w:r>
          </w:p>
        </w:tc>
        <w:tc>
          <w:tcPr>
            <w:tcW w:w="4185" w:type="dxa"/>
          </w:tcPr>
          <w:p w14:paraId="015E926C" w14:textId="77777777" w:rsidR="00D64477" w:rsidRPr="00A11826" w:rsidRDefault="00D64477" w:rsidP="006233FA">
            <w:pPr>
              <w:spacing w:after="0"/>
              <w:rPr>
                <w:sz w:val="20"/>
                <w:szCs w:val="20"/>
              </w:rPr>
            </w:pPr>
            <w:r>
              <w:rPr>
                <w:sz w:val="20"/>
                <w:szCs w:val="20"/>
              </w:rPr>
              <w:t>RTOC Co-chair</w:t>
            </w:r>
          </w:p>
        </w:tc>
        <w:tc>
          <w:tcPr>
            <w:tcW w:w="2580" w:type="dxa"/>
          </w:tcPr>
          <w:p w14:paraId="2423E200" w14:textId="77777777" w:rsidR="00D64477" w:rsidRPr="00A11826" w:rsidRDefault="00D64477" w:rsidP="006233FA">
            <w:pPr>
              <w:spacing w:after="0"/>
              <w:rPr>
                <w:sz w:val="20"/>
                <w:szCs w:val="20"/>
              </w:rPr>
            </w:pPr>
            <w:r>
              <w:rPr>
                <w:sz w:val="20"/>
                <w:szCs w:val="20"/>
              </w:rPr>
              <w:t>USA</w:t>
            </w:r>
          </w:p>
        </w:tc>
      </w:tr>
      <w:tr w:rsidR="00D64477" w:rsidRPr="00A11826" w14:paraId="2CA1A479" w14:textId="77777777" w:rsidTr="531ECB33">
        <w:trPr>
          <w:trHeight w:val="300"/>
        </w:trPr>
        <w:tc>
          <w:tcPr>
            <w:tcW w:w="1830" w:type="dxa"/>
          </w:tcPr>
          <w:p w14:paraId="4FB2DE32" w14:textId="77777777" w:rsidR="00D64477" w:rsidRPr="00A11826" w:rsidRDefault="00D64477" w:rsidP="006233FA">
            <w:pPr>
              <w:spacing w:after="0"/>
              <w:rPr>
                <w:sz w:val="20"/>
                <w:szCs w:val="20"/>
              </w:rPr>
            </w:pPr>
            <w:r>
              <w:rPr>
                <w:sz w:val="20"/>
                <w:szCs w:val="20"/>
              </w:rPr>
              <w:t>Bettina Schreck</w:t>
            </w:r>
          </w:p>
        </w:tc>
        <w:tc>
          <w:tcPr>
            <w:tcW w:w="4185" w:type="dxa"/>
          </w:tcPr>
          <w:p w14:paraId="1C030DDA" w14:textId="77777777" w:rsidR="00D64477" w:rsidRPr="00A11826" w:rsidRDefault="00D64477" w:rsidP="006233FA">
            <w:pPr>
              <w:spacing w:after="0"/>
              <w:rPr>
                <w:sz w:val="20"/>
                <w:szCs w:val="20"/>
              </w:rPr>
            </w:pPr>
            <w:r>
              <w:rPr>
                <w:sz w:val="20"/>
                <w:szCs w:val="20"/>
              </w:rPr>
              <w:t>Medical and Chemical Technical Options Committee (MCTOC) Member</w:t>
            </w:r>
          </w:p>
        </w:tc>
        <w:tc>
          <w:tcPr>
            <w:tcW w:w="2580" w:type="dxa"/>
          </w:tcPr>
          <w:p w14:paraId="3C3732B9" w14:textId="77777777" w:rsidR="00D64477" w:rsidRPr="00A11826" w:rsidRDefault="00D64477" w:rsidP="006233FA">
            <w:pPr>
              <w:spacing w:after="0"/>
              <w:rPr>
                <w:sz w:val="20"/>
                <w:szCs w:val="20"/>
              </w:rPr>
            </w:pPr>
            <w:r>
              <w:rPr>
                <w:sz w:val="20"/>
                <w:szCs w:val="20"/>
              </w:rPr>
              <w:t>Argentina</w:t>
            </w:r>
          </w:p>
        </w:tc>
      </w:tr>
      <w:tr w:rsidR="00D64477" w:rsidRPr="00A11826" w14:paraId="6CDB8876" w14:textId="77777777" w:rsidTr="531ECB33">
        <w:trPr>
          <w:trHeight w:val="300"/>
        </w:trPr>
        <w:tc>
          <w:tcPr>
            <w:tcW w:w="1830" w:type="dxa"/>
          </w:tcPr>
          <w:p w14:paraId="502F7173" w14:textId="77777777" w:rsidR="00D64477" w:rsidRPr="00A11826" w:rsidRDefault="00D64477" w:rsidP="006233FA">
            <w:pPr>
              <w:spacing w:after="0"/>
              <w:rPr>
                <w:sz w:val="20"/>
                <w:szCs w:val="20"/>
              </w:rPr>
            </w:pPr>
            <w:r>
              <w:rPr>
                <w:sz w:val="20"/>
                <w:szCs w:val="20"/>
              </w:rPr>
              <w:t>John Telesford</w:t>
            </w:r>
          </w:p>
        </w:tc>
        <w:tc>
          <w:tcPr>
            <w:tcW w:w="4185" w:type="dxa"/>
          </w:tcPr>
          <w:p w14:paraId="47202B28" w14:textId="77777777" w:rsidR="00D64477" w:rsidRPr="00A11826" w:rsidRDefault="00D64477" w:rsidP="006233FA">
            <w:pPr>
              <w:spacing w:after="0"/>
              <w:rPr>
                <w:sz w:val="20"/>
                <w:szCs w:val="20"/>
              </w:rPr>
            </w:pPr>
            <w:r>
              <w:rPr>
                <w:sz w:val="20"/>
                <w:szCs w:val="20"/>
              </w:rPr>
              <w:t>Independent consultant</w:t>
            </w:r>
          </w:p>
        </w:tc>
        <w:tc>
          <w:tcPr>
            <w:tcW w:w="2580" w:type="dxa"/>
          </w:tcPr>
          <w:p w14:paraId="38248A54" w14:textId="77777777" w:rsidR="00D64477" w:rsidRPr="00A11826" w:rsidRDefault="00D64477" w:rsidP="006233FA">
            <w:pPr>
              <w:spacing w:after="0"/>
              <w:rPr>
                <w:sz w:val="20"/>
                <w:szCs w:val="20"/>
              </w:rPr>
            </w:pPr>
            <w:r>
              <w:rPr>
                <w:sz w:val="20"/>
                <w:szCs w:val="20"/>
              </w:rPr>
              <w:t>Grenada</w:t>
            </w:r>
          </w:p>
        </w:tc>
      </w:tr>
      <w:tr w:rsidR="00D64477" w:rsidRPr="00A11826" w14:paraId="49F72F10" w14:textId="77777777" w:rsidTr="531ECB33">
        <w:trPr>
          <w:trHeight w:val="300"/>
        </w:trPr>
        <w:tc>
          <w:tcPr>
            <w:tcW w:w="1830" w:type="dxa"/>
          </w:tcPr>
          <w:p w14:paraId="3D0F0FCD" w14:textId="77777777" w:rsidR="00D64477" w:rsidRPr="00A11826" w:rsidRDefault="00D64477" w:rsidP="006233FA">
            <w:pPr>
              <w:spacing w:after="0"/>
              <w:rPr>
                <w:sz w:val="20"/>
                <w:szCs w:val="20"/>
              </w:rPr>
            </w:pPr>
            <w:r>
              <w:rPr>
                <w:sz w:val="20"/>
                <w:szCs w:val="20"/>
              </w:rPr>
              <w:t>Helen Tope</w:t>
            </w:r>
          </w:p>
        </w:tc>
        <w:tc>
          <w:tcPr>
            <w:tcW w:w="4185" w:type="dxa"/>
          </w:tcPr>
          <w:p w14:paraId="05DE0BE9" w14:textId="77777777" w:rsidR="00D64477" w:rsidRPr="00A11826" w:rsidRDefault="00D64477" w:rsidP="006233FA">
            <w:pPr>
              <w:spacing w:after="0"/>
              <w:rPr>
                <w:sz w:val="20"/>
                <w:szCs w:val="20"/>
              </w:rPr>
            </w:pPr>
            <w:r>
              <w:rPr>
                <w:sz w:val="20"/>
                <w:szCs w:val="20"/>
              </w:rPr>
              <w:t>MCTOC Co-chair</w:t>
            </w:r>
          </w:p>
        </w:tc>
        <w:tc>
          <w:tcPr>
            <w:tcW w:w="2580" w:type="dxa"/>
          </w:tcPr>
          <w:p w14:paraId="327B945B" w14:textId="77777777" w:rsidR="00D64477" w:rsidRPr="00A11826" w:rsidRDefault="00D64477" w:rsidP="006233FA">
            <w:pPr>
              <w:spacing w:after="0"/>
              <w:rPr>
                <w:sz w:val="20"/>
                <w:szCs w:val="20"/>
              </w:rPr>
            </w:pPr>
            <w:r>
              <w:rPr>
                <w:sz w:val="20"/>
                <w:szCs w:val="20"/>
              </w:rPr>
              <w:t>Australia</w:t>
            </w:r>
          </w:p>
        </w:tc>
      </w:tr>
      <w:tr w:rsidR="00D64477" w:rsidRPr="00A11826" w14:paraId="74849AA6" w14:textId="77777777" w:rsidTr="531ECB33">
        <w:trPr>
          <w:trHeight w:val="300"/>
        </w:trPr>
        <w:tc>
          <w:tcPr>
            <w:tcW w:w="1830" w:type="dxa"/>
          </w:tcPr>
          <w:p w14:paraId="2AD56802" w14:textId="77777777" w:rsidR="00D64477" w:rsidRPr="00A11826" w:rsidRDefault="00D64477" w:rsidP="006233FA">
            <w:pPr>
              <w:spacing w:after="0"/>
              <w:rPr>
                <w:sz w:val="20"/>
                <w:szCs w:val="20"/>
              </w:rPr>
            </w:pPr>
            <w:r>
              <w:rPr>
                <w:sz w:val="20"/>
                <w:szCs w:val="20"/>
              </w:rPr>
              <w:t>Helen Walter-Terrinoni</w:t>
            </w:r>
          </w:p>
        </w:tc>
        <w:tc>
          <w:tcPr>
            <w:tcW w:w="4185" w:type="dxa"/>
          </w:tcPr>
          <w:p w14:paraId="5803DD7B" w14:textId="36EBFD66" w:rsidR="00D64477" w:rsidRPr="00A11826" w:rsidRDefault="00D64477" w:rsidP="006233FA">
            <w:pPr>
              <w:spacing w:after="0"/>
              <w:rPr>
                <w:sz w:val="20"/>
                <w:szCs w:val="20"/>
              </w:rPr>
            </w:pPr>
            <w:r>
              <w:rPr>
                <w:sz w:val="20"/>
                <w:szCs w:val="20"/>
              </w:rPr>
              <w:t>Flexible and Rigid Foams Technical Options Committee (FTOC) Co-chair</w:t>
            </w:r>
          </w:p>
        </w:tc>
        <w:tc>
          <w:tcPr>
            <w:tcW w:w="2580" w:type="dxa"/>
          </w:tcPr>
          <w:p w14:paraId="27549FD6" w14:textId="77777777" w:rsidR="00D64477" w:rsidRPr="00A11826" w:rsidRDefault="00D64477" w:rsidP="006233FA">
            <w:pPr>
              <w:spacing w:after="0"/>
              <w:rPr>
                <w:sz w:val="20"/>
                <w:szCs w:val="20"/>
              </w:rPr>
            </w:pPr>
            <w:r>
              <w:rPr>
                <w:sz w:val="20"/>
                <w:szCs w:val="20"/>
              </w:rPr>
              <w:t>USA</w:t>
            </w:r>
          </w:p>
        </w:tc>
      </w:tr>
      <w:tr w:rsidR="00D64477" w:rsidRPr="00A11826" w14:paraId="54E50130" w14:textId="77777777" w:rsidTr="531ECB33">
        <w:trPr>
          <w:trHeight w:val="300"/>
        </w:trPr>
        <w:tc>
          <w:tcPr>
            <w:tcW w:w="1830" w:type="dxa"/>
          </w:tcPr>
          <w:p w14:paraId="1E2DBE34" w14:textId="77777777" w:rsidR="00D64477" w:rsidRPr="00A11826" w:rsidRDefault="00D64477" w:rsidP="006233FA">
            <w:pPr>
              <w:spacing w:after="0"/>
              <w:rPr>
                <w:sz w:val="20"/>
                <w:szCs w:val="20"/>
              </w:rPr>
            </w:pPr>
            <w:r>
              <w:rPr>
                <w:sz w:val="20"/>
                <w:szCs w:val="20"/>
              </w:rPr>
              <w:t>Shiqiu Zhang</w:t>
            </w:r>
          </w:p>
        </w:tc>
        <w:tc>
          <w:tcPr>
            <w:tcW w:w="4185" w:type="dxa"/>
          </w:tcPr>
          <w:p w14:paraId="5BE699F2" w14:textId="77777777" w:rsidR="00D64477" w:rsidRPr="00A11826" w:rsidRDefault="00D64477" w:rsidP="006233FA">
            <w:pPr>
              <w:spacing w:after="0"/>
              <w:rPr>
                <w:sz w:val="20"/>
                <w:szCs w:val="20"/>
              </w:rPr>
            </w:pPr>
            <w:r>
              <w:rPr>
                <w:sz w:val="20"/>
                <w:szCs w:val="20"/>
              </w:rPr>
              <w:t>TEAP Senior Expert</w:t>
            </w:r>
          </w:p>
        </w:tc>
        <w:tc>
          <w:tcPr>
            <w:tcW w:w="2580" w:type="dxa"/>
          </w:tcPr>
          <w:p w14:paraId="38ACB693" w14:textId="29390461" w:rsidR="00D64477" w:rsidRPr="00A11826" w:rsidRDefault="00D64477" w:rsidP="006233FA">
            <w:pPr>
              <w:spacing w:after="0"/>
              <w:rPr>
                <w:sz w:val="20"/>
                <w:szCs w:val="20"/>
              </w:rPr>
            </w:pPr>
            <w:r>
              <w:rPr>
                <w:sz w:val="20"/>
                <w:szCs w:val="20"/>
              </w:rPr>
              <w:t>P</w:t>
            </w:r>
            <w:r w:rsidR="00444C51">
              <w:rPr>
                <w:sz w:val="20"/>
                <w:szCs w:val="20"/>
              </w:rPr>
              <w:t>eople’s Republic of China</w:t>
            </w:r>
          </w:p>
        </w:tc>
      </w:tr>
      <w:tr w:rsidR="002A08DD" w:rsidRPr="00A11826" w14:paraId="151361C8" w14:textId="77777777" w:rsidTr="005B550D">
        <w:trPr>
          <w:trHeight w:val="300"/>
        </w:trPr>
        <w:tc>
          <w:tcPr>
            <w:tcW w:w="8595" w:type="dxa"/>
            <w:gridSpan w:val="3"/>
            <w:shd w:val="clear" w:color="auto" w:fill="D9E2F3" w:themeFill="accent1" w:themeFillTint="33"/>
            <w:vAlign w:val="center"/>
          </w:tcPr>
          <w:p w14:paraId="03E8CD29" w14:textId="48257616" w:rsidR="002A08DD" w:rsidRPr="0056720F" w:rsidRDefault="002A08DD" w:rsidP="005B550D">
            <w:pPr>
              <w:spacing w:after="0"/>
              <w:rPr>
                <w:sz w:val="20"/>
              </w:rPr>
            </w:pPr>
            <w:r>
              <w:rPr>
                <w:b/>
                <w:sz w:val="20"/>
                <w:szCs w:val="20"/>
              </w:rPr>
              <w:t>Consulting Expert</w:t>
            </w:r>
          </w:p>
        </w:tc>
      </w:tr>
      <w:tr w:rsidR="00D64477" w:rsidRPr="00A11826" w14:paraId="09CF3412" w14:textId="77777777" w:rsidTr="531ECB33">
        <w:trPr>
          <w:trHeight w:val="300"/>
        </w:trPr>
        <w:tc>
          <w:tcPr>
            <w:tcW w:w="1830" w:type="dxa"/>
          </w:tcPr>
          <w:p w14:paraId="239AFEDD" w14:textId="77777777" w:rsidR="00D64477" w:rsidRPr="00A11826" w:rsidRDefault="00D64477" w:rsidP="006233FA">
            <w:pPr>
              <w:spacing w:after="0"/>
              <w:rPr>
                <w:sz w:val="20"/>
              </w:rPr>
            </w:pPr>
            <w:r>
              <w:rPr>
                <w:sz w:val="20"/>
              </w:rPr>
              <w:t>Rick Cooke</w:t>
            </w:r>
          </w:p>
        </w:tc>
        <w:tc>
          <w:tcPr>
            <w:tcW w:w="4185" w:type="dxa"/>
          </w:tcPr>
          <w:p w14:paraId="0C302986" w14:textId="77777777" w:rsidR="00D64477" w:rsidRPr="00A11826" w:rsidRDefault="00D64477" w:rsidP="006233FA">
            <w:pPr>
              <w:spacing w:after="0"/>
              <w:rPr>
                <w:sz w:val="20"/>
              </w:rPr>
            </w:pPr>
            <w:r>
              <w:rPr>
                <w:sz w:val="20"/>
              </w:rPr>
              <w:t>MCTOC Member</w:t>
            </w:r>
          </w:p>
        </w:tc>
        <w:tc>
          <w:tcPr>
            <w:tcW w:w="2580" w:type="dxa"/>
          </w:tcPr>
          <w:p w14:paraId="2EB5A6DD" w14:textId="77777777" w:rsidR="00D64477" w:rsidRPr="00A11826" w:rsidRDefault="00D64477" w:rsidP="006233FA">
            <w:pPr>
              <w:spacing w:after="0"/>
              <w:rPr>
                <w:sz w:val="20"/>
              </w:rPr>
            </w:pPr>
            <w:r>
              <w:rPr>
                <w:sz w:val="20"/>
              </w:rPr>
              <w:t>Canada</w:t>
            </w:r>
          </w:p>
        </w:tc>
      </w:tr>
    </w:tbl>
    <w:p w14:paraId="5C1E29A2" w14:textId="250ACE2C" w:rsidR="003477F3" w:rsidRDefault="003477F3" w:rsidP="00760C3C">
      <w:pPr>
        <w:rPr>
          <w:bCs/>
        </w:rPr>
      </w:pPr>
    </w:p>
    <w:p w14:paraId="611DE2F4" w14:textId="17669C74" w:rsidR="00B4577A" w:rsidRDefault="00B4577A" w:rsidP="00760C3C">
      <w:pPr>
        <w:rPr>
          <w:bCs/>
        </w:rPr>
      </w:pPr>
      <w:r w:rsidRPr="00B4577A">
        <w:rPr>
          <w:bCs/>
        </w:rPr>
        <w:t>Rick Cooke, a member of the MCTOC from Canada, served as a consulting expert to the RTF. TEAP is grateful for the contributions of these experts to this report.</w:t>
      </w:r>
    </w:p>
    <w:p w14:paraId="7A5DB14B" w14:textId="0C563895" w:rsidR="009C5ADC" w:rsidRPr="00E42C5E" w:rsidRDefault="009C5ADC" w:rsidP="007C77CF">
      <w:pPr>
        <w:pStyle w:val="Heading3"/>
      </w:pPr>
      <w:bookmarkStart w:id="112" w:name="_Toc119436512"/>
      <w:bookmarkStart w:id="113" w:name="_Toc230099036"/>
      <w:r w:rsidRPr="00E42C5E">
        <w:t>1.3.</w:t>
      </w:r>
      <w:r w:rsidR="006D6305">
        <w:t>2</w:t>
      </w:r>
      <w:r w:rsidRPr="00E42C5E">
        <w:tab/>
        <w:t>Development of the report</w:t>
      </w:r>
      <w:bookmarkEnd w:id="112"/>
      <w:bookmarkEnd w:id="113"/>
    </w:p>
    <w:p w14:paraId="04461612" w14:textId="7C36A7ED" w:rsidR="005F1EBF" w:rsidRPr="001E3B9A" w:rsidRDefault="4BCEE662" w:rsidP="005F1EBF">
      <w:r>
        <w:t>In December 2025, several RTF members attended the 97</w:t>
      </w:r>
      <w:r w:rsidRPr="4BCEE662">
        <w:rPr>
          <w:vertAlign w:val="superscript"/>
        </w:rPr>
        <w:t>th</w:t>
      </w:r>
      <w:r>
        <w:t xml:space="preserve"> meeting of the Executive Committee of the MLF (ExCom-97) to conduct informal consultations with ExCom members and bilateral and implementing agencies</w:t>
      </w:r>
      <w:r w:rsidR="00F64E92">
        <w:t xml:space="preserve"> (I</w:t>
      </w:r>
      <w:r w:rsidR="00325F8D">
        <w:t>A</w:t>
      </w:r>
      <w:r w:rsidR="00F64E92">
        <w:t>s)</w:t>
      </w:r>
      <w:r>
        <w:t xml:space="preserve"> present at that meeting. The RTF also considered any relevant discussions and decisions taken at this meeting that could have potential implications in the preparation of this report. </w:t>
      </w:r>
    </w:p>
    <w:p w14:paraId="0FC9503D" w14:textId="053B518D" w:rsidR="005F1EBF" w:rsidRDefault="005F1EBF" w:rsidP="005F1EBF">
      <w:pPr>
        <w:rPr>
          <w:lang w:val="en-US"/>
        </w:rPr>
      </w:pPr>
      <w:r w:rsidRPr="001E3B9A">
        <w:t xml:space="preserve">In </w:t>
      </w:r>
      <w:r>
        <w:t>February 2026</w:t>
      </w:r>
      <w:r w:rsidRPr="001E3B9A">
        <w:t xml:space="preserve">, the RTF met in Montreal hosted by the MLFS to plan its work in response to Decision </w:t>
      </w:r>
      <w:r>
        <w:t>XXXVII/6</w:t>
      </w:r>
      <w:r w:rsidRPr="001E3B9A">
        <w:t xml:space="preserve">. </w:t>
      </w:r>
      <w:r w:rsidR="005C4A10" w:rsidRPr="3E1EC0C4">
        <w:rPr>
          <w:lang w:val="en-US"/>
        </w:rPr>
        <w:t>RTF</w:t>
      </w:r>
      <w:r w:rsidRPr="001E3B9A">
        <w:rPr>
          <w:lang w:val="en-US"/>
        </w:rPr>
        <w:t xml:space="preserve"> prepared its report in consultation with MLFS staff.</w:t>
      </w:r>
      <w:r>
        <w:rPr>
          <w:lang w:val="en-US"/>
        </w:rPr>
        <w:t xml:space="preserve"> Following that meeting, the RTF worked </w:t>
      </w:r>
      <w:r w:rsidR="00EA5401">
        <w:rPr>
          <w:lang w:val="en-US"/>
        </w:rPr>
        <w:t>primarily online</w:t>
      </w:r>
      <w:r>
        <w:rPr>
          <w:lang w:val="en-US"/>
        </w:rPr>
        <w:t xml:space="preserve"> to develop its draft report for review </w:t>
      </w:r>
      <w:r w:rsidR="00156C8D">
        <w:rPr>
          <w:lang w:val="en-US"/>
        </w:rPr>
        <w:t xml:space="preserve">and discussion </w:t>
      </w:r>
      <w:r>
        <w:rPr>
          <w:lang w:val="en-US"/>
        </w:rPr>
        <w:t xml:space="preserve">by the TEAP at </w:t>
      </w:r>
      <w:r w:rsidR="0003623D">
        <w:rPr>
          <w:lang w:val="en-US"/>
        </w:rPr>
        <w:t xml:space="preserve">the panel’s </w:t>
      </w:r>
      <w:r>
        <w:rPr>
          <w:lang w:val="en-US"/>
        </w:rPr>
        <w:t xml:space="preserve">April 2026 meeting </w:t>
      </w:r>
      <w:r w:rsidR="0003623D">
        <w:rPr>
          <w:lang w:val="en-US"/>
        </w:rPr>
        <w:t xml:space="preserve">in Brussels. </w:t>
      </w:r>
      <w:r w:rsidR="00B06CFB">
        <w:rPr>
          <w:lang w:val="en-US"/>
        </w:rPr>
        <w:t xml:space="preserve">Considering </w:t>
      </w:r>
      <w:r w:rsidR="0003623D">
        <w:rPr>
          <w:lang w:val="en-US"/>
        </w:rPr>
        <w:t>all</w:t>
      </w:r>
      <w:r w:rsidR="00E74445">
        <w:rPr>
          <w:lang w:val="en-US"/>
        </w:rPr>
        <w:t xml:space="preserve"> </w:t>
      </w:r>
      <w:r w:rsidR="0003623D">
        <w:rPr>
          <w:lang w:val="en-US"/>
        </w:rPr>
        <w:t>comments and suggestions</w:t>
      </w:r>
      <w:r w:rsidR="00156C8D">
        <w:rPr>
          <w:lang w:val="en-US"/>
        </w:rPr>
        <w:t xml:space="preserve">, the RTF </w:t>
      </w:r>
      <w:r>
        <w:rPr>
          <w:lang w:val="en-US"/>
        </w:rPr>
        <w:t>submitted a final report to the Ozone Secretariat</w:t>
      </w:r>
      <w:r w:rsidR="00185768">
        <w:rPr>
          <w:lang w:val="en-US"/>
        </w:rPr>
        <w:t xml:space="preserve"> (OS)</w:t>
      </w:r>
      <w:r>
        <w:rPr>
          <w:lang w:val="en-US"/>
        </w:rPr>
        <w:t xml:space="preserve"> in May</w:t>
      </w:r>
      <w:r w:rsidR="007F50B0">
        <w:rPr>
          <w:lang w:val="en-US"/>
        </w:rPr>
        <w:t xml:space="preserve"> 2026</w:t>
      </w:r>
      <w:r>
        <w:rPr>
          <w:lang w:val="en-US"/>
        </w:rPr>
        <w:t>.</w:t>
      </w:r>
    </w:p>
    <w:p w14:paraId="3917E145" w14:textId="4F6C172B" w:rsidR="005F1EBF" w:rsidRDefault="005F1EBF" w:rsidP="005F1EBF">
      <w:pPr>
        <w:rPr>
          <w:lang w:val="en-US"/>
        </w:rPr>
      </w:pPr>
      <w:r>
        <w:rPr>
          <w:lang w:val="en-US"/>
        </w:rPr>
        <w:t xml:space="preserve">TEAP extends its sincere appreciation to the </w:t>
      </w:r>
      <w:r w:rsidR="007F50B0">
        <w:rPr>
          <w:lang w:val="en-US"/>
        </w:rPr>
        <w:t>MLFS</w:t>
      </w:r>
      <w:r w:rsidR="0084448E">
        <w:rPr>
          <w:lang w:val="en-US"/>
        </w:rPr>
        <w:t xml:space="preserve"> </w:t>
      </w:r>
      <w:r w:rsidR="00F86DDE">
        <w:rPr>
          <w:lang w:val="en-US"/>
        </w:rPr>
        <w:t xml:space="preserve">and the </w:t>
      </w:r>
      <w:r w:rsidR="00185768">
        <w:rPr>
          <w:lang w:val="en-US"/>
        </w:rPr>
        <w:t>OS</w:t>
      </w:r>
      <w:r w:rsidR="00F86DDE">
        <w:rPr>
          <w:lang w:val="en-US"/>
        </w:rPr>
        <w:t xml:space="preserve"> for their </w:t>
      </w:r>
      <w:r w:rsidR="00E74445">
        <w:rPr>
          <w:lang w:val="en-US"/>
        </w:rPr>
        <w:t xml:space="preserve">ongoing </w:t>
      </w:r>
      <w:r w:rsidR="0084448E">
        <w:rPr>
          <w:lang w:val="en-US"/>
        </w:rPr>
        <w:t xml:space="preserve">support of the RTF </w:t>
      </w:r>
      <w:r w:rsidR="00E74445">
        <w:rPr>
          <w:lang w:val="en-US"/>
        </w:rPr>
        <w:t xml:space="preserve">on </w:t>
      </w:r>
      <w:r w:rsidR="0092212D">
        <w:rPr>
          <w:lang w:val="en-US"/>
        </w:rPr>
        <w:t>this important work for parties</w:t>
      </w:r>
      <w:r>
        <w:rPr>
          <w:lang w:val="en-US"/>
        </w:rPr>
        <w:t>.</w:t>
      </w:r>
      <w:r w:rsidRPr="001E3B9A">
        <w:rPr>
          <w:lang w:val="en-US"/>
        </w:rPr>
        <w:t xml:space="preserve"> </w:t>
      </w:r>
    </w:p>
    <w:p w14:paraId="06644A61" w14:textId="301DB291" w:rsidR="005A2F15" w:rsidRDefault="005A2F15" w:rsidP="007C77CF">
      <w:pPr>
        <w:pStyle w:val="Heading3"/>
      </w:pPr>
      <w:bookmarkStart w:id="114" w:name="_Toc230099037"/>
      <w:r w:rsidRPr="00E42C5E">
        <w:t>1.</w:t>
      </w:r>
      <w:r>
        <w:t>3</w:t>
      </w:r>
      <w:r w:rsidRPr="00E42C5E">
        <w:t>.</w:t>
      </w:r>
      <w:r>
        <w:t>3</w:t>
      </w:r>
      <w:r w:rsidRPr="00E42C5E">
        <w:tab/>
      </w:r>
      <w:r>
        <w:t xml:space="preserve">Organization of </w:t>
      </w:r>
      <w:r w:rsidRPr="00E42C5E">
        <w:t>report</w:t>
      </w:r>
      <w:bookmarkEnd w:id="114"/>
    </w:p>
    <w:p w14:paraId="50861E0A" w14:textId="77777777" w:rsidR="005A2F15" w:rsidRPr="00B169AA" w:rsidRDefault="005A2F15" w:rsidP="005A2F15">
      <w:pPr>
        <w:tabs>
          <w:tab w:val="clear" w:pos="0"/>
        </w:tabs>
        <w:spacing w:after="200"/>
        <w:rPr>
          <w:rFonts w:eastAsia="SimSun"/>
          <w:color w:val="auto"/>
        </w:rPr>
      </w:pPr>
      <w:r w:rsidRPr="00B169AA">
        <w:rPr>
          <w:rFonts w:eastAsia="SimSun"/>
          <w:color w:val="auto"/>
        </w:rPr>
        <w:t xml:space="preserve">The </w:t>
      </w:r>
      <w:r>
        <w:rPr>
          <w:rFonts w:eastAsia="SimSun"/>
          <w:color w:val="auto"/>
        </w:rPr>
        <w:t xml:space="preserve">report is organised to provide the </w:t>
      </w:r>
      <w:r w:rsidRPr="00B169AA">
        <w:rPr>
          <w:rFonts w:eastAsia="SimSun"/>
          <w:color w:val="auto"/>
        </w:rPr>
        <w:t>RTF estimated funding requirements for 2027-2029 according to the estimate</w:t>
      </w:r>
      <w:r>
        <w:rPr>
          <w:rFonts w:eastAsia="SimSun"/>
          <w:color w:val="auto"/>
        </w:rPr>
        <w:t xml:space="preserve">d cost categories </w:t>
      </w:r>
      <w:r w:rsidRPr="00B169AA">
        <w:rPr>
          <w:rFonts w:eastAsia="SimSun"/>
          <w:color w:val="auto"/>
        </w:rPr>
        <w:t>in the following chapters:</w:t>
      </w:r>
    </w:p>
    <w:p w14:paraId="443B4551" w14:textId="216886D9" w:rsidR="005A2F15" w:rsidRPr="00B169AA" w:rsidRDefault="005A2F15" w:rsidP="005A2F15">
      <w:pPr>
        <w:tabs>
          <w:tab w:val="clear" w:pos="0"/>
        </w:tabs>
        <w:spacing w:after="0"/>
        <w:ind w:left="2160" w:hanging="1440"/>
        <w:rPr>
          <w:rFonts w:eastAsia="SimSun"/>
          <w:color w:val="auto"/>
        </w:rPr>
      </w:pPr>
      <w:r w:rsidRPr="00B169AA">
        <w:rPr>
          <w:rFonts w:eastAsia="SimSun"/>
          <w:color w:val="auto"/>
        </w:rPr>
        <w:t>Chapter 2</w:t>
      </w:r>
      <w:r>
        <w:rPr>
          <w:rFonts w:eastAsia="SimSun"/>
          <w:color w:val="auto"/>
        </w:rPr>
        <w:tab/>
      </w:r>
      <w:r w:rsidRPr="00B169AA">
        <w:rPr>
          <w:rFonts w:eastAsia="SimSun"/>
          <w:color w:val="auto"/>
        </w:rPr>
        <w:t xml:space="preserve">Estimated funding for </w:t>
      </w:r>
      <w:r w:rsidR="00C8729D">
        <w:rPr>
          <w:rFonts w:eastAsia="SimSun"/>
          <w:color w:val="auto"/>
        </w:rPr>
        <w:t>hydrochlorofluorocarbon (</w:t>
      </w:r>
      <w:r w:rsidRPr="00B169AA">
        <w:rPr>
          <w:rFonts w:eastAsia="SimSun"/>
          <w:color w:val="auto"/>
        </w:rPr>
        <w:t>HCFC</w:t>
      </w:r>
      <w:r w:rsidR="000346F3">
        <w:rPr>
          <w:rFonts w:eastAsia="SimSun"/>
          <w:color w:val="auto"/>
        </w:rPr>
        <w:t>)</w:t>
      </w:r>
      <w:r w:rsidRPr="00B169AA">
        <w:rPr>
          <w:rFonts w:eastAsia="SimSun"/>
          <w:color w:val="auto"/>
        </w:rPr>
        <w:t xml:space="preserve"> phase-out including consumption and production</w:t>
      </w:r>
    </w:p>
    <w:p w14:paraId="30DF0C8B" w14:textId="09A5420D" w:rsidR="005A2F15" w:rsidRPr="00B169AA" w:rsidRDefault="005A2F15" w:rsidP="00E66311">
      <w:pPr>
        <w:tabs>
          <w:tab w:val="clear" w:pos="0"/>
        </w:tabs>
        <w:spacing w:after="0"/>
        <w:ind w:left="2158" w:hanging="1450"/>
        <w:rPr>
          <w:rFonts w:eastAsia="SimSun"/>
          <w:color w:val="auto"/>
        </w:rPr>
      </w:pPr>
      <w:r w:rsidRPr="00B169AA">
        <w:rPr>
          <w:rFonts w:eastAsia="SimSun"/>
          <w:color w:val="auto"/>
        </w:rPr>
        <w:t>Chapter 3</w:t>
      </w:r>
      <w:r>
        <w:rPr>
          <w:rFonts w:eastAsia="SimSun"/>
          <w:color w:val="auto"/>
        </w:rPr>
        <w:tab/>
      </w:r>
      <w:r w:rsidRPr="00B169AA">
        <w:rPr>
          <w:rFonts w:eastAsia="SimSun"/>
          <w:color w:val="auto"/>
        </w:rPr>
        <w:t xml:space="preserve">Estimated funding for </w:t>
      </w:r>
      <w:r w:rsidR="000346F3">
        <w:rPr>
          <w:rFonts w:eastAsia="SimSun"/>
          <w:color w:val="auto"/>
        </w:rPr>
        <w:t>hydrofluorocarbon (</w:t>
      </w:r>
      <w:r w:rsidRPr="00B169AA">
        <w:rPr>
          <w:rFonts w:eastAsia="SimSun"/>
          <w:color w:val="auto"/>
        </w:rPr>
        <w:t>HFC</w:t>
      </w:r>
      <w:r w:rsidR="000346F3">
        <w:rPr>
          <w:rFonts w:eastAsia="SimSun"/>
          <w:color w:val="auto"/>
        </w:rPr>
        <w:t>)</w:t>
      </w:r>
      <w:r w:rsidRPr="00B169AA">
        <w:rPr>
          <w:rFonts w:eastAsia="SimSun"/>
          <w:color w:val="auto"/>
        </w:rPr>
        <w:t xml:space="preserve"> phase-down for consumption </w:t>
      </w:r>
      <w:r w:rsidR="00F45AE0">
        <w:rPr>
          <w:rFonts w:eastAsia="SimSun"/>
          <w:color w:val="auto"/>
        </w:rPr>
        <w:t>sector</w:t>
      </w:r>
    </w:p>
    <w:p w14:paraId="77F0FB59" w14:textId="77777777" w:rsidR="005A2F15" w:rsidRPr="00B169AA" w:rsidRDefault="005A2F15" w:rsidP="005A2F15">
      <w:pPr>
        <w:tabs>
          <w:tab w:val="clear" w:pos="0"/>
        </w:tabs>
        <w:spacing w:after="0"/>
        <w:ind w:left="2160" w:hanging="1450"/>
        <w:rPr>
          <w:rFonts w:eastAsia="SimSun"/>
          <w:color w:val="auto"/>
        </w:rPr>
      </w:pPr>
      <w:r w:rsidRPr="00B169AA">
        <w:rPr>
          <w:rFonts w:eastAsia="SimSun"/>
          <w:color w:val="auto"/>
        </w:rPr>
        <w:t>Chapter 4</w:t>
      </w:r>
      <w:r>
        <w:rPr>
          <w:rFonts w:eastAsia="SimSun"/>
          <w:color w:val="auto"/>
        </w:rPr>
        <w:tab/>
      </w:r>
      <w:r w:rsidRPr="00B169AA">
        <w:rPr>
          <w:rFonts w:eastAsia="SimSun"/>
          <w:color w:val="auto"/>
        </w:rPr>
        <w:t>Estimated funding for HFC phase-down for production sector and mitigation of HFC-23 emissions</w:t>
      </w:r>
    </w:p>
    <w:p w14:paraId="72E770C7" w14:textId="77777777" w:rsidR="005A2F15" w:rsidRPr="00B169AA" w:rsidRDefault="005A2F15" w:rsidP="005A2F15">
      <w:pPr>
        <w:tabs>
          <w:tab w:val="clear" w:pos="0"/>
        </w:tabs>
        <w:spacing w:after="0"/>
        <w:ind w:left="708"/>
        <w:rPr>
          <w:rFonts w:eastAsia="SimSun"/>
          <w:color w:val="auto"/>
        </w:rPr>
      </w:pPr>
      <w:r w:rsidRPr="00B169AA">
        <w:rPr>
          <w:rFonts w:eastAsia="SimSun"/>
          <w:color w:val="auto"/>
        </w:rPr>
        <w:t>Chapter 5</w:t>
      </w:r>
      <w:r>
        <w:rPr>
          <w:rFonts w:eastAsia="SimSun"/>
          <w:color w:val="auto"/>
        </w:rPr>
        <w:tab/>
      </w:r>
      <w:r w:rsidRPr="00B169AA">
        <w:rPr>
          <w:rFonts w:eastAsia="SimSun"/>
          <w:color w:val="auto"/>
        </w:rPr>
        <w:t>Estimated funding for institutional strengthening and standard activ</w:t>
      </w:r>
      <w:r>
        <w:rPr>
          <w:rFonts w:eastAsia="SimSun"/>
          <w:color w:val="auto"/>
        </w:rPr>
        <w:t>it</w:t>
      </w:r>
      <w:r w:rsidRPr="00B169AA">
        <w:rPr>
          <w:rFonts w:eastAsia="SimSun"/>
          <w:color w:val="auto"/>
        </w:rPr>
        <w:t>ies</w:t>
      </w:r>
    </w:p>
    <w:p w14:paraId="33DE6E6A" w14:textId="77777777" w:rsidR="005A2F15" w:rsidRPr="00B169AA" w:rsidRDefault="005A2F15" w:rsidP="005A2F15">
      <w:pPr>
        <w:tabs>
          <w:tab w:val="clear" w:pos="0"/>
        </w:tabs>
        <w:spacing w:after="0"/>
        <w:ind w:left="708"/>
        <w:rPr>
          <w:rFonts w:eastAsia="SimSun"/>
          <w:color w:val="auto"/>
        </w:rPr>
      </w:pPr>
      <w:r w:rsidRPr="00B169AA">
        <w:rPr>
          <w:rFonts w:eastAsia="SimSun"/>
          <w:color w:val="auto"/>
        </w:rPr>
        <w:t>Chapter 7</w:t>
      </w:r>
      <w:r>
        <w:rPr>
          <w:rFonts w:eastAsia="SimSun"/>
          <w:color w:val="auto"/>
        </w:rPr>
        <w:tab/>
      </w:r>
      <w:r w:rsidRPr="00B169AA">
        <w:rPr>
          <w:rFonts w:eastAsia="SimSun"/>
          <w:color w:val="auto"/>
        </w:rPr>
        <w:t>Estimated funding for energy efficiency activities</w:t>
      </w:r>
    </w:p>
    <w:p w14:paraId="773EB68A" w14:textId="77777777" w:rsidR="005A2F15" w:rsidRPr="00B169AA" w:rsidRDefault="005A2F15" w:rsidP="005A2F15">
      <w:pPr>
        <w:tabs>
          <w:tab w:val="clear" w:pos="0"/>
        </w:tabs>
        <w:spacing w:after="0"/>
        <w:ind w:left="2160" w:hanging="1450"/>
        <w:rPr>
          <w:rFonts w:eastAsia="SimSun"/>
          <w:color w:val="auto"/>
        </w:rPr>
      </w:pPr>
      <w:r w:rsidRPr="00B169AA">
        <w:rPr>
          <w:rFonts w:eastAsia="SimSun"/>
          <w:color w:val="auto"/>
        </w:rPr>
        <w:t>Chapter 10</w:t>
      </w:r>
      <w:r>
        <w:rPr>
          <w:rFonts w:eastAsia="SimSun"/>
          <w:color w:val="auto"/>
        </w:rPr>
        <w:tab/>
      </w:r>
      <w:r w:rsidRPr="00B169AA">
        <w:rPr>
          <w:rFonts w:eastAsia="SimSun"/>
          <w:color w:val="auto"/>
        </w:rPr>
        <w:t>Estimated funding for pilot projects to enhance regional atmospheric monitoring</w:t>
      </w:r>
    </w:p>
    <w:p w14:paraId="3BEDCAC3" w14:textId="77777777" w:rsidR="005A2F15" w:rsidRPr="00B169AA" w:rsidRDefault="005A2F15" w:rsidP="005A2F15">
      <w:pPr>
        <w:tabs>
          <w:tab w:val="clear" w:pos="0"/>
        </w:tabs>
        <w:spacing w:after="0"/>
        <w:rPr>
          <w:rFonts w:eastAsia="SimSun"/>
          <w:color w:val="auto"/>
        </w:rPr>
      </w:pPr>
    </w:p>
    <w:p w14:paraId="2C8873C8" w14:textId="77777777" w:rsidR="005A2F15" w:rsidRPr="00B169AA" w:rsidRDefault="005A2F15" w:rsidP="005A2F15">
      <w:pPr>
        <w:tabs>
          <w:tab w:val="clear" w:pos="0"/>
        </w:tabs>
        <w:spacing w:after="200"/>
        <w:rPr>
          <w:rFonts w:eastAsia="SimSun"/>
          <w:color w:val="auto"/>
        </w:rPr>
      </w:pPr>
      <w:r w:rsidRPr="00B169AA">
        <w:rPr>
          <w:rFonts w:eastAsia="SimSun"/>
          <w:color w:val="auto"/>
        </w:rPr>
        <w:t xml:space="preserve">In response to the </w:t>
      </w:r>
      <w:r>
        <w:rPr>
          <w:rFonts w:eastAsia="SimSun"/>
          <w:color w:val="auto"/>
        </w:rPr>
        <w:t>Decision XXXVII/6</w:t>
      </w:r>
      <w:r w:rsidRPr="00B169AA">
        <w:rPr>
          <w:rFonts w:eastAsia="SimSun"/>
          <w:color w:val="auto"/>
        </w:rPr>
        <w:t>, the RTF also discussed a number of topics in the following chapters:</w:t>
      </w:r>
    </w:p>
    <w:p w14:paraId="09CE8A70" w14:textId="25E8DC36" w:rsidR="005A2F15" w:rsidRPr="00B169AA" w:rsidRDefault="005A2F15" w:rsidP="00E66311">
      <w:pPr>
        <w:tabs>
          <w:tab w:val="clear" w:pos="0"/>
        </w:tabs>
        <w:spacing w:after="0"/>
        <w:ind w:left="2160" w:hanging="1454"/>
        <w:rPr>
          <w:rFonts w:eastAsia="SimSun"/>
          <w:color w:val="auto"/>
        </w:rPr>
      </w:pPr>
      <w:r w:rsidRPr="00B169AA">
        <w:rPr>
          <w:rFonts w:eastAsia="SimSun"/>
          <w:color w:val="auto"/>
        </w:rPr>
        <w:lastRenderedPageBreak/>
        <w:t>Chapter 6</w:t>
      </w:r>
      <w:r>
        <w:rPr>
          <w:rFonts w:eastAsia="SimSun"/>
          <w:color w:val="auto"/>
        </w:rPr>
        <w:tab/>
      </w:r>
      <w:r w:rsidRPr="00B169AA">
        <w:rPr>
          <w:rFonts w:eastAsia="SimSun"/>
          <w:color w:val="auto"/>
        </w:rPr>
        <w:t xml:space="preserve">Special needs of </w:t>
      </w:r>
      <w:r w:rsidR="00E66311">
        <w:rPr>
          <w:rFonts w:eastAsia="SimSun"/>
          <w:color w:val="auto"/>
        </w:rPr>
        <w:t>l</w:t>
      </w:r>
      <w:r w:rsidR="009F373C">
        <w:rPr>
          <w:rFonts w:eastAsia="SimSun"/>
          <w:color w:val="auto"/>
        </w:rPr>
        <w:t>ow-volume consuming (</w:t>
      </w:r>
      <w:r w:rsidRPr="00B169AA">
        <w:rPr>
          <w:rFonts w:eastAsia="SimSun"/>
          <w:color w:val="auto"/>
        </w:rPr>
        <w:t>LVC</w:t>
      </w:r>
      <w:r w:rsidR="009F373C">
        <w:rPr>
          <w:rFonts w:eastAsia="SimSun"/>
          <w:color w:val="auto"/>
        </w:rPr>
        <w:t>) and very</w:t>
      </w:r>
      <w:r w:rsidR="00E66311">
        <w:rPr>
          <w:rFonts w:eastAsia="SimSun"/>
          <w:color w:val="auto"/>
        </w:rPr>
        <w:t>-</w:t>
      </w:r>
      <w:r w:rsidR="009F373C">
        <w:rPr>
          <w:rFonts w:eastAsia="SimSun"/>
          <w:color w:val="auto"/>
        </w:rPr>
        <w:t>low-volume consuming (VLVC) countries</w:t>
      </w:r>
    </w:p>
    <w:p w14:paraId="53A1A8CD" w14:textId="77777777" w:rsidR="005A2F15" w:rsidRPr="00B169AA" w:rsidRDefault="005A2F15" w:rsidP="005A2F15">
      <w:pPr>
        <w:tabs>
          <w:tab w:val="clear" w:pos="0"/>
        </w:tabs>
        <w:spacing w:after="0"/>
        <w:ind w:left="706"/>
        <w:rPr>
          <w:rFonts w:eastAsia="SimSun"/>
          <w:color w:val="auto"/>
        </w:rPr>
      </w:pPr>
      <w:r w:rsidRPr="00B169AA">
        <w:rPr>
          <w:rFonts w:eastAsia="SimSun"/>
          <w:color w:val="auto"/>
        </w:rPr>
        <w:t>Chapter 8</w:t>
      </w:r>
      <w:r>
        <w:rPr>
          <w:rFonts w:eastAsia="SimSun"/>
          <w:color w:val="auto"/>
        </w:rPr>
        <w:tab/>
      </w:r>
      <w:r w:rsidRPr="00B169AA">
        <w:rPr>
          <w:rFonts w:eastAsia="SimSun"/>
          <w:color w:val="auto"/>
        </w:rPr>
        <w:t>Lifecycle refrigerant management</w:t>
      </w:r>
    </w:p>
    <w:p w14:paraId="7BD5B090" w14:textId="77777777" w:rsidR="005A2F15" w:rsidRPr="00B169AA" w:rsidRDefault="005A2F15" w:rsidP="005A2F15">
      <w:pPr>
        <w:tabs>
          <w:tab w:val="clear" w:pos="0"/>
        </w:tabs>
        <w:spacing w:after="0"/>
        <w:ind w:left="706"/>
        <w:rPr>
          <w:rFonts w:eastAsia="SimSun"/>
          <w:color w:val="auto"/>
        </w:rPr>
      </w:pPr>
      <w:r w:rsidRPr="00B169AA">
        <w:rPr>
          <w:rFonts w:eastAsia="SimSun"/>
          <w:color w:val="auto"/>
        </w:rPr>
        <w:t>Chapter 9</w:t>
      </w:r>
      <w:r>
        <w:rPr>
          <w:rFonts w:eastAsia="SimSun"/>
          <w:color w:val="auto"/>
        </w:rPr>
        <w:tab/>
      </w:r>
      <w:r w:rsidRPr="00B169AA">
        <w:rPr>
          <w:rFonts w:eastAsia="SimSun"/>
          <w:color w:val="auto"/>
        </w:rPr>
        <w:t>Digital technologies and tools in the servicing sector.</w:t>
      </w:r>
    </w:p>
    <w:p w14:paraId="4FE37A53" w14:textId="77777777" w:rsidR="005A2F15" w:rsidRPr="00B169AA" w:rsidRDefault="005A2F15" w:rsidP="005A2F15">
      <w:pPr>
        <w:tabs>
          <w:tab w:val="clear" w:pos="0"/>
        </w:tabs>
        <w:spacing w:after="0"/>
        <w:ind w:left="706"/>
        <w:rPr>
          <w:rFonts w:eastAsia="SimSun"/>
          <w:color w:val="auto"/>
        </w:rPr>
      </w:pPr>
    </w:p>
    <w:p w14:paraId="64D89F49" w14:textId="4EDF5705" w:rsidR="005A2F15" w:rsidRPr="00B169AA" w:rsidRDefault="005A2F15" w:rsidP="005A2F15">
      <w:pPr>
        <w:tabs>
          <w:tab w:val="clear" w:pos="0"/>
        </w:tabs>
        <w:spacing w:after="200"/>
        <w:rPr>
          <w:rFonts w:eastAsia="SimSun"/>
          <w:color w:val="auto"/>
        </w:rPr>
      </w:pPr>
      <w:r w:rsidRPr="00B169AA">
        <w:rPr>
          <w:rFonts w:eastAsia="SimSun"/>
          <w:color w:val="auto"/>
        </w:rPr>
        <w:t xml:space="preserve">The methodology and underlying information used by the RTF to calculate the </w:t>
      </w:r>
      <w:r w:rsidR="00DD7B78">
        <w:rPr>
          <w:rFonts w:eastAsia="SimSun"/>
          <w:color w:val="auto"/>
        </w:rPr>
        <w:t xml:space="preserve">estimated funding for the </w:t>
      </w:r>
      <w:r w:rsidRPr="00B169AA">
        <w:rPr>
          <w:rFonts w:eastAsia="SimSun"/>
          <w:color w:val="auto"/>
        </w:rPr>
        <w:t>consumption sector for the HCFC phase-out and HFC</w:t>
      </w:r>
      <w:r w:rsidR="00966ACB">
        <w:rPr>
          <w:rFonts w:eastAsia="SimSun"/>
          <w:color w:val="auto"/>
        </w:rPr>
        <w:t xml:space="preserve"> </w:t>
      </w:r>
      <w:r w:rsidRPr="00B169AA">
        <w:rPr>
          <w:rFonts w:eastAsia="SimSun"/>
          <w:color w:val="auto"/>
        </w:rPr>
        <w:t>phase</w:t>
      </w:r>
      <w:r w:rsidR="00966ACB">
        <w:rPr>
          <w:rFonts w:eastAsia="SimSun"/>
          <w:color w:val="auto"/>
        </w:rPr>
        <w:t>-</w:t>
      </w:r>
      <w:r w:rsidRPr="00B169AA">
        <w:rPr>
          <w:rFonts w:eastAsia="SimSun"/>
          <w:color w:val="auto"/>
        </w:rPr>
        <w:t>down for the 2027-2029 and next two triennia are contained in the</w:t>
      </w:r>
      <w:r w:rsidR="007D7B32">
        <w:rPr>
          <w:rFonts w:eastAsia="SimSun"/>
          <w:color w:val="auto"/>
        </w:rPr>
        <w:t xml:space="preserve"> body of the report and detailed in</w:t>
      </w:r>
      <w:r w:rsidRPr="00B169AA">
        <w:rPr>
          <w:rFonts w:eastAsia="SimSun"/>
          <w:color w:val="auto"/>
        </w:rPr>
        <w:t xml:space="preserve"> annexes to this report</w:t>
      </w:r>
      <w:r w:rsidR="00771196">
        <w:rPr>
          <w:rFonts w:eastAsia="SimSun"/>
          <w:color w:val="auto"/>
        </w:rPr>
        <w:t>,</w:t>
      </w:r>
      <w:r w:rsidRPr="00B169AA">
        <w:rPr>
          <w:rFonts w:eastAsia="SimSun"/>
          <w:color w:val="auto"/>
        </w:rPr>
        <w:t xml:space="preserve"> as follows:</w:t>
      </w:r>
    </w:p>
    <w:p w14:paraId="6563AB41" w14:textId="77777777" w:rsidR="005A2F15" w:rsidRPr="006E0345" w:rsidRDefault="274D2446" w:rsidP="274D2446">
      <w:pPr>
        <w:tabs>
          <w:tab w:val="clear" w:pos="0"/>
        </w:tabs>
        <w:spacing w:after="200"/>
        <w:ind w:left="720"/>
        <w:contextualSpacing/>
        <w:rPr>
          <w:color w:val="038387"/>
        </w:rPr>
      </w:pPr>
      <w:r w:rsidRPr="274D2446">
        <w:rPr>
          <w:rFonts w:eastAsia="SimSun"/>
          <w:color w:val="auto"/>
        </w:rPr>
        <w:t>Annex 1</w:t>
      </w:r>
      <w:r w:rsidR="005A2F15">
        <w:tab/>
      </w:r>
      <w:r w:rsidRPr="274D2446">
        <w:rPr>
          <w:rFonts w:eastAsia="SimSun"/>
          <w:color w:val="auto"/>
        </w:rPr>
        <w:t>Estimated funding methodology for HCFC consumption sector</w:t>
      </w:r>
    </w:p>
    <w:p w14:paraId="3BADC07E" w14:textId="76B75BE1" w:rsidR="005A2F15" w:rsidRPr="006E0345" w:rsidRDefault="274D2446" w:rsidP="274D2446">
      <w:pPr>
        <w:tabs>
          <w:tab w:val="clear" w:pos="0"/>
        </w:tabs>
        <w:spacing w:after="200"/>
        <w:ind w:left="2160" w:hanging="1440"/>
        <w:contextualSpacing/>
        <w:rPr>
          <w:color w:val="auto"/>
        </w:rPr>
      </w:pPr>
      <w:r w:rsidRPr="274D2446">
        <w:rPr>
          <w:color w:val="auto"/>
        </w:rPr>
        <w:t>Annex 2</w:t>
      </w:r>
      <w:r w:rsidR="005A2F15">
        <w:tab/>
      </w:r>
      <w:r w:rsidRPr="274D2446">
        <w:rPr>
          <w:color w:val="auto"/>
        </w:rPr>
        <w:t>RTF analysis and proposal for historical cost-effectiveness values to be applied to HCFC manufacturing sectors for a funding scenario</w:t>
      </w:r>
    </w:p>
    <w:p w14:paraId="3365ED19" w14:textId="5E146590" w:rsidR="00E3346D" w:rsidRPr="006E0345" w:rsidRDefault="274D2446" w:rsidP="274D2446">
      <w:pPr>
        <w:tabs>
          <w:tab w:val="clear" w:pos="0"/>
        </w:tabs>
        <w:spacing w:after="200"/>
        <w:ind w:left="720"/>
        <w:contextualSpacing/>
        <w:rPr>
          <w:rFonts w:eastAsia="SimSun"/>
        </w:rPr>
      </w:pPr>
      <w:r w:rsidRPr="274D2446">
        <w:rPr>
          <w:rFonts w:eastAsia="SimSun"/>
          <w:color w:val="auto"/>
        </w:rPr>
        <w:t>Annex 3</w:t>
      </w:r>
      <w:r w:rsidR="125AA117">
        <w:tab/>
      </w:r>
      <w:r w:rsidRPr="274D2446">
        <w:rPr>
          <w:rFonts w:eastAsia="SimSun"/>
        </w:rPr>
        <w:t>Methodology for filling baseline gaps – estimates and assumptions</w:t>
      </w:r>
    </w:p>
    <w:p w14:paraId="7120D238" w14:textId="77777777" w:rsidR="004C4A2D" w:rsidRPr="006E0345" w:rsidRDefault="274D2446" w:rsidP="274D2446">
      <w:pPr>
        <w:tabs>
          <w:tab w:val="clear" w:pos="0"/>
        </w:tabs>
        <w:spacing w:after="200"/>
        <w:ind w:left="720"/>
        <w:contextualSpacing/>
        <w:rPr>
          <w:rFonts w:eastAsia="SimSun"/>
          <w:color w:val="auto"/>
        </w:rPr>
      </w:pPr>
      <w:r w:rsidRPr="274D2446">
        <w:rPr>
          <w:rFonts w:eastAsia="SimSun"/>
          <w:color w:val="auto"/>
        </w:rPr>
        <w:t>Annex 4</w:t>
      </w:r>
      <w:r w:rsidR="00EC1F1E">
        <w:tab/>
      </w:r>
      <w:r w:rsidRPr="274D2446">
        <w:rPr>
          <w:rFonts w:eastAsia="SimSun"/>
          <w:color w:val="auto"/>
        </w:rPr>
        <w:t>Methodology to estimate funding requirements for HFC phase-down in the</w:t>
      </w:r>
    </w:p>
    <w:p w14:paraId="13BE807C" w14:textId="132D930D" w:rsidR="005A2F15" w:rsidRPr="006E0345" w:rsidRDefault="005A2F15" w:rsidP="004C4A2D">
      <w:pPr>
        <w:tabs>
          <w:tab w:val="clear" w:pos="0"/>
        </w:tabs>
        <w:spacing w:after="200"/>
        <w:ind w:left="1440" w:firstLine="720"/>
        <w:contextualSpacing/>
        <w:rPr>
          <w:rFonts w:eastAsia="SimSun"/>
          <w:color w:val="auto"/>
        </w:rPr>
      </w:pPr>
      <w:r w:rsidRPr="006E0345">
        <w:rPr>
          <w:rFonts w:eastAsia="SimSun"/>
          <w:color w:val="auto"/>
        </w:rPr>
        <w:t>consumption sector</w:t>
      </w:r>
    </w:p>
    <w:p w14:paraId="42AA6709" w14:textId="5FAEDD7A" w:rsidR="005A2F15" w:rsidRPr="006E0345" w:rsidRDefault="274D2446" w:rsidP="274D2446">
      <w:pPr>
        <w:tabs>
          <w:tab w:val="clear" w:pos="0"/>
        </w:tabs>
        <w:spacing w:after="200"/>
        <w:ind w:left="2160" w:hanging="1440"/>
        <w:contextualSpacing/>
        <w:rPr>
          <w:rFonts w:eastAsia="SimSun"/>
          <w:color w:val="auto"/>
        </w:rPr>
      </w:pPr>
      <w:r w:rsidRPr="274D2446">
        <w:rPr>
          <w:rFonts w:eastAsia="SimSun"/>
          <w:color w:val="auto"/>
        </w:rPr>
        <w:t>Annex 5</w:t>
      </w:r>
      <w:r w:rsidR="005A2F15">
        <w:tab/>
      </w:r>
      <w:r w:rsidRPr="274D2446">
        <w:rPr>
          <w:rFonts w:eastAsia="SimSun"/>
          <w:color w:val="auto"/>
        </w:rPr>
        <w:t>List of parties funded as LVC under the HCFC phase-out and HFC phase-down</w:t>
      </w:r>
    </w:p>
    <w:p w14:paraId="6F83C645" w14:textId="409AE32D" w:rsidR="00893E7B" w:rsidRPr="006E0345" w:rsidRDefault="274D2446" w:rsidP="274D2446">
      <w:pPr>
        <w:tabs>
          <w:tab w:val="clear" w:pos="0"/>
        </w:tabs>
        <w:spacing w:after="200"/>
        <w:ind w:left="720"/>
        <w:contextualSpacing/>
        <w:rPr>
          <w:rFonts w:eastAsia="SimSun"/>
          <w:color w:val="auto"/>
        </w:rPr>
      </w:pPr>
      <w:r w:rsidRPr="274D2446">
        <w:rPr>
          <w:rFonts w:eastAsia="SimSun"/>
          <w:color w:val="auto"/>
        </w:rPr>
        <w:t>Annex 6</w:t>
      </w:r>
      <w:r w:rsidR="00DA1CC2">
        <w:tab/>
      </w:r>
      <w:r w:rsidRPr="274D2446">
        <w:rPr>
          <w:rFonts w:eastAsia="SimSun"/>
          <w:color w:val="auto"/>
        </w:rPr>
        <w:t>List of parties pending ratification of the Kigali Amendment</w:t>
      </w:r>
      <w:r w:rsidR="00AF291D">
        <w:rPr>
          <w:rFonts w:eastAsia="SimSun"/>
          <w:color w:val="auto"/>
        </w:rPr>
        <w:t xml:space="preserve"> (KA)</w:t>
      </w:r>
    </w:p>
    <w:p w14:paraId="2B95C841" w14:textId="67B51E2D" w:rsidR="00951865" w:rsidRPr="006E0345" w:rsidRDefault="274D2446" w:rsidP="274D2446">
      <w:pPr>
        <w:tabs>
          <w:tab w:val="clear" w:pos="0"/>
        </w:tabs>
        <w:spacing w:after="200"/>
        <w:ind w:left="2160" w:hanging="1440"/>
        <w:contextualSpacing/>
        <w:rPr>
          <w:rFonts w:eastAsia="SimSun"/>
          <w:color w:val="auto"/>
        </w:rPr>
      </w:pPr>
      <w:r w:rsidRPr="274D2446">
        <w:rPr>
          <w:rFonts w:eastAsia="SimSun"/>
          <w:color w:val="auto"/>
        </w:rPr>
        <w:t>Annex 7</w:t>
      </w:r>
      <w:r w:rsidR="00951865">
        <w:tab/>
      </w:r>
      <w:r w:rsidRPr="274D2446">
        <w:rPr>
          <w:rFonts w:eastAsia="SimSun"/>
          <w:color w:val="auto"/>
        </w:rPr>
        <w:t>Relevant Ex</w:t>
      </w:r>
      <w:r w:rsidR="00675207">
        <w:rPr>
          <w:rFonts w:eastAsia="SimSun"/>
          <w:color w:val="auto"/>
        </w:rPr>
        <w:t xml:space="preserve">ecutive Committee </w:t>
      </w:r>
      <w:r w:rsidRPr="274D2446">
        <w:rPr>
          <w:rFonts w:eastAsia="SimSun"/>
          <w:color w:val="auto"/>
        </w:rPr>
        <w:t>decisions on institutional strengthening and standard activities</w:t>
      </w:r>
    </w:p>
    <w:p w14:paraId="238A6206" w14:textId="0D0EDA88" w:rsidR="009C0924" w:rsidRPr="006E0345" w:rsidRDefault="009C0924" w:rsidP="009563D3">
      <w:pPr>
        <w:tabs>
          <w:tab w:val="clear" w:pos="0"/>
        </w:tabs>
        <w:spacing w:after="200"/>
        <w:ind w:left="2160" w:hanging="1440"/>
        <w:contextualSpacing/>
        <w:rPr>
          <w:rFonts w:eastAsia="SimSun"/>
          <w:color w:val="auto"/>
        </w:rPr>
      </w:pPr>
      <w:r w:rsidRPr="006E0345">
        <w:rPr>
          <w:rFonts w:eastAsia="SimSun"/>
          <w:color w:val="auto"/>
        </w:rPr>
        <w:t>Annex 8</w:t>
      </w:r>
      <w:r w:rsidRPr="006E0345">
        <w:tab/>
      </w:r>
      <w:r w:rsidRPr="006E0345">
        <w:rPr>
          <w:rFonts w:eastAsia="SimSun"/>
          <w:color w:val="auto"/>
        </w:rPr>
        <w:t>Decisions related to enhancing regional atmospheric monitoring</w:t>
      </w:r>
    </w:p>
    <w:p w14:paraId="489BCA04" w14:textId="2945CAA2" w:rsidR="009C0924" w:rsidRPr="006E0345" w:rsidRDefault="003D3410" w:rsidP="009563D3">
      <w:pPr>
        <w:tabs>
          <w:tab w:val="clear" w:pos="0"/>
        </w:tabs>
        <w:spacing w:after="200"/>
        <w:ind w:left="2160" w:hanging="1440"/>
        <w:contextualSpacing/>
        <w:rPr>
          <w:rFonts w:eastAsia="SimSun"/>
          <w:color w:val="auto"/>
        </w:rPr>
      </w:pPr>
      <w:r w:rsidRPr="006E0345">
        <w:rPr>
          <w:rFonts w:eastAsia="SimSun"/>
          <w:color w:val="auto"/>
        </w:rPr>
        <w:t>Annex 9</w:t>
      </w:r>
      <w:r w:rsidRPr="006E0345">
        <w:rPr>
          <w:rFonts w:eastAsia="SimSun"/>
          <w:color w:val="auto"/>
        </w:rPr>
        <w:tab/>
        <w:t xml:space="preserve">Project preparation for </w:t>
      </w:r>
      <w:r w:rsidR="000102B1">
        <w:rPr>
          <w:rFonts w:eastAsia="SimSun"/>
          <w:color w:val="auto"/>
        </w:rPr>
        <w:t>Kigali HFC Implementation Plans (</w:t>
      </w:r>
      <w:r w:rsidRPr="006E0345">
        <w:rPr>
          <w:rFonts w:eastAsia="SimSun"/>
          <w:color w:val="auto"/>
        </w:rPr>
        <w:t>KIPs</w:t>
      </w:r>
      <w:r w:rsidR="000102B1">
        <w:rPr>
          <w:rFonts w:eastAsia="SimSun"/>
          <w:color w:val="auto"/>
        </w:rPr>
        <w:t>)</w:t>
      </w:r>
      <w:r w:rsidRPr="006E0345">
        <w:rPr>
          <w:rFonts w:eastAsia="SimSun"/>
          <w:color w:val="auto"/>
        </w:rPr>
        <w:t xml:space="preserve"> and cost details</w:t>
      </w:r>
    </w:p>
    <w:p w14:paraId="6019F0C2" w14:textId="147EF33A" w:rsidR="003D3410" w:rsidRPr="006E0345" w:rsidRDefault="006E0345" w:rsidP="009563D3">
      <w:pPr>
        <w:tabs>
          <w:tab w:val="clear" w:pos="0"/>
        </w:tabs>
        <w:spacing w:after="200"/>
        <w:ind w:left="2160" w:hanging="1440"/>
        <w:contextualSpacing/>
        <w:rPr>
          <w:rFonts w:eastAsia="SimSun"/>
          <w:color w:val="auto"/>
        </w:rPr>
      </w:pPr>
      <w:r w:rsidRPr="006E0345">
        <w:rPr>
          <w:rFonts w:eastAsia="SimSun"/>
          <w:color w:val="auto"/>
        </w:rPr>
        <w:t>Annex 10</w:t>
      </w:r>
      <w:r w:rsidRPr="006E0345">
        <w:rPr>
          <w:rFonts w:eastAsia="SimSun"/>
          <w:color w:val="auto"/>
        </w:rPr>
        <w:tab/>
        <w:t xml:space="preserve">Indicative cost for end-of-life </w:t>
      </w:r>
      <w:r w:rsidR="000102B1">
        <w:rPr>
          <w:rFonts w:eastAsia="SimSun"/>
          <w:color w:val="auto"/>
        </w:rPr>
        <w:t>ozone-depleting substances (</w:t>
      </w:r>
      <w:r w:rsidRPr="006E0345">
        <w:rPr>
          <w:rFonts w:eastAsia="SimSun"/>
          <w:color w:val="auto"/>
        </w:rPr>
        <w:t>ODS</w:t>
      </w:r>
      <w:r w:rsidR="000102B1">
        <w:rPr>
          <w:rFonts w:eastAsia="SimSun"/>
          <w:color w:val="auto"/>
        </w:rPr>
        <w:t>)</w:t>
      </w:r>
      <w:r w:rsidRPr="006E0345">
        <w:rPr>
          <w:rFonts w:eastAsia="SimSun"/>
          <w:color w:val="auto"/>
        </w:rPr>
        <w:t>/HFC management</w:t>
      </w:r>
    </w:p>
    <w:p w14:paraId="58B6ACCF" w14:textId="77777777" w:rsidR="00951865" w:rsidRDefault="00951865" w:rsidP="00DA1CC2">
      <w:pPr>
        <w:tabs>
          <w:tab w:val="clear" w:pos="0"/>
        </w:tabs>
        <w:spacing w:after="200"/>
        <w:ind w:left="720"/>
        <w:contextualSpacing/>
        <w:rPr>
          <w:rFonts w:eastAsia="SimSun"/>
          <w:color w:val="auto"/>
          <w:highlight w:val="yellow"/>
        </w:rPr>
      </w:pPr>
    </w:p>
    <w:p w14:paraId="34CC368F" w14:textId="40DB21F3" w:rsidR="00C87B18" w:rsidRDefault="00C87B18" w:rsidP="002D02B7">
      <w:pPr>
        <w:pStyle w:val="Heading2"/>
      </w:pPr>
      <w:bookmarkStart w:id="115" w:name="_Toc230099038"/>
      <w:r w:rsidRPr="00E42C5E">
        <w:t>1.</w:t>
      </w:r>
      <w:r w:rsidR="006B4BE1">
        <w:t>4</w:t>
      </w:r>
      <w:r w:rsidRPr="00E42C5E">
        <w:tab/>
      </w:r>
      <w:r w:rsidR="00BC5FCD" w:rsidRPr="0050598B">
        <w:t>Overview of the Multilateral Fund for the Implementation of the Montreal Protocol</w:t>
      </w:r>
      <w:r w:rsidR="00BC5FCD" w:rsidRPr="0050598B">
        <w:rPr>
          <w:vertAlign w:val="superscript"/>
        </w:rPr>
        <w:footnoteReference w:id="6"/>
      </w:r>
      <w:bookmarkEnd w:id="115"/>
    </w:p>
    <w:p w14:paraId="26E1FABB" w14:textId="42445C84" w:rsidR="00F13B13" w:rsidRPr="0004674B" w:rsidRDefault="00F13B13" w:rsidP="00F13B13">
      <w:pPr>
        <w:rPr>
          <w:lang w:eastAsia="zh-CN"/>
        </w:rPr>
      </w:pPr>
      <w:r w:rsidRPr="000276C9">
        <w:rPr>
          <w:lang w:eastAsia="zh-CN"/>
        </w:rPr>
        <w:t xml:space="preserve">The </w:t>
      </w:r>
      <w:r>
        <w:rPr>
          <w:lang w:eastAsia="zh-CN"/>
        </w:rPr>
        <w:t xml:space="preserve">MLF </w:t>
      </w:r>
      <w:r w:rsidRPr="000276C9">
        <w:rPr>
          <w:lang w:eastAsia="zh-CN"/>
        </w:rPr>
        <w:t xml:space="preserve">was set up by the </w:t>
      </w:r>
      <w:r>
        <w:rPr>
          <w:lang w:eastAsia="zh-CN"/>
        </w:rPr>
        <w:t>parties</w:t>
      </w:r>
      <w:r w:rsidRPr="000276C9">
        <w:rPr>
          <w:lang w:eastAsia="zh-CN"/>
        </w:rPr>
        <w:t xml:space="preserve"> to the </w:t>
      </w:r>
      <w:r w:rsidR="00FB7C66">
        <w:rPr>
          <w:lang w:eastAsia="zh-CN"/>
        </w:rPr>
        <w:t>MP</w:t>
      </w:r>
      <w:r w:rsidRPr="000276C9">
        <w:rPr>
          <w:lang w:eastAsia="zh-CN"/>
        </w:rPr>
        <w:t xml:space="preserve"> to assist developing countries</w:t>
      </w:r>
      <w:r w:rsidR="00E34A9E">
        <w:rPr>
          <w:rStyle w:val="FootnoteReference"/>
          <w:lang w:eastAsia="zh-CN"/>
        </w:rPr>
        <w:footnoteReference w:id="7"/>
      </w:r>
      <w:r w:rsidRPr="000276C9">
        <w:rPr>
          <w:lang w:eastAsia="zh-CN"/>
        </w:rPr>
        <w:t xml:space="preserve"> to comply with the terms of the </w:t>
      </w:r>
      <w:r w:rsidR="00FB7C66">
        <w:rPr>
          <w:lang w:eastAsia="zh-CN"/>
        </w:rPr>
        <w:t>MP</w:t>
      </w:r>
      <w:r w:rsidRPr="000276C9">
        <w:rPr>
          <w:lang w:eastAsia="zh-CN"/>
        </w:rPr>
        <w:t xml:space="preserve"> which sets out a timetable for the phase-out of ODS in both developed and developing countries. The MLF provides assistance to Article 5 (A5) parties</w:t>
      </w:r>
      <w:r>
        <w:rPr>
          <w:lang w:eastAsia="zh-CN"/>
        </w:rPr>
        <w:t>.</w:t>
      </w:r>
      <w:r w:rsidRPr="62928A1D">
        <w:rPr>
          <w:vertAlign w:val="superscript"/>
          <w:lang w:eastAsia="zh-CN"/>
        </w:rPr>
        <w:footnoteReference w:id="8"/>
      </w:r>
      <w:r w:rsidRPr="62928A1D">
        <w:rPr>
          <w:lang w:eastAsia="zh-CN"/>
        </w:rPr>
        <w:t xml:space="preserve"> As </w:t>
      </w:r>
      <w:r w:rsidRPr="000276C9">
        <w:rPr>
          <w:lang w:eastAsia="zh-CN"/>
        </w:rPr>
        <w:t>stated in the terms of reference of the MLF, and in accordance with</w:t>
      </w:r>
      <w:r>
        <w:rPr>
          <w:lang w:eastAsia="zh-CN"/>
        </w:rPr>
        <w:t xml:space="preserve"> paragraph 6 of Article 10 of the </w:t>
      </w:r>
      <w:r w:rsidR="00FB7C66">
        <w:rPr>
          <w:lang w:eastAsia="zh-CN"/>
        </w:rPr>
        <w:t>MP</w:t>
      </w:r>
      <w:r>
        <w:rPr>
          <w:lang w:eastAsia="zh-CN"/>
        </w:rPr>
        <w:t>, contributions to the MLF are made by non-Article 5 (</w:t>
      </w:r>
      <w:r w:rsidRPr="000276C9">
        <w:rPr>
          <w:lang w:eastAsia="zh-CN"/>
        </w:rPr>
        <w:t>non-</w:t>
      </w:r>
      <w:r>
        <w:rPr>
          <w:lang w:eastAsia="zh-CN"/>
        </w:rPr>
        <w:t xml:space="preserve">A5) </w:t>
      </w:r>
      <w:r w:rsidRPr="000276C9">
        <w:rPr>
          <w:lang w:eastAsia="zh-CN"/>
        </w:rPr>
        <w:t>parties</w:t>
      </w:r>
      <w:r>
        <w:rPr>
          <w:lang w:eastAsia="zh-CN"/>
        </w:rPr>
        <w:t xml:space="preserve">, based on a scale of contributions decided by the </w:t>
      </w:r>
      <w:r w:rsidRPr="000276C9">
        <w:rPr>
          <w:lang w:eastAsia="zh-CN"/>
        </w:rPr>
        <w:t>parties</w:t>
      </w:r>
      <w:r w:rsidRPr="0004674B">
        <w:rPr>
          <w:lang w:eastAsia="zh-CN"/>
        </w:rPr>
        <w:t xml:space="preserve"> at their </w:t>
      </w:r>
      <w:r>
        <w:rPr>
          <w:lang w:eastAsia="zh-CN"/>
        </w:rPr>
        <w:t xml:space="preserve">annual meeting. </w:t>
      </w:r>
      <w:r w:rsidRPr="0004674B">
        <w:rPr>
          <w:lang w:eastAsia="zh-CN"/>
        </w:rPr>
        <w:t>T</w:t>
      </w:r>
      <w:r>
        <w:rPr>
          <w:lang w:eastAsia="zh-CN"/>
        </w:rPr>
        <w:t xml:space="preserve">he annual contribution for each </w:t>
      </w:r>
      <w:r w:rsidRPr="0004674B">
        <w:rPr>
          <w:lang w:eastAsia="zh-CN"/>
        </w:rPr>
        <w:t>p</w:t>
      </w:r>
      <w:r>
        <w:rPr>
          <w:lang w:eastAsia="zh-CN"/>
        </w:rPr>
        <w:t>arty is based on the United Nations scale of assessment</w:t>
      </w:r>
      <w:r w:rsidRPr="0004674B">
        <w:rPr>
          <w:lang w:eastAsia="zh-CN"/>
        </w:rPr>
        <w:t>,</w:t>
      </w:r>
      <w:r>
        <w:rPr>
          <w:lang w:eastAsia="zh-CN"/>
        </w:rPr>
        <w:t xml:space="preserve"> adjusted to </w:t>
      </w:r>
      <w:r w:rsidRPr="0004674B">
        <w:rPr>
          <w:lang w:eastAsia="zh-CN"/>
        </w:rPr>
        <w:t xml:space="preserve">ensure </w:t>
      </w:r>
      <w:r>
        <w:rPr>
          <w:lang w:eastAsia="zh-CN"/>
        </w:rPr>
        <w:t>that no one contribution shall exceed 22</w:t>
      </w:r>
      <w:r w:rsidRPr="0004674B">
        <w:rPr>
          <w:lang w:eastAsia="zh-CN"/>
        </w:rPr>
        <w:t xml:space="preserve">% of the total. These contributions may be made either in cash, </w:t>
      </w:r>
      <w:r w:rsidR="48FE68F6" w:rsidRPr="0004674B">
        <w:rPr>
          <w:lang w:eastAsia="zh-CN"/>
        </w:rPr>
        <w:t>using</w:t>
      </w:r>
      <w:r w:rsidRPr="62928A1D">
        <w:rPr>
          <w:lang w:eastAsia="zh-CN"/>
        </w:rPr>
        <w:t xml:space="preserve"> promissory notes, or bilateral contributions.</w:t>
      </w:r>
    </w:p>
    <w:p w14:paraId="465C8D35" w14:textId="370C0EE8" w:rsidR="00F13B13" w:rsidRPr="0004674B" w:rsidRDefault="077E58F6" w:rsidP="00F13B13">
      <w:pPr>
        <w:rPr>
          <w:lang w:eastAsia="zh-CN"/>
        </w:rPr>
      </w:pPr>
      <w:r w:rsidRPr="077E58F6">
        <w:rPr>
          <w:lang w:eastAsia="zh-CN"/>
        </w:rPr>
        <w:t xml:space="preserve">The ExCom divides projects into investment and non-investment projects. The MLF provides financing for the incremental costs of the phase-out of substances controlled by the </w:t>
      </w:r>
      <w:r w:rsidR="00FB7C66">
        <w:rPr>
          <w:lang w:eastAsia="zh-CN"/>
        </w:rPr>
        <w:t>MP</w:t>
      </w:r>
      <w:r w:rsidRPr="077E58F6">
        <w:rPr>
          <w:lang w:eastAsia="zh-CN"/>
        </w:rPr>
        <w:t xml:space="preserve"> including investment projects and the costs of other activities, e.g., institutional strengthening (IS) projects, project preparation, training, and associated activities. MLF also provides funding for other initiatives as per decisions made by the ExCom, such as energy efficiency (EE) and lifecycle refrigerant </w:t>
      </w:r>
      <w:r w:rsidRPr="077E58F6">
        <w:rPr>
          <w:lang w:eastAsia="zh-CN"/>
        </w:rPr>
        <w:lastRenderedPageBreak/>
        <w:t xml:space="preserve">management (LRM) and gender. The parties to the </w:t>
      </w:r>
      <w:r w:rsidR="00FB7C66">
        <w:rPr>
          <w:lang w:eastAsia="zh-CN"/>
        </w:rPr>
        <w:t>MP</w:t>
      </w:r>
      <w:r w:rsidRPr="077E58F6">
        <w:rPr>
          <w:lang w:eastAsia="zh-CN"/>
        </w:rPr>
        <w:t xml:space="preserve"> agreed on an indicative list of such costs, which includes:</w:t>
      </w:r>
    </w:p>
    <w:p w14:paraId="67A209B6" w14:textId="25FCD19E" w:rsidR="00F13B13" w:rsidRPr="0004674B" w:rsidRDefault="274D2446" w:rsidP="00DE13BD">
      <w:pPr>
        <w:pStyle w:val="ListParagraph"/>
        <w:spacing w:after="200"/>
        <w:rPr>
          <w:lang w:eastAsia="zh-CN"/>
        </w:rPr>
      </w:pPr>
      <w:r w:rsidRPr="274D2446">
        <w:rPr>
          <w:lang w:eastAsia="zh-CN"/>
        </w:rPr>
        <w:t>Costs involved in converting to and adopting substitutes, including in the existing production facilities and equipment or establishing new facilities, paying for patents, designs and royalties, training personnel, adapting technology to local circumstances, premature retirement of capital equipment and importing substitutes</w:t>
      </w:r>
    </w:p>
    <w:p w14:paraId="4E5B74B1" w14:textId="5A80DC33" w:rsidR="00F13B13" w:rsidRPr="008A5422" w:rsidRDefault="00F13B13" w:rsidP="00DE13BD">
      <w:pPr>
        <w:pStyle w:val="ListParagraph"/>
        <w:spacing w:after="200"/>
        <w:rPr>
          <w:lang w:eastAsia="zh-CN"/>
        </w:rPr>
      </w:pPr>
      <w:r w:rsidRPr="0018BE3D">
        <w:rPr>
          <w:lang w:eastAsia="zh-CN"/>
        </w:rPr>
        <w:t xml:space="preserve">Costs involved where controlled substances used </w:t>
      </w:r>
      <w:r w:rsidR="00905291">
        <w:rPr>
          <w:lang w:eastAsia="zh-CN"/>
        </w:rPr>
        <w:t xml:space="preserve">as feedstock and process agents </w:t>
      </w:r>
      <w:r w:rsidRPr="0018BE3D">
        <w:rPr>
          <w:lang w:eastAsia="zh-CN"/>
        </w:rPr>
        <w:t>in manufacturing, including converting existing equipment and facilities, paying for patents, designs and royalties, training, research and development and paying for raw materials, and</w:t>
      </w:r>
    </w:p>
    <w:p w14:paraId="25988185" w14:textId="77777777" w:rsidR="00F13B13" w:rsidRPr="008A5422" w:rsidRDefault="00F13B13" w:rsidP="00DE13BD">
      <w:pPr>
        <w:pStyle w:val="ListParagraph"/>
        <w:spacing w:after="200"/>
        <w:rPr>
          <w:lang w:eastAsia="zh-CN"/>
        </w:rPr>
      </w:pPr>
      <w:r w:rsidRPr="008A5422">
        <w:rPr>
          <w:lang w:eastAsia="zh-CN"/>
        </w:rPr>
        <w:t>Costs involved in end use, including prematurely modifying or replacing user equipment, recycling and destroying controlled substances and providing technical assistance to reduce consumption and unintended emissions.</w:t>
      </w:r>
    </w:p>
    <w:p w14:paraId="66AD8F46" w14:textId="77777777" w:rsidR="00F13B13" w:rsidRPr="008A5422" w:rsidRDefault="00F13B13" w:rsidP="00F13B13">
      <w:pPr>
        <w:rPr>
          <w:lang w:eastAsia="zh-CN"/>
        </w:rPr>
      </w:pPr>
      <w:r>
        <w:rPr>
          <w:lang w:eastAsia="zh-CN"/>
        </w:rPr>
        <w:t xml:space="preserve">As per MLF guidelines, projects are approved based on the rules and regulations regarding financing eligible incremental costs agreed by parties.  </w:t>
      </w:r>
    </w:p>
    <w:p w14:paraId="2B5E66F8" w14:textId="1776B922" w:rsidR="00F13B13" w:rsidRDefault="274D2446" w:rsidP="00F13B13">
      <w:pPr>
        <w:rPr>
          <w:lang w:eastAsia="zh-CN"/>
        </w:rPr>
      </w:pPr>
      <w:r w:rsidRPr="274D2446">
        <w:rPr>
          <w:lang w:eastAsia="zh-CN"/>
        </w:rPr>
        <w:t xml:space="preserve">A party is considered in compliance when it meets its specific obligations under the </w:t>
      </w:r>
      <w:r w:rsidR="00FB7C66">
        <w:rPr>
          <w:lang w:eastAsia="zh-CN"/>
        </w:rPr>
        <w:t>MP</w:t>
      </w:r>
      <w:r w:rsidRPr="274D2446">
        <w:rPr>
          <w:lang w:eastAsia="zh-CN"/>
        </w:rPr>
        <w:t xml:space="preserve">, including control measures and reporting requirements. The MLF’s strategy is based on a compliance-driven business planning approach, in which the level of controlled substance phase-out has been calculated for each country so that resources can be appropriately targeted to parties. This calculation has been made on the basis of an agreed starting point for aggregate reduction in controlled substances. Multi-year agreements (MYAs) are established with parties to assist them in meeting the phase-out targets set out in the </w:t>
      </w:r>
      <w:r w:rsidR="00FB7C66">
        <w:rPr>
          <w:lang w:eastAsia="zh-CN"/>
        </w:rPr>
        <w:t>MP</w:t>
      </w:r>
      <w:r w:rsidRPr="274D2446">
        <w:rPr>
          <w:lang w:eastAsia="zh-CN"/>
        </w:rPr>
        <w:t xml:space="preserve">. As noted above, other funding not directly related to compliance is also provided to respond to ExCom decisions. Table 1.2 provides a summary of the A5 compliance schedule for the main controlled substances as set out in the </w:t>
      </w:r>
      <w:r w:rsidR="00FB7C66">
        <w:rPr>
          <w:lang w:eastAsia="zh-CN"/>
        </w:rPr>
        <w:t>MP</w:t>
      </w:r>
      <w:r w:rsidRPr="274D2446">
        <w:rPr>
          <w:lang w:eastAsia="zh-CN"/>
        </w:rPr>
        <w:t xml:space="preserve">. Annex C Group I (hydrochlorofluorocarbons (HCFCs)) and Annex F (hydrofluorocarbons (HFCs)) substances are the only substances under the </w:t>
      </w:r>
      <w:r w:rsidR="00FB7C66">
        <w:rPr>
          <w:lang w:eastAsia="zh-CN"/>
        </w:rPr>
        <w:t>MP</w:t>
      </w:r>
      <w:r w:rsidRPr="274D2446">
        <w:rPr>
          <w:lang w:eastAsia="zh-CN"/>
        </w:rPr>
        <w:t xml:space="preserve"> where consumption and production are still allowed.</w:t>
      </w:r>
    </w:p>
    <w:p w14:paraId="61062888" w14:textId="269D42A9" w:rsidR="00D56161" w:rsidRPr="00AA3AB4" w:rsidRDefault="00D56161" w:rsidP="002135B0">
      <w:pPr>
        <w:tabs>
          <w:tab w:val="left" w:pos="1134"/>
        </w:tabs>
        <w:spacing w:after="120"/>
        <w:ind w:left="1134" w:hanging="1134"/>
        <w:rPr>
          <w:rFonts w:eastAsiaTheme="minorHAnsi"/>
          <w:b/>
          <w:bCs/>
        </w:rPr>
      </w:pPr>
      <w:r w:rsidRPr="00E42C5E">
        <w:rPr>
          <w:rFonts w:eastAsiaTheme="minorHAnsi"/>
          <w:b/>
          <w:bCs/>
        </w:rPr>
        <w:t xml:space="preserve">Table </w:t>
      </w:r>
      <w:r>
        <w:rPr>
          <w:rFonts w:eastAsiaTheme="minorHAnsi"/>
          <w:b/>
          <w:bCs/>
        </w:rPr>
        <w:t>1</w:t>
      </w:r>
      <w:r w:rsidRPr="00E42C5E">
        <w:rPr>
          <w:rFonts w:eastAsiaTheme="minorHAnsi"/>
          <w:b/>
          <w:bCs/>
        </w:rPr>
        <w:t>.</w:t>
      </w:r>
      <w:r>
        <w:rPr>
          <w:rFonts w:eastAsiaTheme="minorHAnsi"/>
          <w:b/>
          <w:bCs/>
        </w:rPr>
        <w:t>2</w:t>
      </w:r>
      <w:r w:rsidR="000806D6">
        <w:rPr>
          <w:rFonts w:eastAsiaTheme="minorHAnsi"/>
          <w:b/>
          <w:bCs/>
        </w:rPr>
        <w:t>:</w:t>
      </w:r>
      <w:r w:rsidRPr="00E42C5E">
        <w:rPr>
          <w:rFonts w:eastAsiaTheme="minorHAnsi"/>
          <w:b/>
          <w:bCs/>
        </w:rPr>
        <w:tab/>
      </w:r>
      <w:r w:rsidR="00C20EA0" w:rsidRPr="00C20EA0">
        <w:rPr>
          <w:rFonts w:eastAsiaTheme="minorHAnsi"/>
          <w:b/>
          <w:bCs/>
        </w:rPr>
        <w:t>Montreal Protocol compliance schedule for main controlled substances for A5 parties</w:t>
      </w:r>
      <w:r w:rsidR="00C20EA0" w:rsidRPr="00C20EA0">
        <w:rPr>
          <w:rFonts w:eastAsiaTheme="minorHAnsi"/>
          <w:b/>
          <w:bCs/>
          <w:vertAlign w:val="superscript"/>
        </w:rPr>
        <w:footnoteReference w:id="9"/>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6197"/>
      </w:tblGrid>
      <w:tr w:rsidR="001012A9" w:rsidRPr="001012A9" w14:paraId="6EC8320E" w14:textId="77777777" w:rsidTr="002135B0">
        <w:trPr>
          <w:trHeight w:val="332"/>
          <w:tblHeader/>
          <w:jc w:val="center"/>
        </w:trPr>
        <w:tc>
          <w:tcPr>
            <w:tcW w:w="2785" w:type="dxa"/>
            <w:shd w:val="clear" w:color="auto" w:fill="D9E2F3" w:themeFill="accent1" w:themeFillTint="33"/>
            <w:vAlign w:val="center"/>
          </w:tcPr>
          <w:p w14:paraId="494DDD07" w14:textId="77777777" w:rsidR="001012A9" w:rsidRPr="001012A9" w:rsidRDefault="001012A9" w:rsidP="002135B0">
            <w:pPr>
              <w:tabs>
                <w:tab w:val="clear" w:pos="0"/>
              </w:tabs>
              <w:spacing w:after="0"/>
              <w:rPr>
                <w:rFonts w:eastAsia="SimSun"/>
                <w:b/>
                <w:bCs/>
                <w:color w:val="auto"/>
                <w:kern w:val="2"/>
                <w:sz w:val="20"/>
                <w:szCs w:val="20"/>
                <w:lang w:eastAsia="zh-CN"/>
              </w:rPr>
            </w:pPr>
            <w:r w:rsidRPr="001012A9">
              <w:rPr>
                <w:rFonts w:eastAsia="SimSun"/>
                <w:b/>
                <w:bCs/>
                <w:color w:val="auto"/>
                <w:kern w:val="2"/>
                <w:sz w:val="20"/>
                <w:szCs w:val="20"/>
                <w:lang w:eastAsia="zh-CN"/>
              </w:rPr>
              <w:t>Controlled substance</w:t>
            </w:r>
          </w:p>
        </w:tc>
        <w:tc>
          <w:tcPr>
            <w:tcW w:w="6120" w:type="dxa"/>
            <w:shd w:val="clear" w:color="auto" w:fill="D9E2F3" w:themeFill="accent1" w:themeFillTint="33"/>
            <w:vAlign w:val="center"/>
          </w:tcPr>
          <w:p w14:paraId="4B253DFF" w14:textId="77777777" w:rsidR="001012A9" w:rsidRPr="001012A9" w:rsidRDefault="001012A9" w:rsidP="001012A9">
            <w:pPr>
              <w:tabs>
                <w:tab w:val="clear" w:pos="0"/>
              </w:tabs>
              <w:spacing w:after="0"/>
              <w:jc w:val="center"/>
              <w:rPr>
                <w:rFonts w:eastAsia="SimSun"/>
                <w:b/>
                <w:bCs/>
                <w:color w:val="auto"/>
                <w:kern w:val="2"/>
                <w:sz w:val="20"/>
                <w:szCs w:val="20"/>
                <w:lang w:eastAsia="zh-CN"/>
              </w:rPr>
            </w:pPr>
            <w:r w:rsidRPr="001012A9">
              <w:rPr>
                <w:rFonts w:eastAsia="SimSun"/>
                <w:b/>
                <w:bCs/>
                <w:color w:val="auto"/>
                <w:kern w:val="2"/>
                <w:sz w:val="20"/>
                <w:szCs w:val="20"/>
                <w:lang w:eastAsia="zh-CN"/>
              </w:rPr>
              <w:t>Compliance Schedule for A5 parties</w:t>
            </w:r>
          </w:p>
        </w:tc>
      </w:tr>
      <w:tr w:rsidR="001012A9" w:rsidRPr="001012A9" w14:paraId="3E0B86C8" w14:textId="77777777" w:rsidTr="002135B0">
        <w:trPr>
          <w:jc w:val="center"/>
        </w:trPr>
        <w:tc>
          <w:tcPr>
            <w:tcW w:w="2785" w:type="dxa"/>
            <w:shd w:val="clear" w:color="auto" w:fill="D9E2F3" w:themeFill="accent1" w:themeFillTint="33"/>
            <w:vAlign w:val="center"/>
          </w:tcPr>
          <w:p w14:paraId="11353BCC" w14:textId="77777777" w:rsidR="001012A9" w:rsidRPr="001012A9" w:rsidRDefault="001012A9" w:rsidP="00C13E67">
            <w:pPr>
              <w:tabs>
                <w:tab w:val="clear" w:pos="0"/>
              </w:tabs>
              <w:spacing w:after="0"/>
              <w:rPr>
                <w:rFonts w:eastAsia="SimSun"/>
                <w:color w:val="auto"/>
                <w:kern w:val="2"/>
                <w:sz w:val="20"/>
                <w:szCs w:val="20"/>
                <w:lang w:eastAsia="zh-CN"/>
              </w:rPr>
            </w:pPr>
            <w:r w:rsidRPr="001012A9">
              <w:rPr>
                <w:rFonts w:eastAsia="SimSun"/>
                <w:b/>
                <w:bCs/>
                <w:color w:val="auto"/>
                <w:kern w:val="2"/>
                <w:sz w:val="20"/>
                <w:szCs w:val="20"/>
                <w:lang w:eastAsia="zh-CN"/>
              </w:rPr>
              <w:t>Annex A – Group I</w:t>
            </w:r>
            <w:r w:rsidRPr="001012A9">
              <w:rPr>
                <w:rFonts w:eastAsia="SimSun"/>
                <w:color w:val="auto"/>
                <w:kern w:val="2"/>
                <w:sz w:val="20"/>
                <w:szCs w:val="20"/>
                <w:lang w:eastAsia="zh-CN"/>
              </w:rPr>
              <w:t>: Chlorofluorocarbons (CFCs)</w:t>
            </w:r>
          </w:p>
        </w:tc>
        <w:tc>
          <w:tcPr>
            <w:tcW w:w="6120" w:type="dxa"/>
            <w:vAlign w:val="center"/>
          </w:tcPr>
          <w:p w14:paraId="4243CC90"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Freeze at average 1995-1997 level on 1/7/1999; 50% reduction by 1/1/2005; 85% reduction by 1/1/2007; Total phase-out by 1/1/2010</w:t>
            </w:r>
          </w:p>
        </w:tc>
      </w:tr>
      <w:tr w:rsidR="001012A9" w:rsidRPr="001012A9" w14:paraId="426FEDEF" w14:textId="77777777" w:rsidTr="002135B0">
        <w:trPr>
          <w:jc w:val="center"/>
        </w:trPr>
        <w:tc>
          <w:tcPr>
            <w:tcW w:w="2785" w:type="dxa"/>
            <w:shd w:val="clear" w:color="auto" w:fill="D9E2F3" w:themeFill="accent1" w:themeFillTint="33"/>
            <w:vAlign w:val="center"/>
          </w:tcPr>
          <w:p w14:paraId="5B3E71A8" w14:textId="77777777" w:rsidR="001012A9" w:rsidRPr="001012A9" w:rsidRDefault="001012A9" w:rsidP="00C13E67">
            <w:pPr>
              <w:tabs>
                <w:tab w:val="clear" w:pos="0"/>
              </w:tabs>
              <w:spacing w:after="0"/>
              <w:rPr>
                <w:rFonts w:eastAsia="SimSun"/>
                <w:color w:val="auto"/>
                <w:kern w:val="2"/>
                <w:sz w:val="20"/>
                <w:szCs w:val="20"/>
                <w:lang w:eastAsia="zh-CN"/>
              </w:rPr>
            </w:pPr>
            <w:r w:rsidRPr="001012A9">
              <w:rPr>
                <w:rFonts w:eastAsia="SimSun"/>
                <w:b/>
                <w:bCs/>
                <w:color w:val="auto"/>
                <w:kern w:val="2"/>
                <w:sz w:val="20"/>
                <w:szCs w:val="20"/>
                <w:lang w:eastAsia="zh-CN"/>
              </w:rPr>
              <w:t>Annex A – Group II</w:t>
            </w:r>
            <w:r w:rsidRPr="001012A9">
              <w:rPr>
                <w:rFonts w:eastAsia="SimSun"/>
                <w:color w:val="auto"/>
                <w:kern w:val="2"/>
                <w:sz w:val="20"/>
                <w:szCs w:val="20"/>
                <w:lang w:eastAsia="zh-CN"/>
              </w:rPr>
              <w:t>: Halons</w:t>
            </w:r>
          </w:p>
        </w:tc>
        <w:tc>
          <w:tcPr>
            <w:tcW w:w="6120" w:type="dxa"/>
            <w:vAlign w:val="center"/>
          </w:tcPr>
          <w:p w14:paraId="059B336B"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 xml:space="preserve">Freeze at average 1995-1997 level on 1/1/2002; 50% reduction by 1/1/2005; </w:t>
            </w:r>
          </w:p>
          <w:p w14:paraId="2E104D3D"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Total phase-out by 1/1/2010</w:t>
            </w:r>
          </w:p>
        </w:tc>
      </w:tr>
      <w:tr w:rsidR="001012A9" w:rsidRPr="001012A9" w14:paraId="21432611" w14:textId="77777777" w:rsidTr="002135B0">
        <w:trPr>
          <w:jc w:val="center"/>
        </w:trPr>
        <w:tc>
          <w:tcPr>
            <w:tcW w:w="2785" w:type="dxa"/>
            <w:shd w:val="clear" w:color="auto" w:fill="D9E2F3" w:themeFill="accent1" w:themeFillTint="33"/>
            <w:vAlign w:val="center"/>
          </w:tcPr>
          <w:p w14:paraId="5B07BC52" w14:textId="77777777" w:rsidR="001012A9" w:rsidRPr="001012A9" w:rsidRDefault="001012A9" w:rsidP="00C13E67">
            <w:pPr>
              <w:tabs>
                <w:tab w:val="clear" w:pos="0"/>
              </w:tabs>
              <w:spacing w:after="0"/>
              <w:rPr>
                <w:rFonts w:eastAsia="SimSun"/>
                <w:color w:val="auto"/>
                <w:kern w:val="2"/>
                <w:sz w:val="20"/>
                <w:szCs w:val="20"/>
                <w:lang w:eastAsia="zh-CN"/>
              </w:rPr>
            </w:pPr>
            <w:r w:rsidRPr="001012A9">
              <w:rPr>
                <w:rFonts w:eastAsia="SimSun"/>
                <w:b/>
                <w:bCs/>
                <w:color w:val="auto"/>
                <w:kern w:val="2"/>
                <w:sz w:val="20"/>
                <w:szCs w:val="20"/>
                <w:lang w:eastAsia="zh-CN"/>
              </w:rPr>
              <w:t>Annex B – Group II</w:t>
            </w:r>
            <w:r w:rsidRPr="001012A9">
              <w:rPr>
                <w:rFonts w:eastAsia="SimSun"/>
                <w:color w:val="auto"/>
                <w:kern w:val="2"/>
                <w:sz w:val="20"/>
                <w:szCs w:val="20"/>
                <w:lang w:eastAsia="zh-CN"/>
              </w:rPr>
              <w:t>: Carbon tetrachloride (CTC)</w:t>
            </w:r>
          </w:p>
        </w:tc>
        <w:tc>
          <w:tcPr>
            <w:tcW w:w="6120" w:type="dxa"/>
            <w:vAlign w:val="center"/>
          </w:tcPr>
          <w:p w14:paraId="52D06F1A"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85% reduction at average 1998-2000 on 1/1/2005; Total phase-out by 2010</w:t>
            </w:r>
          </w:p>
        </w:tc>
      </w:tr>
      <w:tr w:rsidR="001012A9" w:rsidRPr="001012A9" w14:paraId="47A3548E" w14:textId="77777777" w:rsidTr="002135B0">
        <w:trPr>
          <w:jc w:val="center"/>
        </w:trPr>
        <w:tc>
          <w:tcPr>
            <w:tcW w:w="2785" w:type="dxa"/>
            <w:shd w:val="clear" w:color="auto" w:fill="D9E2F3" w:themeFill="accent1" w:themeFillTint="33"/>
            <w:vAlign w:val="center"/>
          </w:tcPr>
          <w:p w14:paraId="28182A0D" w14:textId="77777777" w:rsidR="001012A9" w:rsidRPr="001012A9" w:rsidRDefault="001012A9" w:rsidP="00C13E67">
            <w:pPr>
              <w:tabs>
                <w:tab w:val="clear" w:pos="0"/>
              </w:tabs>
              <w:spacing w:after="0"/>
              <w:rPr>
                <w:rFonts w:eastAsia="SimSun"/>
                <w:color w:val="auto"/>
                <w:kern w:val="2"/>
                <w:sz w:val="20"/>
                <w:szCs w:val="20"/>
                <w:lang w:eastAsia="zh-CN"/>
              </w:rPr>
            </w:pPr>
            <w:r w:rsidRPr="001012A9">
              <w:rPr>
                <w:rFonts w:eastAsia="SimSun"/>
                <w:b/>
                <w:bCs/>
                <w:color w:val="auto"/>
                <w:kern w:val="2"/>
                <w:sz w:val="20"/>
                <w:szCs w:val="20"/>
                <w:lang w:eastAsia="zh-CN"/>
              </w:rPr>
              <w:t>Annex B – Group III</w:t>
            </w:r>
            <w:r w:rsidRPr="001012A9">
              <w:rPr>
                <w:rFonts w:eastAsia="SimSun"/>
                <w:color w:val="auto"/>
                <w:kern w:val="2"/>
                <w:sz w:val="20"/>
                <w:szCs w:val="20"/>
                <w:lang w:eastAsia="zh-CN"/>
              </w:rPr>
              <w:t>: Methyl chloroform (TCA)</w:t>
            </w:r>
          </w:p>
        </w:tc>
        <w:tc>
          <w:tcPr>
            <w:tcW w:w="6120" w:type="dxa"/>
            <w:vAlign w:val="center"/>
          </w:tcPr>
          <w:p w14:paraId="42120053"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Freeze at average 1998-2000 level on 1/1/2003; 30% reduction by 1/1/2005; 70% reduction by 1/1/2010; Total phase-out by 1/1/2015</w:t>
            </w:r>
          </w:p>
        </w:tc>
      </w:tr>
      <w:tr w:rsidR="001012A9" w:rsidRPr="001012A9" w14:paraId="7A4777D3" w14:textId="77777777" w:rsidTr="002135B0">
        <w:trPr>
          <w:jc w:val="center"/>
        </w:trPr>
        <w:tc>
          <w:tcPr>
            <w:tcW w:w="2785" w:type="dxa"/>
            <w:shd w:val="clear" w:color="auto" w:fill="D9E2F3" w:themeFill="accent1" w:themeFillTint="33"/>
            <w:vAlign w:val="center"/>
          </w:tcPr>
          <w:p w14:paraId="5FEFB4B5" w14:textId="77777777" w:rsidR="001012A9" w:rsidRPr="001012A9" w:rsidRDefault="001012A9" w:rsidP="00C13E67">
            <w:pPr>
              <w:tabs>
                <w:tab w:val="clear" w:pos="0"/>
              </w:tabs>
              <w:spacing w:after="0"/>
              <w:rPr>
                <w:rFonts w:eastAsia="SimSun"/>
                <w:color w:val="auto"/>
                <w:kern w:val="2"/>
                <w:sz w:val="20"/>
                <w:szCs w:val="20"/>
                <w:lang w:eastAsia="zh-CN"/>
              </w:rPr>
            </w:pPr>
            <w:r w:rsidRPr="001012A9">
              <w:rPr>
                <w:rFonts w:eastAsia="SimSun"/>
                <w:b/>
                <w:bCs/>
                <w:color w:val="auto"/>
                <w:kern w:val="2"/>
                <w:sz w:val="20"/>
                <w:szCs w:val="20"/>
                <w:lang w:eastAsia="zh-CN"/>
              </w:rPr>
              <w:t>Annex C – Group I</w:t>
            </w:r>
            <w:r w:rsidRPr="001012A9">
              <w:rPr>
                <w:rFonts w:eastAsia="SimSun"/>
                <w:color w:val="auto"/>
                <w:kern w:val="2"/>
                <w:sz w:val="20"/>
                <w:szCs w:val="20"/>
                <w:lang w:eastAsia="zh-CN"/>
              </w:rPr>
              <w:t>: Hydrochlorofluorocarbons (HCFCs)</w:t>
            </w:r>
          </w:p>
        </w:tc>
        <w:tc>
          <w:tcPr>
            <w:tcW w:w="6120" w:type="dxa"/>
            <w:vAlign w:val="center"/>
          </w:tcPr>
          <w:p w14:paraId="09F47DE4"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 xml:space="preserve">Baseline is the average of 2009 and 2010 production and consumption </w:t>
            </w:r>
          </w:p>
          <w:p w14:paraId="038E4A28"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 xml:space="preserve">Freeze at average 2009-2010 level on 1/1/2013; </w:t>
            </w:r>
            <w:bookmarkStart w:id="116" w:name="_Hlk35695892"/>
            <w:r w:rsidRPr="001012A9">
              <w:rPr>
                <w:rFonts w:eastAsia="SimSun"/>
                <w:color w:val="auto"/>
                <w:kern w:val="2"/>
                <w:sz w:val="20"/>
                <w:szCs w:val="20"/>
                <w:lang w:eastAsia="zh-CN"/>
              </w:rPr>
              <w:t xml:space="preserve">10% reduction by 1/1/2015; 35% reduction by 1/1/2020; </w:t>
            </w:r>
            <w:bookmarkStart w:id="117" w:name="_Hlk129557582"/>
            <w:r w:rsidRPr="001012A9">
              <w:rPr>
                <w:rFonts w:eastAsia="SimSun"/>
                <w:color w:val="auto"/>
                <w:kern w:val="2"/>
                <w:sz w:val="20"/>
                <w:szCs w:val="20"/>
                <w:lang w:eastAsia="zh-CN"/>
              </w:rPr>
              <w:t>67.5% reduction by 1/1/2025;</w:t>
            </w:r>
            <w:r w:rsidRPr="001012A9">
              <w:rPr>
                <w:rFonts w:eastAsia="SimSun"/>
                <w:b/>
                <w:bCs/>
                <w:color w:val="auto"/>
                <w:kern w:val="2"/>
                <w:sz w:val="20"/>
                <w:szCs w:val="20"/>
                <w:lang w:eastAsia="zh-CN"/>
              </w:rPr>
              <w:t xml:space="preserve"> 97.5% reduction by 1/1/2030</w:t>
            </w:r>
            <w:r w:rsidRPr="001012A9">
              <w:rPr>
                <w:rFonts w:eastAsia="SimSun"/>
                <w:b/>
                <w:bCs/>
                <w:color w:val="auto"/>
                <w:kern w:val="2"/>
                <w:sz w:val="20"/>
                <w:szCs w:val="20"/>
                <w:vertAlign w:val="superscript"/>
                <w:lang w:eastAsia="zh-CN"/>
              </w:rPr>
              <w:t>**</w:t>
            </w:r>
            <w:r w:rsidRPr="001012A9">
              <w:rPr>
                <w:rFonts w:eastAsia="SimSun"/>
                <w:color w:val="auto"/>
                <w:kern w:val="2"/>
                <w:sz w:val="20"/>
                <w:szCs w:val="20"/>
                <w:lang w:eastAsia="zh-CN"/>
              </w:rPr>
              <w:t xml:space="preserve">; </w:t>
            </w:r>
            <w:bookmarkEnd w:id="116"/>
            <w:bookmarkEnd w:id="117"/>
            <w:r w:rsidRPr="001012A9">
              <w:rPr>
                <w:rFonts w:eastAsia="SimSun"/>
                <w:color w:val="auto"/>
                <w:kern w:val="2"/>
                <w:sz w:val="20"/>
                <w:szCs w:val="20"/>
                <w:lang w:eastAsia="zh-CN"/>
              </w:rPr>
              <w:t xml:space="preserve">Total phase-out by 1/1/2040 </w:t>
            </w:r>
          </w:p>
          <w:p w14:paraId="04BF8819" w14:textId="77777777" w:rsidR="001012A9" w:rsidRPr="001012A9" w:rsidRDefault="001012A9" w:rsidP="00043A12">
            <w:pPr>
              <w:tabs>
                <w:tab w:val="clear" w:pos="0"/>
              </w:tabs>
              <w:spacing w:after="0"/>
              <w:rPr>
                <w:rFonts w:eastAsia="SimSun"/>
                <w:color w:val="auto"/>
                <w:kern w:val="2"/>
                <w:sz w:val="20"/>
                <w:szCs w:val="20"/>
                <w:lang w:eastAsia="zh-CN"/>
              </w:rPr>
            </w:pPr>
          </w:p>
          <w:p w14:paraId="42D4D6F6"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**The annual average of 2.5% is restricted to the servicing of refrigeration and air-conditioning equipment existing during 2030-2040 and subject to review in 2025.</w:t>
            </w:r>
            <w:r w:rsidRPr="001012A9">
              <w:rPr>
                <w:rFonts w:eastAsia="SimSun"/>
                <w:color w:val="auto"/>
              </w:rPr>
              <w:t xml:space="preserve"> </w:t>
            </w:r>
            <w:r w:rsidRPr="001012A9">
              <w:rPr>
                <w:rFonts w:eastAsia="SimSun"/>
                <w:color w:val="auto"/>
                <w:kern w:val="2"/>
                <w:sz w:val="20"/>
                <w:szCs w:val="20"/>
                <w:lang w:eastAsia="zh-CN"/>
              </w:rPr>
              <w:t xml:space="preserve">Note that Decision XXX/2 referring to Annex I of the </w:t>
            </w:r>
            <w:r w:rsidRPr="001012A9">
              <w:rPr>
                <w:rFonts w:eastAsia="SimSun"/>
                <w:color w:val="auto"/>
                <w:kern w:val="2"/>
                <w:sz w:val="20"/>
                <w:szCs w:val="20"/>
                <w:lang w:eastAsia="zh-CN"/>
              </w:rPr>
              <w:lastRenderedPageBreak/>
              <w:t>MOP30 report, adjusted this part of Article 5 (as well as 2F) to include other uses, i.e., the servicing of fire suppression and fire protection equipment existing on 1 January 2030; solvent applications in rocket engine manufacturing; and topical medical aerosol for applications for the specialised treatment of burns.</w:t>
            </w:r>
          </w:p>
        </w:tc>
      </w:tr>
      <w:tr w:rsidR="001012A9" w:rsidRPr="001012A9" w14:paraId="1744C49B" w14:textId="77777777" w:rsidTr="002135B0">
        <w:trPr>
          <w:jc w:val="center"/>
        </w:trPr>
        <w:tc>
          <w:tcPr>
            <w:tcW w:w="2785" w:type="dxa"/>
            <w:shd w:val="clear" w:color="auto" w:fill="D9E2F3" w:themeFill="accent1" w:themeFillTint="33"/>
            <w:vAlign w:val="center"/>
          </w:tcPr>
          <w:p w14:paraId="22CCDF67"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b/>
                <w:bCs/>
                <w:color w:val="auto"/>
                <w:kern w:val="2"/>
                <w:sz w:val="20"/>
                <w:szCs w:val="20"/>
                <w:lang w:eastAsia="zh-CN"/>
              </w:rPr>
              <w:lastRenderedPageBreak/>
              <w:t>Annex C – Group II</w:t>
            </w:r>
            <w:r w:rsidRPr="001012A9">
              <w:rPr>
                <w:rFonts w:eastAsia="SimSun"/>
                <w:color w:val="auto"/>
                <w:kern w:val="2"/>
                <w:sz w:val="20"/>
                <w:szCs w:val="20"/>
                <w:lang w:eastAsia="zh-CN"/>
              </w:rPr>
              <w:t>: HBFC</w:t>
            </w:r>
          </w:p>
        </w:tc>
        <w:tc>
          <w:tcPr>
            <w:tcW w:w="6120" w:type="dxa"/>
            <w:vAlign w:val="center"/>
          </w:tcPr>
          <w:p w14:paraId="28A32EBD"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Total phase-out by 1/1/1996</w:t>
            </w:r>
          </w:p>
        </w:tc>
      </w:tr>
      <w:tr w:rsidR="001012A9" w:rsidRPr="001012A9" w14:paraId="2708A733" w14:textId="77777777" w:rsidTr="002135B0">
        <w:trPr>
          <w:jc w:val="center"/>
        </w:trPr>
        <w:tc>
          <w:tcPr>
            <w:tcW w:w="2785" w:type="dxa"/>
            <w:shd w:val="clear" w:color="auto" w:fill="D9E2F3" w:themeFill="accent1" w:themeFillTint="33"/>
            <w:vAlign w:val="center"/>
          </w:tcPr>
          <w:p w14:paraId="44372DC6"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b/>
                <w:bCs/>
                <w:color w:val="auto"/>
                <w:kern w:val="2"/>
                <w:sz w:val="20"/>
                <w:szCs w:val="20"/>
                <w:lang w:eastAsia="zh-CN"/>
              </w:rPr>
              <w:t>Annex C – Group III</w:t>
            </w:r>
            <w:r w:rsidRPr="001012A9">
              <w:rPr>
                <w:rFonts w:eastAsia="SimSun"/>
                <w:color w:val="auto"/>
                <w:kern w:val="2"/>
                <w:sz w:val="20"/>
                <w:szCs w:val="20"/>
                <w:lang w:eastAsia="zh-CN"/>
              </w:rPr>
              <w:t>: Bromochloromethane (BCM)</w:t>
            </w:r>
          </w:p>
        </w:tc>
        <w:tc>
          <w:tcPr>
            <w:tcW w:w="6120" w:type="dxa"/>
            <w:vAlign w:val="center"/>
          </w:tcPr>
          <w:p w14:paraId="13E3D901"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Total phase-out by 1/1/2002</w:t>
            </w:r>
          </w:p>
        </w:tc>
      </w:tr>
      <w:tr w:rsidR="001012A9" w:rsidRPr="001012A9" w14:paraId="470DBD96" w14:textId="77777777" w:rsidTr="002135B0">
        <w:trPr>
          <w:jc w:val="center"/>
        </w:trPr>
        <w:tc>
          <w:tcPr>
            <w:tcW w:w="2785" w:type="dxa"/>
            <w:shd w:val="clear" w:color="auto" w:fill="D9E2F3" w:themeFill="accent1" w:themeFillTint="33"/>
            <w:vAlign w:val="center"/>
          </w:tcPr>
          <w:p w14:paraId="12030CF9" w14:textId="77777777" w:rsidR="001012A9" w:rsidRPr="001012A9" w:rsidRDefault="001012A9" w:rsidP="00F52A3A">
            <w:pPr>
              <w:tabs>
                <w:tab w:val="clear" w:pos="0"/>
              </w:tabs>
              <w:spacing w:after="0"/>
              <w:rPr>
                <w:rFonts w:eastAsia="SimSun"/>
                <w:b/>
                <w:bCs/>
                <w:color w:val="auto"/>
                <w:kern w:val="2"/>
                <w:sz w:val="20"/>
                <w:szCs w:val="20"/>
                <w:lang w:eastAsia="zh-CN"/>
              </w:rPr>
            </w:pPr>
            <w:r w:rsidRPr="001012A9">
              <w:rPr>
                <w:rFonts w:eastAsia="SimSun"/>
                <w:b/>
                <w:bCs/>
                <w:color w:val="auto"/>
                <w:kern w:val="2"/>
                <w:sz w:val="20"/>
                <w:szCs w:val="20"/>
                <w:lang w:eastAsia="zh-CN"/>
              </w:rPr>
              <w:t>Annex E</w:t>
            </w:r>
            <w:r w:rsidRPr="001012A9">
              <w:rPr>
                <w:rFonts w:eastAsia="SimSun"/>
                <w:color w:val="auto"/>
                <w:kern w:val="2"/>
                <w:sz w:val="20"/>
                <w:szCs w:val="20"/>
                <w:lang w:eastAsia="zh-CN"/>
              </w:rPr>
              <w:t xml:space="preserve">:  Methyl bromide </w:t>
            </w:r>
          </w:p>
          <w:p w14:paraId="1A155DD6"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(Horticultural uses)</w:t>
            </w:r>
          </w:p>
        </w:tc>
        <w:tc>
          <w:tcPr>
            <w:tcW w:w="6120" w:type="dxa"/>
            <w:vAlign w:val="center"/>
          </w:tcPr>
          <w:p w14:paraId="40BDA91E"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Freeze at average 1995-1998 level on 1/1/2002; 20% reduction by 1/1/2005; Total phase-out by 1/1/2015</w:t>
            </w:r>
          </w:p>
        </w:tc>
      </w:tr>
      <w:tr w:rsidR="001012A9" w:rsidRPr="001012A9" w14:paraId="0E93792C" w14:textId="77777777" w:rsidTr="002135B0">
        <w:trPr>
          <w:jc w:val="center"/>
        </w:trPr>
        <w:tc>
          <w:tcPr>
            <w:tcW w:w="2785" w:type="dxa"/>
            <w:shd w:val="clear" w:color="auto" w:fill="D9E2F3" w:themeFill="accent1" w:themeFillTint="33"/>
            <w:vAlign w:val="center"/>
          </w:tcPr>
          <w:p w14:paraId="752F0D96"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b/>
                <w:bCs/>
                <w:color w:val="auto"/>
                <w:kern w:val="2"/>
                <w:sz w:val="20"/>
                <w:szCs w:val="20"/>
                <w:lang w:eastAsia="zh-CN"/>
              </w:rPr>
              <w:t>Annex F</w:t>
            </w:r>
            <w:r w:rsidRPr="001012A9">
              <w:rPr>
                <w:rFonts w:eastAsia="SimSun"/>
                <w:color w:val="auto"/>
                <w:kern w:val="2"/>
                <w:sz w:val="20"/>
                <w:szCs w:val="20"/>
                <w:lang w:eastAsia="zh-CN"/>
              </w:rPr>
              <w:t xml:space="preserve">: </w:t>
            </w:r>
          </w:p>
          <w:p w14:paraId="29293B7D"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 xml:space="preserve">Hydrofluorocarbons </w:t>
            </w:r>
          </w:p>
          <w:p w14:paraId="2DDBF7F6" w14:textId="77777777" w:rsidR="001012A9" w:rsidRPr="001012A9" w:rsidRDefault="001012A9" w:rsidP="00F52A3A">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(HFCs) (Groups I and II – also emissions)</w:t>
            </w:r>
          </w:p>
        </w:tc>
        <w:tc>
          <w:tcPr>
            <w:tcW w:w="6120" w:type="dxa"/>
            <w:vAlign w:val="center"/>
          </w:tcPr>
          <w:p w14:paraId="6AC47221" w14:textId="77777777" w:rsidR="001012A9" w:rsidRPr="001012A9" w:rsidRDefault="001012A9" w:rsidP="00043A12">
            <w:pPr>
              <w:tabs>
                <w:tab w:val="clear" w:pos="0"/>
              </w:tabs>
              <w:spacing w:after="0"/>
              <w:rPr>
                <w:rFonts w:eastAsia="SimSun"/>
                <w:color w:val="auto"/>
                <w:kern w:val="2"/>
                <w:sz w:val="20"/>
                <w:szCs w:val="20"/>
                <w:u w:val="single"/>
                <w:lang w:eastAsia="zh-CN"/>
              </w:rPr>
            </w:pPr>
            <w:r w:rsidRPr="001012A9">
              <w:rPr>
                <w:rFonts w:eastAsia="SimSun"/>
                <w:color w:val="auto"/>
                <w:kern w:val="2"/>
                <w:sz w:val="20"/>
                <w:szCs w:val="20"/>
                <w:u w:val="single"/>
                <w:lang w:eastAsia="zh-CN"/>
              </w:rPr>
              <w:t>Group 1 Parties</w:t>
            </w:r>
          </w:p>
          <w:p w14:paraId="0D5B4D0F"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Baseline is average HFC for 2020-2022 + 65% of HCFC baseline</w:t>
            </w:r>
          </w:p>
          <w:p w14:paraId="02A7EFAD"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 xml:space="preserve">Freeze on 1/1/2024 at baseline level; </w:t>
            </w:r>
            <w:r w:rsidRPr="001012A9">
              <w:rPr>
                <w:rFonts w:eastAsia="SimSun"/>
                <w:b/>
                <w:bCs/>
                <w:color w:val="auto"/>
                <w:kern w:val="2"/>
                <w:sz w:val="20"/>
                <w:szCs w:val="20"/>
                <w:lang w:eastAsia="zh-CN"/>
              </w:rPr>
              <w:t>10% reduction by 1/1/2029; 30% reduction by 1/1/2035</w:t>
            </w:r>
            <w:r w:rsidRPr="001012A9">
              <w:rPr>
                <w:rFonts w:eastAsia="SimSun"/>
                <w:color w:val="auto"/>
                <w:kern w:val="2"/>
                <w:sz w:val="20"/>
                <w:szCs w:val="20"/>
                <w:lang w:eastAsia="zh-CN"/>
              </w:rPr>
              <w:t>; 50% reduction by 1/1/2040; 80% plateau by 1/1/2045</w:t>
            </w:r>
          </w:p>
          <w:p w14:paraId="7FA26E4D" w14:textId="77777777" w:rsidR="001012A9" w:rsidRPr="001012A9" w:rsidRDefault="001012A9" w:rsidP="00043A12">
            <w:pPr>
              <w:tabs>
                <w:tab w:val="clear" w:pos="0"/>
              </w:tabs>
              <w:spacing w:after="0"/>
              <w:rPr>
                <w:rFonts w:eastAsia="SimSun"/>
                <w:color w:val="auto"/>
                <w:kern w:val="2"/>
                <w:sz w:val="20"/>
                <w:szCs w:val="20"/>
                <w:lang w:eastAsia="zh-CN"/>
              </w:rPr>
            </w:pPr>
          </w:p>
          <w:p w14:paraId="156E717F" w14:textId="77777777" w:rsidR="001012A9" w:rsidRPr="001012A9" w:rsidRDefault="001012A9" w:rsidP="00043A12">
            <w:pPr>
              <w:tabs>
                <w:tab w:val="clear" w:pos="0"/>
              </w:tabs>
              <w:spacing w:after="0"/>
              <w:rPr>
                <w:rFonts w:eastAsia="SimSun"/>
                <w:color w:val="auto"/>
                <w:kern w:val="2"/>
                <w:sz w:val="20"/>
                <w:szCs w:val="20"/>
                <w:u w:val="single"/>
                <w:lang w:eastAsia="zh-CN"/>
              </w:rPr>
            </w:pPr>
            <w:r w:rsidRPr="001012A9">
              <w:rPr>
                <w:rFonts w:eastAsia="SimSun"/>
                <w:color w:val="auto"/>
                <w:kern w:val="2"/>
                <w:sz w:val="20"/>
                <w:szCs w:val="20"/>
                <w:u w:val="single"/>
                <w:lang w:eastAsia="zh-CN"/>
              </w:rPr>
              <w:t xml:space="preserve">Group 2 Parties </w:t>
            </w:r>
          </w:p>
          <w:p w14:paraId="4904C05F"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color w:val="auto"/>
                <w:kern w:val="2"/>
                <w:sz w:val="20"/>
                <w:szCs w:val="20"/>
                <w:lang w:eastAsia="zh-CN"/>
              </w:rPr>
              <w:t>Baseline is average HFC for 2024-2026 + 65% of HCFC baseline</w:t>
            </w:r>
          </w:p>
          <w:p w14:paraId="5654CEEF" w14:textId="77777777" w:rsidR="001012A9" w:rsidRPr="001012A9" w:rsidRDefault="001012A9" w:rsidP="00043A12">
            <w:pPr>
              <w:tabs>
                <w:tab w:val="clear" w:pos="0"/>
              </w:tabs>
              <w:spacing w:after="0"/>
              <w:rPr>
                <w:rFonts w:eastAsia="SimSun"/>
                <w:color w:val="auto"/>
                <w:kern w:val="2"/>
                <w:sz w:val="20"/>
                <w:szCs w:val="20"/>
                <w:lang w:eastAsia="zh-CN"/>
              </w:rPr>
            </w:pPr>
            <w:r w:rsidRPr="001012A9">
              <w:rPr>
                <w:rFonts w:eastAsia="SimSun"/>
                <w:b/>
                <w:bCs/>
                <w:color w:val="auto"/>
                <w:kern w:val="2"/>
                <w:sz w:val="20"/>
                <w:szCs w:val="20"/>
                <w:lang w:eastAsia="zh-CN"/>
              </w:rPr>
              <w:t>Freeze on 1/1/2028 at baseline level; 10% reduction by 1/1/2032; 20% reduction by 1/1/2037</w:t>
            </w:r>
            <w:r w:rsidRPr="001012A9">
              <w:rPr>
                <w:rFonts w:eastAsia="SimSun"/>
                <w:color w:val="auto"/>
                <w:kern w:val="2"/>
                <w:sz w:val="20"/>
                <w:szCs w:val="20"/>
                <w:lang w:eastAsia="zh-CN"/>
              </w:rPr>
              <w:t>; 30% reduction by 1/1/2042; 85% plateau by 1/1/2047</w:t>
            </w:r>
          </w:p>
        </w:tc>
      </w:tr>
    </w:tbl>
    <w:p w14:paraId="30AFC26E" w14:textId="77777777" w:rsidR="00F13B13" w:rsidRDefault="00F13B13" w:rsidP="00F13B13"/>
    <w:p w14:paraId="372839F3" w14:textId="1BCF1878" w:rsidR="00320F3E" w:rsidRDefault="00BC5FCD" w:rsidP="00BC5FCD">
      <w:r>
        <w:t>Since its inception and as of the ExCom</w:t>
      </w:r>
      <w:r w:rsidR="001906CF">
        <w:t>-97</w:t>
      </w:r>
      <w:r>
        <w:t xml:space="preserve">, the MLF has supported 144 </w:t>
      </w:r>
      <w:r w:rsidR="00E82F09">
        <w:t>A</w:t>
      </w:r>
      <w:r>
        <w:t xml:space="preserve">5 parties by </w:t>
      </w:r>
      <w:r w:rsidR="00F22D2B" w:rsidRPr="00361622">
        <w:t>approving US</w:t>
      </w:r>
      <w:r w:rsidRPr="00361622">
        <w:t>$ 4.38 billion (including</w:t>
      </w:r>
      <w:r>
        <w:t xml:space="preserve"> support costs) for a total of 10,363 projects, 87% of which have been completed.</w:t>
      </w:r>
      <w:r>
        <w:rPr>
          <w:rStyle w:val="FootnoteReference"/>
        </w:rPr>
        <w:footnoteReference w:id="10"/>
      </w:r>
      <w:r>
        <w:t xml:space="preserve"> </w:t>
      </w:r>
    </w:p>
    <w:p w14:paraId="5164DF49" w14:textId="02246268" w:rsidR="00C87B18" w:rsidRPr="00C87B18" w:rsidRDefault="006859A3" w:rsidP="002D02B7">
      <w:pPr>
        <w:pStyle w:val="Heading2"/>
      </w:pPr>
      <w:bookmarkStart w:id="118" w:name="_Toc230099039"/>
      <w:r w:rsidRPr="00E42C5E">
        <w:t>1.</w:t>
      </w:r>
      <w:r w:rsidR="00BC5FCD">
        <w:t>5</w:t>
      </w:r>
      <w:r w:rsidRPr="00E42C5E">
        <w:tab/>
      </w:r>
      <w:r w:rsidR="008F26B9">
        <w:t>Replen</w:t>
      </w:r>
      <w:r w:rsidR="005E05A3">
        <w:t>i</w:t>
      </w:r>
      <w:r w:rsidR="008F26B9">
        <w:t>shment</w:t>
      </w:r>
      <w:r w:rsidR="00935B09">
        <w:t xml:space="preserve"> of the Multilateral Fund</w:t>
      </w:r>
      <w:bookmarkEnd w:id="118"/>
    </w:p>
    <w:p w14:paraId="748E04ED" w14:textId="2AE57070" w:rsidR="002331A7" w:rsidRPr="00DB3A76" w:rsidRDefault="002331A7" w:rsidP="002331A7">
      <w:pPr>
        <w:tabs>
          <w:tab w:val="clear" w:pos="0"/>
        </w:tabs>
        <w:spacing w:after="200"/>
        <w:rPr>
          <w:rFonts w:eastAsia="SimSun"/>
          <w:color w:val="auto"/>
        </w:rPr>
      </w:pPr>
      <w:r w:rsidRPr="00DB3A76">
        <w:rPr>
          <w:rFonts w:eastAsia="SimSun"/>
          <w:color w:val="auto"/>
          <w:lang w:eastAsia="zh-CN"/>
        </w:rPr>
        <w:t xml:space="preserve">The MLF has been replenished eleven times since its initial capitalisation of US$ 240 million for the period 1991-1993. </w:t>
      </w:r>
      <w:r w:rsidRPr="00DB3A76">
        <w:rPr>
          <w:rFonts w:eastAsia="SimSun"/>
          <w:color w:val="auto"/>
        </w:rPr>
        <w:t xml:space="preserve">The replenishments of the MLF are indicated in Table </w:t>
      </w:r>
      <w:r w:rsidR="00BC5FCD">
        <w:rPr>
          <w:rFonts w:eastAsia="SimSun"/>
          <w:color w:val="auto"/>
        </w:rPr>
        <w:t>1.3</w:t>
      </w:r>
      <w:r w:rsidRPr="00DB3A76">
        <w:rPr>
          <w:rFonts w:eastAsia="SimSun"/>
          <w:color w:val="auto"/>
        </w:rPr>
        <w:t>, which</w:t>
      </w:r>
      <w:r w:rsidRPr="00DB3A76">
        <w:rPr>
          <w:rFonts w:eastAsia="SimSun"/>
          <w:color w:val="000000"/>
        </w:rPr>
        <w:t xml:space="preserve"> include </w:t>
      </w:r>
      <w:r w:rsidRPr="00DB3A76">
        <w:rPr>
          <w:rFonts w:eastAsia="SimSun"/>
          <w:color w:val="auto"/>
        </w:rPr>
        <w:t>anticipated contributions from the MLF and other sources from the previous triennium, known as “carry-over”, and from interest accruing to the Fund during that triennium.</w:t>
      </w:r>
    </w:p>
    <w:p w14:paraId="075FF203" w14:textId="513F315F" w:rsidR="002331A7" w:rsidRPr="00E42C5E" w:rsidRDefault="077E58F6" w:rsidP="002135B0">
      <w:pPr>
        <w:tabs>
          <w:tab w:val="left" w:pos="1134"/>
        </w:tabs>
        <w:spacing w:before="120" w:after="120"/>
        <w:ind w:left="1418" w:hanging="1418"/>
        <w:rPr>
          <w:rFonts w:eastAsiaTheme="minorEastAsia"/>
          <w:b/>
          <w:bCs/>
        </w:rPr>
      </w:pPr>
      <w:r w:rsidRPr="077E58F6">
        <w:rPr>
          <w:rFonts w:eastAsiaTheme="minorEastAsia"/>
          <w:b/>
          <w:bCs/>
        </w:rPr>
        <w:t>Table 1.3</w:t>
      </w:r>
      <w:r w:rsidR="00043A12">
        <w:rPr>
          <w:rFonts w:eastAsiaTheme="minorEastAsia"/>
          <w:b/>
          <w:bCs/>
        </w:rPr>
        <w:t>:</w:t>
      </w:r>
      <w:r w:rsidR="002331A7">
        <w:tab/>
      </w:r>
      <w:r w:rsidRPr="077E58F6">
        <w:rPr>
          <w:rFonts w:eastAsia="SimSun"/>
          <w:b/>
          <w:bCs/>
          <w:color w:val="auto"/>
        </w:rPr>
        <w:t>Replenishments of the MLF (US$) *</w:t>
      </w:r>
    </w:p>
    <w:tbl>
      <w:tblPr>
        <w:tblStyle w:val="TableGrid0"/>
        <w:tblpPr w:leftFromText="180" w:rightFromText="180" w:vertAnchor="text" w:horzAnchor="margin" w:tblpYSpec="outside"/>
        <w:tblW w:w="0" w:type="auto"/>
        <w:tblLook w:val="04A0" w:firstRow="1" w:lastRow="0" w:firstColumn="1" w:lastColumn="0" w:noHBand="0" w:noVBand="1"/>
      </w:tblPr>
      <w:tblGrid>
        <w:gridCol w:w="1782"/>
        <w:gridCol w:w="1801"/>
        <w:gridCol w:w="1858"/>
        <w:gridCol w:w="1782"/>
        <w:gridCol w:w="1794"/>
      </w:tblGrid>
      <w:tr w:rsidR="002331A7" w:rsidRPr="00ED56C2" w14:paraId="1F890DB3" w14:textId="77777777" w:rsidTr="274D2446">
        <w:trPr>
          <w:trHeight w:val="280"/>
        </w:trPr>
        <w:tc>
          <w:tcPr>
            <w:tcW w:w="1796" w:type="dxa"/>
            <w:shd w:val="clear" w:color="auto" w:fill="D9E2F3" w:themeFill="accent1" w:themeFillTint="33"/>
            <w:vAlign w:val="center"/>
          </w:tcPr>
          <w:p w14:paraId="06D3FE96" w14:textId="77777777" w:rsidR="002331A7" w:rsidRPr="00ED56C2" w:rsidRDefault="002331A7" w:rsidP="006233FA">
            <w:pPr>
              <w:spacing w:after="0"/>
              <w:jc w:val="center"/>
              <w:rPr>
                <w:b/>
                <w:bCs/>
                <w:color w:val="000000"/>
                <w:sz w:val="20"/>
                <w:szCs w:val="20"/>
              </w:rPr>
            </w:pPr>
            <w:r w:rsidRPr="00ED56C2">
              <w:rPr>
                <w:b/>
                <w:bCs/>
                <w:color w:val="000000"/>
                <w:sz w:val="20"/>
                <w:szCs w:val="20"/>
              </w:rPr>
              <w:t>Triennium</w:t>
            </w:r>
          </w:p>
        </w:tc>
        <w:tc>
          <w:tcPr>
            <w:tcW w:w="1811" w:type="dxa"/>
            <w:shd w:val="clear" w:color="auto" w:fill="D9E2F3" w:themeFill="accent1" w:themeFillTint="33"/>
            <w:vAlign w:val="center"/>
          </w:tcPr>
          <w:p w14:paraId="0DDA7B64" w14:textId="77777777" w:rsidR="002331A7" w:rsidRPr="00ED56C2" w:rsidRDefault="002331A7" w:rsidP="006233FA">
            <w:pPr>
              <w:spacing w:after="0"/>
              <w:jc w:val="center"/>
              <w:rPr>
                <w:b/>
                <w:bCs/>
                <w:color w:val="000000"/>
                <w:sz w:val="20"/>
                <w:szCs w:val="20"/>
              </w:rPr>
            </w:pPr>
            <w:r w:rsidRPr="00ED56C2">
              <w:rPr>
                <w:b/>
                <w:bCs/>
                <w:color w:val="000000"/>
                <w:sz w:val="20"/>
                <w:szCs w:val="20"/>
              </w:rPr>
              <w:t xml:space="preserve">Approved </w:t>
            </w:r>
          </w:p>
        </w:tc>
        <w:tc>
          <w:tcPr>
            <w:tcW w:w="1869" w:type="dxa"/>
            <w:shd w:val="clear" w:color="auto" w:fill="D9E2F3" w:themeFill="accent1" w:themeFillTint="33"/>
            <w:vAlign w:val="center"/>
          </w:tcPr>
          <w:p w14:paraId="11BC55F7" w14:textId="77777777" w:rsidR="002331A7" w:rsidRPr="00ED56C2" w:rsidRDefault="002331A7" w:rsidP="006233FA">
            <w:pPr>
              <w:spacing w:after="0"/>
              <w:jc w:val="center"/>
              <w:rPr>
                <w:b/>
                <w:bCs/>
                <w:color w:val="000000"/>
                <w:sz w:val="20"/>
                <w:szCs w:val="20"/>
              </w:rPr>
            </w:pPr>
            <w:r w:rsidRPr="00ED56C2">
              <w:rPr>
                <w:b/>
                <w:bCs/>
                <w:color w:val="000000"/>
                <w:sz w:val="20"/>
                <w:szCs w:val="20"/>
              </w:rPr>
              <w:t>Carry-over</w:t>
            </w:r>
          </w:p>
        </w:tc>
        <w:tc>
          <w:tcPr>
            <w:tcW w:w="1794" w:type="dxa"/>
            <w:shd w:val="clear" w:color="auto" w:fill="D9E2F3" w:themeFill="accent1" w:themeFillTint="33"/>
            <w:vAlign w:val="center"/>
          </w:tcPr>
          <w:p w14:paraId="013AA5C6" w14:textId="77777777" w:rsidR="002331A7" w:rsidRPr="00ED56C2" w:rsidRDefault="002331A7" w:rsidP="006233FA">
            <w:pPr>
              <w:spacing w:after="0"/>
              <w:jc w:val="center"/>
              <w:rPr>
                <w:b/>
                <w:bCs/>
                <w:color w:val="000000"/>
                <w:sz w:val="20"/>
                <w:szCs w:val="20"/>
              </w:rPr>
            </w:pPr>
            <w:r w:rsidRPr="00ED56C2">
              <w:rPr>
                <w:b/>
                <w:bCs/>
                <w:color w:val="000000"/>
                <w:sz w:val="20"/>
                <w:szCs w:val="20"/>
              </w:rPr>
              <w:t>Interest accrued</w:t>
            </w:r>
          </w:p>
        </w:tc>
        <w:tc>
          <w:tcPr>
            <w:tcW w:w="1804" w:type="dxa"/>
            <w:shd w:val="clear" w:color="auto" w:fill="D9E2F3" w:themeFill="accent1" w:themeFillTint="33"/>
            <w:vAlign w:val="center"/>
          </w:tcPr>
          <w:p w14:paraId="41F64385" w14:textId="77777777" w:rsidR="002331A7" w:rsidRPr="00ED56C2" w:rsidRDefault="002331A7" w:rsidP="006233FA">
            <w:pPr>
              <w:spacing w:after="0"/>
              <w:jc w:val="center"/>
              <w:rPr>
                <w:b/>
                <w:bCs/>
                <w:color w:val="000000"/>
                <w:sz w:val="20"/>
                <w:szCs w:val="20"/>
              </w:rPr>
            </w:pPr>
            <w:r w:rsidRPr="00ED56C2">
              <w:rPr>
                <w:b/>
                <w:bCs/>
                <w:color w:val="000000"/>
                <w:sz w:val="20"/>
                <w:szCs w:val="20"/>
              </w:rPr>
              <w:t>Total MLF Budget</w:t>
            </w:r>
          </w:p>
        </w:tc>
      </w:tr>
      <w:tr w:rsidR="002331A7" w:rsidRPr="00ED56C2" w14:paraId="788AABD8" w14:textId="77777777" w:rsidTr="274D2446">
        <w:trPr>
          <w:trHeight w:val="224"/>
        </w:trPr>
        <w:tc>
          <w:tcPr>
            <w:tcW w:w="1796" w:type="dxa"/>
            <w:shd w:val="clear" w:color="auto" w:fill="D9E2F3" w:themeFill="accent1" w:themeFillTint="33"/>
          </w:tcPr>
          <w:p w14:paraId="67DF5CCC" w14:textId="77777777" w:rsidR="002331A7" w:rsidRPr="00ED56C2" w:rsidRDefault="002331A7" w:rsidP="006233FA">
            <w:pPr>
              <w:spacing w:after="0"/>
              <w:jc w:val="center"/>
              <w:rPr>
                <w:b/>
                <w:bCs/>
                <w:color w:val="000000"/>
                <w:sz w:val="20"/>
                <w:szCs w:val="20"/>
              </w:rPr>
            </w:pPr>
            <w:r w:rsidRPr="00ED56C2">
              <w:rPr>
                <w:b/>
                <w:bCs/>
                <w:sz w:val="20"/>
                <w:szCs w:val="20"/>
              </w:rPr>
              <w:t>1994-1996</w:t>
            </w:r>
          </w:p>
        </w:tc>
        <w:tc>
          <w:tcPr>
            <w:tcW w:w="1811" w:type="dxa"/>
          </w:tcPr>
          <w:p w14:paraId="7EF7F6F7" w14:textId="77777777" w:rsidR="002331A7" w:rsidRPr="00ED56C2" w:rsidRDefault="002331A7" w:rsidP="006233FA">
            <w:pPr>
              <w:spacing w:after="0"/>
              <w:jc w:val="right"/>
              <w:rPr>
                <w:color w:val="000000"/>
                <w:sz w:val="20"/>
                <w:szCs w:val="20"/>
              </w:rPr>
            </w:pPr>
            <w:r w:rsidRPr="00ED56C2">
              <w:rPr>
                <w:sz w:val="20"/>
                <w:szCs w:val="20"/>
              </w:rPr>
              <w:t>$ 455,000,000</w:t>
            </w:r>
          </w:p>
        </w:tc>
        <w:tc>
          <w:tcPr>
            <w:tcW w:w="1869" w:type="dxa"/>
          </w:tcPr>
          <w:p w14:paraId="09CA6169" w14:textId="77777777" w:rsidR="002331A7" w:rsidRPr="00ED56C2" w:rsidRDefault="002331A7" w:rsidP="006233FA">
            <w:pPr>
              <w:spacing w:after="0"/>
              <w:jc w:val="right"/>
              <w:rPr>
                <w:color w:val="000000"/>
                <w:sz w:val="20"/>
                <w:szCs w:val="20"/>
              </w:rPr>
            </w:pPr>
            <w:r w:rsidRPr="00ED56C2">
              <w:rPr>
                <w:color w:val="000000"/>
                <w:sz w:val="20"/>
                <w:szCs w:val="20"/>
              </w:rPr>
              <w:t>$ 55,000,000</w:t>
            </w:r>
          </w:p>
        </w:tc>
        <w:tc>
          <w:tcPr>
            <w:tcW w:w="1794" w:type="dxa"/>
          </w:tcPr>
          <w:p w14:paraId="3407C067" w14:textId="77777777" w:rsidR="002331A7" w:rsidRPr="00ED56C2" w:rsidRDefault="002331A7" w:rsidP="006233FA">
            <w:pPr>
              <w:spacing w:after="0"/>
              <w:jc w:val="right"/>
              <w:rPr>
                <w:color w:val="000000"/>
                <w:sz w:val="20"/>
                <w:szCs w:val="20"/>
              </w:rPr>
            </w:pPr>
            <w:r w:rsidRPr="00ED56C2">
              <w:rPr>
                <w:color w:val="000000"/>
                <w:sz w:val="20"/>
                <w:szCs w:val="20"/>
              </w:rPr>
              <w:t>N/A</w:t>
            </w:r>
          </w:p>
        </w:tc>
        <w:tc>
          <w:tcPr>
            <w:tcW w:w="1804" w:type="dxa"/>
          </w:tcPr>
          <w:p w14:paraId="286CFF4B" w14:textId="77777777" w:rsidR="002331A7" w:rsidRPr="00ED56C2" w:rsidRDefault="002331A7" w:rsidP="006233FA">
            <w:pPr>
              <w:spacing w:after="0"/>
              <w:jc w:val="right"/>
              <w:rPr>
                <w:color w:val="000000"/>
                <w:sz w:val="20"/>
                <w:szCs w:val="20"/>
              </w:rPr>
            </w:pPr>
            <w:r w:rsidRPr="00ED56C2">
              <w:rPr>
                <w:sz w:val="20"/>
                <w:szCs w:val="20"/>
              </w:rPr>
              <w:t>$ 510,000,000</w:t>
            </w:r>
          </w:p>
        </w:tc>
      </w:tr>
      <w:tr w:rsidR="002331A7" w:rsidRPr="00ED56C2" w14:paraId="07E4C741" w14:textId="77777777" w:rsidTr="274D2446">
        <w:trPr>
          <w:trHeight w:val="224"/>
        </w:trPr>
        <w:tc>
          <w:tcPr>
            <w:tcW w:w="1796" w:type="dxa"/>
            <w:shd w:val="clear" w:color="auto" w:fill="D9E2F3" w:themeFill="accent1" w:themeFillTint="33"/>
          </w:tcPr>
          <w:p w14:paraId="7AEF883C" w14:textId="77777777" w:rsidR="002331A7" w:rsidRPr="00ED56C2" w:rsidRDefault="002331A7" w:rsidP="006233FA">
            <w:pPr>
              <w:spacing w:after="0"/>
              <w:jc w:val="center"/>
              <w:rPr>
                <w:b/>
                <w:bCs/>
                <w:color w:val="000000"/>
                <w:sz w:val="20"/>
                <w:szCs w:val="20"/>
              </w:rPr>
            </w:pPr>
            <w:r w:rsidRPr="00ED56C2">
              <w:rPr>
                <w:b/>
                <w:bCs/>
                <w:sz w:val="20"/>
                <w:szCs w:val="20"/>
              </w:rPr>
              <w:t>1997-1999</w:t>
            </w:r>
          </w:p>
        </w:tc>
        <w:tc>
          <w:tcPr>
            <w:tcW w:w="1811" w:type="dxa"/>
          </w:tcPr>
          <w:p w14:paraId="524A4EEC" w14:textId="77777777" w:rsidR="002331A7" w:rsidRPr="00ED56C2" w:rsidRDefault="002331A7" w:rsidP="006233FA">
            <w:pPr>
              <w:spacing w:after="0"/>
              <w:jc w:val="right"/>
              <w:rPr>
                <w:color w:val="000000"/>
                <w:sz w:val="20"/>
                <w:szCs w:val="20"/>
              </w:rPr>
            </w:pPr>
            <w:r w:rsidRPr="00ED56C2">
              <w:rPr>
                <w:sz w:val="20"/>
                <w:szCs w:val="20"/>
              </w:rPr>
              <w:t>$ 466,000,000</w:t>
            </w:r>
          </w:p>
        </w:tc>
        <w:tc>
          <w:tcPr>
            <w:tcW w:w="1869" w:type="dxa"/>
          </w:tcPr>
          <w:p w14:paraId="07C28795" w14:textId="77777777" w:rsidR="002331A7" w:rsidRPr="00ED56C2" w:rsidRDefault="002331A7" w:rsidP="006233FA">
            <w:pPr>
              <w:spacing w:after="0"/>
              <w:jc w:val="right"/>
              <w:rPr>
                <w:color w:val="000000"/>
                <w:sz w:val="20"/>
                <w:szCs w:val="20"/>
              </w:rPr>
            </w:pPr>
            <w:r w:rsidRPr="00ED56C2">
              <w:rPr>
                <w:color w:val="000000"/>
                <w:sz w:val="20"/>
                <w:szCs w:val="20"/>
              </w:rPr>
              <w:t>$ 74,000,000</w:t>
            </w:r>
          </w:p>
        </w:tc>
        <w:tc>
          <w:tcPr>
            <w:tcW w:w="1794" w:type="dxa"/>
          </w:tcPr>
          <w:p w14:paraId="4CD81C6B" w14:textId="77777777" w:rsidR="002331A7" w:rsidRPr="00ED56C2" w:rsidRDefault="002331A7" w:rsidP="006233FA">
            <w:pPr>
              <w:spacing w:after="0"/>
              <w:jc w:val="right"/>
              <w:rPr>
                <w:color w:val="000000"/>
                <w:sz w:val="20"/>
                <w:szCs w:val="20"/>
              </w:rPr>
            </w:pPr>
            <w:r w:rsidRPr="00ED56C2">
              <w:rPr>
                <w:color w:val="000000"/>
                <w:sz w:val="20"/>
                <w:szCs w:val="20"/>
              </w:rPr>
              <w:t>N/A</w:t>
            </w:r>
          </w:p>
        </w:tc>
        <w:tc>
          <w:tcPr>
            <w:tcW w:w="1804" w:type="dxa"/>
          </w:tcPr>
          <w:p w14:paraId="19C7250B" w14:textId="77777777" w:rsidR="002331A7" w:rsidRPr="00ED56C2" w:rsidRDefault="002331A7" w:rsidP="006233FA">
            <w:pPr>
              <w:spacing w:after="0"/>
              <w:jc w:val="right"/>
              <w:rPr>
                <w:color w:val="000000"/>
                <w:sz w:val="20"/>
                <w:szCs w:val="20"/>
              </w:rPr>
            </w:pPr>
            <w:r w:rsidRPr="00ED56C2">
              <w:rPr>
                <w:sz w:val="20"/>
                <w:szCs w:val="20"/>
              </w:rPr>
              <w:t>$ 540,000,000</w:t>
            </w:r>
          </w:p>
        </w:tc>
      </w:tr>
      <w:tr w:rsidR="002331A7" w:rsidRPr="00ED56C2" w14:paraId="4CA677D3" w14:textId="77777777" w:rsidTr="274D2446">
        <w:trPr>
          <w:trHeight w:val="224"/>
        </w:trPr>
        <w:tc>
          <w:tcPr>
            <w:tcW w:w="1796" w:type="dxa"/>
            <w:shd w:val="clear" w:color="auto" w:fill="D9E2F3" w:themeFill="accent1" w:themeFillTint="33"/>
          </w:tcPr>
          <w:p w14:paraId="6EBCBB30" w14:textId="77777777" w:rsidR="002331A7" w:rsidRPr="00ED56C2" w:rsidRDefault="002331A7" w:rsidP="006233FA">
            <w:pPr>
              <w:spacing w:after="0"/>
              <w:jc w:val="center"/>
              <w:rPr>
                <w:b/>
                <w:bCs/>
                <w:color w:val="000000"/>
                <w:sz w:val="20"/>
                <w:szCs w:val="20"/>
              </w:rPr>
            </w:pPr>
            <w:r w:rsidRPr="00ED56C2">
              <w:rPr>
                <w:b/>
                <w:bCs/>
                <w:sz w:val="20"/>
                <w:szCs w:val="20"/>
              </w:rPr>
              <w:t>2000-2002</w:t>
            </w:r>
          </w:p>
        </w:tc>
        <w:tc>
          <w:tcPr>
            <w:tcW w:w="1811" w:type="dxa"/>
          </w:tcPr>
          <w:p w14:paraId="59661194" w14:textId="77777777" w:rsidR="002331A7" w:rsidRPr="00ED56C2" w:rsidRDefault="002331A7" w:rsidP="006233FA">
            <w:pPr>
              <w:spacing w:after="0"/>
              <w:jc w:val="right"/>
              <w:rPr>
                <w:color w:val="000000"/>
                <w:sz w:val="20"/>
                <w:szCs w:val="20"/>
              </w:rPr>
            </w:pPr>
            <w:r w:rsidRPr="00ED56C2">
              <w:rPr>
                <w:sz w:val="20"/>
                <w:szCs w:val="20"/>
              </w:rPr>
              <w:t>$ 440,000,000</w:t>
            </w:r>
          </w:p>
        </w:tc>
        <w:tc>
          <w:tcPr>
            <w:tcW w:w="1869" w:type="dxa"/>
          </w:tcPr>
          <w:p w14:paraId="3BBD3F65" w14:textId="77777777" w:rsidR="002331A7" w:rsidRPr="00ED56C2" w:rsidRDefault="002331A7" w:rsidP="006233FA">
            <w:pPr>
              <w:spacing w:after="0"/>
              <w:jc w:val="right"/>
              <w:rPr>
                <w:color w:val="000000"/>
                <w:sz w:val="20"/>
                <w:szCs w:val="20"/>
              </w:rPr>
            </w:pPr>
            <w:r w:rsidRPr="00ED56C2">
              <w:rPr>
                <w:color w:val="000000"/>
                <w:sz w:val="20"/>
                <w:szCs w:val="20"/>
              </w:rPr>
              <w:t>$ 35,700,000</w:t>
            </w:r>
          </w:p>
        </w:tc>
        <w:tc>
          <w:tcPr>
            <w:tcW w:w="1794" w:type="dxa"/>
          </w:tcPr>
          <w:p w14:paraId="6635DD5B" w14:textId="77777777" w:rsidR="002331A7" w:rsidRPr="00ED56C2" w:rsidRDefault="002331A7" w:rsidP="006233FA">
            <w:pPr>
              <w:spacing w:after="0"/>
              <w:jc w:val="right"/>
              <w:rPr>
                <w:color w:val="000000"/>
                <w:sz w:val="20"/>
                <w:szCs w:val="20"/>
              </w:rPr>
            </w:pPr>
            <w:r w:rsidRPr="00ED56C2">
              <w:rPr>
                <w:color w:val="000000"/>
                <w:sz w:val="20"/>
                <w:szCs w:val="20"/>
              </w:rPr>
              <w:t>N/A</w:t>
            </w:r>
          </w:p>
        </w:tc>
        <w:tc>
          <w:tcPr>
            <w:tcW w:w="1804" w:type="dxa"/>
          </w:tcPr>
          <w:p w14:paraId="3B79D9D4" w14:textId="77777777" w:rsidR="002331A7" w:rsidRPr="00ED56C2" w:rsidRDefault="002331A7" w:rsidP="006233FA">
            <w:pPr>
              <w:spacing w:after="0"/>
              <w:jc w:val="right"/>
              <w:rPr>
                <w:color w:val="000000"/>
                <w:sz w:val="20"/>
                <w:szCs w:val="20"/>
              </w:rPr>
            </w:pPr>
            <w:r w:rsidRPr="00ED56C2">
              <w:rPr>
                <w:sz w:val="20"/>
                <w:szCs w:val="20"/>
              </w:rPr>
              <w:t>$ 475,700,000</w:t>
            </w:r>
          </w:p>
        </w:tc>
      </w:tr>
      <w:tr w:rsidR="002331A7" w:rsidRPr="00ED56C2" w14:paraId="048F7AB7" w14:textId="77777777" w:rsidTr="274D2446">
        <w:trPr>
          <w:trHeight w:val="224"/>
        </w:trPr>
        <w:tc>
          <w:tcPr>
            <w:tcW w:w="1796" w:type="dxa"/>
            <w:shd w:val="clear" w:color="auto" w:fill="D9E2F3" w:themeFill="accent1" w:themeFillTint="33"/>
          </w:tcPr>
          <w:p w14:paraId="294FC361" w14:textId="77777777" w:rsidR="002331A7" w:rsidRPr="00ED56C2" w:rsidRDefault="002331A7" w:rsidP="006233FA">
            <w:pPr>
              <w:spacing w:after="0"/>
              <w:jc w:val="center"/>
              <w:rPr>
                <w:b/>
                <w:bCs/>
                <w:color w:val="000000"/>
                <w:sz w:val="20"/>
                <w:szCs w:val="20"/>
              </w:rPr>
            </w:pPr>
            <w:r w:rsidRPr="00ED56C2">
              <w:rPr>
                <w:b/>
                <w:bCs/>
                <w:sz w:val="20"/>
                <w:szCs w:val="20"/>
              </w:rPr>
              <w:t>2003-2005</w:t>
            </w:r>
          </w:p>
        </w:tc>
        <w:tc>
          <w:tcPr>
            <w:tcW w:w="1811" w:type="dxa"/>
          </w:tcPr>
          <w:p w14:paraId="74071F06" w14:textId="77777777" w:rsidR="002331A7" w:rsidRPr="00ED56C2" w:rsidRDefault="002331A7" w:rsidP="006233FA">
            <w:pPr>
              <w:spacing w:after="0"/>
              <w:jc w:val="right"/>
              <w:rPr>
                <w:color w:val="000000"/>
                <w:sz w:val="20"/>
                <w:szCs w:val="20"/>
              </w:rPr>
            </w:pPr>
            <w:r w:rsidRPr="00ED56C2">
              <w:rPr>
                <w:sz w:val="20"/>
                <w:szCs w:val="20"/>
              </w:rPr>
              <w:t>$ 474,000,000</w:t>
            </w:r>
          </w:p>
        </w:tc>
        <w:tc>
          <w:tcPr>
            <w:tcW w:w="1869" w:type="dxa"/>
          </w:tcPr>
          <w:p w14:paraId="503E31A0" w14:textId="77777777" w:rsidR="002331A7" w:rsidRPr="00ED56C2" w:rsidRDefault="002331A7" w:rsidP="006233FA">
            <w:pPr>
              <w:spacing w:after="0"/>
              <w:jc w:val="right"/>
              <w:rPr>
                <w:color w:val="000000"/>
                <w:sz w:val="20"/>
                <w:szCs w:val="20"/>
              </w:rPr>
            </w:pPr>
            <w:r w:rsidRPr="00ED56C2">
              <w:rPr>
                <w:color w:val="000000"/>
                <w:sz w:val="20"/>
                <w:szCs w:val="20"/>
              </w:rPr>
              <w:t>$ 76,000,000</w:t>
            </w:r>
          </w:p>
        </w:tc>
        <w:tc>
          <w:tcPr>
            <w:tcW w:w="1794" w:type="dxa"/>
          </w:tcPr>
          <w:p w14:paraId="7D02981E" w14:textId="77777777" w:rsidR="002331A7" w:rsidRPr="00ED56C2" w:rsidRDefault="002331A7" w:rsidP="006233FA">
            <w:pPr>
              <w:spacing w:after="0"/>
              <w:jc w:val="right"/>
              <w:rPr>
                <w:color w:val="000000"/>
                <w:sz w:val="20"/>
                <w:szCs w:val="20"/>
              </w:rPr>
            </w:pPr>
            <w:r w:rsidRPr="00ED56C2">
              <w:rPr>
                <w:color w:val="000000"/>
                <w:sz w:val="20"/>
                <w:szCs w:val="20"/>
              </w:rPr>
              <w:t>$ 23,000,000</w:t>
            </w:r>
          </w:p>
        </w:tc>
        <w:tc>
          <w:tcPr>
            <w:tcW w:w="1804" w:type="dxa"/>
          </w:tcPr>
          <w:p w14:paraId="6792C4A9" w14:textId="77777777" w:rsidR="002331A7" w:rsidRPr="00ED56C2" w:rsidRDefault="002331A7" w:rsidP="006233FA">
            <w:pPr>
              <w:spacing w:after="0"/>
              <w:jc w:val="right"/>
              <w:rPr>
                <w:color w:val="000000"/>
                <w:sz w:val="20"/>
                <w:szCs w:val="20"/>
              </w:rPr>
            </w:pPr>
            <w:r w:rsidRPr="00ED56C2">
              <w:rPr>
                <w:sz w:val="20"/>
                <w:szCs w:val="20"/>
              </w:rPr>
              <w:t xml:space="preserve"> $ 573,000,000</w:t>
            </w:r>
          </w:p>
        </w:tc>
      </w:tr>
      <w:tr w:rsidR="002331A7" w:rsidRPr="00ED56C2" w14:paraId="688F7B9E" w14:textId="77777777" w:rsidTr="274D2446">
        <w:trPr>
          <w:trHeight w:val="224"/>
        </w:trPr>
        <w:tc>
          <w:tcPr>
            <w:tcW w:w="1796" w:type="dxa"/>
            <w:shd w:val="clear" w:color="auto" w:fill="D9E2F3" w:themeFill="accent1" w:themeFillTint="33"/>
          </w:tcPr>
          <w:p w14:paraId="0F636080" w14:textId="77777777" w:rsidR="002331A7" w:rsidRPr="00ED56C2" w:rsidRDefault="002331A7" w:rsidP="006233FA">
            <w:pPr>
              <w:spacing w:after="0"/>
              <w:jc w:val="center"/>
              <w:rPr>
                <w:b/>
                <w:bCs/>
                <w:color w:val="000000"/>
                <w:sz w:val="20"/>
                <w:szCs w:val="20"/>
              </w:rPr>
            </w:pPr>
            <w:r w:rsidRPr="00ED56C2">
              <w:rPr>
                <w:b/>
                <w:bCs/>
                <w:sz w:val="20"/>
                <w:szCs w:val="20"/>
              </w:rPr>
              <w:t>2006-2008</w:t>
            </w:r>
          </w:p>
        </w:tc>
        <w:tc>
          <w:tcPr>
            <w:tcW w:w="1811" w:type="dxa"/>
          </w:tcPr>
          <w:p w14:paraId="7279D3CE" w14:textId="77777777" w:rsidR="002331A7" w:rsidRPr="00ED56C2" w:rsidRDefault="002331A7" w:rsidP="006233FA">
            <w:pPr>
              <w:spacing w:after="0"/>
              <w:jc w:val="right"/>
              <w:rPr>
                <w:color w:val="000000"/>
                <w:sz w:val="20"/>
                <w:szCs w:val="20"/>
              </w:rPr>
            </w:pPr>
            <w:r w:rsidRPr="00ED56C2">
              <w:rPr>
                <w:sz w:val="20"/>
                <w:szCs w:val="20"/>
              </w:rPr>
              <w:t>$ 400,400,000</w:t>
            </w:r>
          </w:p>
        </w:tc>
        <w:tc>
          <w:tcPr>
            <w:tcW w:w="1869" w:type="dxa"/>
          </w:tcPr>
          <w:p w14:paraId="46BF86B6" w14:textId="77777777" w:rsidR="002331A7" w:rsidRPr="00ED56C2" w:rsidRDefault="002331A7" w:rsidP="006233FA">
            <w:pPr>
              <w:spacing w:after="0"/>
              <w:jc w:val="right"/>
              <w:rPr>
                <w:color w:val="000000"/>
                <w:sz w:val="20"/>
                <w:szCs w:val="20"/>
              </w:rPr>
            </w:pPr>
            <w:r w:rsidRPr="00ED56C2">
              <w:rPr>
                <w:color w:val="000000"/>
                <w:sz w:val="20"/>
                <w:szCs w:val="20"/>
              </w:rPr>
              <w:t>$ 59,600,000</w:t>
            </w:r>
          </w:p>
        </w:tc>
        <w:tc>
          <w:tcPr>
            <w:tcW w:w="1794" w:type="dxa"/>
          </w:tcPr>
          <w:p w14:paraId="3C9FDE24" w14:textId="77777777" w:rsidR="002331A7" w:rsidRPr="00ED56C2" w:rsidRDefault="002331A7" w:rsidP="006233FA">
            <w:pPr>
              <w:spacing w:after="0"/>
              <w:jc w:val="right"/>
              <w:rPr>
                <w:color w:val="000000"/>
                <w:sz w:val="20"/>
                <w:szCs w:val="20"/>
              </w:rPr>
            </w:pPr>
            <w:r w:rsidRPr="00ED56C2">
              <w:rPr>
                <w:color w:val="000000"/>
                <w:sz w:val="20"/>
                <w:szCs w:val="20"/>
              </w:rPr>
              <w:t>$ 10,000,000</w:t>
            </w:r>
          </w:p>
        </w:tc>
        <w:tc>
          <w:tcPr>
            <w:tcW w:w="1804" w:type="dxa"/>
          </w:tcPr>
          <w:p w14:paraId="5C19E5BD" w14:textId="77777777" w:rsidR="002331A7" w:rsidRPr="00ED56C2" w:rsidRDefault="002331A7" w:rsidP="006233FA">
            <w:pPr>
              <w:spacing w:after="0"/>
              <w:jc w:val="right"/>
              <w:rPr>
                <w:color w:val="000000"/>
                <w:sz w:val="20"/>
                <w:szCs w:val="20"/>
              </w:rPr>
            </w:pPr>
            <w:r w:rsidRPr="00ED56C2">
              <w:rPr>
                <w:sz w:val="20"/>
                <w:szCs w:val="20"/>
              </w:rPr>
              <w:t>$ 470,000,000</w:t>
            </w:r>
          </w:p>
        </w:tc>
      </w:tr>
      <w:tr w:rsidR="002331A7" w:rsidRPr="00ED56C2" w14:paraId="37E0E7D7" w14:textId="77777777" w:rsidTr="274D2446">
        <w:trPr>
          <w:trHeight w:val="224"/>
        </w:trPr>
        <w:tc>
          <w:tcPr>
            <w:tcW w:w="1796" w:type="dxa"/>
            <w:shd w:val="clear" w:color="auto" w:fill="D9E2F3" w:themeFill="accent1" w:themeFillTint="33"/>
          </w:tcPr>
          <w:p w14:paraId="6386552E" w14:textId="77777777" w:rsidR="002331A7" w:rsidRPr="00ED56C2" w:rsidRDefault="002331A7" w:rsidP="006233FA">
            <w:pPr>
              <w:spacing w:after="0"/>
              <w:jc w:val="center"/>
              <w:rPr>
                <w:b/>
                <w:bCs/>
                <w:color w:val="000000"/>
                <w:sz w:val="20"/>
                <w:szCs w:val="20"/>
              </w:rPr>
            </w:pPr>
            <w:r w:rsidRPr="00ED56C2">
              <w:rPr>
                <w:b/>
                <w:bCs/>
                <w:sz w:val="20"/>
                <w:szCs w:val="20"/>
              </w:rPr>
              <w:t>2009-2011</w:t>
            </w:r>
          </w:p>
        </w:tc>
        <w:tc>
          <w:tcPr>
            <w:tcW w:w="1811" w:type="dxa"/>
          </w:tcPr>
          <w:p w14:paraId="337EBE6C" w14:textId="77777777" w:rsidR="002331A7" w:rsidRPr="00ED56C2" w:rsidRDefault="002331A7" w:rsidP="006233FA">
            <w:pPr>
              <w:spacing w:after="0"/>
              <w:jc w:val="right"/>
              <w:rPr>
                <w:color w:val="000000"/>
                <w:sz w:val="20"/>
                <w:szCs w:val="20"/>
              </w:rPr>
            </w:pPr>
            <w:r w:rsidRPr="00ED56C2">
              <w:rPr>
                <w:sz w:val="20"/>
                <w:szCs w:val="20"/>
              </w:rPr>
              <w:t>$ 400,000,000</w:t>
            </w:r>
          </w:p>
        </w:tc>
        <w:tc>
          <w:tcPr>
            <w:tcW w:w="1869" w:type="dxa"/>
          </w:tcPr>
          <w:p w14:paraId="205C009D" w14:textId="77777777" w:rsidR="002331A7" w:rsidRPr="00ED56C2" w:rsidRDefault="002331A7" w:rsidP="006233FA">
            <w:pPr>
              <w:spacing w:after="0"/>
              <w:jc w:val="right"/>
              <w:rPr>
                <w:color w:val="000000"/>
                <w:sz w:val="20"/>
                <w:szCs w:val="20"/>
              </w:rPr>
            </w:pPr>
            <w:r w:rsidRPr="00ED56C2">
              <w:rPr>
                <w:color w:val="000000"/>
                <w:sz w:val="20"/>
                <w:szCs w:val="20"/>
              </w:rPr>
              <w:t>$ 73,900,000</w:t>
            </w:r>
          </w:p>
        </w:tc>
        <w:tc>
          <w:tcPr>
            <w:tcW w:w="1794" w:type="dxa"/>
          </w:tcPr>
          <w:p w14:paraId="0490568A" w14:textId="77777777" w:rsidR="002331A7" w:rsidRPr="00ED56C2" w:rsidRDefault="002331A7" w:rsidP="006233FA">
            <w:pPr>
              <w:spacing w:after="0"/>
              <w:jc w:val="right"/>
              <w:rPr>
                <w:color w:val="000000"/>
                <w:sz w:val="20"/>
                <w:szCs w:val="20"/>
              </w:rPr>
            </w:pPr>
            <w:r w:rsidRPr="00ED56C2">
              <w:rPr>
                <w:color w:val="000000"/>
                <w:sz w:val="20"/>
                <w:szCs w:val="20"/>
              </w:rPr>
              <w:t>$ 16,100,000</w:t>
            </w:r>
          </w:p>
        </w:tc>
        <w:tc>
          <w:tcPr>
            <w:tcW w:w="1804" w:type="dxa"/>
          </w:tcPr>
          <w:p w14:paraId="305494E5" w14:textId="77777777" w:rsidR="002331A7" w:rsidRPr="00ED56C2" w:rsidRDefault="002331A7" w:rsidP="006233FA">
            <w:pPr>
              <w:spacing w:after="0"/>
              <w:jc w:val="right"/>
              <w:rPr>
                <w:color w:val="000000"/>
                <w:sz w:val="20"/>
                <w:szCs w:val="20"/>
              </w:rPr>
            </w:pPr>
            <w:r w:rsidRPr="00ED56C2">
              <w:rPr>
                <w:sz w:val="20"/>
                <w:szCs w:val="20"/>
              </w:rPr>
              <w:t>$ 490,000,000</w:t>
            </w:r>
          </w:p>
        </w:tc>
      </w:tr>
      <w:tr w:rsidR="002331A7" w:rsidRPr="00ED56C2" w14:paraId="4A60D133" w14:textId="77777777" w:rsidTr="274D2446">
        <w:trPr>
          <w:trHeight w:val="224"/>
        </w:trPr>
        <w:tc>
          <w:tcPr>
            <w:tcW w:w="1796" w:type="dxa"/>
            <w:shd w:val="clear" w:color="auto" w:fill="D9E2F3" w:themeFill="accent1" w:themeFillTint="33"/>
          </w:tcPr>
          <w:p w14:paraId="4A2AE3FE" w14:textId="77777777" w:rsidR="002331A7" w:rsidRPr="00ED56C2" w:rsidRDefault="002331A7" w:rsidP="006233FA">
            <w:pPr>
              <w:spacing w:after="0"/>
              <w:jc w:val="center"/>
              <w:rPr>
                <w:b/>
                <w:bCs/>
                <w:color w:val="000000"/>
                <w:sz w:val="20"/>
                <w:szCs w:val="20"/>
              </w:rPr>
            </w:pPr>
            <w:r w:rsidRPr="00ED56C2">
              <w:rPr>
                <w:b/>
                <w:bCs/>
                <w:sz w:val="20"/>
                <w:szCs w:val="20"/>
              </w:rPr>
              <w:t>2012-2014</w:t>
            </w:r>
          </w:p>
        </w:tc>
        <w:tc>
          <w:tcPr>
            <w:tcW w:w="1811" w:type="dxa"/>
          </w:tcPr>
          <w:p w14:paraId="6A796CA6" w14:textId="77777777" w:rsidR="002331A7" w:rsidRPr="00ED56C2" w:rsidRDefault="002331A7" w:rsidP="006233FA">
            <w:pPr>
              <w:spacing w:after="0"/>
              <w:jc w:val="right"/>
              <w:rPr>
                <w:color w:val="000000"/>
                <w:sz w:val="20"/>
                <w:szCs w:val="20"/>
              </w:rPr>
            </w:pPr>
            <w:r w:rsidRPr="00ED56C2">
              <w:rPr>
                <w:sz w:val="20"/>
                <w:szCs w:val="20"/>
              </w:rPr>
              <w:t>$ 400,000,000</w:t>
            </w:r>
          </w:p>
        </w:tc>
        <w:tc>
          <w:tcPr>
            <w:tcW w:w="1869" w:type="dxa"/>
          </w:tcPr>
          <w:p w14:paraId="4F4A134A" w14:textId="77777777" w:rsidR="002331A7" w:rsidRPr="00ED56C2" w:rsidRDefault="002331A7" w:rsidP="006233FA">
            <w:pPr>
              <w:spacing w:after="0"/>
              <w:jc w:val="right"/>
              <w:rPr>
                <w:color w:val="000000"/>
                <w:sz w:val="20"/>
                <w:szCs w:val="20"/>
              </w:rPr>
            </w:pPr>
            <w:r w:rsidRPr="00ED56C2">
              <w:rPr>
                <w:color w:val="000000"/>
                <w:sz w:val="20"/>
                <w:szCs w:val="20"/>
              </w:rPr>
              <w:t>$ 34,900,000</w:t>
            </w:r>
          </w:p>
        </w:tc>
        <w:tc>
          <w:tcPr>
            <w:tcW w:w="1794" w:type="dxa"/>
          </w:tcPr>
          <w:p w14:paraId="67D2E8CE" w14:textId="77777777" w:rsidR="002331A7" w:rsidRPr="00ED56C2" w:rsidRDefault="002331A7" w:rsidP="006233FA">
            <w:pPr>
              <w:spacing w:after="0"/>
              <w:jc w:val="right"/>
              <w:rPr>
                <w:color w:val="000000"/>
                <w:sz w:val="20"/>
                <w:szCs w:val="20"/>
              </w:rPr>
            </w:pPr>
            <w:r w:rsidRPr="00ED56C2">
              <w:rPr>
                <w:color w:val="000000"/>
                <w:sz w:val="20"/>
                <w:szCs w:val="20"/>
              </w:rPr>
              <w:t>$ 15,100,000</w:t>
            </w:r>
          </w:p>
        </w:tc>
        <w:tc>
          <w:tcPr>
            <w:tcW w:w="1804" w:type="dxa"/>
          </w:tcPr>
          <w:p w14:paraId="213A0865" w14:textId="77777777" w:rsidR="002331A7" w:rsidRPr="00ED56C2" w:rsidRDefault="002331A7" w:rsidP="006233FA">
            <w:pPr>
              <w:spacing w:after="0"/>
              <w:jc w:val="right"/>
              <w:rPr>
                <w:color w:val="000000"/>
                <w:sz w:val="20"/>
                <w:szCs w:val="20"/>
              </w:rPr>
            </w:pPr>
            <w:r w:rsidRPr="00ED56C2">
              <w:rPr>
                <w:sz w:val="20"/>
                <w:szCs w:val="20"/>
              </w:rPr>
              <w:t>$ 450,000,000</w:t>
            </w:r>
          </w:p>
        </w:tc>
      </w:tr>
      <w:tr w:rsidR="002331A7" w:rsidRPr="00ED56C2" w14:paraId="3C0281E1" w14:textId="77777777" w:rsidTr="274D2446">
        <w:trPr>
          <w:trHeight w:val="224"/>
        </w:trPr>
        <w:tc>
          <w:tcPr>
            <w:tcW w:w="1796" w:type="dxa"/>
            <w:shd w:val="clear" w:color="auto" w:fill="D9E2F3" w:themeFill="accent1" w:themeFillTint="33"/>
          </w:tcPr>
          <w:p w14:paraId="7F466871" w14:textId="77777777" w:rsidR="002331A7" w:rsidRPr="00ED56C2" w:rsidRDefault="002331A7" w:rsidP="006233FA">
            <w:pPr>
              <w:spacing w:after="0"/>
              <w:jc w:val="center"/>
              <w:rPr>
                <w:b/>
                <w:bCs/>
                <w:color w:val="000000"/>
                <w:sz w:val="20"/>
                <w:szCs w:val="20"/>
              </w:rPr>
            </w:pPr>
            <w:r w:rsidRPr="00ED56C2">
              <w:rPr>
                <w:b/>
                <w:bCs/>
                <w:sz w:val="20"/>
                <w:szCs w:val="20"/>
              </w:rPr>
              <w:t>2015-2017</w:t>
            </w:r>
          </w:p>
        </w:tc>
        <w:tc>
          <w:tcPr>
            <w:tcW w:w="1811" w:type="dxa"/>
          </w:tcPr>
          <w:p w14:paraId="4B21ABDD" w14:textId="77777777" w:rsidR="002331A7" w:rsidRPr="00ED56C2" w:rsidRDefault="002331A7" w:rsidP="006233FA">
            <w:pPr>
              <w:spacing w:after="0"/>
              <w:jc w:val="right"/>
              <w:rPr>
                <w:color w:val="000000"/>
                <w:sz w:val="20"/>
                <w:szCs w:val="20"/>
              </w:rPr>
            </w:pPr>
            <w:r w:rsidRPr="00ED56C2">
              <w:rPr>
                <w:sz w:val="20"/>
                <w:szCs w:val="20"/>
              </w:rPr>
              <w:t>$ 437,500,000</w:t>
            </w:r>
          </w:p>
        </w:tc>
        <w:tc>
          <w:tcPr>
            <w:tcW w:w="1869" w:type="dxa"/>
          </w:tcPr>
          <w:p w14:paraId="65CB1E04" w14:textId="77777777" w:rsidR="002331A7" w:rsidRPr="00ED56C2" w:rsidRDefault="002331A7" w:rsidP="006233FA">
            <w:pPr>
              <w:spacing w:after="0"/>
              <w:jc w:val="right"/>
              <w:rPr>
                <w:color w:val="000000"/>
                <w:sz w:val="20"/>
                <w:szCs w:val="20"/>
              </w:rPr>
            </w:pPr>
            <w:r w:rsidRPr="00ED56C2">
              <w:rPr>
                <w:color w:val="000000"/>
                <w:sz w:val="20"/>
                <w:szCs w:val="20"/>
              </w:rPr>
              <w:t>$ 64,000,000</w:t>
            </w:r>
          </w:p>
        </w:tc>
        <w:tc>
          <w:tcPr>
            <w:tcW w:w="1794" w:type="dxa"/>
          </w:tcPr>
          <w:p w14:paraId="3C4B6C66" w14:textId="77777777" w:rsidR="002331A7" w:rsidRPr="00ED56C2" w:rsidRDefault="002331A7" w:rsidP="006233FA">
            <w:pPr>
              <w:spacing w:after="0"/>
              <w:jc w:val="right"/>
              <w:rPr>
                <w:color w:val="000000"/>
                <w:sz w:val="20"/>
                <w:szCs w:val="20"/>
              </w:rPr>
            </w:pPr>
            <w:r w:rsidRPr="00ED56C2">
              <w:rPr>
                <w:color w:val="000000"/>
                <w:sz w:val="20"/>
                <w:szCs w:val="20"/>
              </w:rPr>
              <w:t>$   6,000,000</w:t>
            </w:r>
          </w:p>
        </w:tc>
        <w:tc>
          <w:tcPr>
            <w:tcW w:w="1804" w:type="dxa"/>
          </w:tcPr>
          <w:p w14:paraId="348A62F1" w14:textId="77777777" w:rsidR="002331A7" w:rsidRPr="00ED56C2" w:rsidRDefault="002331A7" w:rsidP="006233FA">
            <w:pPr>
              <w:spacing w:after="0"/>
              <w:jc w:val="right"/>
              <w:rPr>
                <w:color w:val="000000"/>
                <w:sz w:val="20"/>
                <w:szCs w:val="20"/>
              </w:rPr>
            </w:pPr>
            <w:r w:rsidRPr="00ED56C2">
              <w:rPr>
                <w:sz w:val="20"/>
                <w:szCs w:val="20"/>
              </w:rPr>
              <w:t>$ 507,500,000</w:t>
            </w:r>
          </w:p>
        </w:tc>
      </w:tr>
      <w:tr w:rsidR="002331A7" w:rsidRPr="00ED56C2" w14:paraId="51611B0A" w14:textId="77777777" w:rsidTr="274D2446">
        <w:trPr>
          <w:trHeight w:val="224"/>
        </w:trPr>
        <w:tc>
          <w:tcPr>
            <w:tcW w:w="1796" w:type="dxa"/>
            <w:tcBorders>
              <w:bottom w:val="single" w:sz="4" w:space="0" w:color="auto"/>
            </w:tcBorders>
            <w:shd w:val="clear" w:color="auto" w:fill="D9E2F3" w:themeFill="accent1" w:themeFillTint="33"/>
          </w:tcPr>
          <w:p w14:paraId="473D75C5" w14:textId="01DE8491" w:rsidR="002331A7" w:rsidRPr="00ED56C2" w:rsidRDefault="274D2446" w:rsidP="006233FA">
            <w:pPr>
              <w:spacing w:after="0"/>
              <w:jc w:val="center"/>
              <w:rPr>
                <w:b/>
                <w:bCs/>
                <w:color w:val="000000"/>
                <w:sz w:val="20"/>
                <w:szCs w:val="20"/>
              </w:rPr>
            </w:pPr>
            <w:r w:rsidRPr="274D2446">
              <w:rPr>
                <w:b/>
                <w:bCs/>
                <w:sz w:val="20"/>
                <w:szCs w:val="20"/>
              </w:rPr>
              <w:t>2018-2020**</w:t>
            </w:r>
          </w:p>
        </w:tc>
        <w:tc>
          <w:tcPr>
            <w:tcW w:w="1811" w:type="dxa"/>
            <w:tcBorders>
              <w:bottom w:val="single" w:sz="4" w:space="0" w:color="auto"/>
            </w:tcBorders>
          </w:tcPr>
          <w:p w14:paraId="1BDBE906" w14:textId="77777777" w:rsidR="002331A7" w:rsidRPr="00ED56C2" w:rsidRDefault="002331A7" w:rsidP="006233FA">
            <w:pPr>
              <w:spacing w:after="0"/>
              <w:jc w:val="right"/>
              <w:rPr>
                <w:color w:val="000000"/>
                <w:sz w:val="20"/>
                <w:szCs w:val="20"/>
              </w:rPr>
            </w:pPr>
            <w:r w:rsidRPr="00ED56C2">
              <w:rPr>
                <w:sz w:val="20"/>
                <w:szCs w:val="20"/>
              </w:rPr>
              <w:t>$ 500,000,000</w:t>
            </w:r>
          </w:p>
        </w:tc>
        <w:tc>
          <w:tcPr>
            <w:tcW w:w="1869" w:type="dxa"/>
            <w:tcBorders>
              <w:bottom w:val="single" w:sz="4" w:space="0" w:color="auto"/>
            </w:tcBorders>
          </w:tcPr>
          <w:p w14:paraId="5E875894" w14:textId="77777777" w:rsidR="002331A7" w:rsidRPr="00ED56C2" w:rsidRDefault="002331A7" w:rsidP="006233FA">
            <w:pPr>
              <w:spacing w:after="0"/>
              <w:jc w:val="right"/>
              <w:rPr>
                <w:color w:val="000000"/>
                <w:sz w:val="20"/>
                <w:szCs w:val="20"/>
              </w:rPr>
            </w:pPr>
            <w:r w:rsidRPr="00ED56C2">
              <w:rPr>
                <w:color w:val="000000"/>
                <w:sz w:val="20"/>
                <w:szCs w:val="20"/>
              </w:rPr>
              <w:t>$ 34,000,000</w:t>
            </w:r>
          </w:p>
        </w:tc>
        <w:tc>
          <w:tcPr>
            <w:tcW w:w="1794" w:type="dxa"/>
            <w:tcBorders>
              <w:bottom w:val="single" w:sz="4" w:space="0" w:color="auto"/>
            </w:tcBorders>
          </w:tcPr>
          <w:p w14:paraId="095E17F6" w14:textId="77777777" w:rsidR="002331A7" w:rsidRPr="00ED56C2" w:rsidRDefault="002331A7" w:rsidP="006233FA">
            <w:pPr>
              <w:spacing w:after="0"/>
              <w:jc w:val="right"/>
              <w:rPr>
                <w:color w:val="000000"/>
                <w:sz w:val="20"/>
                <w:szCs w:val="20"/>
              </w:rPr>
            </w:pPr>
            <w:r w:rsidRPr="00ED56C2">
              <w:rPr>
                <w:color w:val="000000"/>
                <w:sz w:val="20"/>
                <w:szCs w:val="20"/>
              </w:rPr>
              <w:t>$   6,000,000</w:t>
            </w:r>
          </w:p>
        </w:tc>
        <w:tc>
          <w:tcPr>
            <w:tcW w:w="1804" w:type="dxa"/>
            <w:tcBorders>
              <w:bottom w:val="single" w:sz="4" w:space="0" w:color="auto"/>
            </w:tcBorders>
          </w:tcPr>
          <w:p w14:paraId="79C9E4F2" w14:textId="77777777" w:rsidR="002331A7" w:rsidRPr="00ED56C2" w:rsidRDefault="002331A7" w:rsidP="006233FA">
            <w:pPr>
              <w:spacing w:after="0"/>
              <w:jc w:val="right"/>
              <w:rPr>
                <w:color w:val="000000"/>
                <w:sz w:val="20"/>
                <w:szCs w:val="20"/>
              </w:rPr>
            </w:pPr>
            <w:r w:rsidRPr="00ED56C2">
              <w:rPr>
                <w:sz w:val="20"/>
                <w:szCs w:val="20"/>
              </w:rPr>
              <w:t>$ 540,000,000</w:t>
            </w:r>
          </w:p>
        </w:tc>
      </w:tr>
      <w:tr w:rsidR="002331A7" w:rsidRPr="00ED56C2" w14:paraId="42728F03" w14:textId="77777777" w:rsidTr="274D2446">
        <w:trPr>
          <w:trHeight w:val="224"/>
        </w:trPr>
        <w:tc>
          <w:tcPr>
            <w:tcW w:w="1796" w:type="dxa"/>
            <w:shd w:val="clear" w:color="auto" w:fill="D9E2F3" w:themeFill="accent1" w:themeFillTint="33"/>
          </w:tcPr>
          <w:p w14:paraId="155723AE" w14:textId="77777777" w:rsidR="002331A7" w:rsidRPr="00797180" w:rsidRDefault="002331A7" w:rsidP="006233FA">
            <w:pPr>
              <w:spacing w:after="0"/>
              <w:jc w:val="center"/>
              <w:rPr>
                <w:b/>
                <w:bCs/>
                <w:sz w:val="20"/>
                <w:szCs w:val="20"/>
                <w:highlight w:val="lightGray"/>
              </w:rPr>
            </w:pPr>
            <w:r w:rsidRPr="00DC58C1">
              <w:rPr>
                <w:b/>
                <w:bCs/>
                <w:sz w:val="20"/>
                <w:szCs w:val="20"/>
              </w:rPr>
              <w:t>2021-2023</w:t>
            </w:r>
          </w:p>
        </w:tc>
        <w:tc>
          <w:tcPr>
            <w:tcW w:w="1811" w:type="dxa"/>
          </w:tcPr>
          <w:p w14:paraId="4B0083E8" w14:textId="77777777" w:rsidR="002331A7" w:rsidRPr="00DC58C1" w:rsidRDefault="002331A7" w:rsidP="006233FA">
            <w:pPr>
              <w:spacing w:after="0"/>
              <w:jc w:val="right"/>
              <w:rPr>
                <w:sz w:val="20"/>
                <w:szCs w:val="20"/>
              </w:rPr>
            </w:pPr>
            <w:r w:rsidRPr="00DC58C1">
              <w:rPr>
                <w:color w:val="000000"/>
                <w:sz w:val="20"/>
                <w:szCs w:val="20"/>
              </w:rPr>
              <w:t>$ 475,000,000</w:t>
            </w:r>
          </w:p>
        </w:tc>
        <w:tc>
          <w:tcPr>
            <w:tcW w:w="1869" w:type="dxa"/>
          </w:tcPr>
          <w:p w14:paraId="6DD12FDF" w14:textId="77777777" w:rsidR="002331A7" w:rsidRPr="00DC58C1" w:rsidRDefault="002331A7" w:rsidP="006233FA">
            <w:pPr>
              <w:spacing w:after="0"/>
              <w:jc w:val="right"/>
              <w:rPr>
                <w:color w:val="000000"/>
                <w:sz w:val="20"/>
                <w:szCs w:val="20"/>
              </w:rPr>
            </w:pPr>
            <w:r w:rsidRPr="00DC58C1">
              <w:rPr>
                <w:color w:val="000000"/>
                <w:sz w:val="20"/>
                <w:szCs w:val="20"/>
              </w:rPr>
              <w:t>$</w:t>
            </w:r>
            <w:r>
              <w:rPr>
                <w:color w:val="000000"/>
                <w:sz w:val="20"/>
                <w:szCs w:val="20"/>
              </w:rPr>
              <w:t xml:space="preserve"> </w:t>
            </w:r>
            <w:r w:rsidRPr="00DC58C1">
              <w:rPr>
                <w:color w:val="000000"/>
                <w:sz w:val="20"/>
                <w:szCs w:val="20"/>
              </w:rPr>
              <w:t>65,000,000</w:t>
            </w:r>
          </w:p>
        </w:tc>
        <w:tc>
          <w:tcPr>
            <w:tcW w:w="1794" w:type="dxa"/>
          </w:tcPr>
          <w:p w14:paraId="0D2680FD" w14:textId="77777777" w:rsidR="002331A7" w:rsidRPr="00DC58C1" w:rsidRDefault="002331A7" w:rsidP="006233FA">
            <w:pPr>
              <w:spacing w:after="0"/>
              <w:jc w:val="right"/>
              <w:rPr>
                <w:color w:val="000000"/>
                <w:sz w:val="20"/>
                <w:szCs w:val="20"/>
              </w:rPr>
            </w:pPr>
            <w:r w:rsidRPr="00DC58C1">
              <w:rPr>
                <w:color w:val="000000"/>
                <w:sz w:val="20"/>
                <w:szCs w:val="20"/>
              </w:rPr>
              <w:t>N/A</w:t>
            </w:r>
          </w:p>
        </w:tc>
        <w:tc>
          <w:tcPr>
            <w:tcW w:w="1804" w:type="dxa"/>
          </w:tcPr>
          <w:p w14:paraId="192F30DF" w14:textId="77777777" w:rsidR="002331A7" w:rsidRPr="00DC58C1" w:rsidRDefault="002331A7" w:rsidP="006233FA">
            <w:pPr>
              <w:spacing w:after="0"/>
              <w:jc w:val="right"/>
              <w:rPr>
                <w:sz w:val="20"/>
                <w:szCs w:val="20"/>
              </w:rPr>
            </w:pPr>
            <w:r w:rsidRPr="00DC58C1">
              <w:rPr>
                <w:sz w:val="20"/>
                <w:szCs w:val="20"/>
              </w:rPr>
              <w:t>$</w:t>
            </w:r>
            <w:r>
              <w:rPr>
                <w:sz w:val="20"/>
                <w:szCs w:val="20"/>
              </w:rPr>
              <w:t xml:space="preserve"> </w:t>
            </w:r>
            <w:r w:rsidRPr="00DC58C1">
              <w:rPr>
                <w:sz w:val="20"/>
                <w:szCs w:val="20"/>
              </w:rPr>
              <w:t>540,000,000</w:t>
            </w:r>
          </w:p>
        </w:tc>
      </w:tr>
      <w:tr w:rsidR="002331A7" w:rsidRPr="00ED56C2" w14:paraId="3D4AC39C" w14:textId="77777777" w:rsidTr="274D2446">
        <w:trPr>
          <w:trHeight w:val="224"/>
        </w:trPr>
        <w:tc>
          <w:tcPr>
            <w:tcW w:w="1796" w:type="dxa"/>
            <w:shd w:val="clear" w:color="auto" w:fill="D9E2F3" w:themeFill="accent1" w:themeFillTint="33"/>
          </w:tcPr>
          <w:p w14:paraId="3FE5422D" w14:textId="77777777" w:rsidR="002331A7" w:rsidRPr="00DC58C1" w:rsidRDefault="002331A7" w:rsidP="006233FA">
            <w:pPr>
              <w:spacing w:after="0"/>
              <w:jc w:val="center"/>
              <w:rPr>
                <w:b/>
                <w:bCs/>
                <w:sz w:val="20"/>
                <w:szCs w:val="20"/>
              </w:rPr>
            </w:pPr>
            <w:r>
              <w:rPr>
                <w:b/>
                <w:bCs/>
                <w:sz w:val="20"/>
                <w:szCs w:val="20"/>
              </w:rPr>
              <w:t>2024-2026</w:t>
            </w:r>
          </w:p>
        </w:tc>
        <w:tc>
          <w:tcPr>
            <w:tcW w:w="1811" w:type="dxa"/>
          </w:tcPr>
          <w:p w14:paraId="59289B40" w14:textId="77777777" w:rsidR="002331A7" w:rsidRPr="00DC58C1" w:rsidRDefault="002331A7" w:rsidP="006233FA">
            <w:pPr>
              <w:spacing w:after="0"/>
              <w:jc w:val="right"/>
              <w:rPr>
                <w:color w:val="000000"/>
                <w:sz w:val="20"/>
                <w:szCs w:val="20"/>
              </w:rPr>
            </w:pPr>
            <w:r>
              <w:rPr>
                <w:color w:val="000000"/>
                <w:sz w:val="20"/>
                <w:szCs w:val="20"/>
              </w:rPr>
              <w:t>$ 525,600,000</w:t>
            </w:r>
          </w:p>
        </w:tc>
        <w:tc>
          <w:tcPr>
            <w:tcW w:w="1869" w:type="dxa"/>
          </w:tcPr>
          <w:p w14:paraId="05D8DD77" w14:textId="77777777" w:rsidR="002331A7" w:rsidRPr="00DC58C1" w:rsidRDefault="002331A7" w:rsidP="006233FA">
            <w:pPr>
              <w:spacing w:after="0"/>
              <w:jc w:val="right"/>
              <w:rPr>
                <w:color w:val="000000"/>
                <w:sz w:val="20"/>
                <w:szCs w:val="20"/>
              </w:rPr>
            </w:pPr>
            <w:r>
              <w:rPr>
                <w:color w:val="000000"/>
                <w:sz w:val="20"/>
                <w:szCs w:val="20"/>
              </w:rPr>
              <w:t>$ 428,699,680</w:t>
            </w:r>
          </w:p>
        </w:tc>
        <w:tc>
          <w:tcPr>
            <w:tcW w:w="1794" w:type="dxa"/>
          </w:tcPr>
          <w:p w14:paraId="6BB4D154" w14:textId="77777777" w:rsidR="002331A7" w:rsidRPr="00DC58C1" w:rsidRDefault="002331A7" w:rsidP="006233FA">
            <w:pPr>
              <w:spacing w:after="0"/>
              <w:jc w:val="right"/>
              <w:rPr>
                <w:color w:val="000000"/>
                <w:sz w:val="20"/>
                <w:szCs w:val="20"/>
              </w:rPr>
            </w:pPr>
            <w:r>
              <w:rPr>
                <w:color w:val="000000"/>
                <w:sz w:val="20"/>
                <w:szCs w:val="20"/>
              </w:rPr>
              <w:t>$ 10,700,320</w:t>
            </w:r>
          </w:p>
        </w:tc>
        <w:tc>
          <w:tcPr>
            <w:tcW w:w="1804" w:type="dxa"/>
          </w:tcPr>
          <w:p w14:paraId="12CF7F13" w14:textId="77777777" w:rsidR="002331A7" w:rsidRPr="00DC58C1" w:rsidRDefault="002331A7" w:rsidP="006233FA">
            <w:pPr>
              <w:spacing w:after="0"/>
              <w:jc w:val="right"/>
              <w:rPr>
                <w:sz w:val="20"/>
                <w:szCs w:val="20"/>
              </w:rPr>
            </w:pPr>
            <w:r>
              <w:rPr>
                <w:sz w:val="20"/>
                <w:szCs w:val="20"/>
              </w:rPr>
              <w:t>$ 965,000,000</w:t>
            </w:r>
          </w:p>
        </w:tc>
      </w:tr>
    </w:tbl>
    <w:p w14:paraId="006C8F39" w14:textId="77777777" w:rsidR="00AE3222" w:rsidRDefault="4BCEE662" w:rsidP="4BCEE662">
      <w:pPr>
        <w:tabs>
          <w:tab w:val="clear" w:pos="0"/>
        </w:tabs>
        <w:spacing w:after="0" w:line="259" w:lineRule="auto"/>
        <w:rPr>
          <w:rFonts w:eastAsiaTheme="minorEastAsia"/>
          <w:i/>
          <w:iCs/>
          <w:color w:val="auto"/>
          <w:sz w:val="20"/>
          <w:szCs w:val="20"/>
        </w:rPr>
      </w:pPr>
      <w:r w:rsidRPr="4BCEE662">
        <w:rPr>
          <w:rFonts w:eastAsiaTheme="minorEastAsia"/>
          <w:b/>
          <w:bCs/>
          <w:i/>
          <w:iCs/>
          <w:color w:val="auto"/>
          <w:sz w:val="20"/>
          <w:szCs w:val="20"/>
        </w:rPr>
        <w:t>*</w:t>
      </w:r>
      <w:r w:rsidRPr="4BCEE662">
        <w:rPr>
          <w:color w:val="auto"/>
          <w:sz w:val="20"/>
          <w:szCs w:val="20"/>
        </w:rPr>
        <w:t xml:space="preserve"> Does not include the initial capitalisation of US$ 240 million for 1991-1993</w:t>
      </w:r>
      <w:r w:rsidRPr="4BCEE662">
        <w:rPr>
          <w:rFonts w:eastAsiaTheme="minorEastAsia"/>
          <w:i/>
          <w:iCs/>
          <w:color w:val="auto"/>
          <w:sz w:val="20"/>
          <w:szCs w:val="20"/>
        </w:rPr>
        <w:t>.</w:t>
      </w:r>
    </w:p>
    <w:p w14:paraId="0287529B" w14:textId="3B1A70F7" w:rsidR="274D2446" w:rsidRDefault="4BCEE662" w:rsidP="077E58F6">
      <w:pPr>
        <w:tabs>
          <w:tab w:val="clear" w:pos="0"/>
        </w:tabs>
        <w:spacing w:after="160" w:line="259" w:lineRule="auto"/>
        <w:rPr>
          <w:color w:val="auto"/>
          <w:sz w:val="20"/>
          <w:szCs w:val="20"/>
        </w:rPr>
      </w:pPr>
      <w:r w:rsidRPr="4BCEE662">
        <w:rPr>
          <w:color w:val="auto"/>
          <w:sz w:val="20"/>
          <w:szCs w:val="20"/>
        </w:rPr>
        <w:t>**In addition, the Fifth Extraordinary Meeting of the Parties also noted that US $246 million in remaining funds that were due to the Multilateral Fund during the triennium 2018–2020 will be used after 2023 to support the implementation of the Montreal Protocol (decision Ex.V/1).</w:t>
      </w:r>
    </w:p>
    <w:p w14:paraId="1BF44B8E" w14:textId="2C83A7D9" w:rsidR="004739C1" w:rsidRPr="004739C1" w:rsidRDefault="004739C1" w:rsidP="004739C1">
      <w:pPr>
        <w:tabs>
          <w:tab w:val="clear" w:pos="0"/>
        </w:tabs>
        <w:spacing w:after="200"/>
        <w:rPr>
          <w:rFonts w:eastAsia="SimSun"/>
          <w:color w:val="auto"/>
        </w:rPr>
      </w:pPr>
      <w:r w:rsidRPr="004739C1">
        <w:rPr>
          <w:rFonts w:eastAsia="SimSun"/>
          <w:color w:val="auto"/>
        </w:rPr>
        <w:lastRenderedPageBreak/>
        <w:t xml:space="preserve">For the last nine replenishments (2000-2002, 2003-2005, 2006-2008, 2009-2011, 2012-2014, 2015-2017, 2018-2020, 2021-2023, and 2024-2026), a </w:t>
      </w:r>
      <w:bookmarkStart w:id="119" w:name="_Hlk41825720"/>
      <w:r w:rsidRPr="004739C1">
        <w:rPr>
          <w:rFonts w:eastAsia="SimSun"/>
          <w:color w:val="auto"/>
        </w:rPr>
        <w:t>fixed-exchange-rate mechanism (FERM)</w:t>
      </w:r>
      <w:bookmarkEnd w:id="119"/>
      <w:r w:rsidRPr="004739C1">
        <w:rPr>
          <w:rFonts w:eastAsia="SimSun"/>
          <w:color w:val="auto"/>
        </w:rPr>
        <w:t xml:space="preserve"> was agreed upon at the same MOP that considered the replenishment. The FERM for the previous 2024-2026 period was based on the average United Nations (UN) exchange rate for the six-month period commencing 1 January </w:t>
      </w:r>
      <w:r w:rsidRPr="004B484F">
        <w:rPr>
          <w:rFonts w:eastAsia="SimSun"/>
          <w:color w:val="auto"/>
        </w:rPr>
        <w:t>2023 (Decision Ex.V/2).</w:t>
      </w:r>
      <w:r w:rsidRPr="004B484F">
        <w:rPr>
          <w:rFonts w:eastAsia="SimSun"/>
          <w:color w:val="auto"/>
          <w:vertAlign w:val="superscript"/>
        </w:rPr>
        <w:footnoteReference w:id="11"/>
      </w:r>
      <w:r w:rsidRPr="004739C1">
        <w:rPr>
          <w:rFonts w:eastAsia="SimSun"/>
          <w:color w:val="auto"/>
        </w:rPr>
        <w:t xml:space="preserve"> The impact of the FERM on the value of resources available to the Fund is monitored by the Treasurer as part of the report on the status of contributions and disbursements to each meeting of the ExCom. </w:t>
      </w:r>
    </w:p>
    <w:p w14:paraId="06033499" w14:textId="3F73B159" w:rsidR="004739C1" w:rsidRPr="004739C1" w:rsidRDefault="004739C1" w:rsidP="004739C1">
      <w:pPr>
        <w:tabs>
          <w:tab w:val="clear" w:pos="0"/>
        </w:tabs>
        <w:spacing w:after="200"/>
        <w:rPr>
          <w:rFonts w:eastAsia="SimSun"/>
          <w:color w:val="auto"/>
        </w:rPr>
      </w:pPr>
      <w:r w:rsidRPr="004739C1">
        <w:rPr>
          <w:rFonts w:eastAsia="SimSun"/>
          <w:color w:val="auto"/>
        </w:rPr>
        <w:t>At the MOP-35, October 2023, for the previous 2024-2026 triennium, the parties established a replenishment budget of US$ 965 million (Decision XXXV/1).</w:t>
      </w:r>
      <w:r w:rsidRPr="004739C1">
        <w:rPr>
          <w:rFonts w:eastAsia="SimSun"/>
          <w:color w:val="auto"/>
          <w:vertAlign w:val="superscript"/>
        </w:rPr>
        <w:footnoteReference w:id="12"/>
      </w:r>
      <w:r w:rsidRPr="004739C1">
        <w:rPr>
          <w:rFonts w:eastAsia="SimSun"/>
          <w:color w:val="auto"/>
        </w:rPr>
        <w:t xml:space="preserve"> “Carry-over” amounts from the 2024-2026 triennium as well as interest accrued to the MLF during that triennium will </w:t>
      </w:r>
      <w:r w:rsidR="00F301A4">
        <w:rPr>
          <w:rFonts w:eastAsia="SimSun"/>
          <w:color w:val="auto"/>
        </w:rPr>
        <w:t xml:space="preserve">be reflected </w:t>
      </w:r>
      <w:r w:rsidR="00782D78">
        <w:rPr>
          <w:rFonts w:eastAsia="SimSun"/>
          <w:color w:val="auto"/>
        </w:rPr>
        <w:t xml:space="preserve">in </w:t>
      </w:r>
      <w:r w:rsidRPr="004739C1">
        <w:rPr>
          <w:rFonts w:eastAsia="SimSun"/>
          <w:color w:val="auto"/>
        </w:rPr>
        <w:t>the total MLF budget for the 2027-2029 triennium.</w:t>
      </w:r>
    </w:p>
    <w:p w14:paraId="7EA47E3C" w14:textId="3C2BBFA5" w:rsidR="00850DE5" w:rsidRPr="00C87B18" w:rsidRDefault="00850DE5" w:rsidP="002D02B7">
      <w:pPr>
        <w:pStyle w:val="Heading2"/>
      </w:pPr>
      <w:bookmarkStart w:id="120" w:name="_Toc230099040"/>
      <w:r w:rsidRPr="00E42C5E">
        <w:t>1.</w:t>
      </w:r>
      <w:r>
        <w:t>6</w:t>
      </w:r>
      <w:r w:rsidRPr="00E42C5E">
        <w:tab/>
      </w:r>
      <w:r>
        <w:t xml:space="preserve">Overview of RTF </w:t>
      </w:r>
      <w:r w:rsidR="00A92A50">
        <w:t>e</w:t>
      </w:r>
      <w:r>
        <w:t xml:space="preserve">stimated </w:t>
      </w:r>
      <w:r w:rsidR="00A92A50">
        <w:t>f</w:t>
      </w:r>
      <w:r>
        <w:t xml:space="preserve">unding </w:t>
      </w:r>
      <w:r w:rsidR="00A92A50">
        <w:t>m</w:t>
      </w:r>
      <w:r>
        <w:t>ethodology</w:t>
      </w:r>
      <w:bookmarkEnd w:id="120"/>
    </w:p>
    <w:p w14:paraId="3C241EFE" w14:textId="3069017B" w:rsidR="006A3051" w:rsidRDefault="002331A7" w:rsidP="0006665A">
      <w:r>
        <w:t xml:space="preserve">The replenishment of the MLF for the 2027-2029 triennium will provide financing to A5 parties for the incremental costs to complete the phase-out of </w:t>
      </w:r>
      <w:r w:rsidR="0024497F">
        <w:t>HCFCs</w:t>
      </w:r>
      <w:r>
        <w:t xml:space="preserve"> and to begin implementing the phase-down of HFCs.</w:t>
      </w:r>
      <w:r w:rsidRPr="00AE211C">
        <w:t xml:space="preserve"> </w:t>
      </w:r>
      <w:r w:rsidR="002F1772">
        <w:t xml:space="preserve">As previously noted, </w:t>
      </w:r>
      <w:r>
        <w:t xml:space="preserve">HCFCs and HFCs are the only substances under the </w:t>
      </w:r>
      <w:r w:rsidR="00FB7C66">
        <w:t>MP</w:t>
      </w:r>
      <w:r>
        <w:t xml:space="preserve"> where consumption and production are still allowed.</w:t>
      </w:r>
      <w:r w:rsidR="0029008E">
        <w:t xml:space="preserve"> Decision XXXVII/6</w:t>
      </w:r>
      <w:r w:rsidR="00513006">
        <w:t>, paragraphs 3 and 8,</w:t>
      </w:r>
      <w:r w:rsidR="00192006">
        <w:t xml:space="preserve"> </w:t>
      </w:r>
      <w:r w:rsidR="0029008E">
        <w:t>request the TEAP</w:t>
      </w:r>
      <w:r w:rsidR="006A3051">
        <w:t>:</w:t>
      </w:r>
    </w:p>
    <w:p w14:paraId="1E62CE57" w14:textId="248D6464" w:rsidR="006A3051" w:rsidRDefault="00513006" w:rsidP="0006665A">
      <w:pPr>
        <w:ind w:left="720"/>
        <w:rPr>
          <w:i/>
          <w:iCs/>
        </w:rPr>
      </w:pPr>
      <w:r w:rsidRPr="00513006">
        <w:rPr>
          <w:i/>
          <w:iCs/>
        </w:rPr>
        <w:t>That, in estimating the funding requirement associated with the reduction targets, the Panel will use a clearly explained compliance-based methodology that is informed by, but independent of, the business plan of the Multilateral Fund, and that applies a range of cost-effectiveness figures for the manufacturing sectors based on historical experience rather than only on cost-effectiveness thresholds approved by the Executive Committee;</w:t>
      </w:r>
    </w:p>
    <w:p w14:paraId="5A644D3B" w14:textId="0343D5E0" w:rsidR="00424690" w:rsidRDefault="00424690" w:rsidP="0006665A">
      <w:pPr>
        <w:ind w:left="720"/>
        <w:rPr>
          <w:i/>
          <w:iCs/>
        </w:rPr>
      </w:pPr>
      <w:r w:rsidRPr="00424690">
        <w:rPr>
          <w:i/>
          <w:iCs/>
        </w:rPr>
        <w:t>That the Panel should share the details of the calculations in the form of an appendix to the report to enable parties to fully understand the Panel’s analysis.</w:t>
      </w:r>
    </w:p>
    <w:p w14:paraId="6840EFC8" w14:textId="37381986" w:rsidR="001842A6" w:rsidRDefault="274D2446" w:rsidP="001842A6">
      <w:pPr>
        <w:rPr>
          <w:color w:val="auto"/>
          <w:lang w:val="en-US"/>
        </w:rPr>
      </w:pPr>
      <w:r>
        <w:t>The estimated funding requirement for the HCFC phase-out consumption and production sectors for the 2027-2029 triennium is provided in Chapter 2, and detailed information on the methodology is provided in Annexes 1 and 2. The estimated funding requirement for the HFC phase-down for the three triennia (2027-2029, 2030-2032, 2033-2035) is provided in Chapter 3 for the consumption sector and Chapter 4 for the production sector and HFC-23 emissions mitigation; the detailed methodology for RTF approach to fill the baseline gaps is presented in Annex 3 and the detailed methodology for the HFC phase-down funding estimates is provided in Annex 4.</w:t>
      </w:r>
      <w:r w:rsidRPr="274D2446">
        <w:rPr>
          <w:color w:val="auto"/>
          <w:lang w:val="en-US"/>
        </w:rPr>
        <w:t xml:space="preserve"> </w:t>
      </w:r>
    </w:p>
    <w:p w14:paraId="39E5A492" w14:textId="1B19D237" w:rsidR="001842A6" w:rsidRDefault="274D2446" w:rsidP="001842A6">
      <w:pPr>
        <w:rPr>
          <w:color w:val="auto"/>
          <w:lang w:val="en-US"/>
        </w:rPr>
      </w:pPr>
      <w:r w:rsidRPr="274D2446">
        <w:rPr>
          <w:color w:val="auto"/>
          <w:lang w:val="en-US"/>
        </w:rPr>
        <w:t xml:space="preserve">Estimated funding requirement for the 2027-2029 triennium also includes IS and standard activities (SA) (costs of institutions that support the MLF, such as the ExCom, MLFS, UNEP’s Compliance Assistance Programme (CAP), Treasurer and core unit funding of </w:t>
      </w:r>
      <w:r w:rsidR="00DD63EF">
        <w:rPr>
          <w:color w:val="auto"/>
          <w:lang w:val="en-US"/>
        </w:rPr>
        <w:t>Implementing Agencies (</w:t>
      </w:r>
      <w:r w:rsidR="00325F8D">
        <w:rPr>
          <w:color w:val="auto"/>
          <w:lang w:val="en-US"/>
        </w:rPr>
        <w:t>I</w:t>
      </w:r>
      <w:r w:rsidR="004C748D">
        <w:rPr>
          <w:color w:val="auto"/>
          <w:lang w:val="en-US"/>
        </w:rPr>
        <w:t>A</w:t>
      </w:r>
      <w:r w:rsidR="00325F8D">
        <w:rPr>
          <w:color w:val="auto"/>
          <w:lang w:val="en-US"/>
        </w:rPr>
        <w:t>s</w:t>
      </w:r>
      <w:r w:rsidR="00DD63EF">
        <w:rPr>
          <w:color w:val="auto"/>
          <w:lang w:val="en-US"/>
        </w:rPr>
        <w:t>)</w:t>
      </w:r>
      <w:r w:rsidRPr="274D2446">
        <w:rPr>
          <w:color w:val="auto"/>
          <w:lang w:val="en-US"/>
        </w:rPr>
        <w:t>, which are dealt with separately in Chapter 5</w:t>
      </w:r>
      <w:r w:rsidR="005F2B17">
        <w:rPr>
          <w:color w:val="auto"/>
          <w:lang w:val="en-US"/>
        </w:rPr>
        <w:t>)</w:t>
      </w:r>
      <w:r w:rsidRPr="274D2446">
        <w:rPr>
          <w:color w:val="auto"/>
          <w:lang w:val="en-US"/>
        </w:rPr>
        <w:t xml:space="preserve">. The estimated funding requirement for funding windows established by ExCom decisions for </w:t>
      </w:r>
      <w:r w:rsidR="00D77ECA">
        <w:rPr>
          <w:color w:val="auto"/>
          <w:lang w:val="en-US"/>
        </w:rPr>
        <w:t>EE</w:t>
      </w:r>
      <w:r w:rsidRPr="274D2446">
        <w:rPr>
          <w:color w:val="auto"/>
          <w:lang w:val="en-US"/>
        </w:rPr>
        <w:t xml:space="preserve"> are provided in Chapter 7. The funding for enhancing regional atmospheric monitoring is provided in Chapter 10.</w:t>
      </w:r>
    </w:p>
    <w:p w14:paraId="789C0CFC" w14:textId="5DD9601C" w:rsidR="001842A6" w:rsidRDefault="4BCEE662" w:rsidP="00724F4B">
      <w:pPr>
        <w:spacing w:after="0"/>
        <w:rPr>
          <w:color w:val="auto"/>
        </w:rPr>
      </w:pPr>
      <w:r w:rsidRPr="4BCEE662">
        <w:rPr>
          <w:color w:val="auto"/>
          <w:lang w:val="en-US"/>
        </w:rPr>
        <w:t xml:space="preserve">Also addressed in separate chapters are topics specified in Decision XXXVII/6 or relevant to estimating funding for the 2027-2029 triennium: “special consideration of low-volume consuming (LVC) and very low-volume consuming (VLVC) countries” and “the use of digital technologies and tools in the servicing sector”. Information is provided on these topics for the consideration of parties but is not included in the RTF estimated funding requirements for the three triennia (2027-2029, 2030-2032, and 2033-2035). </w:t>
      </w:r>
    </w:p>
    <w:p w14:paraId="0C1225D7" w14:textId="15AB2A04" w:rsidR="000E482E" w:rsidRPr="00977BC0" w:rsidRDefault="000E482E" w:rsidP="00977BC0"/>
    <w:p w14:paraId="538F9B80" w14:textId="50A0628D" w:rsidR="00A92E20" w:rsidRDefault="00A92E20" w:rsidP="007C77CF">
      <w:pPr>
        <w:pStyle w:val="Heading3"/>
      </w:pPr>
      <w:bookmarkStart w:id="121" w:name="_Toc230099041"/>
      <w:r w:rsidRPr="00E42C5E">
        <w:t>1.</w:t>
      </w:r>
      <w:r>
        <w:t>6</w:t>
      </w:r>
      <w:r w:rsidRPr="00E42C5E">
        <w:t>.</w:t>
      </w:r>
      <w:r w:rsidR="00EE6FE9">
        <w:t>1</w:t>
      </w:r>
      <w:r w:rsidRPr="00E42C5E">
        <w:tab/>
      </w:r>
      <w:r w:rsidR="00756B43">
        <w:t>References and assumptions</w:t>
      </w:r>
      <w:bookmarkEnd w:id="121"/>
    </w:p>
    <w:p w14:paraId="45308987" w14:textId="657629E8" w:rsidR="00C07A26" w:rsidRPr="00CF546F" w:rsidDel="00E8713C" w:rsidRDefault="00C07A26" w:rsidP="00C07A26">
      <w:r w:rsidRPr="00BC4CD6" w:rsidDel="00054E07">
        <w:t xml:space="preserve">For Annex C, Group 1, controlled substances (HCFCs), </w:t>
      </w:r>
      <w:r w:rsidRPr="00BC4CD6">
        <w:t xml:space="preserve">RTF considered </w:t>
      </w:r>
      <w:r w:rsidR="003A43A9" w:rsidRPr="00BC4CD6">
        <w:t xml:space="preserve">funding for </w:t>
      </w:r>
      <w:r w:rsidRPr="00BC4CD6">
        <w:t xml:space="preserve">a 100% </w:t>
      </w:r>
      <w:r w:rsidR="04F0A4DB" w:rsidRPr="00BC4CD6">
        <w:t xml:space="preserve">complete </w:t>
      </w:r>
      <w:r w:rsidRPr="00BC4CD6">
        <w:t>phase</w:t>
      </w:r>
      <w:r w:rsidR="002E6F27" w:rsidRPr="00BC4CD6">
        <w:t>-</w:t>
      </w:r>
      <w:r w:rsidRPr="00BC4CD6">
        <w:t>out by 2030. The following</w:t>
      </w:r>
      <w:r w:rsidRPr="00CF546F">
        <w:t xml:space="preserve"> considerations below apply to parties that need to use the servicing tail</w:t>
      </w:r>
      <w:r>
        <w:t>:</w:t>
      </w:r>
    </w:p>
    <w:p w14:paraId="7218EA83" w14:textId="7A3FFEFA" w:rsidR="00C07A26" w:rsidRPr="00CF546F" w:rsidDel="00E8713C" w:rsidRDefault="00C07A26" w:rsidP="00574948">
      <w:pPr>
        <w:pStyle w:val="ListParagraph"/>
      </w:pPr>
      <w:r w:rsidRPr="00CF546F" w:rsidDel="00E8713C">
        <w:t xml:space="preserve">The annual average of 2.5% is restricted to the servicing of refrigeration and air-conditioning equipment existing during </w:t>
      </w:r>
      <w:r w:rsidR="00EA1E00">
        <w:t xml:space="preserve">the period of </w:t>
      </w:r>
      <w:r w:rsidRPr="00CF546F" w:rsidDel="00E8713C">
        <w:t>2030-2040. Decision XXX/2</w:t>
      </w:r>
      <w:r w:rsidR="00853CC9">
        <w:t>,</w:t>
      </w:r>
      <w:r w:rsidRPr="00CF546F" w:rsidDel="00E8713C">
        <w:t xml:space="preserve"> referring to Annex I of MOP-30</w:t>
      </w:r>
      <w:r>
        <w:t>,</w:t>
      </w:r>
      <w:r w:rsidRPr="00CF546F" w:rsidDel="00E8713C">
        <w:t xml:space="preserve"> adjusted this part of </w:t>
      </w:r>
      <w:r w:rsidR="00F05ED5">
        <w:t>A</w:t>
      </w:r>
      <w:r w:rsidR="006C0DCF">
        <w:t xml:space="preserve">rticle </w:t>
      </w:r>
      <w:r w:rsidR="00F05ED5">
        <w:t>5</w:t>
      </w:r>
      <w:r w:rsidRPr="00CF546F" w:rsidDel="00E8713C">
        <w:t xml:space="preserve"> (as well as 2F) to include other uses, i.e., the servicing of fire suppression and fire protection equipment existing on 1 January 2030; solvent applications in rocket engine manufacturing; and topical medical aerosol for applications for the specialised treatment of burns.</w:t>
      </w:r>
    </w:p>
    <w:p w14:paraId="40E9A810" w14:textId="77777777" w:rsidR="00C07A26" w:rsidRPr="00CF546F" w:rsidDel="00054E07" w:rsidRDefault="274D2446" w:rsidP="274D2446">
      <w:pPr>
        <w:pStyle w:val="ListParagraph"/>
      </w:pPr>
      <w:r>
        <w:t>For the next two triennia 2030-2032 and 2033-2035, the HCFC phase-out compliance target is a total phase-out by 1 January 2040.</w:t>
      </w:r>
    </w:p>
    <w:p w14:paraId="5EE14D0B" w14:textId="77777777" w:rsidR="00C07A26" w:rsidRPr="00CF546F" w:rsidDel="00054E07" w:rsidRDefault="00C07A26" w:rsidP="00C07A26">
      <w:r w:rsidRPr="00BC4CD6" w:rsidDel="00054E07">
        <w:t>For Annex F controlled substances (HFCs), the compliance targets for the 2027-2029 and next two triennia are as follows:</w:t>
      </w:r>
    </w:p>
    <w:p w14:paraId="00A9A877" w14:textId="00E819F2" w:rsidR="00C07A26" w:rsidRPr="00CF546F" w:rsidDel="00947A6E" w:rsidRDefault="00C07A26" w:rsidP="000E79CB">
      <w:pPr>
        <w:pStyle w:val="ListParagraph"/>
        <w:numPr>
          <w:ilvl w:val="0"/>
          <w:numId w:val="13"/>
        </w:numPr>
      </w:pPr>
      <w:bookmarkStart w:id="122" w:name="_Hlk135754347"/>
      <w:r w:rsidRPr="00CF546F" w:rsidDel="00054E07">
        <w:t xml:space="preserve">Group 1 </w:t>
      </w:r>
      <w:r w:rsidR="00EA7D59">
        <w:t xml:space="preserve">(G1) </w:t>
      </w:r>
      <w:r w:rsidRPr="00CF546F" w:rsidDel="00054E07">
        <w:t>parties</w:t>
      </w:r>
      <w:r w:rsidRPr="00CF546F" w:rsidDel="00947A6E">
        <w:t xml:space="preserve">: In the 2027-2029 triennium, a 10% reduction from baseline by 1 January 2029; </w:t>
      </w:r>
      <w:r w:rsidR="00D8395B">
        <w:t>f</w:t>
      </w:r>
      <w:r w:rsidRPr="00CF546F" w:rsidDel="00947A6E">
        <w:t>or the next two triennia 2030-2032 and 2033-2035, a 30% reduction from baseline by 1 January 2035.</w:t>
      </w:r>
    </w:p>
    <w:p w14:paraId="65A3CE2D" w14:textId="652398EC" w:rsidR="00C07A26" w:rsidRPr="00CF546F" w:rsidDel="00947A6E" w:rsidRDefault="00C07A26" w:rsidP="000E79CB">
      <w:pPr>
        <w:pStyle w:val="ListParagraph"/>
        <w:numPr>
          <w:ilvl w:val="0"/>
          <w:numId w:val="13"/>
        </w:numPr>
      </w:pPr>
      <w:r w:rsidRPr="00CF546F" w:rsidDel="00947A6E">
        <w:t xml:space="preserve">Group 2 </w:t>
      </w:r>
      <w:r w:rsidR="00EA7D59">
        <w:t xml:space="preserve">(G2) </w:t>
      </w:r>
      <w:r w:rsidRPr="00CF546F" w:rsidDel="00947A6E">
        <w:t xml:space="preserve">parties: In the 2027-2029 triennium, a freeze of production and consumption by 1 January 2028; </w:t>
      </w:r>
      <w:r w:rsidR="00D8395B">
        <w:t>f</w:t>
      </w:r>
      <w:r w:rsidRPr="00CF546F" w:rsidDel="00947A6E">
        <w:t>or the next two triennia 2030-2032 and 2033-2035, a 10% reduction from baseline by 1 January 2032 and a 20% reduction from baseline by 1 January 2037.</w:t>
      </w:r>
    </w:p>
    <w:bookmarkEnd w:id="122"/>
    <w:p w14:paraId="1FD7B7EA" w14:textId="125D7A8C" w:rsidR="00CF546F" w:rsidRPr="00CF546F" w:rsidRDefault="00CF546F" w:rsidP="00CF546F">
      <w:r w:rsidRPr="00CF546F">
        <w:t xml:space="preserve">For this report, the RTF calculated the funding requirements </w:t>
      </w:r>
      <w:r w:rsidR="0A26B684" w:rsidRPr="00CF546F">
        <w:t>using A</w:t>
      </w:r>
      <w:r w:rsidR="003E1670">
        <w:t>rt</w:t>
      </w:r>
      <w:r w:rsidR="00DC6A10">
        <w:t xml:space="preserve">icle </w:t>
      </w:r>
      <w:r w:rsidR="0A26B684" w:rsidRPr="00CF546F">
        <w:t xml:space="preserve">7 </w:t>
      </w:r>
      <w:r w:rsidR="00DC6A10">
        <w:t xml:space="preserve">(A7) </w:t>
      </w:r>
      <w:r w:rsidR="0A26B684" w:rsidRPr="00CF546F">
        <w:t xml:space="preserve">data </w:t>
      </w:r>
      <w:r w:rsidR="20E1A3CC" w:rsidRPr="00CF546F">
        <w:t xml:space="preserve">from </w:t>
      </w:r>
      <w:r w:rsidR="00185768">
        <w:t>OS</w:t>
      </w:r>
      <w:r w:rsidR="20E1A3CC" w:rsidRPr="00CF546F">
        <w:t xml:space="preserve">, </w:t>
      </w:r>
      <w:r w:rsidR="00C20A5B">
        <w:t xml:space="preserve">information from </w:t>
      </w:r>
      <w:r w:rsidR="00D27999" w:rsidRPr="00CF546F">
        <w:t>the</w:t>
      </w:r>
      <w:r w:rsidRPr="00CF546F">
        <w:t xml:space="preserve"> </w:t>
      </w:r>
      <w:r w:rsidR="00B54B9D">
        <w:t>“Consolidated Business Plan for the Multilateral Fund for 2</w:t>
      </w:r>
      <w:r w:rsidR="008A5B09">
        <w:t>026-2028” (</w:t>
      </w:r>
      <w:r w:rsidR="0049249F">
        <w:t>BP</w:t>
      </w:r>
      <w:r w:rsidR="008A5B09">
        <w:t>)</w:t>
      </w:r>
      <w:r w:rsidR="0049249F">
        <w:t xml:space="preserve"> </w:t>
      </w:r>
      <w:r w:rsidR="00C20A5B">
        <w:t xml:space="preserve">for the purpose of </w:t>
      </w:r>
      <w:r w:rsidR="4072868C" w:rsidRPr="00CF546F">
        <w:t>forecast</w:t>
      </w:r>
      <w:r w:rsidR="00A65EA6">
        <w:t>ing</w:t>
      </w:r>
      <w:r w:rsidR="009F5A3C">
        <w:t xml:space="preserve"> funding requirements</w:t>
      </w:r>
      <w:r w:rsidR="4072868C" w:rsidRPr="00CF546F">
        <w:t xml:space="preserve"> only</w:t>
      </w:r>
      <w:r w:rsidR="001D7439" w:rsidRPr="00CF546F">
        <w:t>, as</w:t>
      </w:r>
      <w:r w:rsidR="29D36C92" w:rsidRPr="00CF546F">
        <w:t xml:space="preserve"> well as by </w:t>
      </w:r>
      <w:r w:rsidRPr="00CF546F">
        <w:t>relevant decisions of the ExCom through its 97</w:t>
      </w:r>
      <w:r w:rsidRPr="00CF546F">
        <w:rPr>
          <w:vertAlign w:val="superscript"/>
        </w:rPr>
        <w:t>th</w:t>
      </w:r>
      <w:r w:rsidRPr="00CF546F">
        <w:t xml:space="preserve"> meeting, and </w:t>
      </w:r>
      <w:r w:rsidR="18D743EB" w:rsidRPr="00CF546F">
        <w:t xml:space="preserve">other </w:t>
      </w:r>
      <w:r w:rsidRPr="00CF546F">
        <w:t xml:space="preserve">information </w:t>
      </w:r>
      <w:r w:rsidR="74CE2629" w:rsidRPr="00CF546F">
        <w:t>provided by</w:t>
      </w:r>
      <w:r w:rsidRPr="00CF546F">
        <w:t xml:space="preserve"> the MLFS. The RTF relied on existing cost guidelines under the MLF and, where cost-effectiveness (CE) thresholds </w:t>
      </w:r>
      <w:r w:rsidR="6AF9BCA4" w:rsidRPr="00CF546F">
        <w:t xml:space="preserve">were defined </w:t>
      </w:r>
      <w:r w:rsidRPr="00CF546F">
        <w:t>on a case-by-case basis, the RTF noted these limitations and provided the values it used in its estimates.</w:t>
      </w:r>
    </w:p>
    <w:p w14:paraId="5ED9A31A" w14:textId="31BF4F04" w:rsidR="00CF546F" w:rsidRPr="00CF546F" w:rsidRDefault="00CF546F" w:rsidP="00CF546F">
      <w:r w:rsidRPr="00CF546F">
        <w:t>The objective has been to produce an assessment of the next replenishment of the MLF that is transparent, policy consistent, and with defensible funding projections, aligned with the compliance obligations of A5 parties.</w:t>
      </w:r>
    </w:p>
    <w:p w14:paraId="5E52F5C2" w14:textId="77777777" w:rsidR="00CF546F" w:rsidRPr="00CF546F" w:rsidRDefault="00CF546F" w:rsidP="00BC4CD6">
      <w:pPr>
        <w:spacing w:after="120"/>
      </w:pPr>
      <w:r w:rsidRPr="00CF546F">
        <w:t>Some additional key assumptions made by the RTF for its estimates included:</w:t>
      </w:r>
    </w:p>
    <w:p w14:paraId="2FAB0119" w14:textId="0FE6865B" w:rsidR="00CF546F" w:rsidRPr="00CF546F" w:rsidRDefault="00325F8D" w:rsidP="00BC4CD6">
      <w:pPr>
        <w:numPr>
          <w:ilvl w:val="0"/>
          <w:numId w:val="12"/>
        </w:numPr>
        <w:spacing w:after="120"/>
      </w:pPr>
      <w:r>
        <w:t>IAs</w:t>
      </w:r>
      <w:r w:rsidR="00CF546F" w:rsidRPr="00CF546F">
        <w:t>’ support costs were considered at an average of 9.6%</w:t>
      </w:r>
      <w:r w:rsidR="000D4BE9">
        <w:t>, unless indicated otherwise</w:t>
      </w:r>
      <w:r w:rsidR="00CF546F" w:rsidRPr="00CF546F">
        <w:t>;</w:t>
      </w:r>
    </w:p>
    <w:p w14:paraId="4E55EBF4" w14:textId="64BFD9B7" w:rsidR="00CF546F" w:rsidRPr="00CF546F" w:rsidRDefault="00CF546F" w:rsidP="00BC4CD6">
      <w:pPr>
        <w:numPr>
          <w:ilvl w:val="0"/>
          <w:numId w:val="12"/>
        </w:numPr>
        <w:spacing w:after="120"/>
      </w:pPr>
      <w:r w:rsidRPr="00CF546F">
        <w:t>A 15% deduction for foreign ownership was applied in manufacturing sectors</w:t>
      </w:r>
      <w:r w:rsidR="00C56C1B">
        <w:t xml:space="preserve"> -</w:t>
      </w:r>
      <w:r w:rsidR="00E85331">
        <w:t xml:space="preserve"> please refer to caveat</w:t>
      </w:r>
      <w:r w:rsidR="00B61770">
        <w:t>s</w:t>
      </w:r>
      <w:r w:rsidR="00E85331">
        <w:t xml:space="preserve"> under </w:t>
      </w:r>
      <w:r w:rsidR="00B61770">
        <w:t xml:space="preserve">section </w:t>
      </w:r>
      <w:r w:rsidR="00E85331">
        <w:t>1.</w:t>
      </w:r>
      <w:r w:rsidR="0061182B">
        <w:t>6.10</w:t>
      </w:r>
      <w:r w:rsidRPr="00CF546F">
        <w:t>;</w:t>
      </w:r>
    </w:p>
    <w:p w14:paraId="5149E19B" w14:textId="531A6E37" w:rsidR="00CF546F" w:rsidRPr="00CF546F" w:rsidRDefault="077E58F6" w:rsidP="00BC4CD6">
      <w:pPr>
        <w:numPr>
          <w:ilvl w:val="0"/>
          <w:numId w:val="12"/>
        </w:numPr>
      </w:pPr>
      <w:r>
        <w:t xml:space="preserve">At the time of finalization of this report, ratification of the </w:t>
      </w:r>
      <w:r w:rsidR="00AF291D">
        <w:t>KA</w:t>
      </w:r>
      <w:r>
        <w:t xml:space="preserve"> was still missing for 19 remaining parties (16 in G1 and three in G2). RTF assumed that by the end of 2029 all parties will have ratified, making them all eligible for funding for the HFC phasedown in the 2027-2029 triennium and beyond. The RTF considered cash flow in its assessment by applying resource allocation schedules in the estimated funding model.</w:t>
      </w:r>
    </w:p>
    <w:p w14:paraId="2273C22E" w14:textId="5563E843" w:rsidR="519BF980" w:rsidRDefault="00CF546F">
      <w:pPr>
        <w:rPr>
          <w:lang w:val="en-US"/>
        </w:rPr>
      </w:pPr>
      <w:r w:rsidRPr="00CF546F">
        <w:t xml:space="preserve">The RTF </w:t>
      </w:r>
      <w:r w:rsidR="59C1A2E0">
        <w:t xml:space="preserve">funding </w:t>
      </w:r>
      <w:r w:rsidRPr="00CF546F">
        <w:t xml:space="preserve">estimates and </w:t>
      </w:r>
      <w:r w:rsidR="678E26E9">
        <w:t xml:space="preserve">associated </w:t>
      </w:r>
      <w:r w:rsidRPr="00CF546F">
        <w:t xml:space="preserve">tables cover the periods for the 2027-2029 triennium and future </w:t>
      </w:r>
      <w:r w:rsidR="00DB5469">
        <w:t xml:space="preserve">two </w:t>
      </w:r>
      <w:r w:rsidRPr="00CF546F">
        <w:t xml:space="preserve">triennia, 2030-2032 and </w:t>
      </w:r>
      <w:r>
        <w:t>2030</w:t>
      </w:r>
      <w:r w:rsidRPr="00CF546F">
        <w:t>-2035. Please note that for all tables and figures, totals may not sum exactly due to rounding.</w:t>
      </w:r>
    </w:p>
    <w:p w14:paraId="65319386" w14:textId="3DEF1B02" w:rsidR="006A5297" w:rsidRDefault="006A5297" w:rsidP="007C77CF">
      <w:pPr>
        <w:pStyle w:val="Heading3"/>
      </w:pPr>
      <w:bookmarkStart w:id="123" w:name="_Toc230099042"/>
      <w:r w:rsidRPr="00E42C5E">
        <w:lastRenderedPageBreak/>
        <w:t>1.</w:t>
      </w:r>
      <w:r>
        <w:t>6</w:t>
      </w:r>
      <w:r w:rsidRPr="00E42C5E">
        <w:t>.</w:t>
      </w:r>
      <w:r w:rsidR="00EE6FE9">
        <w:t>2</w:t>
      </w:r>
      <w:r w:rsidRPr="00E42C5E">
        <w:tab/>
      </w:r>
      <w:r w:rsidR="000233C6">
        <w:t>HCFC phase-out estimated funding</w:t>
      </w:r>
      <w:r w:rsidR="4D6D7834">
        <w:t xml:space="preserve"> for </w:t>
      </w:r>
      <w:r w:rsidR="00E821E1">
        <w:t>p</w:t>
      </w:r>
      <w:r w:rsidR="4D6D7834">
        <w:t xml:space="preserve">roduction and </w:t>
      </w:r>
      <w:r w:rsidR="009E4591">
        <w:t>c</w:t>
      </w:r>
      <w:r w:rsidR="4D6D7834">
        <w:t xml:space="preserve">onsumption </w:t>
      </w:r>
      <w:r w:rsidR="00E8517F">
        <w:t>s</w:t>
      </w:r>
      <w:r w:rsidR="4D6D7834">
        <w:t>ectors</w:t>
      </w:r>
      <w:bookmarkEnd w:id="123"/>
    </w:p>
    <w:p w14:paraId="3F28F8D0" w14:textId="54AE0776" w:rsidR="00087297" w:rsidRDefault="00F25830" w:rsidP="00630F59">
      <w:r w:rsidRPr="007E7D1D">
        <w:t>Chapter 2</w:t>
      </w:r>
      <w:r w:rsidRPr="00947C9E">
        <w:t xml:space="preserve"> covers the total estimated funding requirements for the phase-out of HCFCs</w:t>
      </w:r>
      <w:r w:rsidR="00087297" w:rsidRPr="00947C9E">
        <w:t xml:space="preserve">, </w:t>
      </w:r>
      <w:r w:rsidR="008869C5" w:rsidRPr="00947C9E">
        <w:t xml:space="preserve">including consumption and production sectors, </w:t>
      </w:r>
      <w:r w:rsidR="00087297" w:rsidRPr="00947C9E">
        <w:t xml:space="preserve">and </w:t>
      </w:r>
      <w:r w:rsidR="00087297" w:rsidRPr="007E7D1D">
        <w:t>Annex</w:t>
      </w:r>
      <w:r w:rsidR="009E4591" w:rsidRPr="007E7D1D">
        <w:t>es</w:t>
      </w:r>
      <w:r w:rsidR="00087297" w:rsidRPr="007E7D1D">
        <w:t xml:space="preserve"> </w:t>
      </w:r>
      <w:r w:rsidR="00087297" w:rsidRPr="00947C9E">
        <w:t>1</w:t>
      </w:r>
      <w:r w:rsidR="5F2E8247" w:rsidRPr="00947C9E">
        <w:t xml:space="preserve"> </w:t>
      </w:r>
      <w:r w:rsidR="73666C39" w:rsidRPr="00947C9E">
        <w:t>and</w:t>
      </w:r>
      <w:r w:rsidR="73666C39">
        <w:t xml:space="preserve"> </w:t>
      </w:r>
      <w:r w:rsidR="009E4591">
        <w:t>2</w:t>
      </w:r>
      <w:r w:rsidR="00087297">
        <w:t xml:space="preserve"> provide information on the funding methodology </w:t>
      </w:r>
      <w:r w:rsidR="6D5A49ED">
        <w:t xml:space="preserve">for HCFC funding </w:t>
      </w:r>
      <w:r w:rsidR="00087297">
        <w:t>calculation</w:t>
      </w:r>
      <w:r w:rsidR="00712F35">
        <w:t xml:space="preserve"> </w:t>
      </w:r>
      <w:r w:rsidR="56DF5C70">
        <w:t xml:space="preserve">and </w:t>
      </w:r>
      <w:r w:rsidR="003D0EF3">
        <w:t xml:space="preserve">historical </w:t>
      </w:r>
      <w:r w:rsidR="033EF00D">
        <w:t xml:space="preserve">HCFC </w:t>
      </w:r>
      <w:r w:rsidR="003D0EF3">
        <w:t>CE analysis, respectively</w:t>
      </w:r>
      <w:r w:rsidR="00087297">
        <w:t>.</w:t>
      </w:r>
    </w:p>
    <w:p w14:paraId="089F1775" w14:textId="2B3B5E66" w:rsidR="00630F59" w:rsidRPr="00630F59" w:rsidRDefault="00630F59" w:rsidP="678C1949">
      <w:r>
        <w:t>For the phase-out of HCFCs, t</w:t>
      </w:r>
      <w:r w:rsidRPr="00630F59">
        <w:t>he estimate</w:t>
      </w:r>
      <w:r>
        <w:t>d</w:t>
      </w:r>
      <w:r w:rsidRPr="00630F59">
        <w:t xml:space="preserve"> funding requirement for the 2027-2029 triennium is based on A5 parties completing the phase-out by 2030, with no new funding for the triennia after 2030, other than committed funding for approved HPMPs. </w:t>
      </w:r>
      <w:r w:rsidR="79022880" w:rsidRPr="678C1949">
        <w:t>That is, f</w:t>
      </w:r>
      <w:r w:rsidR="4D8EEDC5" w:rsidRPr="678C1949">
        <w:t xml:space="preserve">or the HCFC consumption sector, the estimated funding is </w:t>
      </w:r>
      <w:r w:rsidR="6EC774C8" w:rsidRPr="678C1949">
        <w:t xml:space="preserve">all the </w:t>
      </w:r>
      <w:r w:rsidR="4D8EEDC5" w:rsidRPr="678C1949">
        <w:t xml:space="preserve">committed funding for countries with approved </w:t>
      </w:r>
      <w:r w:rsidR="001C54E1">
        <w:t>HCFC Phase-out Management Plans (</w:t>
      </w:r>
      <w:r w:rsidR="4D8EEDC5" w:rsidRPr="678C1949">
        <w:t>HPMPs</w:t>
      </w:r>
      <w:r w:rsidR="001C54E1">
        <w:t>)</w:t>
      </w:r>
      <w:r w:rsidR="4D8EEDC5" w:rsidRPr="678C1949">
        <w:t xml:space="preserve"> plus new funding for the 28 countries (15 non-LVCs, 10 LVCs, and three countries with cancelled HPMPs) that still need to complete their phase-out. </w:t>
      </w:r>
      <w:r w:rsidR="00985FDA">
        <w:t>The situation of one</w:t>
      </w:r>
      <w:r w:rsidR="005D7026">
        <w:t xml:space="preserve"> of the three</w:t>
      </w:r>
      <w:r w:rsidR="00985FDA">
        <w:t xml:space="preserve"> countr</w:t>
      </w:r>
      <w:r w:rsidR="005D7026">
        <w:t>ies with</w:t>
      </w:r>
      <w:r w:rsidR="00985FDA">
        <w:t xml:space="preserve"> cancelled </w:t>
      </w:r>
      <w:r w:rsidR="005D7026">
        <w:t xml:space="preserve">HPMP </w:t>
      </w:r>
      <w:r w:rsidR="00873811">
        <w:t xml:space="preserve">is pending </w:t>
      </w:r>
      <w:r w:rsidR="00902895">
        <w:t xml:space="preserve">further clarification, so </w:t>
      </w:r>
      <w:r w:rsidR="00873811">
        <w:t xml:space="preserve">an adjustment </w:t>
      </w:r>
      <w:r w:rsidR="00902895">
        <w:t xml:space="preserve">may </w:t>
      </w:r>
      <w:r w:rsidR="00873811">
        <w:t xml:space="preserve">be made in the </w:t>
      </w:r>
      <w:r w:rsidR="00902895">
        <w:t xml:space="preserve">RTF </w:t>
      </w:r>
      <w:r w:rsidR="00873811">
        <w:t>supplementary report</w:t>
      </w:r>
      <w:r w:rsidR="0041477B">
        <w:t>.</w:t>
      </w:r>
    </w:p>
    <w:p w14:paraId="257AC49F" w14:textId="77777777" w:rsidR="000C08B5" w:rsidRPr="00630F59" w:rsidRDefault="000C08B5" w:rsidP="000F5F42">
      <w:r w:rsidRPr="00630F59">
        <w:t xml:space="preserve">Estimated funding requirement for the HCFC consumption and production sectors include the following: </w:t>
      </w:r>
    </w:p>
    <w:p w14:paraId="71D5DC6E" w14:textId="77777777" w:rsidR="000C08B5" w:rsidRPr="00630F59" w:rsidRDefault="000C08B5" w:rsidP="007601BB">
      <w:pPr>
        <w:pStyle w:val="ListParagraph"/>
        <w:spacing w:after="120"/>
      </w:pPr>
      <w:r w:rsidRPr="002177AB">
        <w:t>HCFC</w:t>
      </w:r>
      <w:r w:rsidRPr="00630F59">
        <w:t xml:space="preserve"> consumption sector </w:t>
      </w:r>
      <w:r>
        <w:t>funding estimates</w:t>
      </w:r>
      <w:r w:rsidRPr="00630F59">
        <w:t xml:space="preserve"> include:</w:t>
      </w:r>
    </w:p>
    <w:p w14:paraId="34764B8B" w14:textId="13191CC8" w:rsidR="000C08B5" w:rsidRPr="00630F59" w:rsidRDefault="000C08B5" w:rsidP="000E79CB">
      <w:pPr>
        <w:pStyle w:val="ListParagraph"/>
        <w:numPr>
          <w:ilvl w:val="1"/>
          <w:numId w:val="5"/>
        </w:numPr>
        <w:spacing w:after="120"/>
      </w:pPr>
      <w:r w:rsidRPr="00630F59">
        <w:t>Funding for approved HPMPs (including projects for HCFC-141b polyols);</w:t>
      </w:r>
    </w:p>
    <w:p w14:paraId="393CD668" w14:textId="77777777" w:rsidR="000C08B5" w:rsidRPr="00630F59" w:rsidRDefault="000C08B5" w:rsidP="000E79CB">
      <w:pPr>
        <w:pStyle w:val="ListParagraph"/>
        <w:numPr>
          <w:ilvl w:val="1"/>
          <w:numId w:val="5"/>
        </w:numPr>
        <w:spacing w:after="120"/>
      </w:pPr>
      <w:r w:rsidRPr="00630F59">
        <w:t>Funding for project preparation costs;</w:t>
      </w:r>
    </w:p>
    <w:p w14:paraId="6DFA357C" w14:textId="77777777" w:rsidR="000C08B5" w:rsidRPr="00630F59" w:rsidRDefault="000C08B5" w:rsidP="000E79CB">
      <w:pPr>
        <w:pStyle w:val="ListParagraph"/>
        <w:numPr>
          <w:ilvl w:val="1"/>
          <w:numId w:val="5"/>
        </w:numPr>
        <w:spacing w:after="120"/>
      </w:pPr>
      <w:r>
        <w:t xml:space="preserve">Funding for remaining HPMPs; </w:t>
      </w:r>
    </w:p>
    <w:p w14:paraId="32E2D0DB" w14:textId="4278F5AF" w:rsidR="000C08B5" w:rsidRPr="00630F59" w:rsidRDefault="000C08B5" w:rsidP="000E79CB">
      <w:pPr>
        <w:pStyle w:val="ListParagraph"/>
        <w:numPr>
          <w:ilvl w:val="1"/>
          <w:numId w:val="5"/>
        </w:numPr>
        <w:spacing w:after="120"/>
      </w:pPr>
      <w:r w:rsidRPr="00630F59">
        <w:t xml:space="preserve">Funding for </w:t>
      </w:r>
      <w:r w:rsidR="00D77ECA">
        <w:t>EE</w:t>
      </w:r>
      <w:r w:rsidRPr="00630F59">
        <w:t xml:space="preserve"> under ExCom Decision 89/6 (LVCs</w:t>
      </w:r>
      <w:r>
        <w:t>)</w:t>
      </w:r>
      <w:r w:rsidRPr="00630F59">
        <w:t>; and</w:t>
      </w:r>
    </w:p>
    <w:p w14:paraId="4273304F" w14:textId="2609BC2A" w:rsidR="000C08B5" w:rsidRPr="00444365" w:rsidRDefault="000C08B5" w:rsidP="000E79CB">
      <w:pPr>
        <w:pStyle w:val="ListParagraph"/>
        <w:numPr>
          <w:ilvl w:val="1"/>
          <w:numId w:val="5"/>
        </w:numPr>
      </w:pPr>
      <w:r w:rsidRPr="00444365">
        <w:t>Funding for HPMP verification</w:t>
      </w:r>
      <w:r w:rsidR="00E737AF" w:rsidRPr="00444365">
        <w:t>.</w:t>
      </w:r>
    </w:p>
    <w:p w14:paraId="58111CDE" w14:textId="7190B75B" w:rsidR="000C08B5" w:rsidRPr="00646959" w:rsidRDefault="274D2446" w:rsidP="000F5F42">
      <w:pPr>
        <w:pStyle w:val="ListParagraph"/>
      </w:pPr>
      <w:r>
        <w:t>HCFC production sector funding estimates include funding for remaining HCFC Production Phaseout Management Plans (HPPMPs), including verification activities.</w:t>
      </w:r>
    </w:p>
    <w:p w14:paraId="334B738B" w14:textId="5907D999" w:rsidR="00630F59" w:rsidRPr="00630F59" w:rsidRDefault="4BCEE662" w:rsidP="678C1949">
      <w:r>
        <w:t xml:space="preserve">Decision XXXVII/6 requested TEAP to “use a clearly explained compliance-based methodology that is informed by, but independent of, the business plan of the Multilateral Fund, and that applies a range of cost-effectiveness figures for the manufacturing sectors based on historical experience rather than only on cost-effectiveness thresholds approved by the Executive Committee.” In response to this request from parties, the RTF considered a range for the </w:t>
      </w:r>
      <w:r w:rsidRPr="00612E04">
        <w:t xml:space="preserve">estimated funding requirements based on two </w:t>
      </w:r>
      <w:r w:rsidR="00FE4402">
        <w:t>CE</w:t>
      </w:r>
      <w:r w:rsidRPr="00612E04">
        <w:t xml:space="preserve"> values scenarios, applied to 15 non-LVC parties with remaining eligible consumption in manufacturing sectors, as follows:</w:t>
      </w:r>
    </w:p>
    <w:p w14:paraId="38B6D8CA" w14:textId="6D7CA87E" w:rsidR="00630F59" w:rsidRPr="00897054" w:rsidRDefault="00897054" w:rsidP="005E4B21">
      <w:pPr>
        <w:pStyle w:val="ListParagraph"/>
        <w:spacing w:after="120"/>
        <w:rPr>
          <w:rFonts w:eastAsia="Times New Roman"/>
          <w:color w:val="000000" w:themeColor="text1"/>
          <w:lang w:val="en-GB"/>
        </w:rPr>
      </w:pPr>
      <w:r w:rsidRPr="00897054">
        <w:rPr>
          <w:rFonts w:eastAsia="Times New Roman"/>
          <w:b/>
          <w:bCs/>
          <w:color w:val="000000" w:themeColor="text1"/>
        </w:rPr>
        <w:t xml:space="preserve">HCFC </w:t>
      </w:r>
      <w:r w:rsidR="274D2446" w:rsidRPr="00897054">
        <w:rPr>
          <w:rFonts w:eastAsia="Times New Roman"/>
          <w:b/>
          <w:bCs/>
          <w:color w:val="000000" w:themeColor="text1"/>
        </w:rPr>
        <w:t>scenario</w:t>
      </w:r>
      <w:r w:rsidRPr="00897054">
        <w:rPr>
          <w:rFonts w:eastAsia="Times New Roman"/>
          <w:b/>
          <w:bCs/>
          <w:color w:val="000000" w:themeColor="text1"/>
        </w:rPr>
        <w:t xml:space="preserve"> 1</w:t>
      </w:r>
      <w:r w:rsidR="274D2446" w:rsidRPr="00897054">
        <w:rPr>
          <w:rFonts w:eastAsia="Times New Roman"/>
          <w:color w:val="000000" w:themeColor="text1"/>
        </w:rPr>
        <w:t xml:space="preserve">: Applying an average historical CE in manufacturing sectors for those non-LVCs with remaining eligible consumption;   </w:t>
      </w:r>
    </w:p>
    <w:p w14:paraId="0AB002AC" w14:textId="00493369" w:rsidR="00630F59" w:rsidRPr="00610699" w:rsidRDefault="00897054" w:rsidP="005E4B21">
      <w:pPr>
        <w:pStyle w:val="ListParagraph"/>
        <w:spacing w:after="120"/>
        <w:rPr>
          <w:rFonts w:eastAsia="Times New Roman"/>
          <w:color w:val="000000" w:themeColor="text1"/>
          <w:lang w:val="en-GB"/>
        </w:rPr>
      </w:pPr>
      <w:r w:rsidRPr="00897054">
        <w:rPr>
          <w:rFonts w:eastAsia="Times New Roman"/>
          <w:b/>
          <w:bCs/>
          <w:color w:val="000000" w:themeColor="text1"/>
        </w:rPr>
        <w:t>HCFC</w:t>
      </w:r>
      <w:r w:rsidR="274D2446" w:rsidRPr="00897054">
        <w:rPr>
          <w:rFonts w:eastAsia="Times New Roman"/>
          <w:b/>
          <w:bCs/>
          <w:color w:val="000000" w:themeColor="text1"/>
        </w:rPr>
        <w:t xml:space="preserve"> scenario</w:t>
      </w:r>
      <w:r w:rsidRPr="00897054">
        <w:rPr>
          <w:rFonts w:eastAsia="Times New Roman"/>
          <w:b/>
          <w:bCs/>
          <w:color w:val="000000" w:themeColor="text1"/>
        </w:rPr>
        <w:t xml:space="preserve"> 2</w:t>
      </w:r>
      <w:r w:rsidR="274D2446" w:rsidRPr="00897054">
        <w:rPr>
          <w:rFonts w:eastAsia="Times New Roman"/>
          <w:b/>
          <w:bCs/>
          <w:color w:val="000000" w:themeColor="text1"/>
        </w:rPr>
        <w:t>:</w:t>
      </w:r>
      <w:r w:rsidR="274D2446" w:rsidRPr="274D2446">
        <w:rPr>
          <w:rFonts w:eastAsia="Times New Roman"/>
          <w:color w:val="000000" w:themeColor="text1"/>
        </w:rPr>
        <w:t xml:space="preserve"> Applying CEs in cost guidelines</w:t>
      </w:r>
      <w:r w:rsidR="274D2446" w:rsidRPr="274D2446">
        <w:rPr>
          <w:rFonts w:eastAsia="Times New Roman"/>
          <w:color w:val="000000" w:themeColor="text1"/>
          <w:vertAlign w:val="superscript"/>
        </w:rPr>
        <w:t>18</w:t>
      </w:r>
      <w:r w:rsidR="274D2446" w:rsidRPr="274D2446">
        <w:rPr>
          <w:rFonts w:eastAsia="Times New Roman"/>
          <w:color w:val="000000" w:themeColor="text1"/>
        </w:rPr>
        <w:t xml:space="preserve"> in manufacturing sectors, for those non-LVCs with remaining eligible consumption.</w:t>
      </w:r>
    </w:p>
    <w:p w14:paraId="1E3CE42A" w14:textId="5DBF40FE" w:rsidR="00610699" w:rsidRPr="00610699" w:rsidRDefault="00610699" w:rsidP="00610699">
      <w:pPr>
        <w:rPr>
          <w:lang w:val="en-GB"/>
        </w:rPr>
      </w:pPr>
      <w:r w:rsidRPr="00610699">
        <w:rPr>
          <w:lang w:val="en-GB"/>
        </w:rPr>
        <w:t xml:space="preserve">RTF considered the total phaseout to happen by 2030 with the special allowances under the </w:t>
      </w:r>
      <w:r w:rsidR="00FB7C66">
        <w:rPr>
          <w:lang w:val="en-GB"/>
        </w:rPr>
        <w:t>MP</w:t>
      </w:r>
      <w:r w:rsidRPr="00610699">
        <w:rPr>
          <w:lang w:val="en-GB"/>
        </w:rPr>
        <w:t xml:space="preserve">, as described previously, regarding the servicing tail. ExCom Decision 62/17 “requested the bilateral and </w:t>
      </w:r>
      <w:r w:rsidR="00325F8D">
        <w:rPr>
          <w:lang w:val="en-GB"/>
        </w:rPr>
        <w:t>IAs</w:t>
      </w:r>
      <w:r w:rsidRPr="00610699">
        <w:rPr>
          <w:lang w:val="en-GB"/>
        </w:rPr>
        <w:t xml:space="preserve">, when preparing multi-year HPMPs, to ensure that the last tranche comprised 10% of the total funding for the refrigeration servicing sector in the agreement and was scheduled for the last year of the plan.” </w:t>
      </w:r>
    </w:p>
    <w:p w14:paraId="7F5B235A" w14:textId="76ADE6BB" w:rsidR="00610699" w:rsidRPr="00610699" w:rsidRDefault="00610699" w:rsidP="00610699">
      <w:pPr>
        <w:spacing w:after="120"/>
        <w:rPr>
          <w:lang w:val="en-GB"/>
        </w:rPr>
      </w:pPr>
      <w:r w:rsidRPr="00610699">
        <w:rPr>
          <w:lang w:val="en-GB"/>
        </w:rPr>
        <w:t xml:space="preserve">RTF considered that the last tranche of the HPMPs would occur in 2030; consequently, 90% of the total phase-out resource allocation would be within the 2027-2029 triennium and the 10% for the last tranche would be allocated to the next triennium 2030-2032, following </w:t>
      </w:r>
      <w:r w:rsidR="00806982">
        <w:rPr>
          <w:lang w:val="en-GB"/>
        </w:rPr>
        <w:t>the intention of D</w:t>
      </w:r>
      <w:r w:rsidRPr="00610699">
        <w:rPr>
          <w:lang w:val="en-GB"/>
        </w:rPr>
        <w:t>ecision 62/17.</w:t>
      </w:r>
    </w:p>
    <w:p w14:paraId="7440A2F7" w14:textId="315FDD4A" w:rsidR="00D8395B" w:rsidRDefault="0092653D" w:rsidP="007C77CF">
      <w:pPr>
        <w:pStyle w:val="Heading3"/>
      </w:pPr>
      <w:bookmarkStart w:id="124" w:name="_Toc230099043"/>
      <w:r w:rsidRPr="00E42C5E">
        <w:lastRenderedPageBreak/>
        <w:t>1.</w:t>
      </w:r>
      <w:r>
        <w:t>6</w:t>
      </w:r>
      <w:r w:rsidRPr="00E42C5E">
        <w:t>.</w:t>
      </w:r>
      <w:r w:rsidR="00EE6FE9">
        <w:t>3</w:t>
      </w:r>
      <w:r w:rsidRPr="00E42C5E">
        <w:tab/>
      </w:r>
      <w:r>
        <w:t>HFC phase-down estimated funding</w:t>
      </w:r>
      <w:r w:rsidR="0945135F">
        <w:t xml:space="preserve"> requirement</w:t>
      </w:r>
      <w:r w:rsidR="255D5B3C">
        <w:t>s</w:t>
      </w:r>
      <w:bookmarkEnd w:id="124"/>
    </w:p>
    <w:p w14:paraId="73263481" w14:textId="7A29927D" w:rsidR="00850880" w:rsidRPr="0091418B" w:rsidRDefault="274D2446" w:rsidP="00850880">
      <w:r>
        <w:t xml:space="preserve">Chapter 3 and Chapter 4 cover the total estimated funding requirements for the phase-down of HFCs in the consumption sector and production sector (including HFC-23 emission control and mitigation activities), respectively, and </w:t>
      </w:r>
      <w:r w:rsidRPr="274D2446">
        <w:rPr>
          <w:color w:val="auto"/>
        </w:rPr>
        <w:t xml:space="preserve">Annexes 3 and 4 to this report </w:t>
      </w:r>
      <w:r>
        <w:t>provides information on the funding methodology and calculation, including the RTF approach to filling any data gaps, e.g., in baselines.</w:t>
      </w:r>
    </w:p>
    <w:p w14:paraId="5246609B" w14:textId="44EDA045" w:rsidR="00D8395B" w:rsidRDefault="274D2446" w:rsidP="06132242">
      <w:pPr>
        <w:spacing w:line="259" w:lineRule="auto"/>
        <w:rPr>
          <w:color w:val="auto"/>
        </w:rPr>
      </w:pPr>
      <w:r w:rsidRPr="274D2446">
        <w:rPr>
          <w:color w:val="auto"/>
        </w:rPr>
        <w:t xml:space="preserve">As of 8 April 2026, 125 of the 144 A5 parties had ratified the </w:t>
      </w:r>
      <w:r w:rsidR="002D5BDD">
        <w:rPr>
          <w:color w:val="auto"/>
        </w:rPr>
        <w:t>Kigali Amendment (</w:t>
      </w:r>
      <w:r w:rsidR="00AF291D">
        <w:rPr>
          <w:color w:val="auto"/>
        </w:rPr>
        <w:t>KA</w:t>
      </w:r>
      <w:r w:rsidR="0060560F">
        <w:rPr>
          <w:color w:val="auto"/>
        </w:rPr>
        <w:t>)</w:t>
      </w:r>
      <w:r w:rsidRPr="274D2446">
        <w:rPr>
          <w:color w:val="auto"/>
        </w:rPr>
        <w:t>. For its</w:t>
      </w:r>
      <w:r w:rsidRPr="274D2446">
        <w:rPr>
          <w:strike/>
          <w:color w:val="auto"/>
        </w:rPr>
        <w:t xml:space="preserve"> </w:t>
      </w:r>
      <w:r w:rsidRPr="274D2446">
        <w:rPr>
          <w:color w:val="auto"/>
        </w:rPr>
        <w:t xml:space="preserve">analysis of estimated funding for the 2027-2029 triennium related to HFC phase-down, the RTF assumed that all parties would complete ratification by 2029, making all A5 parties eligible for funding for the HFC phasedown in the 2027-2029 triennium. Annex 6 presents a list of the remaining 19 A5 parties to ratify the </w:t>
      </w:r>
      <w:r w:rsidR="00AF291D">
        <w:rPr>
          <w:color w:val="auto"/>
        </w:rPr>
        <w:t>KA</w:t>
      </w:r>
      <w:r w:rsidRPr="274D2446">
        <w:rPr>
          <w:color w:val="auto"/>
        </w:rPr>
        <w:t xml:space="preserve">. </w:t>
      </w:r>
    </w:p>
    <w:p w14:paraId="146148D4" w14:textId="201FA11C" w:rsidR="0064019D" w:rsidRPr="001B7005" w:rsidRDefault="0064019D" w:rsidP="00341845">
      <w:pPr>
        <w:spacing w:after="120"/>
      </w:pPr>
      <w:r>
        <w:t>Estimated funding requirement for the HFC consumption</w:t>
      </w:r>
      <w:r w:rsidDel="3CCC3BF5">
        <w:t xml:space="preserve"> </w:t>
      </w:r>
      <w:r>
        <w:t>sector include</w:t>
      </w:r>
      <w:r w:rsidR="0097399D">
        <w:t>s</w:t>
      </w:r>
      <w:r>
        <w:t xml:space="preserve"> the following:</w:t>
      </w:r>
    </w:p>
    <w:p w14:paraId="7333AF79" w14:textId="5D908F5A" w:rsidR="0064019D" w:rsidRDefault="0064019D" w:rsidP="00341845">
      <w:pPr>
        <w:pStyle w:val="ListParagraph"/>
        <w:spacing w:after="120"/>
      </w:pPr>
      <w:r w:rsidRPr="222ABFFA">
        <w:t xml:space="preserve">Funding committed for approved </w:t>
      </w:r>
      <w:r w:rsidR="0060560F">
        <w:t>Kigali HFC Implementation Plans (</w:t>
      </w:r>
      <w:r w:rsidRPr="222ABFFA">
        <w:t>KIPs</w:t>
      </w:r>
      <w:r w:rsidR="0060560F">
        <w:t>)</w:t>
      </w:r>
      <w:r w:rsidRPr="222ABFFA">
        <w:t>;</w:t>
      </w:r>
    </w:p>
    <w:p w14:paraId="41DF5016" w14:textId="77777777" w:rsidR="0064019D" w:rsidRDefault="0064019D" w:rsidP="00341845">
      <w:pPr>
        <w:pStyle w:val="ListParagraph"/>
        <w:spacing w:after="120"/>
      </w:pPr>
      <w:r w:rsidRPr="222ABFFA">
        <w:t>Funding estimated for new KIPs;</w:t>
      </w:r>
    </w:p>
    <w:p w14:paraId="2094E61F" w14:textId="77777777" w:rsidR="00D9276E" w:rsidRDefault="00D9276E" w:rsidP="00D9276E">
      <w:pPr>
        <w:pStyle w:val="ListParagraph"/>
        <w:spacing w:after="120"/>
      </w:pPr>
      <w:r w:rsidRPr="222ABFFA">
        <w:t>Funding for project preparation costs;</w:t>
      </w:r>
    </w:p>
    <w:p w14:paraId="142F05E3" w14:textId="77777777" w:rsidR="00D9276E" w:rsidRDefault="00D9276E" w:rsidP="00341845">
      <w:pPr>
        <w:pStyle w:val="ListParagraph"/>
        <w:spacing w:after="120"/>
      </w:pPr>
      <w:r>
        <w:t>Funding for KIP verification;</w:t>
      </w:r>
    </w:p>
    <w:p w14:paraId="2F10365B" w14:textId="0CC66605" w:rsidR="0064019D" w:rsidRDefault="0064019D" w:rsidP="00341845">
      <w:pPr>
        <w:pStyle w:val="ListParagraph"/>
        <w:spacing w:after="120"/>
      </w:pPr>
      <w:r w:rsidRPr="222ABFFA">
        <w:t xml:space="preserve">Funding for </w:t>
      </w:r>
      <w:r w:rsidR="00D77ECA">
        <w:t>EE</w:t>
      </w:r>
      <w:r w:rsidRPr="222ABFFA">
        <w:t xml:space="preserve"> (ExCom Decision</w:t>
      </w:r>
      <w:r w:rsidR="00B75860">
        <w:t>s</w:t>
      </w:r>
      <w:r w:rsidRPr="222ABFFA">
        <w:t xml:space="preserve"> </w:t>
      </w:r>
      <w:r w:rsidR="00B75860" w:rsidRPr="00B75860">
        <w:t xml:space="preserve">91/65, 94/60, </w:t>
      </w:r>
      <w:r w:rsidR="00B75860">
        <w:t xml:space="preserve">and </w:t>
      </w:r>
      <w:r w:rsidR="00B75860" w:rsidRPr="00B75860">
        <w:t>95/87</w:t>
      </w:r>
      <w:r w:rsidRPr="222ABFFA">
        <w:t>)</w:t>
      </w:r>
      <w:r w:rsidR="00B75860">
        <w:t>; and</w:t>
      </w:r>
    </w:p>
    <w:p w14:paraId="1C021D26" w14:textId="57003D6A" w:rsidR="0064019D" w:rsidRDefault="0064019D" w:rsidP="00341845">
      <w:pPr>
        <w:pStyle w:val="ListParagraph"/>
      </w:pPr>
      <w:r w:rsidRPr="222ABFFA">
        <w:t xml:space="preserve">Funding </w:t>
      </w:r>
      <w:r w:rsidR="00CD2F05">
        <w:t>to support pilot projects to enhance regional atmospheric monitoring (Decision XXXVII/6)</w:t>
      </w:r>
      <w:r w:rsidRPr="222ABFFA">
        <w:t>.</w:t>
      </w:r>
    </w:p>
    <w:p w14:paraId="1824F759" w14:textId="5DC8DAD8" w:rsidR="0064019D" w:rsidRDefault="0064019D" w:rsidP="00341845">
      <w:pPr>
        <w:pStyle w:val="a"/>
        <w:tabs>
          <w:tab w:val="left" w:pos="1680"/>
        </w:tabs>
        <w:spacing w:after="120"/>
        <w:ind w:left="0"/>
        <w:contextualSpacing/>
        <w:rPr>
          <w:rFonts w:ascii="Times New Roman" w:hAnsi="Times New Roman"/>
        </w:rPr>
      </w:pPr>
      <w:r w:rsidRPr="42C6458C">
        <w:rPr>
          <w:rFonts w:ascii="Times New Roman" w:hAnsi="Times New Roman"/>
        </w:rPr>
        <w:t>Estimated funding requirement for the HFC production sector include</w:t>
      </w:r>
      <w:r w:rsidR="0097399D">
        <w:rPr>
          <w:rFonts w:ascii="Times New Roman" w:hAnsi="Times New Roman"/>
        </w:rPr>
        <w:t>s</w:t>
      </w:r>
      <w:r w:rsidRPr="42C6458C">
        <w:rPr>
          <w:rFonts w:ascii="Times New Roman" w:hAnsi="Times New Roman"/>
        </w:rPr>
        <w:t xml:space="preserve"> the following:</w:t>
      </w:r>
    </w:p>
    <w:p w14:paraId="5D31E22E" w14:textId="77777777" w:rsidR="0064019D" w:rsidRPr="001B7005" w:rsidRDefault="0064019D" w:rsidP="00341845">
      <w:pPr>
        <w:pStyle w:val="ListParagraph"/>
        <w:spacing w:after="120"/>
      </w:pPr>
      <w:r>
        <w:t>Funding for project preparation;</w:t>
      </w:r>
    </w:p>
    <w:p w14:paraId="5DBED82D" w14:textId="4F1CA21A" w:rsidR="0064019D" w:rsidRPr="001B7005" w:rsidRDefault="0064019D" w:rsidP="00341845">
      <w:pPr>
        <w:pStyle w:val="ListParagraph"/>
        <w:spacing w:after="120"/>
      </w:pPr>
      <w:r>
        <w:t>Funding for Kigali HFC Production Phase-down Management Plan</w:t>
      </w:r>
      <w:r w:rsidR="009C40C8">
        <w:t>s</w:t>
      </w:r>
      <w:r>
        <w:t xml:space="preserve"> (KPPMP</w:t>
      </w:r>
      <w:r w:rsidR="009C40C8">
        <w:t>s</w:t>
      </w:r>
      <w:r>
        <w:t>), if any;</w:t>
      </w:r>
    </w:p>
    <w:p w14:paraId="7D780B8A" w14:textId="77777777" w:rsidR="0064019D" w:rsidRPr="001B7005" w:rsidRDefault="0064019D" w:rsidP="00341845">
      <w:pPr>
        <w:pStyle w:val="ListParagraph"/>
        <w:spacing w:after="120"/>
      </w:pPr>
      <w:r>
        <w:t>Funding for HFC-23 mitigation project preparation; and</w:t>
      </w:r>
    </w:p>
    <w:p w14:paraId="015F9B22" w14:textId="4B24EFB2" w:rsidR="0064019D" w:rsidRPr="001B7005" w:rsidRDefault="0064019D" w:rsidP="00341845">
      <w:pPr>
        <w:pStyle w:val="ListParagraph"/>
      </w:pPr>
      <w:r>
        <w:t>Funding for approved HFC-23 mitigation project</w:t>
      </w:r>
      <w:r w:rsidR="009C40C8">
        <w:t>.</w:t>
      </w:r>
    </w:p>
    <w:p w14:paraId="3AB308CF" w14:textId="3CC5B4D0" w:rsidR="00A86DBE" w:rsidRPr="00EA756A" w:rsidRDefault="274D2446" w:rsidP="00341845">
      <w:pPr>
        <w:spacing w:after="120"/>
        <w:rPr>
          <w:color w:val="auto"/>
        </w:rPr>
      </w:pPr>
      <w:r>
        <w:t xml:space="preserve">RTF developed a funding model to estimate the HFC phase-down funding requirements for the consumption sector for the 2027-2029 triennium and future triennia, 2030-2032 and 2033-2035, based on A5 parties meeting the relevant G1 or G2 reduction targets. RTF HFC consumption sector model does the following: </w:t>
      </w:r>
    </w:p>
    <w:p w14:paraId="3B2BDF51" w14:textId="07B65CBE" w:rsidR="000C5631" w:rsidRPr="0096396D" w:rsidRDefault="274D2446" w:rsidP="00341845">
      <w:pPr>
        <w:pStyle w:val="ListParagraph"/>
        <w:spacing w:after="120"/>
      </w:pPr>
      <w:r>
        <w:t>For G1 parties, estimates funding requirement to achieve both 10% reduction from the baseline by 2029 (Stage I KIP) and 30% reduction by 2035 (Stage II KIP); those parties with KIPs approved to reduce more than 30% of the baseline are not considered for additional funding for KIPs Stage I and II. Nevertheless, all committed funding for approved KIPs is reflected, according to the tranches schedule provided by the MLFS.</w:t>
      </w:r>
    </w:p>
    <w:p w14:paraId="2822B65C" w14:textId="7A109BF1" w:rsidR="000C5631" w:rsidRPr="0096396D" w:rsidRDefault="274D2446" w:rsidP="56B90CFF">
      <w:pPr>
        <w:pStyle w:val="ListParagraph"/>
        <w:spacing w:after="120"/>
      </w:pPr>
      <w:r>
        <w:t>For G2 parties, estimated funding requirement to meet the freeze by 2028 and achieve 10% reduction from the baseline by 2032 (Stage I KIP);</w:t>
      </w:r>
    </w:p>
    <w:p w14:paraId="4E7E252A" w14:textId="16BBE2BA" w:rsidR="00AE7A46" w:rsidRPr="00DA1034" w:rsidRDefault="274D2446" w:rsidP="274D2446">
      <w:pPr>
        <w:pStyle w:val="ListParagraph"/>
        <w:spacing w:after="120"/>
      </w:pPr>
      <w:r>
        <w:t xml:space="preserve">The model uses the available baselines for A5 parties as calculated and posted on the Ozone Secretariat Data Centre; for parties without a baseline, RTF used the same methodology as in its 2023 reports to estimate missing baselines and is described in Chapter 3 and detailed in Annex 3. </w:t>
      </w:r>
    </w:p>
    <w:p w14:paraId="1F22D359" w14:textId="0599D059" w:rsidR="005428DE" w:rsidRDefault="274D2446" w:rsidP="274D2446">
      <w:pPr>
        <w:pStyle w:val="ListParagraph"/>
        <w:spacing w:after="120"/>
      </w:pPr>
      <w:r>
        <w:t>The model calculates each individual country’s agreed reduction from baseline, taking into account reductions in already approved KIPs and needed reductions to meet the G1 (Stage I and II KIP) and G2 (Stage I KIP) targets.</w:t>
      </w:r>
    </w:p>
    <w:p w14:paraId="57943993" w14:textId="4D16CDF2" w:rsidR="00B84A2D" w:rsidRDefault="274D2446" w:rsidP="00020900">
      <w:pPr>
        <w:pStyle w:val="ListParagraph"/>
        <w:spacing w:after="120"/>
      </w:pPr>
      <w:r>
        <w:lastRenderedPageBreak/>
        <w:t>The model applies CE values based on KIP Stage I cost guidelines based on Decision 95/86, and where these were on a case-by-case basis for some sectors, the RTF estimated CEs based on TEAP</w:t>
      </w:r>
      <w:r w:rsidR="003E33E5">
        <w:t>/TOCs</w:t>
      </w:r>
      <w:r w:rsidR="0036166D">
        <w:t xml:space="preserve"> </w:t>
      </w:r>
      <w:r w:rsidR="003E33E5">
        <w:t>RTF</w:t>
      </w:r>
      <w:r>
        <w:t xml:space="preserve"> sector experts’ advice and best available information and noted these in its methodology. </w:t>
      </w:r>
    </w:p>
    <w:p w14:paraId="7522AB94" w14:textId="52D12B57" w:rsidR="00E62E49" w:rsidRDefault="274D2446" w:rsidP="00020900">
      <w:pPr>
        <w:pStyle w:val="ListParagraph"/>
        <w:spacing w:after="120"/>
      </w:pPr>
      <w:r>
        <w:t>The model calculates the estimated funding requirement over the</w:t>
      </w:r>
      <w:r w:rsidRPr="274D2446">
        <w:rPr>
          <w:b/>
          <w:bCs/>
        </w:rPr>
        <w:t xml:space="preserve"> three triennia (2027 to 2035 period)</w:t>
      </w:r>
      <w:r>
        <w:t>, which cover different compliance targets for G1 and G2 parties in both Stage I and Stage II KIPs. The model mirrors to the extent possible, the MLF project submission and funding approval cycle to account for different progress for different parties. RTF is introducing into its estimated funding the concept of resource allocation across triennia to take into account different project cycles, pace of implementation, and the fact that funding requirements may overlap across different triennia for different parties depending on national circumstances.</w:t>
      </w:r>
    </w:p>
    <w:p w14:paraId="123F8D93" w14:textId="5F182321" w:rsidR="00E62E49" w:rsidRDefault="00E62E49" w:rsidP="00D11316">
      <w:r>
        <w:t xml:space="preserve">To provide a range for the estimated funding requirement </w:t>
      </w:r>
      <w:r w:rsidR="1BDDAD77">
        <w:t xml:space="preserve">to address </w:t>
      </w:r>
      <w:r w:rsidR="57E359D7">
        <w:t xml:space="preserve">Stage I and Stage II targets </w:t>
      </w:r>
      <w:r w:rsidR="7806B815">
        <w:t>over</w:t>
      </w:r>
      <w:r w:rsidR="57E359D7">
        <w:t xml:space="preserve"> </w:t>
      </w:r>
      <w:r w:rsidR="0074663E">
        <w:t>three</w:t>
      </w:r>
      <w:r w:rsidR="73644EB4">
        <w:t xml:space="preserve"> trien</w:t>
      </w:r>
      <w:r w:rsidR="5BE5CF92">
        <w:t>n</w:t>
      </w:r>
      <w:r w:rsidR="73644EB4">
        <w:t>ia (</w:t>
      </w:r>
      <w:r w:rsidR="00D67A5C">
        <w:t>2027-20</w:t>
      </w:r>
      <w:r w:rsidR="6D0EB5BB">
        <w:t>35 period)</w:t>
      </w:r>
      <w:r w:rsidR="007F772E">
        <w:t>,</w:t>
      </w:r>
      <w:r w:rsidR="6D0EB5BB">
        <w:t xml:space="preserve"> </w:t>
      </w:r>
      <w:r w:rsidR="006F5776">
        <w:t>RTF applied the following</w:t>
      </w:r>
      <w:r w:rsidR="3E43F05E">
        <w:t xml:space="preserve"> two </w:t>
      </w:r>
      <w:r w:rsidR="0074663E">
        <w:t>s</w:t>
      </w:r>
      <w:r w:rsidR="3E43F05E">
        <w:t>cenarios</w:t>
      </w:r>
      <w:r w:rsidR="006F5776">
        <w:t>:</w:t>
      </w:r>
    </w:p>
    <w:p w14:paraId="559317B1" w14:textId="4BF199B5" w:rsidR="006F5776" w:rsidRPr="00DA1034" w:rsidRDefault="077E58F6" w:rsidP="00341845">
      <w:pPr>
        <w:pStyle w:val="ListParagraph"/>
        <w:spacing w:after="120"/>
        <w:rPr>
          <w:color w:val="000000" w:themeColor="text1"/>
        </w:rPr>
      </w:pPr>
      <w:r w:rsidRPr="077E58F6">
        <w:rPr>
          <w:b/>
          <w:bCs/>
        </w:rPr>
        <w:t>HFC scenario 1:</w:t>
      </w:r>
      <w:r>
        <w:t xml:space="preserve"> Applied CE thresholds according to HFC cost guidelines or RTF derived-CEs for sectors considered on a case-by-case basis;</w:t>
      </w:r>
    </w:p>
    <w:p w14:paraId="4C9E4018" w14:textId="1502A3BF" w:rsidR="006F5776" w:rsidRPr="00DA1034" w:rsidRDefault="00F329B1" w:rsidP="00341845">
      <w:pPr>
        <w:pStyle w:val="ListParagraph"/>
        <w:spacing w:after="120"/>
        <w:rPr>
          <w:color w:val="000000" w:themeColor="text1"/>
        </w:rPr>
      </w:pPr>
      <w:r>
        <w:rPr>
          <w:b/>
          <w:bCs/>
        </w:rPr>
        <w:t>HFC</w:t>
      </w:r>
      <w:r w:rsidR="274D2446" w:rsidRPr="274D2446">
        <w:rPr>
          <w:b/>
          <w:bCs/>
        </w:rPr>
        <w:t xml:space="preserve"> scenario 2:</w:t>
      </w:r>
      <w:r w:rsidR="274D2446">
        <w:t xml:space="preserve"> Applied CE thresholds for small- and medium-sized enterprises (SMEs) according to assumptions based on the percentage of SMEs participation in some manufacturing sectors. </w:t>
      </w:r>
    </w:p>
    <w:p w14:paraId="634A5C21" w14:textId="61EE05FA" w:rsidR="72374EF2" w:rsidRDefault="40ABF741" w:rsidP="004D4C11">
      <w:pPr>
        <w:rPr>
          <w:u w:val="single"/>
          <w:lang w:val="en-US"/>
        </w:rPr>
      </w:pPr>
      <w:r>
        <w:t xml:space="preserve">For both </w:t>
      </w:r>
      <w:r w:rsidR="00165AE8">
        <w:t xml:space="preserve">HFC </w:t>
      </w:r>
      <w:r w:rsidR="0074663E">
        <w:t>s</w:t>
      </w:r>
      <w:r>
        <w:t>cenarios</w:t>
      </w:r>
      <w:r w:rsidR="5AD5DB8B">
        <w:t xml:space="preserve"> 1 and 2</w:t>
      </w:r>
      <w:r>
        <w:t>, RTF propose</w:t>
      </w:r>
      <w:r w:rsidR="7AB634E9">
        <w:t>s</w:t>
      </w:r>
      <w:r>
        <w:t xml:space="preserve"> </w:t>
      </w:r>
      <w:r w:rsidR="072CF141">
        <w:t>r</w:t>
      </w:r>
      <w:r w:rsidR="072CF141" w:rsidDel="00256163">
        <w:t>esource</w:t>
      </w:r>
      <w:r w:rsidR="072CF141">
        <w:t xml:space="preserve"> allocation </w:t>
      </w:r>
      <w:r w:rsidR="73D60761">
        <w:t xml:space="preserve">schedules </w:t>
      </w:r>
      <w:r w:rsidR="20EBA422">
        <w:t xml:space="preserve">per triennium </w:t>
      </w:r>
      <w:r w:rsidR="072CF141">
        <w:t xml:space="preserve">as shown in </w:t>
      </w:r>
      <w:r w:rsidR="00F60BFC">
        <w:t>Table 1.4</w:t>
      </w:r>
      <w:r w:rsidR="453DE397">
        <w:t>.</w:t>
      </w:r>
      <w:r w:rsidR="187D5B59">
        <w:t xml:space="preserve"> </w:t>
      </w:r>
      <w:r w:rsidR="0C63BD81" w:rsidRPr="72374EF2">
        <w:rPr>
          <w:u w:val="single"/>
          <w:lang w:val="en-US"/>
        </w:rPr>
        <w:t>For both proposals, RTF assumed full ratification for G1 and G2 parties by 2029.</w:t>
      </w:r>
    </w:p>
    <w:p w14:paraId="7E51C529" w14:textId="6ABD99B7" w:rsidR="4DBB2B28" w:rsidRDefault="007F0849" w:rsidP="002135B0">
      <w:pPr>
        <w:tabs>
          <w:tab w:val="left" w:pos="1134"/>
        </w:tabs>
        <w:spacing w:after="120"/>
        <w:ind w:left="1418" w:hanging="1418"/>
        <w:rPr>
          <w:b/>
        </w:rPr>
      </w:pPr>
      <w:r w:rsidRPr="0C52B0CB">
        <w:rPr>
          <w:rFonts w:eastAsiaTheme="minorEastAsia"/>
          <w:b/>
        </w:rPr>
        <w:t>Table 1.4</w:t>
      </w:r>
      <w:r>
        <w:tab/>
      </w:r>
      <w:r>
        <w:rPr>
          <w:b/>
        </w:rPr>
        <w:t>R</w:t>
      </w:r>
      <w:r w:rsidR="00F60BFC">
        <w:rPr>
          <w:b/>
        </w:rPr>
        <w:t>esource allocation schedule A</w:t>
      </w:r>
      <w:r w:rsidR="310BEF6C" w:rsidRPr="11F56878">
        <w:rPr>
          <w:b/>
          <w:bCs/>
        </w:rPr>
        <w:t xml:space="preserve"> and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141"/>
        <w:gridCol w:w="2438"/>
        <w:gridCol w:w="2047"/>
      </w:tblGrid>
      <w:tr w:rsidR="00B26FB2" w14:paraId="08A67C37" w14:textId="77777777" w:rsidTr="002135B0">
        <w:trPr>
          <w:trHeight w:val="495"/>
        </w:trPr>
        <w:tc>
          <w:tcPr>
            <w:tcW w:w="1325" w:type="pct"/>
            <w:shd w:val="clear" w:color="auto" w:fill="D9E2F3" w:themeFill="accent1" w:themeFillTint="33"/>
            <w:vAlign w:val="center"/>
          </w:tcPr>
          <w:p w14:paraId="5869CAC9" w14:textId="055AD437" w:rsidR="00B26FB2" w:rsidRPr="00D11316" w:rsidRDefault="00B26FB2" w:rsidP="002135B0">
            <w:pPr>
              <w:spacing w:after="0"/>
              <w:jc w:val="center"/>
              <w:rPr>
                <w:b/>
                <w:bCs/>
                <w:lang w:val="en-US"/>
              </w:rPr>
            </w:pPr>
            <w:r w:rsidRPr="00D11316">
              <w:rPr>
                <w:b/>
                <w:bCs/>
                <w:lang w:val="en-US"/>
              </w:rPr>
              <w:t>Group</w:t>
            </w:r>
          </w:p>
        </w:tc>
        <w:tc>
          <w:tcPr>
            <w:tcW w:w="1187" w:type="pct"/>
            <w:shd w:val="clear" w:color="auto" w:fill="D9E2F3" w:themeFill="accent1" w:themeFillTint="33"/>
            <w:vAlign w:val="center"/>
          </w:tcPr>
          <w:p w14:paraId="53B62BAD" w14:textId="1E5084F5" w:rsidR="00B26FB2" w:rsidRPr="00D11316" w:rsidRDefault="274D2446" w:rsidP="002135B0">
            <w:pPr>
              <w:spacing w:after="0"/>
              <w:jc w:val="center"/>
              <w:rPr>
                <w:b/>
                <w:bCs/>
                <w:lang w:val="en-US"/>
              </w:rPr>
            </w:pPr>
            <w:r w:rsidRPr="274D2446">
              <w:rPr>
                <w:b/>
                <w:bCs/>
                <w:lang w:val="en-US"/>
              </w:rPr>
              <w:t>KIP Stage</w:t>
            </w:r>
          </w:p>
        </w:tc>
        <w:tc>
          <w:tcPr>
            <w:tcW w:w="1352" w:type="pct"/>
            <w:shd w:val="clear" w:color="auto" w:fill="C5E0B3" w:themeFill="accent6" w:themeFillTint="66"/>
            <w:vAlign w:val="center"/>
          </w:tcPr>
          <w:p w14:paraId="26761BF9" w14:textId="799A1026" w:rsidR="00B26FB2" w:rsidRPr="00D11316" w:rsidRDefault="00B26FB2" w:rsidP="002135B0">
            <w:pPr>
              <w:spacing w:after="0"/>
              <w:jc w:val="center"/>
              <w:rPr>
                <w:b/>
                <w:bCs/>
                <w:lang w:val="en-US"/>
              </w:rPr>
            </w:pPr>
            <w:r w:rsidRPr="00D11316">
              <w:rPr>
                <w:b/>
                <w:bCs/>
                <w:lang w:val="en-US"/>
              </w:rPr>
              <w:t>Schedule A</w:t>
            </w:r>
          </w:p>
          <w:p w14:paraId="7473B4DE" w14:textId="266A87C7" w:rsidR="00B26FB2" w:rsidRPr="00D11316" w:rsidRDefault="00B26FB2" w:rsidP="002135B0">
            <w:pPr>
              <w:spacing w:after="0"/>
              <w:jc w:val="center"/>
              <w:rPr>
                <w:b/>
                <w:bCs/>
                <w:lang w:val="en-US"/>
              </w:rPr>
            </w:pPr>
            <w:r w:rsidRPr="00D11316">
              <w:rPr>
                <w:b/>
                <w:bCs/>
                <w:lang w:val="en-US"/>
              </w:rPr>
              <w:t>(% per triennium)</w:t>
            </w:r>
          </w:p>
        </w:tc>
        <w:tc>
          <w:tcPr>
            <w:tcW w:w="1135" w:type="pct"/>
            <w:shd w:val="clear" w:color="auto" w:fill="FFE599" w:themeFill="accent4" w:themeFillTint="66"/>
            <w:vAlign w:val="center"/>
          </w:tcPr>
          <w:p w14:paraId="4798A92F" w14:textId="5FE7AE70" w:rsidR="00B26FB2" w:rsidRPr="00D11316" w:rsidRDefault="274D2446" w:rsidP="002135B0">
            <w:pPr>
              <w:spacing w:after="0"/>
              <w:jc w:val="center"/>
              <w:rPr>
                <w:b/>
                <w:bCs/>
                <w:lang w:val="en-US"/>
              </w:rPr>
            </w:pPr>
            <w:r w:rsidRPr="274D2446">
              <w:rPr>
                <w:b/>
                <w:bCs/>
                <w:lang w:val="en-US"/>
              </w:rPr>
              <w:t>Schedule B</w:t>
            </w:r>
          </w:p>
          <w:p w14:paraId="5D0342D1" w14:textId="561BF406" w:rsidR="00B26FB2" w:rsidRPr="00D11316" w:rsidRDefault="00B26FB2" w:rsidP="002135B0">
            <w:pPr>
              <w:spacing w:after="0"/>
              <w:jc w:val="center"/>
              <w:rPr>
                <w:b/>
                <w:bCs/>
                <w:lang w:val="en-US"/>
              </w:rPr>
            </w:pPr>
            <w:r w:rsidRPr="00D11316">
              <w:rPr>
                <w:b/>
                <w:bCs/>
                <w:lang w:val="en-US"/>
              </w:rPr>
              <w:t>(% per triennium)</w:t>
            </w:r>
          </w:p>
        </w:tc>
      </w:tr>
      <w:tr w:rsidR="00907DBF" w14:paraId="62514090" w14:textId="77777777" w:rsidTr="002135B0">
        <w:trPr>
          <w:trHeight w:val="495"/>
        </w:trPr>
        <w:tc>
          <w:tcPr>
            <w:tcW w:w="1325" w:type="pct"/>
            <w:vMerge w:val="restart"/>
            <w:vAlign w:val="center"/>
          </w:tcPr>
          <w:p w14:paraId="494D9D04" w14:textId="4757EDF9" w:rsidR="00907DBF" w:rsidRDefault="00907DBF" w:rsidP="00F860C3">
            <w:pPr>
              <w:spacing w:after="0"/>
              <w:rPr>
                <w:lang w:val="en-US"/>
              </w:rPr>
            </w:pPr>
            <w:r w:rsidRPr="4DBB2B28">
              <w:rPr>
                <w:lang w:val="en-US"/>
              </w:rPr>
              <w:t>G1 parties without KIPs</w:t>
            </w:r>
            <w:r w:rsidRPr="4DBB2B28">
              <w:t xml:space="preserve"> </w:t>
            </w:r>
          </w:p>
        </w:tc>
        <w:tc>
          <w:tcPr>
            <w:tcW w:w="1187" w:type="pct"/>
            <w:vAlign w:val="center"/>
          </w:tcPr>
          <w:p w14:paraId="139BC69A" w14:textId="2E86B5E1" w:rsidR="00907DBF" w:rsidRPr="4DBB2B28" w:rsidRDefault="00907DBF" w:rsidP="002135B0">
            <w:pPr>
              <w:spacing w:after="0"/>
              <w:jc w:val="center"/>
              <w:rPr>
                <w:lang w:val="en-US"/>
              </w:rPr>
            </w:pPr>
            <w:r>
              <w:rPr>
                <w:lang w:val="en-US"/>
              </w:rPr>
              <w:t>I</w:t>
            </w:r>
          </w:p>
        </w:tc>
        <w:tc>
          <w:tcPr>
            <w:tcW w:w="1352" w:type="pct"/>
            <w:shd w:val="clear" w:color="auto" w:fill="E2EFD9" w:themeFill="accent6" w:themeFillTint="33"/>
            <w:vAlign w:val="center"/>
          </w:tcPr>
          <w:p w14:paraId="09D14D43" w14:textId="1936B75D" w:rsidR="00907DBF" w:rsidRDefault="00907DBF" w:rsidP="002135B0">
            <w:pPr>
              <w:spacing w:after="0"/>
              <w:jc w:val="center"/>
              <w:rPr>
                <w:lang w:val="en-US"/>
              </w:rPr>
            </w:pPr>
            <w:r w:rsidRPr="4DBB2B28">
              <w:rPr>
                <w:lang w:val="en-US"/>
              </w:rPr>
              <w:t>100% - 2027-2029</w:t>
            </w:r>
          </w:p>
        </w:tc>
        <w:tc>
          <w:tcPr>
            <w:tcW w:w="1135" w:type="pct"/>
            <w:shd w:val="clear" w:color="auto" w:fill="FFF2CC" w:themeFill="accent4" w:themeFillTint="33"/>
            <w:vAlign w:val="center"/>
          </w:tcPr>
          <w:p w14:paraId="0F35981B" w14:textId="63252D05" w:rsidR="00907DBF" w:rsidRDefault="00907DBF" w:rsidP="002135B0">
            <w:pPr>
              <w:spacing w:after="0"/>
              <w:jc w:val="center"/>
              <w:rPr>
                <w:lang w:val="en-US"/>
              </w:rPr>
            </w:pPr>
            <w:r w:rsidRPr="4DBB2B28">
              <w:rPr>
                <w:lang w:val="en-US"/>
              </w:rPr>
              <w:t>90% - 2027-2029</w:t>
            </w:r>
          </w:p>
          <w:p w14:paraId="0E48C0CD" w14:textId="243D0889" w:rsidR="00907DBF" w:rsidRDefault="00907DBF" w:rsidP="002135B0">
            <w:pPr>
              <w:spacing w:after="0"/>
              <w:jc w:val="center"/>
              <w:rPr>
                <w:lang w:val="en-US"/>
              </w:rPr>
            </w:pPr>
            <w:r w:rsidRPr="4DBB2B28">
              <w:rPr>
                <w:lang w:val="en-US"/>
              </w:rPr>
              <w:t>10% - 2030-2032</w:t>
            </w:r>
          </w:p>
        </w:tc>
      </w:tr>
      <w:tr w:rsidR="00907DBF" w14:paraId="3A976D42" w14:textId="77777777" w:rsidTr="002135B0">
        <w:trPr>
          <w:trHeight w:val="420"/>
        </w:trPr>
        <w:tc>
          <w:tcPr>
            <w:tcW w:w="1325" w:type="pct"/>
            <w:vMerge/>
            <w:vAlign w:val="center"/>
          </w:tcPr>
          <w:p w14:paraId="168A68C0" w14:textId="4B3F00D3" w:rsidR="00907DBF" w:rsidRDefault="00907DBF" w:rsidP="00AE06AA">
            <w:pPr>
              <w:spacing w:after="0"/>
              <w:rPr>
                <w:lang w:val="en-US"/>
              </w:rPr>
            </w:pPr>
          </w:p>
        </w:tc>
        <w:tc>
          <w:tcPr>
            <w:tcW w:w="1187" w:type="pct"/>
            <w:vAlign w:val="center"/>
          </w:tcPr>
          <w:p w14:paraId="2903BD75" w14:textId="50C32AF0" w:rsidR="00907DBF" w:rsidRPr="4DBB2B28" w:rsidRDefault="00907DBF" w:rsidP="002135B0">
            <w:pPr>
              <w:spacing w:after="0"/>
              <w:jc w:val="center"/>
              <w:rPr>
                <w:lang w:val="en-US"/>
              </w:rPr>
            </w:pPr>
            <w:r>
              <w:rPr>
                <w:lang w:val="en-US"/>
              </w:rPr>
              <w:t>II</w:t>
            </w:r>
          </w:p>
        </w:tc>
        <w:tc>
          <w:tcPr>
            <w:tcW w:w="1352" w:type="pct"/>
            <w:shd w:val="clear" w:color="auto" w:fill="E2EFD9" w:themeFill="accent6" w:themeFillTint="33"/>
            <w:vAlign w:val="center"/>
          </w:tcPr>
          <w:p w14:paraId="7F337A7B" w14:textId="547D42F0" w:rsidR="00907DBF" w:rsidRDefault="00907DBF" w:rsidP="002135B0">
            <w:pPr>
              <w:spacing w:after="0"/>
              <w:jc w:val="center"/>
              <w:rPr>
                <w:lang w:val="en-US"/>
              </w:rPr>
            </w:pPr>
            <w:r w:rsidRPr="4DBB2B28">
              <w:rPr>
                <w:lang w:val="en-US"/>
              </w:rPr>
              <w:t>60% - 2030-2032</w:t>
            </w:r>
          </w:p>
          <w:p w14:paraId="1D03817B" w14:textId="647DE2DA" w:rsidR="00907DBF" w:rsidRDefault="00907DBF" w:rsidP="002135B0">
            <w:pPr>
              <w:spacing w:after="0"/>
              <w:jc w:val="center"/>
              <w:rPr>
                <w:lang w:val="en-US"/>
              </w:rPr>
            </w:pPr>
            <w:r w:rsidRPr="4DBB2B28">
              <w:t>40% - 2033-2035</w:t>
            </w:r>
          </w:p>
        </w:tc>
        <w:tc>
          <w:tcPr>
            <w:tcW w:w="1135" w:type="pct"/>
            <w:shd w:val="clear" w:color="auto" w:fill="E2EFD9" w:themeFill="accent6" w:themeFillTint="33"/>
            <w:vAlign w:val="center"/>
          </w:tcPr>
          <w:p w14:paraId="10A661AC" w14:textId="4C74B417" w:rsidR="00907DBF" w:rsidRDefault="00907DBF" w:rsidP="002135B0">
            <w:pPr>
              <w:spacing w:after="0"/>
              <w:jc w:val="center"/>
              <w:rPr>
                <w:lang w:val="en-US"/>
              </w:rPr>
            </w:pPr>
            <w:r w:rsidRPr="4DBB2B28">
              <w:rPr>
                <w:lang w:val="en-US"/>
              </w:rPr>
              <w:t>60% - 2030-2032</w:t>
            </w:r>
          </w:p>
          <w:p w14:paraId="643DC7EE" w14:textId="342DA99A" w:rsidR="00907DBF" w:rsidRDefault="00907DBF" w:rsidP="002135B0">
            <w:pPr>
              <w:spacing w:after="0"/>
              <w:jc w:val="center"/>
              <w:rPr>
                <w:lang w:val="en-US"/>
              </w:rPr>
            </w:pPr>
            <w:r w:rsidRPr="4DBB2B28">
              <w:t>40% - 2033-2035</w:t>
            </w:r>
          </w:p>
        </w:tc>
      </w:tr>
      <w:tr w:rsidR="00B26FB2" w14:paraId="10686091" w14:textId="77777777" w:rsidTr="002135B0">
        <w:trPr>
          <w:trHeight w:val="390"/>
        </w:trPr>
        <w:tc>
          <w:tcPr>
            <w:tcW w:w="1325" w:type="pct"/>
            <w:vAlign w:val="center"/>
          </w:tcPr>
          <w:p w14:paraId="51ECF73A" w14:textId="4695E7C0" w:rsidR="00B26FB2" w:rsidRPr="000F7E13" w:rsidRDefault="274D2446" w:rsidP="00AE06AA">
            <w:pPr>
              <w:spacing w:after="0"/>
              <w:rPr>
                <w:lang w:val="en-US"/>
              </w:rPr>
            </w:pPr>
            <w:r w:rsidRPr="274D2446">
              <w:rPr>
                <w:lang w:val="en-US"/>
              </w:rPr>
              <w:t>G1 parties with KIPs</w:t>
            </w:r>
            <w:r>
              <w:t xml:space="preserve"> </w:t>
            </w:r>
            <w:r w:rsidRPr="274D2446">
              <w:rPr>
                <w:lang w:val="en-US"/>
              </w:rPr>
              <w:t xml:space="preserve"> </w:t>
            </w:r>
          </w:p>
        </w:tc>
        <w:tc>
          <w:tcPr>
            <w:tcW w:w="1187" w:type="pct"/>
            <w:vAlign w:val="center"/>
          </w:tcPr>
          <w:p w14:paraId="64F9C493" w14:textId="36AEC1E9" w:rsidR="00B26FB2" w:rsidRPr="4DBB2B28" w:rsidRDefault="008737D5" w:rsidP="002135B0">
            <w:pPr>
              <w:spacing w:after="0"/>
              <w:jc w:val="center"/>
              <w:rPr>
                <w:lang w:val="en-US"/>
              </w:rPr>
            </w:pPr>
            <w:r>
              <w:rPr>
                <w:lang w:val="en-US"/>
              </w:rPr>
              <w:t>II</w:t>
            </w:r>
          </w:p>
        </w:tc>
        <w:tc>
          <w:tcPr>
            <w:tcW w:w="1352" w:type="pct"/>
            <w:shd w:val="clear" w:color="auto" w:fill="E2EFD9" w:themeFill="accent6" w:themeFillTint="33"/>
            <w:vAlign w:val="center"/>
          </w:tcPr>
          <w:p w14:paraId="3301598F" w14:textId="56D04B37" w:rsidR="00B26FB2" w:rsidRDefault="00B26FB2" w:rsidP="002135B0">
            <w:pPr>
              <w:spacing w:after="0"/>
              <w:jc w:val="center"/>
              <w:rPr>
                <w:lang w:val="en-US"/>
              </w:rPr>
            </w:pPr>
            <w:r w:rsidRPr="4DBB2B28">
              <w:rPr>
                <w:lang w:val="en-US"/>
              </w:rPr>
              <w:t>60% - 2027-2029</w:t>
            </w:r>
          </w:p>
          <w:p w14:paraId="791B4C5F" w14:textId="0FE267C2" w:rsidR="00B26FB2" w:rsidRDefault="00B26FB2" w:rsidP="002135B0">
            <w:pPr>
              <w:spacing w:after="0"/>
              <w:jc w:val="center"/>
              <w:rPr>
                <w:lang w:val="en-US"/>
              </w:rPr>
            </w:pPr>
            <w:r w:rsidRPr="4DBB2B28">
              <w:t>40% - 2030-2032</w:t>
            </w:r>
          </w:p>
        </w:tc>
        <w:tc>
          <w:tcPr>
            <w:tcW w:w="1135" w:type="pct"/>
            <w:shd w:val="clear" w:color="auto" w:fill="FFF2CC" w:themeFill="accent4" w:themeFillTint="33"/>
            <w:vAlign w:val="center"/>
          </w:tcPr>
          <w:p w14:paraId="07B216C0" w14:textId="7BB32ABB" w:rsidR="00B26FB2" w:rsidRDefault="00B26FB2" w:rsidP="002135B0">
            <w:pPr>
              <w:spacing w:after="0"/>
              <w:jc w:val="center"/>
              <w:rPr>
                <w:lang w:val="en-US"/>
              </w:rPr>
            </w:pPr>
            <w:r w:rsidRPr="4DBB2B28">
              <w:rPr>
                <w:lang w:val="en-US"/>
              </w:rPr>
              <w:t>60% - 2030-2032</w:t>
            </w:r>
          </w:p>
          <w:p w14:paraId="511F95BE" w14:textId="237B3D0C" w:rsidR="00B26FB2" w:rsidRDefault="00B26FB2" w:rsidP="002135B0">
            <w:pPr>
              <w:spacing w:after="0"/>
              <w:jc w:val="center"/>
              <w:rPr>
                <w:lang w:val="en-US"/>
              </w:rPr>
            </w:pPr>
            <w:r w:rsidRPr="4DBB2B28">
              <w:t>40% - 2033-2035</w:t>
            </w:r>
          </w:p>
        </w:tc>
      </w:tr>
      <w:tr w:rsidR="00B26FB2" w14:paraId="4BD17114" w14:textId="77777777" w:rsidTr="002135B0">
        <w:trPr>
          <w:trHeight w:val="285"/>
        </w:trPr>
        <w:tc>
          <w:tcPr>
            <w:tcW w:w="1325" w:type="pct"/>
            <w:vAlign w:val="center"/>
          </w:tcPr>
          <w:p w14:paraId="1F41AA21" w14:textId="48833A4E" w:rsidR="00B26FB2" w:rsidRDefault="00B26FB2" w:rsidP="00AE06AA">
            <w:pPr>
              <w:spacing w:after="0"/>
              <w:rPr>
                <w:lang w:val="en-US"/>
              </w:rPr>
            </w:pPr>
            <w:r w:rsidRPr="4DBB2B28">
              <w:rPr>
                <w:lang w:val="en-US"/>
              </w:rPr>
              <w:t>G2 parties without KIPs</w:t>
            </w:r>
            <w:r w:rsidRPr="4DBB2B28">
              <w:t xml:space="preserve"> </w:t>
            </w:r>
            <w:r w:rsidRPr="4DBB2B28">
              <w:rPr>
                <w:lang w:val="en-US"/>
              </w:rPr>
              <w:t xml:space="preserve"> </w:t>
            </w:r>
          </w:p>
        </w:tc>
        <w:tc>
          <w:tcPr>
            <w:tcW w:w="1187" w:type="pct"/>
            <w:vAlign w:val="center"/>
          </w:tcPr>
          <w:p w14:paraId="07736AFF" w14:textId="3F25D038" w:rsidR="00B26FB2" w:rsidRPr="4DBB2B28" w:rsidRDefault="008737D5" w:rsidP="002135B0">
            <w:pPr>
              <w:spacing w:after="0"/>
              <w:jc w:val="center"/>
              <w:rPr>
                <w:lang w:val="en-US"/>
              </w:rPr>
            </w:pPr>
            <w:r>
              <w:rPr>
                <w:lang w:val="en-US"/>
              </w:rPr>
              <w:t>I</w:t>
            </w:r>
          </w:p>
        </w:tc>
        <w:tc>
          <w:tcPr>
            <w:tcW w:w="1352" w:type="pct"/>
            <w:shd w:val="clear" w:color="auto" w:fill="E2EFD9" w:themeFill="accent6" w:themeFillTint="33"/>
            <w:vAlign w:val="center"/>
          </w:tcPr>
          <w:p w14:paraId="6B934EF0" w14:textId="49E1CB9A" w:rsidR="00B26FB2" w:rsidRDefault="00B26FB2" w:rsidP="002135B0">
            <w:pPr>
              <w:spacing w:after="0"/>
              <w:jc w:val="center"/>
              <w:rPr>
                <w:lang w:val="en-US"/>
              </w:rPr>
            </w:pPr>
            <w:r w:rsidRPr="4DBB2B28">
              <w:rPr>
                <w:lang w:val="en-US"/>
              </w:rPr>
              <w:t>60% - 2027-2029</w:t>
            </w:r>
          </w:p>
          <w:p w14:paraId="1E4F5D32" w14:textId="764CAF67" w:rsidR="00B26FB2" w:rsidRDefault="00B26FB2" w:rsidP="002135B0">
            <w:pPr>
              <w:spacing w:after="0"/>
              <w:jc w:val="center"/>
              <w:rPr>
                <w:lang w:val="en-US"/>
              </w:rPr>
            </w:pPr>
            <w:r w:rsidRPr="53A93E24">
              <w:t>40% - 2030-2032</w:t>
            </w:r>
          </w:p>
        </w:tc>
        <w:tc>
          <w:tcPr>
            <w:tcW w:w="1135" w:type="pct"/>
            <w:shd w:val="clear" w:color="auto" w:fill="FFF2CC" w:themeFill="accent4" w:themeFillTint="33"/>
            <w:vAlign w:val="center"/>
          </w:tcPr>
          <w:p w14:paraId="6DC100FA" w14:textId="1D87F5A7" w:rsidR="00B26FB2" w:rsidRDefault="00B26FB2" w:rsidP="002135B0">
            <w:pPr>
              <w:spacing w:after="0"/>
              <w:jc w:val="center"/>
              <w:rPr>
                <w:lang w:val="en-US"/>
              </w:rPr>
            </w:pPr>
            <w:r w:rsidRPr="4DBB2B28">
              <w:rPr>
                <w:lang w:val="en-US"/>
              </w:rPr>
              <w:t>90% - 2030-2032</w:t>
            </w:r>
          </w:p>
          <w:p w14:paraId="7E39DA19" w14:textId="4E2B092A" w:rsidR="00B26FB2" w:rsidRDefault="00B26FB2" w:rsidP="002135B0">
            <w:pPr>
              <w:spacing w:after="0"/>
              <w:jc w:val="center"/>
              <w:rPr>
                <w:lang w:val="en-US"/>
              </w:rPr>
            </w:pPr>
            <w:r w:rsidRPr="7127C3C4">
              <w:t>10% - 2033-2035</w:t>
            </w:r>
          </w:p>
        </w:tc>
      </w:tr>
    </w:tbl>
    <w:p w14:paraId="786F265E" w14:textId="3DE3C8B6" w:rsidR="230CEA56" w:rsidRDefault="230CEA56" w:rsidP="004D4C11"/>
    <w:p w14:paraId="38EC8750" w14:textId="140BA859" w:rsidR="00E14966" w:rsidRPr="009B4812" w:rsidRDefault="00E14966" w:rsidP="1E10EEA9">
      <w:r>
        <w:t xml:space="preserve">The </w:t>
      </w:r>
      <w:r w:rsidR="009B4812">
        <w:t>two resource allocation schedules differ in</w:t>
      </w:r>
      <w:r w:rsidR="009258BE">
        <w:t xml:space="preserve"> the percentage of the KIP </w:t>
      </w:r>
      <w:r w:rsidR="21970763">
        <w:t>funding</w:t>
      </w:r>
      <w:r w:rsidR="009258BE">
        <w:t xml:space="preserve"> to be allocated to </w:t>
      </w:r>
      <w:r w:rsidR="480ACF6E">
        <w:t xml:space="preserve">each </w:t>
      </w:r>
      <w:r w:rsidR="009258BE">
        <w:t xml:space="preserve">different </w:t>
      </w:r>
      <w:r w:rsidR="60CB9F01">
        <w:t>triennium</w:t>
      </w:r>
      <w:r w:rsidR="00722F40">
        <w:t xml:space="preserve">. </w:t>
      </w:r>
    </w:p>
    <w:p w14:paraId="5A6A1FE3" w14:textId="578EF129" w:rsidR="00E14966" w:rsidRPr="009B4812" w:rsidRDefault="274D2446" w:rsidP="274D2446">
      <w:pPr>
        <w:pStyle w:val="ListParagraph"/>
      </w:pPr>
      <w:r>
        <w:t xml:space="preserve">For G1 and G2 parties </w:t>
      </w:r>
      <w:r w:rsidRPr="274D2446">
        <w:rPr>
          <w:u w:val="single"/>
        </w:rPr>
        <w:t>without KIPs,</w:t>
      </w:r>
      <w:r>
        <w:t xml:space="preserve"> schedule A for funding Stage I is faster while schedules A and B are the same for funding Stage II for G1 parties without KIPs.</w:t>
      </w:r>
    </w:p>
    <w:p w14:paraId="5C309CD9" w14:textId="7AA2A21F" w:rsidR="5F431454" w:rsidRDefault="649D8333" w:rsidP="000E79CB">
      <w:pPr>
        <w:pStyle w:val="ListParagraph"/>
        <w:numPr>
          <w:ilvl w:val="0"/>
          <w:numId w:val="71"/>
        </w:numPr>
      </w:pPr>
      <w:r>
        <w:t xml:space="preserve">For </w:t>
      </w:r>
      <w:r w:rsidR="51C8130C">
        <w:t>G1</w:t>
      </w:r>
      <w:r>
        <w:t xml:space="preserve"> parties </w:t>
      </w:r>
      <w:r w:rsidRPr="00286611">
        <w:rPr>
          <w:u w:val="single"/>
        </w:rPr>
        <w:t xml:space="preserve">with </w:t>
      </w:r>
      <w:r>
        <w:t>KIPs</w:t>
      </w:r>
      <w:r w:rsidR="6D348763">
        <w:t xml:space="preserve"> </w:t>
      </w:r>
      <w:r w:rsidR="0074129B">
        <w:t>S</w:t>
      </w:r>
      <w:r w:rsidR="6D348763">
        <w:t>tage I</w:t>
      </w:r>
      <w:r w:rsidR="14D12056">
        <w:t xml:space="preserve">, </w:t>
      </w:r>
      <w:r w:rsidR="54A56D9B">
        <w:t xml:space="preserve">schedule </w:t>
      </w:r>
      <w:r w:rsidR="37C643CD">
        <w:t>A</w:t>
      </w:r>
      <w:r w:rsidR="00DB02BD">
        <w:t xml:space="preserve"> </w:t>
      </w:r>
      <w:r w:rsidR="0074129B">
        <w:t xml:space="preserve">proposes faster funding </w:t>
      </w:r>
      <w:r w:rsidR="00DB02BD">
        <w:t xml:space="preserve">for </w:t>
      </w:r>
      <w:r w:rsidR="0074129B">
        <w:t>S</w:t>
      </w:r>
      <w:r w:rsidR="00DB02BD">
        <w:t>tage II</w:t>
      </w:r>
      <w:r w:rsidR="506F68CF">
        <w:t>.</w:t>
      </w:r>
      <w:r w:rsidR="5F431454">
        <w:t xml:space="preserve"> </w:t>
      </w:r>
    </w:p>
    <w:p w14:paraId="76B728B8" w14:textId="6A7965A7" w:rsidR="00EB6326" w:rsidRDefault="00EB6326" w:rsidP="007C77CF">
      <w:pPr>
        <w:pStyle w:val="Heading3"/>
      </w:pPr>
      <w:bookmarkStart w:id="125" w:name="_Toc230099044"/>
      <w:r w:rsidRPr="00E42C5E">
        <w:t>1.</w:t>
      </w:r>
      <w:r>
        <w:t>6</w:t>
      </w:r>
      <w:r w:rsidRPr="00E42C5E">
        <w:t>.</w:t>
      </w:r>
      <w:r w:rsidR="00EE6FE9">
        <w:t>4</w:t>
      </w:r>
      <w:r w:rsidRPr="00E42C5E">
        <w:tab/>
      </w:r>
      <w:r>
        <w:t>Institutional strengthening and standard activities</w:t>
      </w:r>
      <w:r w:rsidR="00742E67">
        <w:t xml:space="preserve"> estimated funding requirements</w:t>
      </w:r>
      <w:bookmarkEnd w:id="125"/>
    </w:p>
    <w:p w14:paraId="3F07AEEB" w14:textId="66888A88" w:rsidR="0092653D" w:rsidRDefault="00090715" w:rsidP="0092653D">
      <w:r w:rsidRPr="00090715">
        <w:t xml:space="preserve">The estimated funding </w:t>
      </w:r>
      <w:r>
        <w:t xml:space="preserve">requirement for IS and </w:t>
      </w:r>
      <w:r w:rsidR="00163FDB">
        <w:t xml:space="preserve">SA </w:t>
      </w:r>
      <w:r w:rsidRPr="00090715">
        <w:t>is presented in Chapter 5.</w:t>
      </w:r>
    </w:p>
    <w:p w14:paraId="2BFCC7F3" w14:textId="329FD740" w:rsidR="00A6547B" w:rsidRPr="00A6547B" w:rsidRDefault="00A6547B" w:rsidP="00A6547B">
      <w:r w:rsidRPr="00A6547B">
        <w:t xml:space="preserve">The estimated funding necessary to cover the </w:t>
      </w:r>
      <w:r w:rsidR="00537F45">
        <w:t>IS</w:t>
      </w:r>
      <w:r w:rsidRPr="00A6547B">
        <w:t xml:space="preserve"> project of each party follows the criteria agreed by </w:t>
      </w:r>
      <w:r w:rsidR="00092776">
        <w:t>ExCom</w:t>
      </w:r>
      <w:r w:rsidR="00AA6E03">
        <w:t>-91</w:t>
      </w:r>
      <w:r w:rsidR="00092776">
        <w:t xml:space="preserve"> </w:t>
      </w:r>
      <w:r w:rsidRPr="00A6547B">
        <w:t xml:space="preserve">in Decision 91/63, </w:t>
      </w:r>
      <w:r w:rsidR="00092776">
        <w:t>which</w:t>
      </w:r>
      <w:r w:rsidRPr="00A6547B">
        <w:t xml:space="preserve"> defined an increase in funding for all IS projects and renewals at a level 38% higher than that agreed at </w:t>
      </w:r>
      <w:r w:rsidR="008C5300">
        <w:t>ExCom-74</w:t>
      </w:r>
      <w:r w:rsidRPr="00A6547B">
        <w:t>, with a minimum level of funding of US$</w:t>
      </w:r>
      <w:r w:rsidR="00745EDB">
        <w:t xml:space="preserve"> </w:t>
      </w:r>
      <w:r w:rsidRPr="00A6547B">
        <w:t xml:space="preserve">60,000 </w:t>
      </w:r>
      <w:r w:rsidRPr="00A6547B">
        <w:lastRenderedPageBreak/>
        <w:t xml:space="preserve">per year and to extend the duration of IS renewal implementation phases from two years to three years for IS renewal proposals submitted from </w:t>
      </w:r>
      <w:r w:rsidR="008C5300">
        <w:t>ExCom-92</w:t>
      </w:r>
      <w:r w:rsidRPr="00A6547B">
        <w:t xml:space="preserve"> onwards. </w:t>
      </w:r>
    </w:p>
    <w:p w14:paraId="1B8F738C" w14:textId="6383C1EC" w:rsidR="00A6547B" w:rsidRPr="00A6547B" w:rsidRDefault="0D90FF84" w:rsidP="00A6547B">
      <w:r w:rsidRPr="00A6547B">
        <w:t xml:space="preserve">The </w:t>
      </w:r>
      <w:r w:rsidR="4BEDB99A">
        <w:t>SA</w:t>
      </w:r>
      <w:r w:rsidRPr="00A6547B">
        <w:t xml:space="preserve"> funding cover</w:t>
      </w:r>
      <w:r w:rsidR="6C49AF1C" w:rsidRPr="00A6547B">
        <w:t>s</w:t>
      </w:r>
      <w:r w:rsidR="00A6547B" w:rsidDel="0D90FF84">
        <w:t xml:space="preserve"> </w:t>
      </w:r>
      <w:r w:rsidRPr="00A6547B">
        <w:t xml:space="preserve">the </w:t>
      </w:r>
      <w:r w:rsidR="006A0067">
        <w:t>U</w:t>
      </w:r>
      <w:r w:rsidRPr="00A6547B">
        <w:t>NEP</w:t>
      </w:r>
      <w:r w:rsidR="003F3EB9">
        <w:t xml:space="preserve"> C</w:t>
      </w:r>
      <w:r w:rsidRPr="00A6547B">
        <w:t xml:space="preserve">AP; the core unit cost of the </w:t>
      </w:r>
      <w:r w:rsidR="67AF97C7">
        <w:t>IA</w:t>
      </w:r>
      <w:r w:rsidR="3BB47FF4">
        <w:t>s</w:t>
      </w:r>
      <w:r w:rsidRPr="00A6547B">
        <w:t>: U</w:t>
      </w:r>
      <w:r w:rsidR="00185768">
        <w:t>nited Nation</w:t>
      </w:r>
      <w:r w:rsidR="00D77251">
        <w:t>s</w:t>
      </w:r>
      <w:r w:rsidR="00185768">
        <w:t xml:space="preserve"> Development Programme (U</w:t>
      </w:r>
      <w:r w:rsidRPr="00A6547B">
        <w:t>NDP</w:t>
      </w:r>
      <w:r w:rsidR="00185768">
        <w:t>)</w:t>
      </w:r>
      <w:r w:rsidRPr="00A6547B">
        <w:t xml:space="preserve">, </w:t>
      </w:r>
      <w:r w:rsidR="00185768">
        <w:t>United Nation</w:t>
      </w:r>
      <w:r w:rsidR="00D77251">
        <w:t>s</w:t>
      </w:r>
      <w:r w:rsidR="00185768">
        <w:t xml:space="preserve"> Industrial Development Organization (</w:t>
      </w:r>
      <w:r w:rsidRPr="00A6547B">
        <w:t>UNIDO</w:t>
      </w:r>
      <w:r w:rsidR="00185768">
        <w:t>)</w:t>
      </w:r>
      <w:r w:rsidRPr="00A6547B">
        <w:t>, and the World Bank</w:t>
      </w:r>
      <w:r w:rsidR="00185768">
        <w:t xml:space="preserve"> (WB)</w:t>
      </w:r>
      <w:r w:rsidRPr="00A6547B">
        <w:t xml:space="preserve">; and the funding of the </w:t>
      </w:r>
      <w:r w:rsidR="00AF291D">
        <w:t>ExCom</w:t>
      </w:r>
      <w:r w:rsidRPr="00A6547B">
        <w:t>, the MLF</w:t>
      </w:r>
      <w:r w:rsidR="4BEDB99A">
        <w:t>S</w:t>
      </w:r>
      <w:r w:rsidRPr="00A6547B">
        <w:t xml:space="preserve"> including the monitoring and evaluation functions</w:t>
      </w:r>
      <w:r w:rsidR="4BEDB99A">
        <w:t>,</w:t>
      </w:r>
      <w:r w:rsidRPr="00A6547B">
        <w:t xml:space="preserve"> as well as UNEP’s Treasurer function. </w:t>
      </w:r>
      <w:r w:rsidR="05356822">
        <w:t>The estimated funding for the</w:t>
      </w:r>
      <w:r w:rsidR="09B79458">
        <w:t xml:space="preserve">se </w:t>
      </w:r>
      <w:r w:rsidRPr="00A6547B">
        <w:t xml:space="preserve">were informed by </w:t>
      </w:r>
      <w:r w:rsidR="00A000D4">
        <w:t>BP</w:t>
      </w:r>
      <w:r w:rsidR="00D02575">
        <w:t xml:space="preserve"> </w:t>
      </w:r>
      <w:r w:rsidRPr="0086729F">
        <w:rPr>
          <w:color w:val="auto"/>
        </w:rPr>
        <w:t>a</w:t>
      </w:r>
      <w:r w:rsidRPr="7237EA93">
        <w:rPr>
          <w:color w:val="auto"/>
        </w:rPr>
        <w:t xml:space="preserve">nd </w:t>
      </w:r>
      <w:r w:rsidRPr="00A6547B">
        <w:t xml:space="preserve">the 2027 and 2028 MLF budget as approved by the ExCom as well as by the relevant decisions and budgetary practices of the ExCom. </w:t>
      </w:r>
    </w:p>
    <w:p w14:paraId="1799FC24" w14:textId="164B2D63" w:rsidR="002975C5" w:rsidRDefault="274D2446" w:rsidP="00A6547B">
      <w:r>
        <w:t xml:space="preserve">The RTF has discussed different options to estimate funding for future triennia 2030-2032 and 2033-2035, under different elements and criteria. RTF first considered the estimated funding requirement for the 2027-2029 triennium and the average amount of previous replenishments. It has also considered the relative changes of workload and institutional structure of the MLFS and the IAs over the years. It is important to highlight that over these years, the institutional structure of the MLF and the IAs have remained the same with relatively minor increases in staffing in comparison to the increase the volume and complexity of work. The degree of complexity of this work has increased with the adoption of the </w:t>
      </w:r>
      <w:r w:rsidR="00AF291D">
        <w:t>KA</w:t>
      </w:r>
      <w:r>
        <w:t xml:space="preserve"> and additional considerations such as </w:t>
      </w:r>
      <w:r w:rsidR="00A16799">
        <w:t>EE</w:t>
      </w:r>
      <w:r>
        <w:t xml:space="preserve">, to the preparation and implementation of projects. </w:t>
      </w:r>
    </w:p>
    <w:p w14:paraId="69507329" w14:textId="0E2FBFFC" w:rsidR="00A6547B" w:rsidRPr="00A6547B" w:rsidRDefault="274D2446" w:rsidP="274D2446">
      <w:pPr>
        <w:rPr>
          <w:i/>
          <w:iCs/>
        </w:rPr>
      </w:pPr>
      <w:r>
        <w:t>The RTF has included a 3% annual increase in professional staff salaries for IS and SA for future triennia, which it considers to be inadequate considering the above considerations. The RTF looks for further guidance from parties to estimate more realistic scenarios for staff support for funding future triennia, especially considering the expected review of IS in 202</w:t>
      </w:r>
      <w:r w:rsidR="00822F8B">
        <w:t>8</w:t>
      </w:r>
      <w:r>
        <w:t>.</w:t>
      </w:r>
    </w:p>
    <w:p w14:paraId="18C17D2E" w14:textId="1B6B911E" w:rsidR="00A36044" w:rsidRDefault="00A36044" w:rsidP="007C77CF">
      <w:pPr>
        <w:pStyle w:val="Heading3"/>
      </w:pPr>
      <w:bookmarkStart w:id="126" w:name="_Toc230099045"/>
      <w:r w:rsidRPr="00E42C5E">
        <w:t>1.</w:t>
      </w:r>
      <w:r>
        <w:t>6</w:t>
      </w:r>
      <w:r w:rsidRPr="00E42C5E">
        <w:t>.</w:t>
      </w:r>
      <w:r w:rsidR="00EE6FE9">
        <w:t>5</w:t>
      </w:r>
      <w:r w:rsidRPr="00E42C5E">
        <w:tab/>
      </w:r>
      <w:r>
        <w:t>Energy efficiency</w:t>
      </w:r>
      <w:r w:rsidR="00742E67">
        <w:t xml:space="preserve"> estimated funding requirements</w:t>
      </w:r>
      <w:bookmarkEnd w:id="126"/>
    </w:p>
    <w:p w14:paraId="08FEAEDA" w14:textId="19AB09EE" w:rsidR="00DA701E" w:rsidRPr="00400AF2" w:rsidRDefault="00542ED5" w:rsidP="00AA2B5F">
      <w:r>
        <w:t xml:space="preserve">Chapter 7 of this report </w:t>
      </w:r>
      <w:r w:rsidR="008F1C9B">
        <w:t xml:space="preserve">reviews the </w:t>
      </w:r>
      <w:r w:rsidR="001713C7">
        <w:t xml:space="preserve">following ExCom decisions related to funding for EE </w:t>
      </w:r>
      <w:r w:rsidR="008F1C9B">
        <w:t xml:space="preserve">which are incorporated into the RTF </w:t>
      </w:r>
      <w:r w:rsidR="00CD7377">
        <w:t>estimated funding requirements for the HCFC phase-out and HFC phase-down in the 2027-2029 triennium:</w:t>
      </w:r>
    </w:p>
    <w:p w14:paraId="2D869A71" w14:textId="65330512" w:rsidR="00DA701E" w:rsidRPr="007424E1" w:rsidRDefault="00DA701E" w:rsidP="000E79CB">
      <w:pPr>
        <w:numPr>
          <w:ilvl w:val="0"/>
          <w:numId w:val="17"/>
        </w:numPr>
        <w:tabs>
          <w:tab w:val="clear" w:pos="0"/>
        </w:tabs>
        <w:spacing w:after="120"/>
      </w:pPr>
      <w:r w:rsidRPr="007424E1">
        <w:t>Decision 89/6 established a funding table and defined additional activities for inclusion in existing and future HPMPs for LVC countries in response to paragraph 16 of decision XXVIII/2 and paragraph 2 of decision XXX/5 of the </w:t>
      </w:r>
      <w:r w:rsidR="000C4623">
        <w:t>p</w:t>
      </w:r>
      <w:r w:rsidRPr="007424E1">
        <w:t>arties – as described in chapter 2, section 2.4.6.</w:t>
      </w:r>
    </w:p>
    <w:p w14:paraId="1FDFB233" w14:textId="7D4E554A" w:rsidR="00DA701E" w:rsidRPr="007424E1" w:rsidRDefault="00DA701E" w:rsidP="000E79CB">
      <w:pPr>
        <w:numPr>
          <w:ilvl w:val="0"/>
          <w:numId w:val="17"/>
        </w:numPr>
        <w:tabs>
          <w:tab w:val="clear" w:pos="0"/>
        </w:tabs>
        <w:spacing w:after="120"/>
      </w:pPr>
      <w:r w:rsidRPr="007424E1">
        <w:t>Decision 91/65 established a funding window for pilot projects in the amount of US$</w:t>
      </w:r>
      <w:r w:rsidR="00EA5E96">
        <w:t xml:space="preserve"> </w:t>
      </w:r>
      <w:r w:rsidRPr="007424E1">
        <w:t>20 million with the possibility of augmenting that funding window at a future meeting to maintain and/or enhance EE in the context of HFC phase-down as specified in decision XXVIII/2, following the criteria identified in subparagraph (b) of the decision – as described in section 7.3.</w:t>
      </w:r>
    </w:p>
    <w:p w14:paraId="63C41D80" w14:textId="68B53421" w:rsidR="00DA701E" w:rsidRPr="007424E1" w:rsidRDefault="00DA701E" w:rsidP="000E79CB">
      <w:pPr>
        <w:numPr>
          <w:ilvl w:val="0"/>
          <w:numId w:val="17"/>
        </w:numPr>
        <w:tabs>
          <w:tab w:val="clear" w:pos="0"/>
        </w:tabs>
        <w:spacing w:after="120"/>
      </w:pPr>
      <w:r w:rsidRPr="007424E1">
        <w:t>Decision 94/60 established a funding window in the amount of US$</w:t>
      </w:r>
      <w:r w:rsidR="00EA5E96">
        <w:t xml:space="preserve"> </w:t>
      </w:r>
      <w:r w:rsidRPr="007424E1">
        <w:t>100 million with the possibility of augmenting that funding window at a future meeting to maintain and/or enhance EE in the context of HFC phase-down as specified in decision XXVIII/2, following the criteria identified in subparagraph (b) of the decision’ – as described in section 7.4.</w:t>
      </w:r>
    </w:p>
    <w:p w14:paraId="75ACA292" w14:textId="45BD3168" w:rsidR="00DA701E" w:rsidRPr="007424E1" w:rsidRDefault="00DA701E" w:rsidP="000E79CB">
      <w:pPr>
        <w:numPr>
          <w:ilvl w:val="0"/>
          <w:numId w:val="17"/>
        </w:numPr>
        <w:tabs>
          <w:tab w:val="clear" w:pos="0"/>
        </w:tabs>
        <w:spacing w:after="120"/>
      </w:pPr>
      <w:r w:rsidRPr="007424E1">
        <w:t>Decision 95/87 established a funding window in the amount of US$</w:t>
      </w:r>
      <w:r w:rsidR="00EA5E96">
        <w:t xml:space="preserve"> </w:t>
      </w:r>
      <w:r w:rsidRPr="007424E1">
        <w:t>40 million in the context of HFC phase-down as specified in decision XXVIII/2, following the criteria identified in subparagraph (b) of the decision’ – as described in section 7.5.</w:t>
      </w:r>
    </w:p>
    <w:p w14:paraId="361CA7C2" w14:textId="619768F2" w:rsidR="008F512A" w:rsidRDefault="008F512A" w:rsidP="007C77CF">
      <w:pPr>
        <w:pStyle w:val="Heading3"/>
      </w:pPr>
      <w:bookmarkStart w:id="127" w:name="_Toc230099046"/>
      <w:r w:rsidRPr="00E42C5E">
        <w:t>1.</w:t>
      </w:r>
      <w:r>
        <w:t>6</w:t>
      </w:r>
      <w:r w:rsidRPr="00E42C5E">
        <w:t>.</w:t>
      </w:r>
      <w:r>
        <w:t>6</w:t>
      </w:r>
      <w:r w:rsidRPr="00E42C5E">
        <w:tab/>
      </w:r>
      <w:r w:rsidR="00ED4663">
        <w:t>Estimated fund</w:t>
      </w:r>
      <w:r w:rsidR="00856FB4">
        <w:t xml:space="preserve">ing </w:t>
      </w:r>
      <w:r w:rsidR="00AD0F01">
        <w:t>requirement</w:t>
      </w:r>
      <w:r w:rsidR="00856FB4">
        <w:t xml:space="preserve"> for pilot projects to enhance regional atmospheric monitoring</w:t>
      </w:r>
      <w:bookmarkEnd w:id="127"/>
    </w:p>
    <w:p w14:paraId="40ED437F" w14:textId="1C0845EE" w:rsidR="00C51169" w:rsidRDefault="274D2446" w:rsidP="00C51169">
      <w:r>
        <w:t xml:space="preserve">Decision XXXVII/6 requests the TEAP to develop “a scenario to allocate resources for a funding modality to support a limited number of pilot projects to enhance regional atmospheric monitoring of substances controlled by the Montreal Protocol”. In Chapter 10, the RTF summarizes the relevant </w:t>
      </w:r>
      <w:r>
        <w:lastRenderedPageBreak/>
        <w:t xml:space="preserve">decisions of the parties under the </w:t>
      </w:r>
      <w:r w:rsidR="00FB7C66">
        <w:t>MP</w:t>
      </w:r>
      <w:r>
        <w:t xml:space="preserve"> and the ExCom related to the identification, selection, and consideration of potential funding of pilot projects intended to enhance regional atmospheric monitoring capacity in support of the objectives of ODS phase-out and HFC phase-down.</w:t>
      </w:r>
    </w:p>
    <w:p w14:paraId="4BCAA0E4" w14:textId="554529BB" w:rsidR="0072445A" w:rsidRPr="00183362" w:rsidRDefault="007E2379" w:rsidP="00F24578">
      <w:r>
        <w:t xml:space="preserve">ExCom </w:t>
      </w:r>
      <w:r w:rsidR="00366AA3">
        <w:t xml:space="preserve">Decision </w:t>
      </w:r>
      <w:r>
        <w:t xml:space="preserve">96/56 </w:t>
      </w:r>
      <w:r w:rsidR="0072445A" w:rsidRPr="00183362">
        <w:t>request</w:t>
      </w:r>
      <w:r>
        <w:t xml:space="preserve">s </w:t>
      </w:r>
      <w:r w:rsidR="0072445A" w:rsidRPr="00183362">
        <w:t xml:space="preserve">the MLFS </w:t>
      </w:r>
      <w:r>
        <w:t xml:space="preserve">to </w:t>
      </w:r>
      <w:r w:rsidR="0072445A" w:rsidRPr="00183362">
        <w:t xml:space="preserve">prepare for </w:t>
      </w:r>
      <w:r w:rsidR="0061244E">
        <w:t>ExCom-98</w:t>
      </w:r>
      <w:r w:rsidR="0072445A" w:rsidRPr="00183362">
        <w:t xml:space="preserve"> </w:t>
      </w:r>
      <w:r w:rsidR="00452E90">
        <w:t>draft guidelines for the preparation and implementation of pilot project</w:t>
      </w:r>
      <w:r w:rsidR="000B1937">
        <w:t>s</w:t>
      </w:r>
      <w:r w:rsidR="00452E90">
        <w:t xml:space="preserve"> to enhance regional atmospheric monitoring, a draft template agreement between the ExCom and </w:t>
      </w:r>
      <w:r w:rsidR="00EB17A1">
        <w:t xml:space="preserve">the </w:t>
      </w:r>
      <w:r w:rsidR="00452E90">
        <w:t xml:space="preserve">A5 </w:t>
      </w:r>
      <w:r w:rsidR="00EB17A1">
        <w:t xml:space="preserve">country </w:t>
      </w:r>
      <w:r w:rsidR="00511450">
        <w:t xml:space="preserve">concerned for </w:t>
      </w:r>
      <w:r w:rsidR="00123E34">
        <w:t>a pilot project to establish a st</w:t>
      </w:r>
      <w:r w:rsidR="00511450">
        <w:t xml:space="preserve">ation, </w:t>
      </w:r>
      <w:r w:rsidR="000B1937">
        <w:t xml:space="preserve">and </w:t>
      </w:r>
      <w:r w:rsidR="00A3347D">
        <w:t>information on the potential for the W</w:t>
      </w:r>
      <w:r w:rsidR="0072445A" w:rsidRPr="00183362">
        <w:t>orld Meteorological Organization to take on a role as implementing agency for pilot project</w:t>
      </w:r>
      <w:r w:rsidR="000B1937">
        <w:t xml:space="preserve">. </w:t>
      </w:r>
      <w:r w:rsidR="0072445A" w:rsidRPr="00183362">
        <w:t xml:space="preserve"> </w:t>
      </w:r>
      <w:r w:rsidR="000B1937">
        <w:t>At ExCom</w:t>
      </w:r>
      <w:r w:rsidR="0061244E">
        <w:t>-98, members</w:t>
      </w:r>
      <w:r w:rsidR="000B1937">
        <w:t xml:space="preserve"> </w:t>
      </w:r>
      <w:r w:rsidR="0072445A" w:rsidRPr="00183362">
        <w:t xml:space="preserve">would consider establishing a funding window for three pilot projects to enhance regional atmospheric monitoring of substances controlled by the </w:t>
      </w:r>
      <w:r w:rsidR="00FB7C66">
        <w:t>MP</w:t>
      </w:r>
      <w:r w:rsidR="0072445A" w:rsidRPr="00183362">
        <w:t>.</w:t>
      </w:r>
    </w:p>
    <w:p w14:paraId="750881A3" w14:textId="12436412" w:rsidR="00282580" w:rsidRDefault="274D2446" w:rsidP="00C51169">
      <w:r>
        <w:t>Assuming an ExCom decision to establish a funding window, RTF estimated the funding requirements to support pilot projects establishing three atmospheric monitoring stations and their initial operation, covering the period for the 2027-2029 and 2030-2035 triennia. RTF did not estimate funding beyond this period and would seek guidance from parties with regard to this funding window approach for pilot projects and interest in extending the estimated funding for the ongoing operation of three pilot stations as well as funding for initializing testing and operation of additional stations.</w:t>
      </w:r>
    </w:p>
    <w:p w14:paraId="4D30A69A" w14:textId="68B7EFB7" w:rsidR="008F512A" w:rsidRDefault="274D2446" w:rsidP="007C77CF">
      <w:pPr>
        <w:pStyle w:val="Heading3"/>
      </w:pPr>
      <w:bookmarkStart w:id="128" w:name="_Toc230099047"/>
      <w:r>
        <w:t>1.6.7</w:t>
      </w:r>
      <w:r w:rsidR="008F512A">
        <w:tab/>
      </w:r>
      <w:r>
        <w:t>Special needs of LVC and VLVC countries</w:t>
      </w:r>
      <w:bookmarkEnd w:id="128"/>
    </w:p>
    <w:p w14:paraId="286617CF" w14:textId="0D471FFB" w:rsidR="00E60DCB" w:rsidRPr="00E60DCB" w:rsidRDefault="274D2446" w:rsidP="00B4434E">
      <w:r>
        <w:t xml:space="preserve">Decision XXXVII/6 requests the TEAP to consider the “special needs of low-volume-consuming (LVC) and very-low-volume-consuming (VLVC) countries, taking into account relevant decision of the </w:t>
      </w:r>
      <w:r w:rsidR="00AF291D">
        <w:t>ExCom</w:t>
      </w:r>
      <w:r>
        <w:t xml:space="preserve"> pertaining to those countries.” In Chapter 6, RTF provides information for the consideration of parties on the continuing challenges and ways to address these for LVC and VLVC countries for the ODS phase-out and HFC phase-down under the </w:t>
      </w:r>
      <w:r w:rsidR="00FB7C66">
        <w:t>MP</w:t>
      </w:r>
      <w:r>
        <w:t>. There are no funding implications (to the funding calculation in the model adopted by RTF) regarding the considerations provided in Chapter 6. RTF is however providing information to parties to support discussions regarding the potential review of cost guidelines in 2028.</w:t>
      </w:r>
    </w:p>
    <w:p w14:paraId="6B2417C1" w14:textId="3A334D9F" w:rsidR="008F512A" w:rsidRDefault="008F512A" w:rsidP="007C77CF">
      <w:pPr>
        <w:pStyle w:val="Heading3"/>
      </w:pPr>
      <w:bookmarkStart w:id="129" w:name="_Toc230099048"/>
      <w:r w:rsidRPr="00E42C5E">
        <w:t>1.</w:t>
      </w:r>
      <w:r>
        <w:t>6</w:t>
      </w:r>
      <w:r w:rsidRPr="00E42C5E">
        <w:t>.</w:t>
      </w:r>
      <w:r w:rsidR="007F46F1">
        <w:t>8</w:t>
      </w:r>
      <w:r w:rsidRPr="00E42C5E">
        <w:tab/>
      </w:r>
      <w:r w:rsidR="00856FB4">
        <w:t>Lifecycle refrigerant management</w:t>
      </w:r>
      <w:bookmarkEnd w:id="129"/>
    </w:p>
    <w:p w14:paraId="3EBE27D4" w14:textId="5C438619" w:rsidR="00555F6A" w:rsidRDefault="00FF0CBB" w:rsidP="00555F6A">
      <w:r>
        <w:t xml:space="preserve">Parties </w:t>
      </w:r>
      <w:r w:rsidR="00C2165E">
        <w:t xml:space="preserve">have had </w:t>
      </w:r>
      <w:r w:rsidR="0097356B">
        <w:t xml:space="preserve">longstanding </w:t>
      </w:r>
      <w:r w:rsidR="00C2165E">
        <w:t xml:space="preserve">discussions on the importance of LRM </w:t>
      </w:r>
      <w:r w:rsidR="0097356B">
        <w:t xml:space="preserve">under the </w:t>
      </w:r>
      <w:r w:rsidR="00FB7C66">
        <w:t>MP</w:t>
      </w:r>
      <w:r w:rsidR="00760EDD">
        <w:t xml:space="preserve"> during the ODS phase-out and HFC phase-down. </w:t>
      </w:r>
      <w:r w:rsidR="00B91CC2">
        <w:t xml:space="preserve">TEAP has provided a number of related reports responding to requests </w:t>
      </w:r>
      <w:r w:rsidR="007F6C14">
        <w:t>for information on LRM from decisions of parties.</w:t>
      </w:r>
      <w:r w:rsidR="00BA5181">
        <w:t xml:space="preserve"> ExCom Decision 97/89 requests the “Secretariat to prepare, for the 100</w:t>
      </w:r>
      <w:r w:rsidR="00BA5181" w:rsidRPr="00B4434E">
        <w:rPr>
          <w:vertAlign w:val="superscript"/>
        </w:rPr>
        <w:t>th</w:t>
      </w:r>
      <w:r w:rsidR="00BA5181">
        <w:t xml:space="preserve"> meeting, a document on funding modalities, including elements for draft cost guidelines to implement plans developed in accordance with decision 91/66, with a view to considering the establishment of a funding window</w:t>
      </w:r>
      <w:r w:rsidR="009367E3">
        <w:t>.”</w:t>
      </w:r>
    </w:p>
    <w:p w14:paraId="717B9124" w14:textId="175A23B2" w:rsidR="005B33B8" w:rsidRPr="00555F6A" w:rsidRDefault="009367E3" w:rsidP="01B3D131">
      <w:pPr>
        <w:rPr>
          <w:highlight w:val="yellow"/>
        </w:rPr>
      </w:pPr>
      <w:r>
        <w:t xml:space="preserve">In Chapter 8 of this report, RTF provides </w:t>
      </w:r>
      <w:r w:rsidR="001307D2">
        <w:t xml:space="preserve">updated </w:t>
      </w:r>
      <w:r>
        <w:t xml:space="preserve">information </w:t>
      </w:r>
      <w:r w:rsidR="001307D2">
        <w:t xml:space="preserve">on LRM for </w:t>
      </w:r>
      <w:r>
        <w:t>the consideration of parties</w:t>
      </w:r>
      <w:r w:rsidR="001307D2">
        <w:t xml:space="preserve">. </w:t>
      </w:r>
    </w:p>
    <w:p w14:paraId="15D881FC" w14:textId="727B1B9F" w:rsidR="00856FB4" w:rsidRDefault="00856FB4" w:rsidP="007C77CF">
      <w:pPr>
        <w:pStyle w:val="Heading3"/>
      </w:pPr>
      <w:bookmarkStart w:id="130" w:name="_Toc230099049"/>
      <w:r w:rsidRPr="00E42C5E">
        <w:t>1.</w:t>
      </w:r>
      <w:r>
        <w:t>6</w:t>
      </w:r>
      <w:r w:rsidRPr="00E42C5E">
        <w:t>.</w:t>
      </w:r>
      <w:r w:rsidR="005B33B8">
        <w:t>9</w:t>
      </w:r>
      <w:r w:rsidRPr="00E42C5E">
        <w:tab/>
      </w:r>
      <w:r>
        <w:t>Digital technologies and tools in the servicing sector</w:t>
      </w:r>
      <w:bookmarkEnd w:id="130"/>
    </w:p>
    <w:p w14:paraId="62909470" w14:textId="2C99D352" w:rsidR="00856FB4" w:rsidRPr="00856FB4" w:rsidRDefault="4BCEE662" w:rsidP="00B4434E">
      <w:pPr>
        <w:rPr>
          <w:highlight w:val="yellow"/>
        </w:rPr>
      </w:pPr>
      <w:r>
        <w:t xml:space="preserve">Decision XXVII/6 requests TEAP to consider “integrating digital technologies within the servicing sector.” For the consideration of parties, Chapter 9 of this report provides information and an approach to considering digital technologies and tools to support transitions under the </w:t>
      </w:r>
      <w:r w:rsidR="00FB7C66">
        <w:t>MP</w:t>
      </w:r>
      <w:r>
        <w:t xml:space="preserve">. </w:t>
      </w:r>
    </w:p>
    <w:p w14:paraId="6D4D1673" w14:textId="2CC66C55" w:rsidR="001443D0" w:rsidRDefault="001443D0" w:rsidP="001443D0">
      <w:pPr>
        <w:rPr>
          <w:b/>
          <w:bCs/>
          <w:i/>
        </w:rPr>
      </w:pPr>
      <w:r w:rsidRPr="001443D0">
        <w:rPr>
          <w:b/>
          <w:bCs/>
          <w:i/>
        </w:rPr>
        <w:t>1.6.</w:t>
      </w:r>
      <w:r w:rsidR="005B33B8">
        <w:rPr>
          <w:b/>
          <w:bCs/>
          <w:i/>
        </w:rPr>
        <w:t>10</w:t>
      </w:r>
      <w:r w:rsidRPr="001443D0">
        <w:rPr>
          <w:b/>
          <w:bCs/>
          <w:i/>
        </w:rPr>
        <w:tab/>
      </w:r>
      <w:r>
        <w:rPr>
          <w:b/>
          <w:bCs/>
          <w:i/>
        </w:rPr>
        <w:t>Caveats</w:t>
      </w:r>
    </w:p>
    <w:p w14:paraId="5748A016" w14:textId="3F2501CB" w:rsidR="002E3A43" w:rsidRPr="0001337B" w:rsidRDefault="274D2446" w:rsidP="00EC3A58">
      <w:pPr>
        <w:tabs>
          <w:tab w:val="clear" w:pos="0"/>
        </w:tabs>
        <w:spacing w:after="200"/>
        <w:rPr>
          <w:rFonts w:eastAsia="SimSun"/>
          <w:color w:val="auto"/>
        </w:rPr>
      </w:pPr>
      <w:r w:rsidRPr="274D2446">
        <w:rPr>
          <w:rFonts w:eastAsia="SimSun"/>
          <w:color w:val="auto"/>
        </w:rPr>
        <w:t xml:space="preserve">The RTF has estimated the funding requirements for the 2027-2029 triennium and future triennia with strict adherence to the relevant compliance targets as requested by the TOR. Funding estimates are presented for items requested under RTF’s TOR in the summary tables. </w:t>
      </w:r>
    </w:p>
    <w:p w14:paraId="7943F38B" w14:textId="541F4EE2" w:rsidR="00A96C8B" w:rsidRDefault="274D2446" w:rsidP="00E51F63">
      <w:pPr>
        <w:tabs>
          <w:tab w:val="clear" w:pos="0"/>
        </w:tabs>
        <w:spacing w:after="120"/>
        <w:rPr>
          <w:color w:val="auto"/>
        </w:rPr>
      </w:pPr>
      <w:r w:rsidRPr="274D2446">
        <w:rPr>
          <w:rFonts w:eastAsia="SimSun"/>
          <w:color w:val="auto"/>
        </w:rPr>
        <w:lastRenderedPageBreak/>
        <w:t>Items that were requested in the TOR but are complementary to the compliance model, such as the challenges faced by LVCs or digitisation efforts, were presented in separate chapters but not totalled or added to the summary tables. Similarly, other items that were not requested in the TOR or where the RTF needed further guidance, were not included in the totals and are presented in the respective chapters and annexes for parties' information and considerations, and</w:t>
      </w:r>
      <w:r w:rsidR="00A2043C">
        <w:rPr>
          <w:rFonts w:eastAsia="SimSun"/>
          <w:color w:val="auto"/>
        </w:rPr>
        <w:t>,</w:t>
      </w:r>
      <w:r w:rsidRPr="274D2446">
        <w:rPr>
          <w:rFonts w:eastAsia="SimSun"/>
          <w:color w:val="auto"/>
        </w:rPr>
        <w:t xml:space="preserve"> if needed</w:t>
      </w:r>
      <w:r w:rsidR="00A2043C">
        <w:rPr>
          <w:rFonts w:eastAsia="SimSun"/>
          <w:color w:val="auto"/>
        </w:rPr>
        <w:t>,</w:t>
      </w:r>
      <w:r w:rsidRPr="274D2446">
        <w:rPr>
          <w:rFonts w:eastAsia="SimSun"/>
          <w:color w:val="auto"/>
        </w:rPr>
        <w:t xml:space="preserve"> for further guidance.</w:t>
      </w:r>
    </w:p>
    <w:p w14:paraId="41C241D7" w14:textId="081DE774" w:rsidR="00A96C8B" w:rsidRDefault="274D2446" w:rsidP="00E51F63">
      <w:pPr>
        <w:tabs>
          <w:tab w:val="clear" w:pos="0"/>
        </w:tabs>
        <w:spacing w:after="120"/>
        <w:rPr>
          <w:color w:val="auto"/>
        </w:rPr>
      </w:pPr>
      <w:r w:rsidRPr="274D2446">
        <w:rPr>
          <w:color w:val="auto"/>
        </w:rPr>
        <w:t xml:space="preserve">RTF assumed that all parties in G1 and G2 will be ratifying the </w:t>
      </w:r>
      <w:r w:rsidR="00AF291D">
        <w:rPr>
          <w:color w:val="auto"/>
        </w:rPr>
        <w:t>KA</w:t>
      </w:r>
      <w:r w:rsidRPr="274D2446">
        <w:rPr>
          <w:color w:val="auto"/>
        </w:rPr>
        <w:t xml:space="preserve"> by 2029.</w:t>
      </w:r>
      <w:r w:rsidRPr="274D2446">
        <w:rPr>
          <w:rFonts w:eastAsia="SimSun"/>
          <w:color w:val="auto"/>
        </w:rPr>
        <w:t xml:space="preserve"> The sensitivity of assumptions made for parties that have not yet reported baseline data are presented in Annex 3. </w:t>
      </w:r>
    </w:p>
    <w:p w14:paraId="2E19A276" w14:textId="41543CDA" w:rsidR="00E51F63" w:rsidRDefault="4BCEE662" w:rsidP="00EC3A58">
      <w:pPr>
        <w:tabs>
          <w:tab w:val="clear" w:pos="0"/>
        </w:tabs>
        <w:spacing w:after="200"/>
        <w:rPr>
          <w:rFonts w:eastAsia="SimSun"/>
          <w:color w:val="auto"/>
        </w:rPr>
      </w:pPr>
      <w:r w:rsidRPr="4BCEE662">
        <w:rPr>
          <w:rFonts w:eastAsia="SimSun"/>
          <w:color w:val="auto"/>
        </w:rPr>
        <w:t>RTF calculated funding for future KIP Stage II using the same CE thresholds as those approved for Stage I, even though some of those CEs may be revised in a review in 2028 for eventual use in Stage II.</w:t>
      </w:r>
    </w:p>
    <w:p w14:paraId="669F91FF" w14:textId="36DCF685" w:rsidR="00E83444" w:rsidRDefault="077E58F6" w:rsidP="00EC3A58">
      <w:pPr>
        <w:tabs>
          <w:tab w:val="clear" w:pos="0"/>
        </w:tabs>
        <w:spacing w:after="200"/>
        <w:rPr>
          <w:rFonts w:eastAsia="SimSun"/>
          <w:color w:val="auto"/>
        </w:rPr>
      </w:pPr>
      <w:r w:rsidRPr="077E58F6">
        <w:rPr>
          <w:rFonts w:eastAsia="SimSun"/>
          <w:color w:val="auto"/>
        </w:rPr>
        <w:t>The model did not consider funding for Project Management Units (PMUs) which is additional for non-LVC parties due to the variability of the funds’ calculations for the different parties and even the different projects for the same parties. PMU costs range from 5% to 10%. Since the RTF did not find reference studies for PMU costs, it deferred the calculations of these costs to the supplementary report to get additional guidance from the parties.</w:t>
      </w:r>
    </w:p>
    <w:p w14:paraId="5E5515A6" w14:textId="4D55B82D" w:rsidR="00CA47E2" w:rsidRDefault="077E58F6" w:rsidP="00EC3A58">
      <w:pPr>
        <w:tabs>
          <w:tab w:val="clear" w:pos="0"/>
        </w:tabs>
        <w:spacing w:after="200"/>
        <w:rPr>
          <w:rFonts w:eastAsia="SimSun"/>
          <w:color w:val="auto"/>
        </w:rPr>
      </w:pPr>
      <w:r w:rsidRPr="077E58F6">
        <w:rPr>
          <w:rFonts w:eastAsia="SimSun"/>
          <w:color w:val="auto"/>
        </w:rPr>
        <w:t>The model takes into consideration a 15% non-A5 ownership content for all manufacturing sectors which reduces funding for those sectors by the same percentage. This consideration has the following limitations: a) it is not applicable to SMEs benefitting from higher CEs as presented in HFC scenario 2 in chapter 3 since by definition those SMEs need to be 100% locally owned as per Decision 96/56(c)(iii), and b) the general practice under the HPMPs was to defer enterprises with non-A5 ownership to later stages which would impact the resource allocation calculations for this triennium and the next triennium to varying degrees. RTF included the 15% reduction for the manufacturing sectors in its calculations and would rectify in the supplementary report after getting guidance from the parties.</w:t>
      </w:r>
    </w:p>
    <w:p w14:paraId="70EEB37F" w14:textId="26C874FE" w:rsidR="00A22F46" w:rsidRDefault="274D2446" w:rsidP="00EC3A58">
      <w:pPr>
        <w:tabs>
          <w:tab w:val="clear" w:pos="0"/>
        </w:tabs>
        <w:spacing w:after="200"/>
        <w:rPr>
          <w:rFonts w:eastAsia="SimSun"/>
          <w:color w:val="auto"/>
        </w:rPr>
      </w:pPr>
      <w:r w:rsidRPr="274D2446">
        <w:rPr>
          <w:rFonts w:eastAsia="SimSun"/>
          <w:color w:val="auto"/>
        </w:rPr>
        <w:t xml:space="preserve">A distinction was made between the allocation of funds for the implementation of the KIP plans in the different triennia and the request for project preparation </w:t>
      </w:r>
      <w:r w:rsidR="00510D6B">
        <w:rPr>
          <w:rFonts w:eastAsia="SimSun"/>
          <w:color w:val="auto"/>
        </w:rPr>
        <w:t xml:space="preserve">(PRP) </w:t>
      </w:r>
      <w:r w:rsidRPr="274D2446">
        <w:rPr>
          <w:rFonts w:eastAsia="SimSun"/>
          <w:color w:val="auto"/>
        </w:rPr>
        <w:t xml:space="preserve">funding; consequently, the number of parties requesting </w:t>
      </w:r>
      <w:r w:rsidR="00510D6B">
        <w:rPr>
          <w:rFonts w:eastAsia="SimSun"/>
          <w:color w:val="auto"/>
        </w:rPr>
        <w:t>PRP</w:t>
      </w:r>
      <w:r w:rsidRPr="274D2446">
        <w:rPr>
          <w:rFonts w:eastAsia="SimSun"/>
          <w:color w:val="auto"/>
        </w:rPr>
        <w:t xml:space="preserve"> funding and those being allocated KIP funding for the same stage do not necessarily match. A review and update of </w:t>
      </w:r>
      <w:r w:rsidR="008E0BD9">
        <w:rPr>
          <w:rFonts w:eastAsia="SimSun"/>
          <w:color w:val="auto"/>
        </w:rPr>
        <w:t>PRP</w:t>
      </w:r>
      <w:r w:rsidRPr="274D2446">
        <w:rPr>
          <w:rFonts w:eastAsia="SimSun"/>
          <w:color w:val="auto"/>
        </w:rPr>
        <w:t xml:space="preserve"> costs will be done for the RTF </w:t>
      </w:r>
      <w:r w:rsidR="008E0BD9">
        <w:rPr>
          <w:rFonts w:eastAsia="SimSun"/>
          <w:color w:val="auto"/>
        </w:rPr>
        <w:t>s</w:t>
      </w:r>
      <w:r w:rsidRPr="274D2446">
        <w:rPr>
          <w:rFonts w:eastAsia="SimSun"/>
          <w:color w:val="auto"/>
        </w:rPr>
        <w:t xml:space="preserve">upplementary </w:t>
      </w:r>
      <w:r w:rsidR="008E0BD9">
        <w:rPr>
          <w:rFonts w:eastAsia="SimSun"/>
          <w:color w:val="auto"/>
        </w:rPr>
        <w:t>r</w:t>
      </w:r>
      <w:r w:rsidRPr="274D2446">
        <w:rPr>
          <w:rFonts w:eastAsia="SimSun"/>
          <w:color w:val="auto"/>
        </w:rPr>
        <w:t>eport for MOP-38, considering approvals at the 98</w:t>
      </w:r>
      <w:r w:rsidRPr="274D2446">
        <w:rPr>
          <w:rFonts w:eastAsia="SimSun"/>
          <w:color w:val="auto"/>
          <w:vertAlign w:val="superscript"/>
        </w:rPr>
        <w:t>th</w:t>
      </w:r>
      <w:r w:rsidRPr="274D2446">
        <w:rPr>
          <w:rFonts w:eastAsia="SimSun"/>
          <w:color w:val="auto"/>
        </w:rPr>
        <w:t xml:space="preserve"> ExCom.</w:t>
      </w:r>
    </w:p>
    <w:p w14:paraId="68EAFC91" w14:textId="00BE84FA" w:rsidR="00391E49" w:rsidRDefault="00391E49" w:rsidP="00391E49">
      <w:pPr>
        <w:tabs>
          <w:tab w:val="clear" w:pos="0"/>
        </w:tabs>
        <w:spacing w:after="200"/>
        <w:rPr>
          <w:rFonts w:eastAsia="SimSun"/>
          <w:color w:val="auto"/>
        </w:rPr>
      </w:pPr>
      <w:r>
        <w:rPr>
          <w:rFonts w:eastAsia="SimSun"/>
          <w:color w:val="auto"/>
        </w:rPr>
        <w:t>Scenarios for HCFC did</w:t>
      </w:r>
      <w:r w:rsidRPr="00391E49">
        <w:rPr>
          <w:rFonts w:eastAsia="SimSun"/>
          <w:color w:val="auto"/>
        </w:rPr>
        <w:t xml:space="preserve"> not include the additional 25% for introduction of low-GWP alternatives allowed under decision 74/50(c)(iii) for those sectors with a CE threshold (</w:t>
      </w:r>
      <w:r w:rsidR="0062284D">
        <w:rPr>
          <w:rFonts w:eastAsia="SimSun"/>
          <w:color w:val="auto"/>
        </w:rPr>
        <w:t>polyurethan</w:t>
      </w:r>
      <w:r w:rsidR="001C32D0">
        <w:rPr>
          <w:rFonts w:eastAsia="SimSun"/>
          <w:color w:val="auto"/>
        </w:rPr>
        <w:t>e</w:t>
      </w:r>
      <w:r w:rsidR="0062284D">
        <w:rPr>
          <w:rFonts w:eastAsia="SimSun"/>
          <w:color w:val="auto"/>
        </w:rPr>
        <w:t xml:space="preserve"> (</w:t>
      </w:r>
      <w:r w:rsidRPr="00391E49">
        <w:rPr>
          <w:rFonts w:eastAsia="SimSun"/>
          <w:color w:val="auto"/>
        </w:rPr>
        <w:t>PU</w:t>
      </w:r>
      <w:r w:rsidR="0062284D">
        <w:rPr>
          <w:rFonts w:eastAsia="SimSun"/>
          <w:color w:val="auto"/>
        </w:rPr>
        <w:t xml:space="preserve">) </w:t>
      </w:r>
      <w:r w:rsidRPr="00391E49">
        <w:rPr>
          <w:rFonts w:eastAsia="SimSun"/>
          <w:color w:val="auto"/>
        </w:rPr>
        <w:t xml:space="preserve">foam and commercial refrigeration) </w:t>
      </w:r>
      <w:r w:rsidR="006213F7">
        <w:rPr>
          <w:rFonts w:eastAsia="SimSun"/>
          <w:color w:val="auto"/>
        </w:rPr>
        <w:t>nor</w:t>
      </w:r>
      <w:r w:rsidR="00557AE3">
        <w:rPr>
          <w:rFonts w:eastAsia="SimSun"/>
          <w:color w:val="auto"/>
        </w:rPr>
        <w:t xml:space="preserve"> the </w:t>
      </w:r>
      <w:r w:rsidR="0078131A" w:rsidRPr="00391E49">
        <w:rPr>
          <w:rFonts w:eastAsia="SimSun"/>
          <w:color w:val="auto"/>
        </w:rPr>
        <w:t>40% additional funding</w:t>
      </w:r>
      <w:r w:rsidR="0078131A">
        <w:rPr>
          <w:rFonts w:eastAsia="SimSun"/>
          <w:color w:val="auto"/>
        </w:rPr>
        <w:t xml:space="preserve"> </w:t>
      </w:r>
      <w:r w:rsidR="006213F7">
        <w:rPr>
          <w:rFonts w:eastAsia="SimSun"/>
          <w:color w:val="auto"/>
        </w:rPr>
        <w:t xml:space="preserve">for </w:t>
      </w:r>
      <w:r w:rsidRPr="00391E49">
        <w:rPr>
          <w:rFonts w:eastAsia="SimSun"/>
          <w:color w:val="auto"/>
        </w:rPr>
        <w:t>foam SMEs</w:t>
      </w:r>
      <w:r w:rsidR="006213F7">
        <w:rPr>
          <w:rFonts w:eastAsia="SimSun"/>
          <w:color w:val="auto"/>
        </w:rPr>
        <w:t>.</w:t>
      </w:r>
    </w:p>
    <w:p w14:paraId="0932A5F6" w14:textId="25D06D91" w:rsidR="569FC042" w:rsidRDefault="274D2446" w:rsidP="222ABFFA">
      <w:pPr>
        <w:tabs>
          <w:tab w:val="clear" w:pos="0"/>
        </w:tabs>
        <w:spacing w:after="200"/>
        <w:rPr>
          <w:rFonts w:eastAsia="SimSun"/>
          <w:color w:val="auto"/>
        </w:rPr>
      </w:pPr>
      <w:r w:rsidRPr="274D2446">
        <w:rPr>
          <w:rFonts w:eastAsia="SimSun"/>
          <w:color w:val="auto"/>
        </w:rPr>
        <w:t>Total values were calculated by rounding so small differences may appear in different tables in this report.</w:t>
      </w:r>
    </w:p>
    <w:p w14:paraId="6A606BDE" w14:textId="77777777" w:rsidR="006859A3" w:rsidRDefault="006859A3" w:rsidP="006859A3">
      <w:pPr>
        <w:rPr>
          <w:lang w:eastAsia="zh-CN"/>
        </w:rPr>
      </w:pPr>
    </w:p>
    <w:p w14:paraId="536BBEF2" w14:textId="4B59E078" w:rsidR="006859A3" w:rsidRPr="006859A3" w:rsidRDefault="006859A3" w:rsidP="006859A3">
      <w:pPr>
        <w:rPr>
          <w:lang w:eastAsia="zh-CN"/>
        </w:rPr>
        <w:sectPr w:rsidR="006859A3" w:rsidRPr="006859A3" w:rsidSect="00B32BBE">
          <w:type w:val="oddPage"/>
          <w:pgSz w:w="11907" w:h="16839" w:code="9"/>
          <w:pgMar w:top="1440" w:right="1440" w:bottom="1440" w:left="1440" w:header="720" w:footer="794" w:gutter="0"/>
          <w:cols w:space="720"/>
          <w:docGrid w:linePitch="299"/>
        </w:sectPr>
      </w:pPr>
    </w:p>
    <w:p w14:paraId="33BE4E98" w14:textId="67B13618" w:rsidR="00C044F9" w:rsidRPr="00E42C5E" w:rsidRDefault="00C044F9" w:rsidP="005D31A7">
      <w:pPr>
        <w:pStyle w:val="Heading1"/>
      </w:pPr>
      <w:bookmarkStart w:id="131" w:name="_Toc113319089"/>
      <w:bookmarkStart w:id="132" w:name="_Toc119436513"/>
      <w:bookmarkStart w:id="133" w:name="_Toc230099050"/>
      <w:r w:rsidRPr="00E42C5E">
        <w:lastRenderedPageBreak/>
        <w:t>2</w:t>
      </w:r>
      <w:r w:rsidRPr="00E42C5E">
        <w:tab/>
      </w:r>
      <w:r w:rsidR="00836FAC">
        <w:t>Funding for HCFC Phase-out</w:t>
      </w:r>
      <w:bookmarkEnd w:id="131"/>
      <w:bookmarkEnd w:id="132"/>
      <w:bookmarkEnd w:id="133"/>
    </w:p>
    <w:p w14:paraId="0E111EDF" w14:textId="6FC70097" w:rsidR="008631C7" w:rsidRDefault="00F70BDB" w:rsidP="008631C7">
      <w:r>
        <w:t xml:space="preserve">This chapter provides </w:t>
      </w:r>
      <w:r w:rsidR="008631C7">
        <w:t>the total estimated funding requirements for the phase-out of HCFCs, including consumption and production sectors, and Annex 1 provides information on the funding methodology and calculation.</w:t>
      </w:r>
    </w:p>
    <w:p w14:paraId="5AEDAE31" w14:textId="4FE33B6A" w:rsidR="00C055EC" w:rsidRDefault="008631C7" w:rsidP="008631C7">
      <w:r>
        <w:t>For the phase-out of HCFC</w:t>
      </w:r>
      <w:r w:rsidR="6E927573">
        <w:t xml:space="preserve"> </w:t>
      </w:r>
      <w:r w:rsidR="093CD9EE">
        <w:t xml:space="preserve">consumption and </w:t>
      </w:r>
      <w:r w:rsidR="6E927573">
        <w:t>production</w:t>
      </w:r>
      <w:r>
        <w:t>, the estimated funding requirement for the 2027-2029 triennium is based on A5 parties completing the phase-out by 2030, with no new funding for the triennia after 2030, other than committed funding for approved HPMPs</w:t>
      </w:r>
      <w:r w:rsidR="7909ABE4">
        <w:t>/HPPMPs</w:t>
      </w:r>
      <w:r w:rsidR="62174DD6">
        <w:t xml:space="preserve">. </w:t>
      </w:r>
      <w:r w:rsidR="0426D009">
        <w:t xml:space="preserve"> </w:t>
      </w:r>
    </w:p>
    <w:p w14:paraId="59759802" w14:textId="3EDA292C" w:rsidR="00C055EC" w:rsidRPr="00D7427C" w:rsidRDefault="00C055EC" w:rsidP="002D02B7">
      <w:pPr>
        <w:pStyle w:val="Heading2"/>
        <w:rPr>
          <w:color w:val="auto"/>
        </w:rPr>
      </w:pPr>
      <w:bookmarkStart w:id="134" w:name="_Toc230099051"/>
      <w:r w:rsidRPr="00D7427C">
        <w:t>2.1</w:t>
      </w:r>
      <w:r w:rsidRPr="00D7427C">
        <w:rPr>
          <w:lang w:eastAsia="en-GB"/>
        </w:rPr>
        <w:tab/>
      </w:r>
      <w:r w:rsidR="00D305A1">
        <w:rPr>
          <w:lang w:eastAsia="en-GB"/>
        </w:rPr>
        <w:t>Backg</w:t>
      </w:r>
      <w:r w:rsidR="001710F6">
        <w:rPr>
          <w:lang w:eastAsia="en-GB"/>
        </w:rPr>
        <w:t>r</w:t>
      </w:r>
      <w:r w:rsidR="00D305A1">
        <w:rPr>
          <w:lang w:eastAsia="en-GB"/>
        </w:rPr>
        <w:t>ound: HCFC Phase-out</w:t>
      </w:r>
      <w:bookmarkEnd w:id="134"/>
    </w:p>
    <w:p w14:paraId="14CB3674" w14:textId="0308D10C" w:rsidR="00A72029" w:rsidRDefault="00A72029" w:rsidP="00A72029">
      <w:r w:rsidRPr="00E6768C">
        <w:t xml:space="preserve">The </w:t>
      </w:r>
      <w:r w:rsidR="002E4286">
        <w:t>MOP</w:t>
      </w:r>
      <w:r w:rsidR="00B33FC2">
        <w:t>-19</w:t>
      </w:r>
      <w:r w:rsidRPr="00E6768C">
        <w:t xml:space="preserve"> in 2007 agreed to accelerate the phase</w:t>
      </w:r>
      <w:r>
        <w:t>-</w:t>
      </w:r>
      <w:r w:rsidRPr="00E6768C">
        <w:t xml:space="preserve">out of production and consumption of HCFCs (Decision </w:t>
      </w:r>
      <w:r w:rsidRPr="000B0F10">
        <w:t xml:space="preserve">XIX/6). Table </w:t>
      </w:r>
      <w:r>
        <w:t>2</w:t>
      </w:r>
      <w:r w:rsidR="0004136C">
        <w:t>.1</w:t>
      </w:r>
      <w:r w:rsidRPr="000B0F10">
        <w:t xml:space="preserve"> su</w:t>
      </w:r>
      <w:r w:rsidRPr="00E6768C">
        <w:t>mmari</w:t>
      </w:r>
      <w:r>
        <w:t>s</w:t>
      </w:r>
      <w:r w:rsidRPr="00E6768C">
        <w:t xml:space="preserve">e the reduction steps for A5 </w:t>
      </w:r>
      <w:r>
        <w:t>parties</w:t>
      </w:r>
      <w:r w:rsidRPr="00E6768C">
        <w:t xml:space="preserve"> to </w:t>
      </w:r>
      <w:r>
        <w:t xml:space="preserve">meet this accelerated phaseout schedule. For the 2027-2029 triennium and subsequent triennia (2030-2032 and 2033-2035), A5 compliance targets require a 97.5% reduction from baseline by 1 January 2030, followed by a total phase-out </w:t>
      </w:r>
      <w:r w:rsidRPr="00F31ACB">
        <w:rPr>
          <w:lang w:val="en-US"/>
        </w:rPr>
        <w:t xml:space="preserve">of production and consumption </w:t>
      </w:r>
      <w:r>
        <w:t>by 1 January 2040.</w:t>
      </w:r>
    </w:p>
    <w:p w14:paraId="52F4C500" w14:textId="01FEAC05" w:rsidR="00A72029" w:rsidRPr="00C73E34" w:rsidRDefault="00C73E34" w:rsidP="002135B0">
      <w:pPr>
        <w:tabs>
          <w:tab w:val="left" w:pos="1134"/>
        </w:tabs>
        <w:spacing w:after="120"/>
        <w:ind w:left="1134" w:hanging="1134"/>
        <w:rPr>
          <w:b/>
          <w:bCs/>
        </w:rPr>
      </w:pPr>
      <w:r w:rsidRPr="678C1949">
        <w:rPr>
          <w:rFonts w:eastAsiaTheme="minorEastAsia"/>
          <w:b/>
        </w:rPr>
        <w:t>Table 2.1</w:t>
      </w:r>
      <w:r w:rsidR="00EB2E65">
        <w:rPr>
          <w:rFonts w:eastAsiaTheme="minorEastAsia"/>
          <w:b/>
        </w:rPr>
        <w:t>:</w:t>
      </w:r>
      <w:r w:rsidRPr="00E42C5E">
        <w:rPr>
          <w:rFonts w:eastAsiaTheme="minorHAnsi"/>
          <w:b/>
          <w:bCs/>
        </w:rPr>
        <w:tab/>
      </w:r>
      <w:r w:rsidRPr="678C1949">
        <w:rPr>
          <w:rFonts w:eastAsiaTheme="minorEastAsia"/>
          <w:b/>
        </w:rPr>
        <w:t xml:space="preserve">Montreal Protocol compliance schedule for </w:t>
      </w:r>
      <w:r w:rsidR="00A72029" w:rsidRPr="00C73E34">
        <w:rPr>
          <w:b/>
          <w:bCs/>
        </w:rPr>
        <w:t>HCFC phase-out for A5 parties</w:t>
      </w:r>
      <w:r w:rsidR="00A72029" w:rsidRPr="00C73E34">
        <w:rPr>
          <w:b/>
          <w:bCs/>
          <w:vertAlign w:val="superscript"/>
        </w:rPr>
        <w:footnoteReference w:id="1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5536"/>
      </w:tblGrid>
      <w:tr w:rsidR="00A72029" w:rsidRPr="00D741ED" w14:paraId="11AADCBB" w14:textId="77777777" w:rsidTr="004551BC">
        <w:trPr>
          <w:trHeight w:val="332"/>
          <w:tblHeader/>
          <w:jc w:val="center"/>
        </w:trPr>
        <w:tc>
          <w:tcPr>
            <w:tcW w:w="2838" w:type="dxa"/>
            <w:shd w:val="clear" w:color="auto" w:fill="D9E2F3" w:themeFill="accent1" w:themeFillTint="33"/>
            <w:vAlign w:val="center"/>
          </w:tcPr>
          <w:p w14:paraId="13366812" w14:textId="77777777" w:rsidR="00A72029" w:rsidRPr="00D741ED" w:rsidRDefault="00A72029" w:rsidP="006233FA">
            <w:pPr>
              <w:spacing w:after="0"/>
              <w:jc w:val="center"/>
              <w:rPr>
                <w:b/>
                <w:bCs/>
                <w:kern w:val="2"/>
                <w:sz w:val="20"/>
                <w:szCs w:val="20"/>
                <w:lang w:eastAsia="zh-CN"/>
              </w:rPr>
            </w:pPr>
            <w:r w:rsidRPr="00D741ED">
              <w:rPr>
                <w:b/>
                <w:bCs/>
                <w:kern w:val="2"/>
                <w:sz w:val="20"/>
                <w:szCs w:val="20"/>
                <w:lang w:eastAsia="zh-CN"/>
              </w:rPr>
              <w:t>Controlled substance</w:t>
            </w:r>
          </w:p>
        </w:tc>
        <w:tc>
          <w:tcPr>
            <w:tcW w:w="6236" w:type="dxa"/>
            <w:shd w:val="clear" w:color="auto" w:fill="D9E2F3" w:themeFill="accent1" w:themeFillTint="33"/>
            <w:vAlign w:val="center"/>
          </w:tcPr>
          <w:p w14:paraId="29433090" w14:textId="77777777" w:rsidR="00A72029" w:rsidRPr="00D741ED" w:rsidRDefault="00A72029" w:rsidP="006233FA">
            <w:pPr>
              <w:spacing w:after="0"/>
              <w:jc w:val="center"/>
              <w:rPr>
                <w:b/>
                <w:bCs/>
                <w:kern w:val="2"/>
                <w:sz w:val="20"/>
                <w:szCs w:val="20"/>
                <w:lang w:eastAsia="zh-CN"/>
              </w:rPr>
            </w:pPr>
            <w:r w:rsidRPr="00D741ED">
              <w:rPr>
                <w:b/>
                <w:bCs/>
                <w:kern w:val="2"/>
                <w:sz w:val="20"/>
                <w:szCs w:val="20"/>
                <w:lang w:eastAsia="zh-CN"/>
              </w:rPr>
              <w:t>Compliance Schedule for A5 parties</w:t>
            </w:r>
          </w:p>
        </w:tc>
      </w:tr>
      <w:tr w:rsidR="00A72029" w:rsidRPr="00D741ED" w14:paraId="15BB271F" w14:textId="77777777" w:rsidTr="004551BC">
        <w:trPr>
          <w:jc w:val="center"/>
        </w:trPr>
        <w:tc>
          <w:tcPr>
            <w:tcW w:w="2838" w:type="dxa"/>
            <w:shd w:val="clear" w:color="auto" w:fill="D9E2F3" w:themeFill="accent1" w:themeFillTint="33"/>
          </w:tcPr>
          <w:p w14:paraId="62E2B24C" w14:textId="77777777" w:rsidR="00A72029" w:rsidRPr="00D741ED" w:rsidRDefault="00A72029" w:rsidP="006233FA">
            <w:pPr>
              <w:spacing w:after="0"/>
              <w:rPr>
                <w:kern w:val="2"/>
                <w:sz w:val="20"/>
                <w:szCs w:val="20"/>
                <w:lang w:eastAsia="zh-CN"/>
              </w:rPr>
            </w:pPr>
            <w:r w:rsidRPr="00D741ED">
              <w:rPr>
                <w:b/>
                <w:bCs/>
                <w:kern w:val="2"/>
                <w:sz w:val="20"/>
                <w:szCs w:val="20"/>
                <w:lang w:eastAsia="zh-CN"/>
              </w:rPr>
              <w:t>Annex C – Group I</w:t>
            </w:r>
            <w:r w:rsidRPr="00D741ED">
              <w:rPr>
                <w:kern w:val="2"/>
                <w:sz w:val="20"/>
                <w:szCs w:val="20"/>
                <w:lang w:eastAsia="zh-CN"/>
              </w:rPr>
              <w:t>: Hydrochlorofluorocarbons (HCFCs)</w:t>
            </w:r>
          </w:p>
        </w:tc>
        <w:tc>
          <w:tcPr>
            <w:tcW w:w="6236" w:type="dxa"/>
            <w:vAlign w:val="center"/>
          </w:tcPr>
          <w:p w14:paraId="2DDEE893" w14:textId="77777777" w:rsidR="00A72029" w:rsidRPr="00D741ED" w:rsidRDefault="00A72029" w:rsidP="006233FA">
            <w:pPr>
              <w:spacing w:after="0"/>
              <w:rPr>
                <w:kern w:val="2"/>
                <w:sz w:val="20"/>
                <w:szCs w:val="20"/>
                <w:lang w:eastAsia="zh-CN"/>
              </w:rPr>
            </w:pPr>
            <w:r w:rsidRPr="00D741ED">
              <w:rPr>
                <w:kern w:val="2"/>
                <w:sz w:val="20"/>
                <w:szCs w:val="20"/>
                <w:lang w:eastAsia="zh-CN"/>
              </w:rPr>
              <w:t xml:space="preserve">Baseline is the average of 2009 and 2010 production and consumption </w:t>
            </w:r>
          </w:p>
          <w:p w14:paraId="5B8D1682" w14:textId="77777777" w:rsidR="00A72029" w:rsidRPr="00D741ED" w:rsidRDefault="00A72029" w:rsidP="006233FA">
            <w:pPr>
              <w:spacing w:after="0"/>
              <w:rPr>
                <w:kern w:val="2"/>
                <w:sz w:val="20"/>
                <w:szCs w:val="20"/>
                <w:lang w:eastAsia="zh-CN"/>
              </w:rPr>
            </w:pPr>
            <w:r w:rsidRPr="00D741ED">
              <w:rPr>
                <w:kern w:val="2"/>
                <w:sz w:val="20"/>
                <w:szCs w:val="20"/>
                <w:lang w:eastAsia="zh-CN"/>
              </w:rPr>
              <w:t xml:space="preserve">Freeze at average 2009-2010 level on 1/1/2013; 10% reduction by 1/1/2015; 35% reduction by 1/1/2020; </w:t>
            </w:r>
            <w:r w:rsidRPr="004E327B">
              <w:rPr>
                <w:kern w:val="2"/>
                <w:sz w:val="20"/>
                <w:szCs w:val="20"/>
                <w:lang w:eastAsia="zh-CN"/>
              </w:rPr>
              <w:t>67.5% reduction by 1/1/2025;</w:t>
            </w:r>
            <w:r w:rsidRPr="00680A39">
              <w:rPr>
                <w:b/>
                <w:bCs/>
                <w:kern w:val="2"/>
                <w:sz w:val="20"/>
                <w:szCs w:val="20"/>
                <w:lang w:eastAsia="zh-CN"/>
              </w:rPr>
              <w:t xml:space="preserve"> 97.5% reduction by 1/1/2030</w:t>
            </w:r>
            <w:r w:rsidRPr="00680A39">
              <w:rPr>
                <w:b/>
                <w:bCs/>
                <w:kern w:val="2"/>
                <w:sz w:val="20"/>
                <w:szCs w:val="20"/>
                <w:vertAlign w:val="superscript"/>
                <w:lang w:eastAsia="zh-CN"/>
              </w:rPr>
              <w:t>**</w:t>
            </w:r>
            <w:r w:rsidRPr="00D741ED">
              <w:rPr>
                <w:kern w:val="2"/>
                <w:sz w:val="20"/>
                <w:szCs w:val="20"/>
                <w:lang w:eastAsia="zh-CN"/>
              </w:rPr>
              <w:t xml:space="preserve">; Total phase-out by 1/1/2040 </w:t>
            </w:r>
          </w:p>
          <w:p w14:paraId="4EA56187" w14:textId="77777777" w:rsidR="00A72029" w:rsidRPr="00D741ED" w:rsidRDefault="00A72029" w:rsidP="006233FA">
            <w:pPr>
              <w:spacing w:after="0"/>
              <w:rPr>
                <w:kern w:val="2"/>
                <w:sz w:val="20"/>
                <w:szCs w:val="20"/>
                <w:lang w:eastAsia="zh-CN"/>
              </w:rPr>
            </w:pPr>
          </w:p>
          <w:p w14:paraId="399B4BE3" w14:textId="77777777" w:rsidR="00A72029" w:rsidRPr="00D741ED" w:rsidRDefault="00A72029" w:rsidP="006233FA">
            <w:pPr>
              <w:spacing w:after="0"/>
              <w:rPr>
                <w:kern w:val="2"/>
                <w:sz w:val="20"/>
                <w:szCs w:val="20"/>
                <w:lang w:eastAsia="zh-CN"/>
              </w:rPr>
            </w:pPr>
            <w:r w:rsidRPr="00D741ED">
              <w:rPr>
                <w:kern w:val="2"/>
                <w:sz w:val="20"/>
                <w:szCs w:val="20"/>
                <w:lang w:eastAsia="zh-CN"/>
              </w:rPr>
              <w:t>**</w:t>
            </w:r>
            <w:r w:rsidRPr="3B257A4C">
              <w:rPr>
                <w:kern w:val="2"/>
                <w:sz w:val="20"/>
                <w:szCs w:val="20"/>
                <w:lang w:eastAsia="zh-CN"/>
              </w:rPr>
              <w:t>The annual average of 2.5% is restricted to the servicing of refrigeration and air-conditioning equipment existing during 2030-2040 and subject to review in 2025.</w:t>
            </w:r>
            <w:r>
              <w:t xml:space="preserve"> </w:t>
            </w:r>
            <w:r>
              <w:rPr>
                <w:kern w:val="2"/>
                <w:sz w:val="20"/>
                <w:szCs w:val="20"/>
                <w:lang w:eastAsia="zh-CN"/>
              </w:rPr>
              <w:t>Note that</w:t>
            </w:r>
            <w:r w:rsidRPr="0083593E">
              <w:rPr>
                <w:kern w:val="2"/>
                <w:sz w:val="20"/>
                <w:szCs w:val="20"/>
                <w:lang w:eastAsia="zh-CN"/>
              </w:rPr>
              <w:t xml:space="preserve"> Decision XXX/2 referring to Annex I of the MOP30 report, adjusted this part of A</w:t>
            </w:r>
            <w:r>
              <w:rPr>
                <w:kern w:val="2"/>
                <w:sz w:val="20"/>
                <w:szCs w:val="20"/>
                <w:lang w:eastAsia="zh-CN"/>
              </w:rPr>
              <w:t xml:space="preserve">rticle </w:t>
            </w:r>
            <w:r w:rsidRPr="0083593E">
              <w:rPr>
                <w:kern w:val="2"/>
                <w:sz w:val="20"/>
                <w:szCs w:val="20"/>
                <w:lang w:eastAsia="zh-CN"/>
              </w:rPr>
              <w:t>5 (as well as 2F) to include other uses, i.e., the servicing of fire suppression and fire protection equipment existing on 1 January 2030; solvent applications in rocket engine manufacturing; and topical medical aerosol for applications for the specialised treatment of burns.</w:t>
            </w:r>
          </w:p>
        </w:tc>
      </w:tr>
    </w:tbl>
    <w:p w14:paraId="47D89A11" w14:textId="77777777" w:rsidR="00A72029" w:rsidRDefault="00A72029" w:rsidP="00A72029">
      <w:pPr>
        <w:spacing w:after="0"/>
        <w:rPr>
          <w:lang w:eastAsia="zh-CN"/>
        </w:rPr>
      </w:pPr>
    </w:p>
    <w:p w14:paraId="71CC18FF" w14:textId="6A0CD308" w:rsidR="00584975" w:rsidRDefault="274D2446" w:rsidP="00584975">
      <w:r>
        <w:t xml:space="preserve">For HCFCs, the compliance target for the 2027-2029 triennium is a 97.5% reduction from baseline by 1 January 2030.  </w:t>
      </w:r>
    </w:p>
    <w:p w14:paraId="53EF7165" w14:textId="3BBE06B6" w:rsidR="00584975" w:rsidRDefault="4BCEE662" w:rsidP="00584975">
      <w:r>
        <w:t>For funding estimation, the RTF model assumes a 100% phaseout of controlled consumption by 2030, bearing in mind the servicing tail provisions of the MP, as outlined below:</w:t>
      </w:r>
    </w:p>
    <w:p w14:paraId="4DDF8294" w14:textId="27598032" w:rsidR="00C712B5" w:rsidRDefault="00584975" w:rsidP="00584975">
      <w:pPr>
        <w:pStyle w:val="ListParagraph"/>
      </w:pPr>
      <w:r>
        <w:t xml:space="preserve">The remaining 2.5% </w:t>
      </w:r>
      <w:r w:rsidRPr="002C2C01">
        <w:t xml:space="preserve">of baseline consumption is </w:t>
      </w:r>
      <w:r>
        <w:t>restricted to servicing of refrigeration and air-conditioning equipment existing during 2030-2040.</w:t>
      </w:r>
      <w:r w:rsidRPr="0083593E">
        <w:t xml:space="preserve"> Decision XXX/2</w:t>
      </w:r>
      <w:r>
        <w:t>,</w:t>
      </w:r>
      <w:r w:rsidRPr="0083593E">
        <w:t xml:space="preserve"> referring to Annex I of the MOP</w:t>
      </w:r>
      <w:r>
        <w:t>-</w:t>
      </w:r>
      <w:r w:rsidRPr="0083593E">
        <w:t>30 report</w:t>
      </w:r>
      <w:r>
        <w:rPr>
          <w:rStyle w:val="FootnoteReference"/>
        </w:rPr>
        <w:footnoteReference w:id="14"/>
      </w:r>
      <w:r w:rsidRPr="0083593E">
        <w:t xml:space="preserve">, </w:t>
      </w:r>
      <w:r>
        <w:t xml:space="preserve">amends </w:t>
      </w:r>
      <w:r w:rsidRPr="0083593E">
        <w:t xml:space="preserve">this </w:t>
      </w:r>
      <w:r>
        <w:t xml:space="preserve">provision </w:t>
      </w:r>
      <w:r w:rsidRPr="0083593E">
        <w:t xml:space="preserve">of </w:t>
      </w:r>
      <w:r w:rsidR="00F05ED5">
        <w:t>A5</w:t>
      </w:r>
      <w:r w:rsidRPr="0083593E">
        <w:t xml:space="preserve"> (as well as </w:t>
      </w:r>
      <w:r w:rsidRPr="0083593E">
        <w:lastRenderedPageBreak/>
        <w:t xml:space="preserve">2F) to include other uses, </w:t>
      </w:r>
      <w:r>
        <w:t>namely</w:t>
      </w:r>
      <w:r w:rsidRPr="0083593E">
        <w:t xml:space="preserve"> servicing of fire suppression and fire protection equipment existing </w:t>
      </w:r>
      <w:r>
        <w:t xml:space="preserve">as </w:t>
      </w:r>
      <w:r w:rsidRPr="0083593E">
        <w:t>o</w:t>
      </w:r>
      <w:r>
        <w:t>f</w:t>
      </w:r>
      <w:r w:rsidRPr="0083593E">
        <w:t xml:space="preserve"> 1 January 2030; solvent applications in rocket engine manufacturing; and topical medical aerosol applications for the specialised treatment of burns.</w:t>
      </w:r>
      <w:r w:rsidR="00C712B5" w:rsidRPr="00C712B5">
        <w:t xml:space="preserve"> </w:t>
      </w:r>
    </w:p>
    <w:p w14:paraId="1A67FDD4" w14:textId="54ACF962" w:rsidR="00584975" w:rsidRDefault="274D2446" w:rsidP="00C603FA">
      <w:r>
        <w:t xml:space="preserve">For future triennia (2030-2032 and 2033-2035), funding needs will be the committed funding in </w:t>
      </w:r>
      <w:r w:rsidR="00D03B7E">
        <w:t>a</w:t>
      </w:r>
      <w:r>
        <w:t>greements with A5 parties for the complete phaseout of HCFCs by 2040.</w:t>
      </w:r>
    </w:p>
    <w:p w14:paraId="66A54C8F" w14:textId="58785A51" w:rsidR="00EF3E4B" w:rsidRPr="00D7427C" w:rsidRDefault="00EF3E4B" w:rsidP="002D02B7">
      <w:pPr>
        <w:pStyle w:val="Heading2"/>
        <w:rPr>
          <w:color w:val="auto"/>
        </w:rPr>
      </w:pPr>
      <w:bookmarkStart w:id="135" w:name="_Toc230099052"/>
      <w:r w:rsidRPr="00D7427C">
        <w:t>2.</w:t>
      </w:r>
      <w:r w:rsidR="00BE74F3">
        <w:t>2</w:t>
      </w:r>
      <w:r w:rsidRPr="00D7427C">
        <w:rPr>
          <w:lang w:eastAsia="en-GB"/>
        </w:rPr>
        <w:tab/>
      </w:r>
      <w:r w:rsidR="00BE74F3">
        <w:rPr>
          <w:lang w:eastAsia="en-GB"/>
        </w:rPr>
        <w:t xml:space="preserve">2026 Status overview of the </w:t>
      </w:r>
      <w:r w:rsidR="00BE74F3" w:rsidRPr="002135B0">
        <w:t>HCFC</w:t>
      </w:r>
      <w:r w:rsidR="00BE74F3">
        <w:rPr>
          <w:lang w:eastAsia="en-GB"/>
        </w:rPr>
        <w:t xml:space="preserve"> consumptions sector</w:t>
      </w:r>
      <w:bookmarkEnd w:id="135"/>
    </w:p>
    <w:p w14:paraId="19BAC07C" w14:textId="4CDE3EAA" w:rsidR="002A5D20" w:rsidRPr="009C3A21" w:rsidRDefault="2FB9AF7B" w:rsidP="002A5D20">
      <w:r w:rsidRPr="009C3A21">
        <w:t>Table </w:t>
      </w:r>
      <w:r w:rsidR="6BDF1153">
        <w:t>2.2</w:t>
      </w:r>
      <w:r w:rsidRPr="009C3A21">
        <w:t xml:space="preserve"> shows the aggregate remaining HCFC consumption</w:t>
      </w:r>
      <w:r w:rsidR="002A5D20" w:rsidRPr="009C3A21">
        <w:rPr>
          <w:vertAlign w:val="superscript"/>
        </w:rPr>
        <w:footnoteReference w:id="15"/>
      </w:r>
      <w:r w:rsidRPr="009C3A21">
        <w:t xml:space="preserve"> by type of HCFCs in A5 countries that are receiving assistance from the </w:t>
      </w:r>
      <w:r w:rsidR="384AE56C">
        <w:t>MLF</w:t>
      </w:r>
      <w:r w:rsidRPr="009C3A21">
        <w:t>.</w:t>
      </w:r>
      <w:r w:rsidR="00602D62">
        <w:rPr>
          <w:rStyle w:val="FootnoteReference"/>
        </w:rPr>
        <w:footnoteReference w:id="16"/>
      </w:r>
      <w:r>
        <w:t xml:space="preserve"> </w:t>
      </w:r>
      <w:r w:rsidRPr="009C3A21">
        <w:t xml:space="preserve">Implementation of approved </w:t>
      </w:r>
      <w:r w:rsidR="00D03B7E">
        <w:t>S</w:t>
      </w:r>
      <w:r w:rsidRPr="009C3A21">
        <w:t>tages I, II and III of the HPMPs will result in the phase-out of approximately 84</w:t>
      </w:r>
      <w:r w:rsidR="00D03B7E">
        <w:t>%</w:t>
      </w:r>
      <w:r w:rsidRPr="009C3A21">
        <w:t xml:space="preserve"> of the starting point for aggregate reduction of HCFC consumption and 96</w:t>
      </w:r>
      <w:r w:rsidR="00D03B7E">
        <w:t>%</w:t>
      </w:r>
      <w:r w:rsidRPr="009C3A21">
        <w:t xml:space="preserve"> of the consumption of HCFC</w:t>
      </w:r>
      <w:r w:rsidR="002A5D20" w:rsidRPr="009C3A21">
        <w:noBreakHyphen/>
      </w:r>
      <w:r w:rsidRPr="009C3A21">
        <w:t>141b contained in imported pre-blended polyols.</w:t>
      </w:r>
    </w:p>
    <w:p w14:paraId="12FCEB9A" w14:textId="4B0735F8" w:rsidR="00247D86" w:rsidRPr="009C3A21" w:rsidRDefault="077E58F6" w:rsidP="002135B0">
      <w:pPr>
        <w:tabs>
          <w:tab w:val="left" w:pos="1134"/>
        </w:tabs>
        <w:spacing w:after="120"/>
        <w:ind w:left="1418" w:hanging="1412"/>
        <w:rPr>
          <w:b/>
          <w:bCs/>
        </w:rPr>
      </w:pPr>
      <w:r w:rsidRPr="077E58F6">
        <w:rPr>
          <w:rFonts w:eastAsiaTheme="minorEastAsia"/>
          <w:b/>
          <w:bCs/>
        </w:rPr>
        <w:t>Table 2.2</w:t>
      </w:r>
      <w:r w:rsidR="00DA6448">
        <w:rPr>
          <w:rFonts w:eastAsiaTheme="minorEastAsia"/>
          <w:b/>
          <w:bCs/>
        </w:rPr>
        <w:t>:</w:t>
      </w:r>
      <w:r w:rsidR="274D2446">
        <w:tab/>
      </w:r>
      <w:r w:rsidRPr="077E58F6">
        <w:rPr>
          <w:b/>
          <w:bCs/>
        </w:rPr>
        <w:t xml:space="preserve">Total remaining HCFC consumption by substance (ODP tonnes) * </w:t>
      </w:r>
    </w:p>
    <w:tbl>
      <w:tblPr>
        <w:tblW w:w="9160" w:type="dxa"/>
        <w:tblLook w:val="04A0" w:firstRow="1" w:lastRow="0" w:firstColumn="1" w:lastColumn="0" w:noHBand="0" w:noVBand="1"/>
      </w:tblPr>
      <w:tblGrid>
        <w:gridCol w:w="1972"/>
        <w:gridCol w:w="1560"/>
        <w:gridCol w:w="1760"/>
        <w:gridCol w:w="1240"/>
        <w:gridCol w:w="1340"/>
        <w:gridCol w:w="1288"/>
      </w:tblGrid>
      <w:tr w:rsidR="009939CD" w:rsidRPr="00E007D5" w14:paraId="6C561974" w14:textId="77777777" w:rsidTr="00643982">
        <w:trPr>
          <w:trHeight w:val="249"/>
        </w:trPr>
        <w:tc>
          <w:tcPr>
            <w:tcW w:w="197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82573AA" w14:textId="77777777" w:rsidR="009939CD" w:rsidRPr="00E007D5" w:rsidRDefault="009939CD">
            <w:pPr>
              <w:tabs>
                <w:tab w:val="clear" w:pos="0"/>
              </w:tabs>
              <w:spacing w:after="0"/>
              <w:rPr>
                <w:b/>
                <w:bCs/>
                <w:color w:val="000000"/>
                <w:sz w:val="20"/>
                <w:szCs w:val="20"/>
                <w:lang w:eastAsia="zh-CN"/>
              </w:rPr>
            </w:pPr>
            <w:r w:rsidRPr="00E007D5">
              <w:rPr>
                <w:b/>
                <w:bCs/>
                <w:color w:val="000000"/>
                <w:sz w:val="20"/>
                <w:szCs w:val="20"/>
                <w:lang w:eastAsia="zh-CN"/>
              </w:rPr>
              <w:t>HCFC</w:t>
            </w:r>
          </w:p>
        </w:tc>
        <w:tc>
          <w:tcPr>
            <w:tcW w:w="15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FD31859" w14:textId="77777777" w:rsidR="009939CD" w:rsidRPr="00E007D5" w:rsidRDefault="009939CD">
            <w:pPr>
              <w:tabs>
                <w:tab w:val="clear" w:pos="0"/>
              </w:tabs>
              <w:spacing w:after="0"/>
              <w:jc w:val="center"/>
              <w:rPr>
                <w:b/>
                <w:bCs/>
                <w:color w:val="000000"/>
                <w:sz w:val="20"/>
                <w:szCs w:val="20"/>
                <w:lang w:eastAsia="zh-CN"/>
              </w:rPr>
            </w:pPr>
            <w:r w:rsidRPr="00E007D5">
              <w:rPr>
                <w:b/>
                <w:bCs/>
                <w:color w:val="000000"/>
                <w:sz w:val="20"/>
                <w:szCs w:val="20"/>
                <w:lang w:eastAsia="zh-CN"/>
              </w:rPr>
              <w:t>Baseline</w:t>
            </w:r>
          </w:p>
        </w:tc>
        <w:tc>
          <w:tcPr>
            <w:tcW w:w="17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059F523" w14:textId="77777777" w:rsidR="009939CD" w:rsidRPr="00E007D5" w:rsidRDefault="009939CD">
            <w:pPr>
              <w:tabs>
                <w:tab w:val="clear" w:pos="0"/>
              </w:tabs>
              <w:spacing w:after="0"/>
              <w:jc w:val="center"/>
              <w:rPr>
                <w:b/>
                <w:bCs/>
                <w:color w:val="000000"/>
                <w:sz w:val="20"/>
                <w:szCs w:val="20"/>
                <w:lang w:eastAsia="zh-CN"/>
              </w:rPr>
            </w:pPr>
            <w:r w:rsidRPr="00E007D5">
              <w:rPr>
                <w:b/>
                <w:bCs/>
                <w:color w:val="000000"/>
                <w:sz w:val="20"/>
                <w:szCs w:val="20"/>
                <w:lang w:eastAsia="zh-CN"/>
              </w:rPr>
              <w:t>Starting point</w:t>
            </w:r>
          </w:p>
        </w:tc>
        <w:tc>
          <w:tcPr>
            <w:tcW w:w="12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61DFB49" w14:textId="77777777" w:rsidR="009939CD" w:rsidRPr="00E007D5" w:rsidRDefault="009939CD">
            <w:pPr>
              <w:tabs>
                <w:tab w:val="clear" w:pos="0"/>
              </w:tabs>
              <w:spacing w:after="0"/>
              <w:jc w:val="center"/>
              <w:rPr>
                <w:b/>
                <w:bCs/>
                <w:color w:val="000000"/>
                <w:sz w:val="20"/>
                <w:szCs w:val="20"/>
                <w:lang w:eastAsia="zh-CN"/>
              </w:rPr>
            </w:pPr>
            <w:r w:rsidRPr="00E007D5">
              <w:rPr>
                <w:b/>
                <w:bCs/>
                <w:color w:val="000000"/>
                <w:sz w:val="20"/>
                <w:szCs w:val="20"/>
                <w:lang w:eastAsia="zh-CN"/>
              </w:rPr>
              <w:t>Approved</w:t>
            </w:r>
          </w:p>
        </w:tc>
        <w:tc>
          <w:tcPr>
            <w:tcW w:w="134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73DE282" w14:textId="77777777" w:rsidR="009939CD" w:rsidRPr="00E007D5" w:rsidRDefault="009939CD">
            <w:pPr>
              <w:tabs>
                <w:tab w:val="clear" w:pos="0"/>
              </w:tabs>
              <w:spacing w:after="0"/>
              <w:jc w:val="center"/>
              <w:rPr>
                <w:b/>
                <w:bCs/>
                <w:color w:val="000000"/>
                <w:sz w:val="20"/>
                <w:szCs w:val="20"/>
                <w:lang w:eastAsia="zh-CN"/>
              </w:rPr>
            </w:pPr>
            <w:r w:rsidRPr="00E007D5">
              <w:rPr>
                <w:b/>
                <w:bCs/>
                <w:color w:val="000000"/>
                <w:sz w:val="20"/>
                <w:szCs w:val="20"/>
                <w:lang w:eastAsia="zh-CN"/>
              </w:rPr>
              <w:t>Remaining</w:t>
            </w:r>
          </w:p>
        </w:tc>
        <w:tc>
          <w:tcPr>
            <w:tcW w:w="128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C275789" w14:textId="77777777" w:rsidR="009939CD" w:rsidRPr="00E007D5" w:rsidRDefault="009939CD">
            <w:pPr>
              <w:tabs>
                <w:tab w:val="clear" w:pos="0"/>
              </w:tabs>
              <w:spacing w:after="0"/>
              <w:jc w:val="center"/>
              <w:rPr>
                <w:b/>
                <w:bCs/>
                <w:color w:val="000000"/>
                <w:sz w:val="20"/>
                <w:szCs w:val="20"/>
                <w:lang w:eastAsia="zh-CN"/>
              </w:rPr>
            </w:pPr>
            <w:r w:rsidRPr="00E007D5">
              <w:rPr>
                <w:b/>
                <w:bCs/>
                <w:color w:val="000000"/>
                <w:sz w:val="20"/>
                <w:szCs w:val="20"/>
                <w:lang w:eastAsia="zh-CN"/>
              </w:rPr>
              <w:t>% of approved</w:t>
            </w:r>
          </w:p>
        </w:tc>
      </w:tr>
      <w:tr w:rsidR="009939CD" w:rsidRPr="00E007D5" w14:paraId="3AEB5C81"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3E1B6C8E"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HCFC-123</w:t>
            </w:r>
          </w:p>
        </w:tc>
        <w:tc>
          <w:tcPr>
            <w:tcW w:w="1560" w:type="dxa"/>
            <w:tcBorders>
              <w:top w:val="nil"/>
              <w:left w:val="nil"/>
              <w:bottom w:val="single" w:sz="4" w:space="0" w:color="auto"/>
              <w:right w:val="single" w:sz="4" w:space="0" w:color="auto"/>
            </w:tcBorders>
            <w:noWrap/>
            <w:vAlign w:val="center"/>
            <w:hideMark/>
          </w:tcPr>
          <w:p w14:paraId="3D204F57"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31.9</w:t>
            </w:r>
          </w:p>
        </w:tc>
        <w:tc>
          <w:tcPr>
            <w:tcW w:w="1760" w:type="dxa"/>
            <w:tcBorders>
              <w:top w:val="nil"/>
              <w:left w:val="nil"/>
              <w:bottom w:val="single" w:sz="4" w:space="0" w:color="auto"/>
              <w:right w:val="single" w:sz="4" w:space="0" w:color="auto"/>
            </w:tcBorders>
            <w:noWrap/>
            <w:vAlign w:val="center"/>
            <w:hideMark/>
          </w:tcPr>
          <w:p w14:paraId="1B908896"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30.2</w:t>
            </w:r>
          </w:p>
        </w:tc>
        <w:tc>
          <w:tcPr>
            <w:tcW w:w="1240" w:type="dxa"/>
            <w:tcBorders>
              <w:top w:val="nil"/>
              <w:left w:val="nil"/>
              <w:bottom w:val="single" w:sz="4" w:space="0" w:color="auto"/>
              <w:right w:val="single" w:sz="4" w:space="0" w:color="auto"/>
            </w:tcBorders>
            <w:noWrap/>
            <w:vAlign w:val="center"/>
            <w:hideMark/>
          </w:tcPr>
          <w:p w14:paraId="12D49D04"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24.8</w:t>
            </w:r>
          </w:p>
        </w:tc>
        <w:tc>
          <w:tcPr>
            <w:tcW w:w="1340" w:type="dxa"/>
            <w:tcBorders>
              <w:top w:val="nil"/>
              <w:left w:val="nil"/>
              <w:bottom w:val="single" w:sz="4" w:space="0" w:color="auto"/>
              <w:right w:val="single" w:sz="4" w:space="0" w:color="auto"/>
            </w:tcBorders>
            <w:noWrap/>
            <w:vAlign w:val="center"/>
            <w:hideMark/>
          </w:tcPr>
          <w:p w14:paraId="0198509D"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5.4</w:t>
            </w:r>
          </w:p>
        </w:tc>
        <w:tc>
          <w:tcPr>
            <w:tcW w:w="1288" w:type="dxa"/>
            <w:tcBorders>
              <w:top w:val="nil"/>
              <w:left w:val="nil"/>
              <w:bottom w:val="single" w:sz="4" w:space="0" w:color="auto"/>
              <w:right w:val="single" w:sz="4" w:space="0" w:color="auto"/>
            </w:tcBorders>
            <w:noWrap/>
            <w:vAlign w:val="center"/>
            <w:hideMark/>
          </w:tcPr>
          <w:p w14:paraId="4B594651"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82.1</w:t>
            </w:r>
          </w:p>
        </w:tc>
      </w:tr>
      <w:tr w:rsidR="009939CD" w:rsidRPr="00E007D5" w14:paraId="2E519323"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7248A650"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HCFC-124</w:t>
            </w:r>
          </w:p>
        </w:tc>
        <w:tc>
          <w:tcPr>
            <w:tcW w:w="1560" w:type="dxa"/>
            <w:tcBorders>
              <w:top w:val="nil"/>
              <w:left w:val="nil"/>
              <w:bottom w:val="single" w:sz="4" w:space="0" w:color="auto"/>
              <w:right w:val="single" w:sz="4" w:space="0" w:color="auto"/>
            </w:tcBorders>
            <w:noWrap/>
            <w:vAlign w:val="center"/>
            <w:hideMark/>
          </w:tcPr>
          <w:p w14:paraId="68214904"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26.4</w:t>
            </w:r>
          </w:p>
        </w:tc>
        <w:tc>
          <w:tcPr>
            <w:tcW w:w="1760" w:type="dxa"/>
            <w:tcBorders>
              <w:top w:val="nil"/>
              <w:left w:val="nil"/>
              <w:bottom w:val="single" w:sz="4" w:space="0" w:color="auto"/>
              <w:right w:val="single" w:sz="4" w:space="0" w:color="auto"/>
            </w:tcBorders>
            <w:noWrap/>
            <w:vAlign w:val="center"/>
            <w:hideMark/>
          </w:tcPr>
          <w:p w14:paraId="5FFB0554"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26.1</w:t>
            </w:r>
          </w:p>
        </w:tc>
        <w:tc>
          <w:tcPr>
            <w:tcW w:w="1240" w:type="dxa"/>
            <w:tcBorders>
              <w:top w:val="nil"/>
              <w:left w:val="nil"/>
              <w:bottom w:val="single" w:sz="4" w:space="0" w:color="auto"/>
              <w:right w:val="single" w:sz="4" w:space="0" w:color="auto"/>
            </w:tcBorders>
            <w:noWrap/>
            <w:vAlign w:val="center"/>
            <w:hideMark/>
          </w:tcPr>
          <w:p w14:paraId="3C08506A"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24.0</w:t>
            </w:r>
          </w:p>
        </w:tc>
        <w:tc>
          <w:tcPr>
            <w:tcW w:w="1340" w:type="dxa"/>
            <w:tcBorders>
              <w:top w:val="nil"/>
              <w:left w:val="nil"/>
              <w:bottom w:val="single" w:sz="4" w:space="0" w:color="auto"/>
              <w:right w:val="single" w:sz="4" w:space="0" w:color="auto"/>
            </w:tcBorders>
            <w:noWrap/>
            <w:vAlign w:val="center"/>
            <w:hideMark/>
          </w:tcPr>
          <w:p w14:paraId="2601D7BD"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2.2</w:t>
            </w:r>
          </w:p>
        </w:tc>
        <w:tc>
          <w:tcPr>
            <w:tcW w:w="1288" w:type="dxa"/>
            <w:tcBorders>
              <w:top w:val="nil"/>
              <w:left w:val="nil"/>
              <w:bottom w:val="single" w:sz="4" w:space="0" w:color="auto"/>
              <w:right w:val="single" w:sz="4" w:space="0" w:color="auto"/>
            </w:tcBorders>
            <w:noWrap/>
            <w:vAlign w:val="center"/>
            <w:hideMark/>
          </w:tcPr>
          <w:p w14:paraId="2FBE3059"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92.0</w:t>
            </w:r>
          </w:p>
        </w:tc>
      </w:tr>
      <w:tr w:rsidR="009939CD" w:rsidRPr="00E007D5" w14:paraId="74687363"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0A86602A"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HCFC-141</w:t>
            </w:r>
          </w:p>
        </w:tc>
        <w:tc>
          <w:tcPr>
            <w:tcW w:w="1560" w:type="dxa"/>
            <w:tcBorders>
              <w:top w:val="nil"/>
              <w:left w:val="nil"/>
              <w:bottom w:val="single" w:sz="4" w:space="0" w:color="auto"/>
              <w:right w:val="single" w:sz="4" w:space="0" w:color="auto"/>
            </w:tcBorders>
            <w:noWrap/>
            <w:vAlign w:val="center"/>
            <w:hideMark/>
          </w:tcPr>
          <w:p w14:paraId="6023D272"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0.9</w:t>
            </w:r>
          </w:p>
        </w:tc>
        <w:tc>
          <w:tcPr>
            <w:tcW w:w="1760" w:type="dxa"/>
            <w:tcBorders>
              <w:top w:val="nil"/>
              <w:left w:val="nil"/>
              <w:bottom w:val="single" w:sz="4" w:space="0" w:color="auto"/>
              <w:right w:val="single" w:sz="4" w:space="0" w:color="auto"/>
            </w:tcBorders>
            <w:noWrap/>
            <w:vAlign w:val="center"/>
            <w:hideMark/>
          </w:tcPr>
          <w:p w14:paraId="594D392D"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0.9</w:t>
            </w:r>
          </w:p>
        </w:tc>
        <w:tc>
          <w:tcPr>
            <w:tcW w:w="1240" w:type="dxa"/>
            <w:tcBorders>
              <w:top w:val="nil"/>
              <w:left w:val="nil"/>
              <w:bottom w:val="single" w:sz="4" w:space="0" w:color="auto"/>
              <w:right w:val="single" w:sz="4" w:space="0" w:color="auto"/>
            </w:tcBorders>
            <w:noWrap/>
            <w:vAlign w:val="center"/>
            <w:hideMark/>
          </w:tcPr>
          <w:p w14:paraId="0297646B"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0.9</w:t>
            </w:r>
          </w:p>
        </w:tc>
        <w:tc>
          <w:tcPr>
            <w:tcW w:w="1340" w:type="dxa"/>
            <w:tcBorders>
              <w:top w:val="nil"/>
              <w:left w:val="nil"/>
              <w:bottom w:val="single" w:sz="4" w:space="0" w:color="auto"/>
              <w:right w:val="single" w:sz="4" w:space="0" w:color="auto"/>
            </w:tcBorders>
            <w:noWrap/>
            <w:vAlign w:val="center"/>
            <w:hideMark/>
          </w:tcPr>
          <w:p w14:paraId="04F41406"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0.0</w:t>
            </w:r>
          </w:p>
        </w:tc>
        <w:tc>
          <w:tcPr>
            <w:tcW w:w="1288" w:type="dxa"/>
            <w:tcBorders>
              <w:top w:val="nil"/>
              <w:left w:val="nil"/>
              <w:bottom w:val="single" w:sz="4" w:space="0" w:color="auto"/>
              <w:right w:val="single" w:sz="4" w:space="0" w:color="auto"/>
            </w:tcBorders>
            <w:noWrap/>
            <w:vAlign w:val="center"/>
            <w:hideMark/>
          </w:tcPr>
          <w:p w14:paraId="22B0D1AC"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100.0</w:t>
            </w:r>
          </w:p>
        </w:tc>
      </w:tr>
      <w:tr w:rsidR="009939CD" w:rsidRPr="00E007D5" w14:paraId="5C53FB58"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661F8B98"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HCFC-141b</w:t>
            </w:r>
          </w:p>
        </w:tc>
        <w:tc>
          <w:tcPr>
            <w:tcW w:w="1560" w:type="dxa"/>
            <w:tcBorders>
              <w:top w:val="nil"/>
              <w:left w:val="nil"/>
              <w:bottom w:val="single" w:sz="4" w:space="0" w:color="auto"/>
              <w:right w:val="single" w:sz="4" w:space="0" w:color="auto"/>
            </w:tcBorders>
            <w:noWrap/>
            <w:vAlign w:val="center"/>
            <w:hideMark/>
          </w:tcPr>
          <w:p w14:paraId="633B3ABB"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10,668.2</w:t>
            </w:r>
          </w:p>
        </w:tc>
        <w:tc>
          <w:tcPr>
            <w:tcW w:w="1760" w:type="dxa"/>
            <w:tcBorders>
              <w:top w:val="nil"/>
              <w:left w:val="nil"/>
              <w:bottom w:val="single" w:sz="4" w:space="0" w:color="auto"/>
              <w:right w:val="single" w:sz="4" w:space="0" w:color="auto"/>
            </w:tcBorders>
            <w:noWrap/>
            <w:vAlign w:val="center"/>
            <w:hideMark/>
          </w:tcPr>
          <w:p w14:paraId="72490314"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10,674.8</w:t>
            </w:r>
          </w:p>
        </w:tc>
        <w:tc>
          <w:tcPr>
            <w:tcW w:w="1240" w:type="dxa"/>
            <w:tcBorders>
              <w:top w:val="nil"/>
              <w:left w:val="nil"/>
              <w:bottom w:val="single" w:sz="4" w:space="0" w:color="auto"/>
              <w:right w:val="single" w:sz="4" w:space="0" w:color="auto"/>
            </w:tcBorders>
            <w:noWrap/>
            <w:vAlign w:val="center"/>
            <w:hideMark/>
          </w:tcPr>
          <w:p w14:paraId="76080CB9"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10,644.1</w:t>
            </w:r>
          </w:p>
        </w:tc>
        <w:tc>
          <w:tcPr>
            <w:tcW w:w="1340" w:type="dxa"/>
            <w:tcBorders>
              <w:top w:val="nil"/>
              <w:left w:val="nil"/>
              <w:bottom w:val="single" w:sz="4" w:space="0" w:color="auto"/>
              <w:right w:val="single" w:sz="4" w:space="0" w:color="auto"/>
            </w:tcBorders>
            <w:noWrap/>
            <w:vAlign w:val="center"/>
            <w:hideMark/>
          </w:tcPr>
          <w:p w14:paraId="2DDD1C28"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29.4</w:t>
            </w:r>
          </w:p>
        </w:tc>
        <w:tc>
          <w:tcPr>
            <w:tcW w:w="1288" w:type="dxa"/>
            <w:tcBorders>
              <w:top w:val="nil"/>
              <w:left w:val="nil"/>
              <w:bottom w:val="single" w:sz="4" w:space="0" w:color="auto"/>
              <w:right w:val="single" w:sz="4" w:space="0" w:color="auto"/>
            </w:tcBorders>
            <w:noWrap/>
            <w:vAlign w:val="center"/>
            <w:hideMark/>
          </w:tcPr>
          <w:p w14:paraId="168DE341"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99.7</w:t>
            </w:r>
          </w:p>
        </w:tc>
      </w:tr>
      <w:tr w:rsidR="009939CD" w:rsidRPr="00E007D5" w14:paraId="66ADE987"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1CDE4ACB"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HCFC-142b</w:t>
            </w:r>
          </w:p>
        </w:tc>
        <w:tc>
          <w:tcPr>
            <w:tcW w:w="1560" w:type="dxa"/>
            <w:tcBorders>
              <w:top w:val="nil"/>
              <w:left w:val="nil"/>
              <w:bottom w:val="single" w:sz="4" w:space="0" w:color="auto"/>
              <w:right w:val="single" w:sz="4" w:space="0" w:color="auto"/>
            </w:tcBorders>
            <w:noWrap/>
            <w:vAlign w:val="center"/>
            <w:hideMark/>
          </w:tcPr>
          <w:p w14:paraId="16E80FD6"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2,000.8</w:t>
            </w:r>
          </w:p>
        </w:tc>
        <w:tc>
          <w:tcPr>
            <w:tcW w:w="1760" w:type="dxa"/>
            <w:tcBorders>
              <w:top w:val="nil"/>
              <w:left w:val="nil"/>
              <w:bottom w:val="single" w:sz="4" w:space="0" w:color="auto"/>
              <w:right w:val="single" w:sz="4" w:space="0" w:color="auto"/>
            </w:tcBorders>
            <w:noWrap/>
            <w:vAlign w:val="center"/>
            <w:hideMark/>
          </w:tcPr>
          <w:p w14:paraId="5FB44029"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2,016.8</w:t>
            </w:r>
          </w:p>
        </w:tc>
        <w:tc>
          <w:tcPr>
            <w:tcW w:w="1240" w:type="dxa"/>
            <w:tcBorders>
              <w:top w:val="nil"/>
              <w:left w:val="nil"/>
              <w:bottom w:val="single" w:sz="4" w:space="0" w:color="auto"/>
              <w:right w:val="single" w:sz="4" w:space="0" w:color="auto"/>
            </w:tcBorders>
            <w:noWrap/>
            <w:vAlign w:val="center"/>
            <w:hideMark/>
          </w:tcPr>
          <w:p w14:paraId="210E404F"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1,538.3</w:t>
            </w:r>
          </w:p>
        </w:tc>
        <w:tc>
          <w:tcPr>
            <w:tcW w:w="1340" w:type="dxa"/>
            <w:tcBorders>
              <w:top w:val="nil"/>
              <w:left w:val="nil"/>
              <w:bottom w:val="single" w:sz="4" w:space="0" w:color="auto"/>
              <w:right w:val="single" w:sz="4" w:space="0" w:color="auto"/>
            </w:tcBorders>
            <w:noWrap/>
            <w:vAlign w:val="center"/>
            <w:hideMark/>
          </w:tcPr>
          <w:p w14:paraId="3AC5E141"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476.8</w:t>
            </w:r>
          </w:p>
        </w:tc>
        <w:tc>
          <w:tcPr>
            <w:tcW w:w="1288" w:type="dxa"/>
            <w:tcBorders>
              <w:top w:val="nil"/>
              <w:left w:val="nil"/>
              <w:bottom w:val="single" w:sz="4" w:space="0" w:color="auto"/>
              <w:right w:val="single" w:sz="4" w:space="0" w:color="auto"/>
            </w:tcBorders>
            <w:noWrap/>
            <w:vAlign w:val="center"/>
            <w:hideMark/>
          </w:tcPr>
          <w:p w14:paraId="545F4A30"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76.3</w:t>
            </w:r>
          </w:p>
        </w:tc>
      </w:tr>
      <w:tr w:rsidR="009939CD" w:rsidRPr="00E007D5" w14:paraId="3A2430F7"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38E4D4EF"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HCFC-21</w:t>
            </w:r>
          </w:p>
        </w:tc>
        <w:tc>
          <w:tcPr>
            <w:tcW w:w="1560" w:type="dxa"/>
            <w:tcBorders>
              <w:top w:val="nil"/>
              <w:left w:val="nil"/>
              <w:bottom w:val="single" w:sz="4" w:space="0" w:color="auto"/>
              <w:right w:val="single" w:sz="4" w:space="0" w:color="auto"/>
            </w:tcBorders>
            <w:noWrap/>
            <w:vAlign w:val="center"/>
            <w:hideMark/>
          </w:tcPr>
          <w:p w14:paraId="3DC99616"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0.7</w:t>
            </w:r>
          </w:p>
        </w:tc>
        <w:tc>
          <w:tcPr>
            <w:tcW w:w="1760" w:type="dxa"/>
            <w:tcBorders>
              <w:top w:val="nil"/>
              <w:left w:val="nil"/>
              <w:bottom w:val="single" w:sz="4" w:space="0" w:color="auto"/>
              <w:right w:val="single" w:sz="4" w:space="0" w:color="auto"/>
            </w:tcBorders>
            <w:noWrap/>
            <w:vAlign w:val="center"/>
            <w:hideMark/>
          </w:tcPr>
          <w:p w14:paraId="798FABD8"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0.7</w:t>
            </w:r>
          </w:p>
        </w:tc>
        <w:tc>
          <w:tcPr>
            <w:tcW w:w="1240" w:type="dxa"/>
            <w:tcBorders>
              <w:top w:val="nil"/>
              <w:left w:val="nil"/>
              <w:bottom w:val="single" w:sz="4" w:space="0" w:color="auto"/>
              <w:right w:val="single" w:sz="4" w:space="0" w:color="auto"/>
            </w:tcBorders>
            <w:noWrap/>
            <w:vAlign w:val="center"/>
            <w:hideMark/>
          </w:tcPr>
          <w:p w14:paraId="17C08637"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0.7</w:t>
            </w:r>
          </w:p>
        </w:tc>
        <w:tc>
          <w:tcPr>
            <w:tcW w:w="1340" w:type="dxa"/>
            <w:tcBorders>
              <w:top w:val="nil"/>
              <w:left w:val="nil"/>
              <w:bottom w:val="single" w:sz="4" w:space="0" w:color="auto"/>
              <w:right w:val="single" w:sz="4" w:space="0" w:color="auto"/>
            </w:tcBorders>
            <w:noWrap/>
            <w:vAlign w:val="center"/>
            <w:hideMark/>
          </w:tcPr>
          <w:p w14:paraId="4FE9B27D"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0.0</w:t>
            </w:r>
          </w:p>
        </w:tc>
        <w:tc>
          <w:tcPr>
            <w:tcW w:w="1288" w:type="dxa"/>
            <w:tcBorders>
              <w:top w:val="nil"/>
              <w:left w:val="nil"/>
              <w:bottom w:val="single" w:sz="4" w:space="0" w:color="auto"/>
              <w:right w:val="single" w:sz="4" w:space="0" w:color="auto"/>
            </w:tcBorders>
            <w:noWrap/>
            <w:vAlign w:val="center"/>
            <w:hideMark/>
          </w:tcPr>
          <w:p w14:paraId="53713C53"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100.0</w:t>
            </w:r>
          </w:p>
        </w:tc>
      </w:tr>
      <w:tr w:rsidR="009939CD" w:rsidRPr="00E007D5" w14:paraId="7CC0495F"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19775464"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HCFC-22</w:t>
            </w:r>
          </w:p>
        </w:tc>
        <w:tc>
          <w:tcPr>
            <w:tcW w:w="1560" w:type="dxa"/>
            <w:tcBorders>
              <w:top w:val="nil"/>
              <w:left w:val="nil"/>
              <w:bottom w:val="single" w:sz="4" w:space="0" w:color="auto"/>
              <w:right w:val="single" w:sz="4" w:space="0" w:color="auto"/>
            </w:tcBorders>
            <w:noWrap/>
            <w:vAlign w:val="center"/>
            <w:hideMark/>
          </w:tcPr>
          <w:p w14:paraId="11ED3FF2"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20,424.7</w:t>
            </w:r>
          </w:p>
        </w:tc>
        <w:tc>
          <w:tcPr>
            <w:tcW w:w="1760" w:type="dxa"/>
            <w:tcBorders>
              <w:top w:val="nil"/>
              <w:left w:val="nil"/>
              <w:bottom w:val="single" w:sz="4" w:space="0" w:color="auto"/>
              <w:right w:val="single" w:sz="4" w:space="0" w:color="auto"/>
            </w:tcBorders>
            <w:noWrap/>
            <w:vAlign w:val="center"/>
            <w:hideMark/>
          </w:tcPr>
          <w:p w14:paraId="55BAE28E"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19,884.9</w:t>
            </w:r>
          </w:p>
        </w:tc>
        <w:tc>
          <w:tcPr>
            <w:tcW w:w="1240" w:type="dxa"/>
            <w:tcBorders>
              <w:top w:val="nil"/>
              <w:left w:val="nil"/>
              <w:bottom w:val="single" w:sz="4" w:space="0" w:color="auto"/>
              <w:right w:val="single" w:sz="4" w:space="0" w:color="auto"/>
            </w:tcBorders>
            <w:noWrap/>
            <w:vAlign w:val="center"/>
            <w:hideMark/>
          </w:tcPr>
          <w:p w14:paraId="7D9251E6"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15,605.7</w:t>
            </w:r>
          </w:p>
        </w:tc>
        <w:tc>
          <w:tcPr>
            <w:tcW w:w="1340" w:type="dxa"/>
            <w:tcBorders>
              <w:top w:val="nil"/>
              <w:left w:val="nil"/>
              <w:bottom w:val="single" w:sz="4" w:space="0" w:color="auto"/>
              <w:right w:val="single" w:sz="4" w:space="0" w:color="auto"/>
            </w:tcBorders>
            <w:noWrap/>
            <w:vAlign w:val="center"/>
            <w:hideMark/>
          </w:tcPr>
          <w:p w14:paraId="715CEF78"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4,278.5</w:t>
            </w:r>
          </w:p>
        </w:tc>
        <w:tc>
          <w:tcPr>
            <w:tcW w:w="1288" w:type="dxa"/>
            <w:tcBorders>
              <w:top w:val="nil"/>
              <w:left w:val="nil"/>
              <w:bottom w:val="single" w:sz="4" w:space="0" w:color="auto"/>
              <w:right w:val="single" w:sz="4" w:space="0" w:color="auto"/>
            </w:tcBorders>
            <w:noWrap/>
            <w:vAlign w:val="center"/>
            <w:hideMark/>
          </w:tcPr>
          <w:p w14:paraId="155BC5CF"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78.5</w:t>
            </w:r>
          </w:p>
        </w:tc>
      </w:tr>
      <w:tr w:rsidR="009939CD" w:rsidRPr="00E007D5" w14:paraId="63214516"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77CBC409"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HCFC-225</w:t>
            </w:r>
          </w:p>
        </w:tc>
        <w:tc>
          <w:tcPr>
            <w:tcW w:w="1560" w:type="dxa"/>
            <w:tcBorders>
              <w:top w:val="nil"/>
              <w:left w:val="nil"/>
              <w:bottom w:val="single" w:sz="4" w:space="0" w:color="auto"/>
              <w:right w:val="single" w:sz="4" w:space="0" w:color="auto"/>
            </w:tcBorders>
            <w:noWrap/>
            <w:vAlign w:val="center"/>
            <w:hideMark/>
          </w:tcPr>
          <w:p w14:paraId="5F2C774B"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2.8</w:t>
            </w:r>
          </w:p>
        </w:tc>
        <w:tc>
          <w:tcPr>
            <w:tcW w:w="1760" w:type="dxa"/>
            <w:tcBorders>
              <w:top w:val="nil"/>
              <w:left w:val="nil"/>
              <w:bottom w:val="single" w:sz="4" w:space="0" w:color="auto"/>
              <w:right w:val="single" w:sz="4" w:space="0" w:color="auto"/>
            </w:tcBorders>
            <w:noWrap/>
            <w:vAlign w:val="center"/>
            <w:hideMark/>
          </w:tcPr>
          <w:p w14:paraId="47E952FC"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2.8</w:t>
            </w:r>
          </w:p>
        </w:tc>
        <w:tc>
          <w:tcPr>
            <w:tcW w:w="1240" w:type="dxa"/>
            <w:tcBorders>
              <w:top w:val="nil"/>
              <w:left w:val="nil"/>
              <w:bottom w:val="single" w:sz="4" w:space="0" w:color="auto"/>
              <w:right w:val="single" w:sz="4" w:space="0" w:color="auto"/>
            </w:tcBorders>
            <w:noWrap/>
            <w:vAlign w:val="center"/>
            <w:hideMark/>
          </w:tcPr>
          <w:p w14:paraId="5D21661C"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1.5</w:t>
            </w:r>
          </w:p>
        </w:tc>
        <w:tc>
          <w:tcPr>
            <w:tcW w:w="1340" w:type="dxa"/>
            <w:tcBorders>
              <w:top w:val="nil"/>
              <w:left w:val="nil"/>
              <w:bottom w:val="single" w:sz="4" w:space="0" w:color="auto"/>
              <w:right w:val="single" w:sz="4" w:space="0" w:color="auto"/>
            </w:tcBorders>
            <w:noWrap/>
            <w:vAlign w:val="center"/>
            <w:hideMark/>
          </w:tcPr>
          <w:p w14:paraId="655734D5"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1.3</w:t>
            </w:r>
          </w:p>
        </w:tc>
        <w:tc>
          <w:tcPr>
            <w:tcW w:w="1288" w:type="dxa"/>
            <w:tcBorders>
              <w:top w:val="nil"/>
              <w:left w:val="nil"/>
              <w:bottom w:val="single" w:sz="4" w:space="0" w:color="auto"/>
              <w:right w:val="single" w:sz="4" w:space="0" w:color="auto"/>
            </w:tcBorders>
            <w:noWrap/>
            <w:vAlign w:val="center"/>
            <w:hideMark/>
          </w:tcPr>
          <w:p w14:paraId="5D92C876"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53.6</w:t>
            </w:r>
          </w:p>
        </w:tc>
      </w:tr>
      <w:tr w:rsidR="009939CD" w:rsidRPr="00E007D5" w14:paraId="51D8C269"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0E643E41"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HCFC-225ca</w:t>
            </w:r>
          </w:p>
        </w:tc>
        <w:tc>
          <w:tcPr>
            <w:tcW w:w="1560" w:type="dxa"/>
            <w:tcBorders>
              <w:top w:val="nil"/>
              <w:left w:val="nil"/>
              <w:bottom w:val="single" w:sz="4" w:space="0" w:color="auto"/>
              <w:right w:val="single" w:sz="4" w:space="0" w:color="auto"/>
            </w:tcBorders>
            <w:noWrap/>
            <w:vAlign w:val="center"/>
            <w:hideMark/>
          </w:tcPr>
          <w:p w14:paraId="36B4EE40"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0.4</w:t>
            </w:r>
          </w:p>
        </w:tc>
        <w:tc>
          <w:tcPr>
            <w:tcW w:w="1760" w:type="dxa"/>
            <w:tcBorders>
              <w:top w:val="nil"/>
              <w:left w:val="nil"/>
              <w:bottom w:val="single" w:sz="4" w:space="0" w:color="auto"/>
              <w:right w:val="single" w:sz="4" w:space="0" w:color="auto"/>
            </w:tcBorders>
            <w:noWrap/>
            <w:vAlign w:val="center"/>
            <w:hideMark/>
          </w:tcPr>
          <w:p w14:paraId="5624CE49"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0.4</w:t>
            </w:r>
          </w:p>
        </w:tc>
        <w:tc>
          <w:tcPr>
            <w:tcW w:w="1240" w:type="dxa"/>
            <w:tcBorders>
              <w:top w:val="nil"/>
              <w:left w:val="nil"/>
              <w:bottom w:val="single" w:sz="4" w:space="0" w:color="auto"/>
              <w:right w:val="single" w:sz="4" w:space="0" w:color="auto"/>
            </w:tcBorders>
            <w:noWrap/>
            <w:vAlign w:val="center"/>
            <w:hideMark/>
          </w:tcPr>
          <w:p w14:paraId="5D0AB9D5"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0.0</w:t>
            </w:r>
          </w:p>
        </w:tc>
        <w:tc>
          <w:tcPr>
            <w:tcW w:w="1340" w:type="dxa"/>
            <w:tcBorders>
              <w:top w:val="nil"/>
              <w:left w:val="nil"/>
              <w:bottom w:val="single" w:sz="4" w:space="0" w:color="auto"/>
              <w:right w:val="single" w:sz="4" w:space="0" w:color="auto"/>
            </w:tcBorders>
            <w:noWrap/>
            <w:vAlign w:val="center"/>
            <w:hideMark/>
          </w:tcPr>
          <w:p w14:paraId="7F880F1F"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0.4</w:t>
            </w:r>
          </w:p>
        </w:tc>
        <w:tc>
          <w:tcPr>
            <w:tcW w:w="1288" w:type="dxa"/>
            <w:tcBorders>
              <w:top w:val="nil"/>
              <w:left w:val="nil"/>
              <w:bottom w:val="single" w:sz="4" w:space="0" w:color="auto"/>
              <w:right w:val="single" w:sz="4" w:space="0" w:color="auto"/>
            </w:tcBorders>
            <w:noWrap/>
            <w:vAlign w:val="center"/>
            <w:hideMark/>
          </w:tcPr>
          <w:p w14:paraId="21B903F0"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0.0</w:t>
            </w:r>
          </w:p>
        </w:tc>
      </w:tr>
      <w:tr w:rsidR="009939CD" w:rsidRPr="00E007D5" w14:paraId="605EB179"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03A72724"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HCFC-225cb</w:t>
            </w:r>
          </w:p>
        </w:tc>
        <w:tc>
          <w:tcPr>
            <w:tcW w:w="1560" w:type="dxa"/>
            <w:tcBorders>
              <w:top w:val="nil"/>
              <w:left w:val="nil"/>
              <w:bottom w:val="single" w:sz="4" w:space="0" w:color="auto"/>
              <w:right w:val="single" w:sz="4" w:space="0" w:color="auto"/>
            </w:tcBorders>
            <w:noWrap/>
            <w:vAlign w:val="center"/>
            <w:hideMark/>
          </w:tcPr>
          <w:p w14:paraId="3E954042"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0.7</w:t>
            </w:r>
          </w:p>
        </w:tc>
        <w:tc>
          <w:tcPr>
            <w:tcW w:w="1760" w:type="dxa"/>
            <w:tcBorders>
              <w:top w:val="nil"/>
              <w:left w:val="nil"/>
              <w:bottom w:val="single" w:sz="4" w:space="0" w:color="auto"/>
              <w:right w:val="single" w:sz="4" w:space="0" w:color="auto"/>
            </w:tcBorders>
            <w:noWrap/>
            <w:vAlign w:val="center"/>
            <w:hideMark/>
          </w:tcPr>
          <w:p w14:paraId="7ECEF5F2"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0.7</w:t>
            </w:r>
          </w:p>
        </w:tc>
        <w:tc>
          <w:tcPr>
            <w:tcW w:w="1240" w:type="dxa"/>
            <w:tcBorders>
              <w:top w:val="nil"/>
              <w:left w:val="nil"/>
              <w:bottom w:val="single" w:sz="4" w:space="0" w:color="auto"/>
              <w:right w:val="single" w:sz="4" w:space="0" w:color="auto"/>
            </w:tcBorders>
            <w:noWrap/>
            <w:vAlign w:val="center"/>
            <w:hideMark/>
          </w:tcPr>
          <w:p w14:paraId="64BE3A2D"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0.0</w:t>
            </w:r>
          </w:p>
        </w:tc>
        <w:tc>
          <w:tcPr>
            <w:tcW w:w="1340" w:type="dxa"/>
            <w:tcBorders>
              <w:top w:val="nil"/>
              <w:left w:val="nil"/>
              <w:bottom w:val="single" w:sz="4" w:space="0" w:color="auto"/>
              <w:right w:val="single" w:sz="4" w:space="0" w:color="auto"/>
            </w:tcBorders>
            <w:noWrap/>
            <w:vAlign w:val="center"/>
            <w:hideMark/>
          </w:tcPr>
          <w:p w14:paraId="70CAB486"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0.7</w:t>
            </w:r>
          </w:p>
        </w:tc>
        <w:tc>
          <w:tcPr>
            <w:tcW w:w="1288" w:type="dxa"/>
            <w:tcBorders>
              <w:top w:val="nil"/>
              <w:left w:val="nil"/>
              <w:bottom w:val="single" w:sz="4" w:space="0" w:color="auto"/>
              <w:right w:val="single" w:sz="4" w:space="0" w:color="auto"/>
            </w:tcBorders>
            <w:noWrap/>
            <w:vAlign w:val="center"/>
            <w:hideMark/>
          </w:tcPr>
          <w:p w14:paraId="2B7C7344"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0.0</w:t>
            </w:r>
          </w:p>
        </w:tc>
      </w:tr>
      <w:tr w:rsidR="009939CD" w:rsidRPr="00E007D5" w14:paraId="121EA005" w14:textId="77777777" w:rsidTr="00643982">
        <w:trPr>
          <w:trHeight w:val="249"/>
        </w:trPr>
        <w:tc>
          <w:tcPr>
            <w:tcW w:w="1972"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2BCB4A85" w14:textId="77777777" w:rsidR="009939CD" w:rsidRPr="00E007D5" w:rsidRDefault="009939CD">
            <w:pPr>
              <w:tabs>
                <w:tab w:val="clear" w:pos="0"/>
              </w:tabs>
              <w:spacing w:after="0"/>
              <w:rPr>
                <w:b/>
                <w:bCs/>
                <w:color w:val="000000"/>
                <w:sz w:val="20"/>
                <w:szCs w:val="20"/>
                <w:lang w:eastAsia="zh-CN"/>
              </w:rPr>
            </w:pPr>
            <w:r w:rsidRPr="00E007D5">
              <w:rPr>
                <w:b/>
                <w:bCs/>
                <w:color w:val="000000"/>
                <w:sz w:val="20"/>
                <w:szCs w:val="20"/>
                <w:lang w:eastAsia="zh-CN"/>
              </w:rPr>
              <w:t>Grand Total</w:t>
            </w:r>
          </w:p>
        </w:tc>
        <w:tc>
          <w:tcPr>
            <w:tcW w:w="1560" w:type="dxa"/>
            <w:tcBorders>
              <w:top w:val="nil"/>
              <w:left w:val="nil"/>
              <w:bottom w:val="single" w:sz="4" w:space="0" w:color="auto"/>
              <w:right w:val="single" w:sz="4" w:space="0" w:color="auto"/>
            </w:tcBorders>
            <w:shd w:val="clear" w:color="auto" w:fill="B4C6E7" w:themeFill="accent1" w:themeFillTint="66"/>
            <w:noWrap/>
            <w:vAlign w:val="center"/>
            <w:hideMark/>
          </w:tcPr>
          <w:p w14:paraId="30F6A8CF" w14:textId="77777777" w:rsidR="009939CD" w:rsidRPr="00E007D5" w:rsidRDefault="009939CD">
            <w:pPr>
              <w:tabs>
                <w:tab w:val="clear" w:pos="0"/>
              </w:tabs>
              <w:spacing w:after="0"/>
              <w:jc w:val="right"/>
              <w:rPr>
                <w:b/>
                <w:bCs/>
                <w:color w:val="000000"/>
                <w:sz w:val="20"/>
                <w:szCs w:val="20"/>
                <w:lang w:eastAsia="zh-CN"/>
              </w:rPr>
            </w:pPr>
            <w:r w:rsidRPr="00E007D5">
              <w:rPr>
                <w:b/>
                <w:bCs/>
                <w:color w:val="000000"/>
                <w:sz w:val="20"/>
                <w:szCs w:val="20"/>
                <w:lang w:eastAsia="zh-CN"/>
              </w:rPr>
              <w:t>33,157.6</w:t>
            </w:r>
          </w:p>
        </w:tc>
        <w:tc>
          <w:tcPr>
            <w:tcW w:w="1760" w:type="dxa"/>
            <w:tcBorders>
              <w:top w:val="nil"/>
              <w:left w:val="nil"/>
              <w:bottom w:val="single" w:sz="4" w:space="0" w:color="auto"/>
              <w:right w:val="single" w:sz="4" w:space="0" w:color="auto"/>
            </w:tcBorders>
            <w:shd w:val="clear" w:color="auto" w:fill="B4C6E7" w:themeFill="accent1" w:themeFillTint="66"/>
            <w:noWrap/>
            <w:vAlign w:val="center"/>
            <w:hideMark/>
          </w:tcPr>
          <w:p w14:paraId="01B6D489" w14:textId="77777777" w:rsidR="009939CD" w:rsidRPr="00E007D5" w:rsidRDefault="009939CD">
            <w:pPr>
              <w:tabs>
                <w:tab w:val="clear" w:pos="0"/>
              </w:tabs>
              <w:spacing w:after="0"/>
              <w:jc w:val="right"/>
              <w:rPr>
                <w:b/>
                <w:bCs/>
                <w:color w:val="000000"/>
                <w:sz w:val="20"/>
                <w:szCs w:val="20"/>
                <w:lang w:eastAsia="zh-CN"/>
              </w:rPr>
            </w:pPr>
            <w:r w:rsidRPr="00E007D5">
              <w:rPr>
                <w:b/>
                <w:bCs/>
                <w:color w:val="000000"/>
                <w:sz w:val="20"/>
                <w:szCs w:val="20"/>
                <w:lang w:eastAsia="zh-CN"/>
              </w:rPr>
              <w:t>32,638.4</w:t>
            </w:r>
          </w:p>
        </w:tc>
        <w:tc>
          <w:tcPr>
            <w:tcW w:w="1240" w:type="dxa"/>
            <w:tcBorders>
              <w:top w:val="nil"/>
              <w:left w:val="nil"/>
              <w:bottom w:val="single" w:sz="4" w:space="0" w:color="auto"/>
              <w:right w:val="single" w:sz="4" w:space="0" w:color="auto"/>
            </w:tcBorders>
            <w:shd w:val="clear" w:color="auto" w:fill="B4C6E7" w:themeFill="accent1" w:themeFillTint="66"/>
            <w:noWrap/>
            <w:vAlign w:val="center"/>
            <w:hideMark/>
          </w:tcPr>
          <w:p w14:paraId="5E043C3F" w14:textId="77777777" w:rsidR="009939CD" w:rsidRPr="00E007D5" w:rsidRDefault="009939CD">
            <w:pPr>
              <w:tabs>
                <w:tab w:val="clear" w:pos="0"/>
              </w:tabs>
              <w:spacing w:after="0"/>
              <w:jc w:val="right"/>
              <w:rPr>
                <w:b/>
                <w:bCs/>
                <w:color w:val="000000"/>
                <w:sz w:val="20"/>
                <w:szCs w:val="20"/>
                <w:lang w:eastAsia="zh-CN"/>
              </w:rPr>
            </w:pPr>
            <w:r w:rsidRPr="00E007D5">
              <w:rPr>
                <w:b/>
                <w:bCs/>
                <w:color w:val="000000"/>
                <w:sz w:val="20"/>
                <w:szCs w:val="20"/>
                <w:lang w:eastAsia="zh-CN"/>
              </w:rPr>
              <w:t>27,840.0</w:t>
            </w:r>
          </w:p>
        </w:tc>
        <w:tc>
          <w:tcPr>
            <w:tcW w:w="1340" w:type="dxa"/>
            <w:tcBorders>
              <w:top w:val="nil"/>
              <w:left w:val="nil"/>
              <w:bottom w:val="single" w:sz="4" w:space="0" w:color="auto"/>
              <w:right w:val="single" w:sz="4" w:space="0" w:color="auto"/>
            </w:tcBorders>
            <w:shd w:val="clear" w:color="auto" w:fill="B4C6E7" w:themeFill="accent1" w:themeFillTint="66"/>
            <w:noWrap/>
            <w:vAlign w:val="center"/>
            <w:hideMark/>
          </w:tcPr>
          <w:p w14:paraId="63882ABB" w14:textId="77777777" w:rsidR="009939CD" w:rsidRPr="00E007D5" w:rsidRDefault="009939CD">
            <w:pPr>
              <w:tabs>
                <w:tab w:val="clear" w:pos="0"/>
              </w:tabs>
              <w:spacing w:after="0"/>
              <w:jc w:val="right"/>
              <w:rPr>
                <w:b/>
                <w:bCs/>
                <w:color w:val="000000"/>
                <w:sz w:val="20"/>
                <w:szCs w:val="20"/>
                <w:lang w:eastAsia="zh-CN"/>
              </w:rPr>
            </w:pPr>
            <w:r w:rsidRPr="00E007D5">
              <w:rPr>
                <w:b/>
                <w:bCs/>
                <w:color w:val="000000"/>
                <w:sz w:val="20"/>
                <w:szCs w:val="20"/>
                <w:lang w:eastAsia="zh-CN"/>
              </w:rPr>
              <w:t>4,794.6</w:t>
            </w:r>
          </w:p>
        </w:tc>
        <w:tc>
          <w:tcPr>
            <w:tcW w:w="1288" w:type="dxa"/>
            <w:tcBorders>
              <w:top w:val="nil"/>
              <w:left w:val="nil"/>
              <w:bottom w:val="single" w:sz="4" w:space="0" w:color="auto"/>
              <w:right w:val="single" w:sz="4" w:space="0" w:color="auto"/>
            </w:tcBorders>
            <w:shd w:val="clear" w:color="auto" w:fill="B4C6E7" w:themeFill="accent1" w:themeFillTint="66"/>
            <w:noWrap/>
            <w:vAlign w:val="center"/>
            <w:hideMark/>
          </w:tcPr>
          <w:p w14:paraId="79DC43B6" w14:textId="77777777" w:rsidR="009939CD" w:rsidRPr="00E007D5" w:rsidRDefault="009939CD">
            <w:pPr>
              <w:tabs>
                <w:tab w:val="clear" w:pos="0"/>
              </w:tabs>
              <w:spacing w:after="0"/>
              <w:jc w:val="right"/>
              <w:rPr>
                <w:b/>
                <w:bCs/>
                <w:color w:val="000000"/>
                <w:sz w:val="20"/>
                <w:szCs w:val="20"/>
                <w:lang w:eastAsia="zh-CN"/>
              </w:rPr>
            </w:pPr>
            <w:r w:rsidRPr="00E007D5">
              <w:rPr>
                <w:b/>
                <w:bCs/>
                <w:color w:val="000000"/>
                <w:sz w:val="20"/>
                <w:szCs w:val="20"/>
                <w:lang w:eastAsia="zh-CN"/>
              </w:rPr>
              <w:t>85.3</w:t>
            </w:r>
          </w:p>
        </w:tc>
      </w:tr>
      <w:tr w:rsidR="009939CD" w:rsidRPr="00E007D5" w14:paraId="20BAECD1" w14:textId="77777777">
        <w:trPr>
          <w:trHeight w:val="258"/>
        </w:trPr>
        <w:tc>
          <w:tcPr>
            <w:tcW w:w="1972" w:type="dxa"/>
            <w:tcBorders>
              <w:top w:val="nil"/>
              <w:left w:val="single" w:sz="4" w:space="0" w:color="auto"/>
              <w:bottom w:val="single" w:sz="4" w:space="0" w:color="auto"/>
              <w:right w:val="single" w:sz="4" w:space="0" w:color="auto"/>
            </w:tcBorders>
            <w:noWrap/>
            <w:vAlign w:val="center"/>
            <w:hideMark/>
          </w:tcPr>
          <w:p w14:paraId="3BED9FE1" w14:textId="77777777" w:rsidR="009939CD" w:rsidRPr="00E007D5" w:rsidRDefault="009939CD">
            <w:pPr>
              <w:tabs>
                <w:tab w:val="clear" w:pos="0"/>
              </w:tabs>
              <w:spacing w:after="0"/>
              <w:rPr>
                <w:color w:val="000000"/>
                <w:sz w:val="20"/>
                <w:szCs w:val="20"/>
                <w:lang w:eastAsia="zh-CN"/>
              </w:rPr>
            </w:pPr>
            <w:r w:rsidRPr="00E007D5">
              <w:rPr>
                <w:color w:val="000000"/>
                <w:sz w:val="20"/>
                <w:szCs w:val="20"/>
                <w:lang w:eastAsia="zh-CN"/>
              </w:rPr>
              <w:t>HCFC-141b (polyols)**</w:t>
            </w:r>
          </w:p>
        </w:tc>
        <w:tc>
          <w:tcPr>
            <w:tcW w:w="1560" w:type="dxa"/>
            <w:tcBorders>
              <w:top w:val="nil"/>
              <w:left w:val="nil"/>
              <w:bottom w:val="single" w:sz="4" w:space="0" w:color="auto"/>
              <w:right w:val="single" w:sz="4" w:space="0" w:color="auto"/>
            </w:tcBorders>
            <w:noWrap/>
            <w:vAlign w:val="center"/>
            <w:hideMark/>
          </w:tcPr>
          <w:p w14:paraId="261B6031"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0.0</w:t>
            </w:r>
          </w:p>
        </w:tc>
        <w:tc>
          <w:tcPr>
            <w:tcW w:w="1760" w:type="dxa"/>
            <w:tcBorders>
              <w:top w:val="nil"/>
              <w:left w:val="nil"/>
              <w:bottom w:val="single" w:sz="4" w:space="0" w:color="auto"/>
              <w:right w:val="single" w:sz="4" w:space="0" w:color="auto"/>
            </w:tcBorders>
            <w:noWrap/>
            <w:vAlign w:val="center"/>
            <w:hideMark/>
          </w:tcPr>
          <w:p w14:paraId="03460F65"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657.0</w:t>
            </w:r>
          </w:p>
        </w:tc>
        <w:tc>
          <w:tcPr>
            <w:tcW w:w="1240" w:type="dxa"/>
            <w:tcBorders>
              <w:top w:val="nil"/>
              <w:left w:val="nil"/>
              <w:bottom w:val="single" w:sz="4" w:space="0" w:color="auto"/>
              <w:right w:val="single" w:sz="4" w:space="0" w:color="auto"/>
            </w:tcBorders>
            <w:noWrap/>
            <w:vAlign w:val="center"/>
            <w:hideMark/>
          </w:tcPr>
          <w:p w14:paraId="31C95622"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631.1</w:t>
            </w:r>
          </w:p>
        </w:tc>
        <w:tc>
          <w:tcPr>
            <w:tcW w:w="1340" w:type="dxa"/>
            <w:tcBorders>
              <w:top w:val="nil"/>
              <w:left w:val="nil"/>
              <w:bottom w:val="single" w:sz="4" w:space="0" w:color="auto"/>
              <w:right w:val="single" w:sz="4" w:space="0" w:color="auto"/>
            </w:tcBorders>
            <w:noWrap/>
            <w:vAlign w:val="center"/>
            <w:hideMark/>
          </w:tcPr>
          <w:p w14:paraId="13FA11ED"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19.4</w:t>
            </w:r>
          </w:p>
        </w:tc>
        <w:tc>
          <w:tcPr>
            <w:tcW w:w="1288" w:type="dxa"/>
            <w:tcBorders>
              <w:top w:val="nil"/>
              <w:left w:val="nil"/>
              <w:bottom w:val="single" w:sz="4" w:space="0" w:color="auto"/>
              <w:right w:val="single" w:sz="4" w:space="0" w:color="auto"/>
            </w:tcBorders>
            <w:noWrap/>
            <w:vAlign w:val="center"/>
            <w:hideMark/>
          </w:tcPr>
          <w:p w14:paraId="7B8E64B8" w14:textId="77777777" w:rsidR="009939CD" w:rsidRPr="00E007D5" w:rsidRDefault="009939CD">
            <w:pPr>
              <w:tabs>
                <w:tab w:val="clear" w:pos="0"/>
              </w:tabs>
              <w:spacing w:after="0"/>
              <w:jc w:val="right"/>
              <w:rPr>
                <w:color w:val="000000"/>
                <w:sz w:val="20"/>
                <w:szCs w:val="20"/>
                <w:lang w:eastAsia="zh-CN"/>
              </w:rPr>
            </w:pPr>
            <w:r w:rsidRPr="00E007D5">
              <w:rPr>
                <w:color w:val="000000"/>
                <w:sz w:val="20"/>
                <w:szCs w:val="20"/>
                <w:lang w:eastAsia="zh-CN"/>
              </w:rPr>
              <w:t>96.1</w:t>
            </w:r>
          </w:p>
        </w:tc>
      </w:tr>
    </w:tbl>
    <w:p w14:paraId="32EEA003" w14:textId="1387D8C0" w:rsidR="00643982" w:rsidRDefault="009939CD" w:rsidP="009939CD">
      <w:pPr>
        <w:pStyle w:val="Title2"/>
        <w:widowControl w:val="0"/>
        <w:jc w:val="left"/>
        <w:outlineLvl w:val="9"/>
        <w:rPr>
          <w:b w:val="0"/>
          <w:caps w:val="0"/>
          <w:sz w:val="19"/>
          <w:szCs w:val="19"/>
          <w:lang w:val="en-CA"/>
        </w:rPr>
      </w:pPr>
      <w:r w:rsidRPr="00A14455">
        <w:rPr>
          <w:b w:val="0"/>
          <w:caps w:val="0"/>
          <w:sz w:val="19"/>
          <w:szCs w:val="19"/>
          <w:lang w:val="en-CA"/>
        </w:rPr>
        <w:t xml:space="preserve">* As of </w:t>
      </w:r>
      <w:r w:rsidR="009C6724">
        <w:rPr>
          <w:b w:val="0"/>
          <w:caps w:val="0"/>
          <w:sz w:val="19"/>
          <w:szCs w:val="19"/>
          <w:lang w:val="en-CA"/>
        </w:rPr>
        <w:t>ExCom-97</w:t>
      </w:r>
    </w:p>
    <w:p w14:paraId="1AF7AB7F" w14:textId="6AA45F93" w:rsidR="009939CD" w:rsidRDefault="00643982" w:rsidP="009939CD">
      <w:pPr>
        <w:pStyle w:val="Title2"/>
        <w:widowControl w:val="0"/>
        <w:jc w:val="left"/>
        <w:outlineLvl w:val="9"/>
        <w:rPr>
          <w:b w:val="0"/>
          <w:caps w:val="0"/>
          <w:color w:val="0078D4"/>
          <w:sz w:val="19"/>
          <w:szCs w:val="19"/>
          <w:u w:val="single"/>
          <w:lang w:val="en-CA"/>
        </w:rPr>
      </w:pPr>
      <w:r>
        <w:rPr>
          <w:b w:val="0"/>
          <w:caps w:val="0"/>
          <w:sz w:val="19"/>
          <w:szCs w:val="19"/>
          <w:lang w:val="en-CA"/>
        </w:rPr>
        <w:t>** HCFC-141b contained in imported pre-blended polyols</w:t>
      </w:r>
    </w:p>
    <w:p w14:paraId="64C1B7C9" w14:textId="014B6D1A" w:rsidR="00D148A5" w:rsidRDefault="274D2446" w:rsidP="0031375B">
      <w:pPr>
        <w:spacing w:after="0"/>
      </w:pPr>
      <w:r w:rsidRPr="274D2446">
        <w:rPr>
          <w:color w:val="0078D4"/>
          <w:sz w:val="19"/>
          <w:szCs w:val="19"/>
          <w:u w:val="single"/>
        </w:rPr>
        <w:t xml:space="preserve"> </w:t>
      </w:r>
    </w:p>
    <w:p w14:paraId="690ED4C3" w14:textId="543131E8" w:rsidR="005B2A92" w:rsidRPr="002135B0" w:rsidRDefault="005B2A92" w:rsidP="002D02B7">
      <w:pPr>
        <w:pStyle w:val="Heading2"/>
      </w:pPr>
      <w:bookmarkStart w:id="136" w:name="_Toc230099053"/>
      <w:r w:rsidRPr="00D7427C">
        <w:t>2.</w:t>
      </w:r>
      <w:r w:rsidR="00C603FA">
        <w:t>3</w:t>
      </w:r>
      <w:r w:rsidRPr="00D7427C">
        <w:tab/>
      </w:r>
      <w:r>
        <w:t>Overview of HCFC funding requirement</w:t>
      </w:r>
      <w:bookmarkEnd w:id="136"/>
    </w:p>
    <w:p w14:paraId="3F33AB04" w14:textId="77777777" w:rsidR="003307DA" w:rsidRDefault="003307DA" w:rsidP="003307DA">
      <w:pPr>
        <w:spacing w:after="200"/>
        <w:rPr>
          <w:lang w:val="en-US"/>
        </w:rPr>
      </w:pPr>
      <w:r w:rsidRPr="2374FBE6">
        <w:rPr>
          <w:lang w:val="en-US"/>
        </w:rPr>
        <w:t xml:space="preserve">Most A5 parties have submitted their last stage/tranches for the complete phaseout of HCFCs by 2030. </w:t>
      </w:r>
      <w:r w:rsidRPr="2374FBE6">
        <w:rPr>
          <w:b/>
          <w:bCs/>
          <w:i/>
          <w:iCs/>
          <w:lang w:val="en-US"/>
        </w:rPr>
        <w:t>Therefore, the 2027-2029 Replenishment will celebrate the fact that the MLF will be addressing the last remaining consumption of HCFCs for the few parties, that will be submitting their last stage/ or tranche of HPMPs in the triennium, for the complete (100%) phaseout of HCFCs</w:t>
      </w:r>
      <w:r w:rsidRPr="2374FBE6">
        <w:rPr>
          <w:lang w:val="en-US"/>
        </w:rPr>
        <w:t>!</w:t>
      </w:r>
    </w:p>
    <w:p w14:paraId="3C347DEA" w14:textId="050F5032" w:rsidR="003307DA" w:rsidRPr="00F423C0" w:rsidRDefault="077E58F6" w:rsidP="274D2446">
      <w:pPr>
        <w:spacing w:after="120"/>
        <w:rPr>
          <w:color w:val="auto"/>
          <w:lang w:val="en-US"/>
        </w:rPr>
      </w:pPr>
      <w:r w:rsidRPr="077E58F6">
        <w:rPr>
          <w:lang w:val="en-US"/>
        </w:rPr>
        <w:t xml:space="preserve">That said, the HCFC phase-out funding requirement for the 2027-2029 triennium was calculated considering that the large majority of HPMPs are addressing complete phaseout by 2030. According to the ExCom, parties that wish to phase out HCFCs by 1 January 2030 may do so but have to guarantee that HCFCs would not be imported after that date, except for those allowed for a servicing tail between 2030 and 2040, where required, consistent with the </w:t>
      </w:r>
      <w:r w:rsidRPr="077E58F6">
        <w:rPr>
          <w:lang w:val="en-US"/>
        </w:rPr>
        <w:lastRenderedPageBreak/>
        <w:t xml:space="preserve">provisions of the </w:t>
      </w:r>
      <w:r w:rsidR="00FB7C66">
        <w:rPr>
          <w:lang w:val="en-US"/>
        </w:rPr>
        <w:t>MP</w:t>
      </w:r>
      <w:r w:rsidRPr="077E58F6">
        <w:rPr>
          <w:lang w:val="en-US"/>
        </w:rPr>
        <w:t xml:space="preserve">. The ExCom decided (Decision 86/51), that, to allow for consideration of the final tranches of the HCFC HPMPs for any consuming country requesting funding for the complete phase-out of HCFCs, the relevant Government should submit a detailed description of the regulatory and policy framework in place to implement measures to ensure that HCFC consumption was in compliance with paragraph 8 ter(e)(i) of Article 5 of the </w:t>
      </w:r>
      <w:r w:rsidR="00FB7C66">
        <w:rPr>
          <w:lang w:val="en-US"/>
        </w:rPr>
        <w:t>MP</w:t>
      </w:r>
      <w:r w:rsidRPr="077E58F6">
        <w:rPr>
          <w:lang w:val="en-US"/>
        </w:rPr>
        <w:t xml:space="preserve"> for the period 2030-2040. If the party intends to have consumption during the period 2030–2040, modifications need to be made to its agreement with the ExCom covering the period beyond 2030</w:t>
      </w:r>
      <w:r w:rsidRPr="077E58F6">
        <w:rPr>
          <w:color w:val="auto"/>
          <w:lang w:val="en-US"/>
        </w:rPr>
        <w:t>. It is important to emphasize that parties with HPMPs for total phase out have no more remaining HCFC consumption eligible for funding. Accordingly, changes to the agreement might affect targets but not funding levels.</w:t>
      </w:r>
    </w:p>
    <w:p w14:paraId="37832B3A" w14:textId="4D81A500" w:rsidR="3AB746AD" w:rsidRDefault="3AB746AD" w:rsidP="519BF980">
      <w:pPr>
        <w:spacing w:after="0"/>
        <w:jc w:val="both"/>
        <w:rPr>
          <w:lang w:val="en-US"/>
        </w:rPr>
      </w:pPr>
      <w:r w:rsidRPr="7A81D421">
        <w:rPr>
          <w:lang w:val="en-US"/>
        </w:rPr>
        <w:t xml:space="preserve">The compliance </w:t>
      </w:r>
      <w:r w:rsidR="0821739B" w:rsidRPr="519BF980">
        <w:rPr>
          <w:lang w:val="en-US"/>
        </w:rPr>
        <w:t>model</w:t>
      </w:r>
      <w:r w:rsidRPr="7A81D421">
        <w:rPr>
          <w:lang w:val="en-US"/>
        </w:rPr>
        <w:t xml:space="preserve"> for HCFC phase</w:t>
      </w:r>
      <w:r w:rsidR="00B96EEB">
        <w:rPr>
          <w:lang w:val="en-US"/>
        </w:rPr>
        <w:t>-</w:t>
      </w:r>
      <w:r w:rsidRPr="7A81D421">
        <w:rPr>
          <w:lang w:val="en-US"/>
        </w:rPr>
        <w:t xml:space="preserve">out </w:t>
      </w:r>
      <w:r w:rsidR="0821739B" w:rsidRPr="519BF980">
        <w:rPr>
          <w:lang w:val="en-US"/>
        </w:rPr>
        <w:t>consolidate</w:t>
      </w:r>
      <w:r w:rsidR="779E4FD8" w:rsidRPr="519BF980">
        <w:rPr>
          <w:lang w:val="en-US"/>
        </w:rPr>
        <w:t>s</w:t>
      </w:r>
      <w:r w:rsidRPr="7A81D421">
        <w:rPr>
          <w:lang w:val="en-US"/>
        </w:rPr>
        <w:t xml:space="preserve"> data from the following sources:</w:t>
      </w:r>
    </w:p>
    <w:p w14:paraId="287471E7" w14:textId="2FD6E4C1" w:rsidR="3AB746AD" w:rsidRDefault="001C713E" w:rsidP="0006403F">
      <w:pPr>
        <w:pStyle w:val="ListParagraph"/>
        <w:spacing w:before="120" w:after="0"/>
        <w:ind w:left="714" w:hanging="357"/>
        <w:rPr>
          <w:lang w:val="en-US"/>
        </w:rPr>
      </w:pPr>
      <w:r>
        <w:rPr>
          <w:rFonts w:eastAsia="Times New Roman"/>
          <w:lang w:val="en-US"/>
        </w:rPr>
        <w:t xml:space="preserve">A7 </w:t>
      </w:r>
      <w:r w:rsidR="3AB746AD" w:rsidRPr="7A81D421">
        <w:rPr>
          <w:rFonts w:eastAsia="Times New Roman"/>
          <w:lang w:val="en-US"/>
        </w:rPr>
        <w:t xml:space="preserve">consumption data reported to the </w:t>
      </w:r>
      <w:r w:rsidR="00185768">
        <w:rPr>
          <w:rFonts w:eastAsia="Times New Roman"/>
          <w:lang w:val="en-US"/>
        </w:rPr>
        <w:t>OS</w:t>
      </w:r>
      <w:r w:rsidR="3AB746AD" w:rsidRPr="7A81D421">
        <w:rPr>
          <w:rFonts w:eastAsia="Times New Roman"/>
          <w:lang w:val="en-US"/>
        </w:rPr>
        <w:t>, current as of January 2026</w:t>
      </w:r>
      <w:r w:rsidR="00B96EEB">
        <w:rPr>
          <w:rFonts w:eastAsia="Times New Roman"/>
          <w:lang w:val="en-US"/>
        </w:rPr>
        <w:t>;</w:t>
      </w:r>
      <w:r w:rsidR="3AB746AD" w:rsidRPr="7A81D421">
        <w:rPr>
          <w:rFonts w:eastAsia="Times New Roman"/>
          <w:lang w:val="en-US"/>
        </w:rPr>
        <w:t xml:space="preserve"> </w:t>
      </w:r>
    </w:p>
    <w:p w14:paraId="69178C08" w14:textId="5947927C" w:rsidR="3AB746AD" w:rsidRDefault="3AB746AD" w:rsidP="001975E4">
      <w:pPr>
        <w:pStyle w:val="ListParagraph"/>
        <w:spacing w:after="0"/>
        <w:rPr>
          <w:lang w:val="en-US"/>
        </w:rPr>
      </w:pPr>
      <w:r w:rsidRPr="7A81D421">
        <w:rPr>
          <w:rFonts w:eastAsia="Times New Roman"/>
          <w:lang w:val="en-US"/>
        </w:rPr>
        <w:t>CP data submitted to the MLF</w:t>
      </w:r>
      <w:r w:rsidR="00B96EEB">
        <w:rPr>
          <w:rFonts w:eastAsia="Times New Roman"/>
          <w:lang w:val="en-US"/>
        </w:rPr>
        <w:t>S</w:t>
      </w:r>
      <w:r w:rsidRPr="7A81D421">
        <w:rPr>
          <w:rFonts w:eastAsia="Times New Roman"/>
          <w:lang w:val="en-US"/>
        </w:rPr>
        <w:t>, as of 13 January 2026</w:t>
      </w:r>
      <w:r w:rsidR="00B96EEB">
        <w:rPr>
          <w:rFonts w:eastAsia="Times New Roman"/>
          <w:lang w:val="en-US"/>
        </w:rPr>
        <w:t>;</w:t>
      </w:r>
    </w:p>
    <w:p w14:paraId="4A8DDC6A" w14:textId="0BE6EBFA" w:rsidR="3AB746AD" w:rsidRDefault="3AB746AD" w:rsidP="001975E4">
      <w:pPr>
        <w:pStyle w:val="ListParagraph"/>
        <w:spacing w:after="0"/>
        <w:rPr>
          <w:rFonts w:eastAsia="Times New Roman"/>
          <w:lang w:val="en-US"/>
        </w:rPr>
      </w:pPr>
      <w:r w:rsidRPr="7A81D421">
        <w:rPr>
          <w:rFonts w:eastAsia="Times New Roman"/>
          <w:lang w:val="en-US"/>
        </w:rPr>
        <w:t xml:space="preserve">MLFS provided information on approved HPMPs including agreed reduction from the </w:t>
      </w:r>
      <w:r w:rsidR="41C801CD" w:rsidRPr="519BF980">
        <w:rPr>
          <w:rFonts w:eastAsia="Times New Roman"/>
          <w:lang w:val="en-US"/>
        </w:rPr>
        <w:t>starting point</w:t>
      </w:r>
      <w:r w:rsidRPr="7A81D421">
        <w:rPr>
          <w:rFonts w:eastAsia="Times New Roman"/>
          <w:lang w:val="en-US"/>
        </w:rPr>
        <w:t xml:space="preserve">, funding and tranche schedules, project preparation and verification, and information on </w:t>
      </w:r>
      <w:r w:rsidR="00D77ECA">
        <w:rPr>
          <w:rFonts w:eastAsia="Times New Roman"/>
          <w:lang w:val="en-US"/>
        </w:rPr>
        <w:t>EE</w:t>
      </w:r>
      <w:r w:rsidR="001975E4">
        <w:rPr>
          <w:rFonts w:eastAsia="Times New Roman"/>
          <w:lang w:val="en-US"/>
        </w:rPr>
        <w:t>;</w:t>
      </w:r>
      <w:r w:rsidRPr="7A81D421">
        <w:rPr>
          <w:rFonts w:eastAsia="Times New Roman"/>
          <w:lang w:val="en-US"/>
        </w:rPr>
        <w:t xml:space="preserve"> </w:t>
      </w:r>
    </w:p>
    <w:p w14:paraId="156DB7BF" w14:textId="5990292B" w:rsidR="3AB746AD" w:rsidRPr="00923FE6" w:rsidRDefault="3AB746AD" w:rsidP="001975E4">
      <w:pPr>
        <w:pStyle w:val="ListParagraph"/>
        <w:spacing w:after="0"/>
        <w:rPr>
          <w:rFonts w:eastAsia="Times New Roman"/>
          <w:lang w:val="en-US"/>
        </w:rPr>
      </w:pPr>
      <w:r w:rsidRPr="00B96EEB">
        <w:rPr>
          <w:rFonts w:eastAsia="Times New Roman"/>
          <w:lang w:val="en-US"/>
        </w:rPr>
        <w:t>Ex</w:t>
      </w:r>
      <w:r w:rsidR="00B96EEB" w:rsidRPr="00B96EEB">
        <w:rPr>
          <w:rFonts w:eastAsia="Times New Roman"/>
          <w:lang w:val="en-US"/>
        </w:rPr>
        <w:t>C</w:t>
      </w:r>
      <w:r w:rsidRPr="00B96EEB">
        <w:rPr>
          <w:rFonts w:eastAsia="Times New Roman"/>
          <w:lang w:val="en-US"/>
        </w:rPr>
        <w:t xml:space="preserve">om documents and decisions, including cost guidelines, up to and including the </w:t>
      </w:r>
      <w:r w:rsidR="009C6724">
        <w:rPr>
          <w:rFonts w:eastAsia="Times New Roman"/>
          <w:lang w:val="en-US"/>
        </w:rPr>
        <w:t>ExCom-97</w:t>
      </w:r>
      <w:r w:rsidR="001975E4" w:rsidRPr="00923FE6">
        <w:rPr>
          <w:rFonts w:eastAsia="Times New Roman"/>
          <w:lang w:val="en-US"/>
        </w:rPr>
        <w:t>; and</w:t>
      </w:r>
    </w:p>
    <w:p w14:paraId="2CE97A5B" w14:textId="0285C99F" w:rsidR="3AB746AD" w:rsidRPr="00923FE6" w:rsidRDefault="5DF0FACE" w:rsidP="001975E4">
      <w:pPr>
        <w:pStyle w:val="ListParagraph"/>
        <w:spacing w:after="0"/>
        <w:rPr>
          <w:rFonts w:eastAsia="Times New Roman"/>
          <w:lang w:val="en-US"/>
        </w:rPr>
      </w:pPr>
      <w:r w:rsidRPr="00923FE6">
        <w:rPr>
          <w:rFonts w:eastAsia="Times New Roman"/>
          <w:lang w:val="en-US"/>
        </w:rPr>
        <w:t xml:space="preserve">Classification of LVCs based on HCFC baseline consumption (presented in Annex </w:t>
      </w:r>
      <w:r w:rsidR="00923FE6" w:rsidRPr="00923FE6">
        <w:rPr>
          <w:rFonts w:eastAsia="Times New Roman"/>
          <w:lang w:val="en-US"/>
        </w:rPr>
        <w:t>5</w:t>
      </w:r>
      <w:r w:rsidR="00B96EEB" w:rsidRPr="00923FE6">
        <w:rPr>
          <w:rFonts w:eastAsia="Times New Roman"/>
          <w:lang w:val="en-US"/>
        </w:rPr>
        <w:t>).</w:t>
      </w:r>
      <w:r w:rsidRPr="00923FE6">
        <w:rPr>
          <w:rFonts w:eastAsia="Times New Roman"/>
          <w:lang w:val="en-US"/>
        </w:rPr>
        <w:t xml:space="preserve"> </w:t>
      </w:r>
    </w:p>
    <w:p w14:paraId="3B5C212A" w14:textId="7F898294" w:rsidR="222ABFFA" w:rsidRDefault="222ABFFA" w:rsidP="001975E4">
      <w:pPr>
        <w:spacing w:after="0"/>
        <w:rPr>
          <w:lang w:val="en-US"/>
        </w:rPr>
      </w:pPr>
    </w:p>
    <w:p w14:paraId="497F424F" w14:textId="6D38A0A3" w:rsidR="3AB746AD" w:rsidRDefault="3AB746AD" w:rsidP="001975E4">
      <w:pPr>
        <w:spacing w:after="0"/>
        <w:rPr>
          <w:lang w:val="en-US"/>
        </w:rPr>
      </w:pPr>
      <w:r w:rsidRPr="519BF980">
        <w:rPr>
          <w:lang w:val="en-US"/>
        </w:rPr>
        <w:t xml:space="preserve">The </w:t>
      </w:r>
      <w:r w:rsidR="00EB219D">
        <w:rPr>
          <w:lang w:val="en-US"/>
        </w:rPr>
        <w:t>BP</w:t>
      </w:r>
      <w:r w:rsidR="76AD6DF6" w:rsidRPr="519BF980">
        <w:rPr>
          <w:lang w:val="en-US"/>
        </w:rPr>
        <w:t xml:space="preserve"> </w:t>
      </w:r>
      <w:r w:rsidR="76AD6DF6" w:rsidRPr="7971D228">
        <w:rPr>
          <w:lang w:val="en-US"/>
        </w:rPr>
        <w:t>was</w:t>
      </w:r>
      <w:r w:rsidRPr="7971D228">
        <w:rPr>
          <w:lang w:val="en-US"/>
        </w:rPr>
        <w:t xml:space="preserve"> </w:t>
      </w:r>
      <w:r w:rsidRPr="7A81D421">
        <w:rPr>
          <w:lang w:val="en-US"/>
        </w:rPr>
        <w:t xml:space="preserve">used to inform RTF on future requests to </w:t>
      </w:r>
      <w:r w:rsidR="00325F8D">
        <w:rPr>
          <w:lang w:val="en-US"/>
        </w:rPr>
        <w:t>IAs</w:t>
      </w:r>
      <w:r w:rsidRPr="7A81D421">
        <w:rPr>
          <w:lang w:val="en-US"/>
        </w:rPr>
        <w:t xml:space="preserve"> for projects to be submitted to MLFS, therefore guiding RTF to forecast potential </w:t>
      </w:r>
      <w:r w:rsidRPr="7A81D421">
        <w:rPr>
          <w:u w:val="single"/>
          <w:lang w:val="en-US"/>
        </w:rPr>
        <w:t>new</w:t>
      </w:r>
      <w:r w:rsidRPr="7A81D421">
        <w:rPr>
          <w:lang w:val="en-US"/>
        </w:rPr>
        <w:t xml:space="preserve"> funding needed.</w:t>
      </w:r>
    </w:p>
    <w:p w14:paraId="6BF1C05A" w14:textId="4084F403" w:rsidR="519BF980" w:rsidRDefault="519BF980" w:rsidP="519BF980">
      <w:pPr>
        <w:spacing w:after="0"/>
        <w:rPr>
          <w:lang w:val="en-US"/>
        </w:rPr>
      </w:pPr>
    </w:p>
    <w:p w14:paraId="7E6D64A0" w14:textId="1C63A784" w:rsidR="3AB746AD" w:rsidRDefault="3AB746AD" w:rsidP="001C713E">
      <w:pPr>
        <w:spacing w:after="120"/>
        <w:rPr>
          <w:lang w:val="en-US"/>
        </w:rPr>
      </w:pPr>
      <w:r w:rsidRPr="2374FBE6">
        <w:rPr>
          <w:lang w:val="en-US"/>
        </w:rPr>
        <w:t xml:space="preserve">The estimated funding requirements for the HCFC consumption sector include the following: </w:t>
      </w:r>
    </w:p>
    <w:p w14:paraId="780A857F" w14:textId="45845426" w:rsidR="3AB746AD" w:rsidRDefault="3AB746AD" w:rsidP="519BF980">
      <w:pPr>
        <w:pStyle w:val="ListParagraph"/>
        <w:spacing w:after="0"/>
        <w:rPr>
          <w:lang w:val="en-US"/>
        </w:rPr>
      </w:pPr>
      <w:r w:rsidRPr="7A81D421">
        <w:rPr>
          <w:rFonts w:eastAsia="Times New Roman"/>
          <w:lang w:val="en-US"/>
        </w:rPr>
        <w:t xml:space="preserve">Committed </w:t>
      </w:r>
      <w:r w:rsidR="00B02DA9">
        <w:rPr>
          <w:rFonts w:eastAsia="Times New Roman"/>
          <w:lang w:val="en-US"/>
        </w:rPr>
        <w:t>f</w:t>
      </w:r>
      <w:r w:rsidRPr="7A81D421">
        <w:rPr>
          <w:rFonts w:eastAsia="Times New Roman"/>
          <w:lang w:val="en-US"/>
        </w:rPr>
        <w:t>unding for approved HCFC Phase-out Management Plans (HPMPs) (including projects for HCFC-141b polyols);</w:t>
      </w:r>
    </w:p>
    <w:p w14:paraId="33D748D6" w14:textId="273C9E49" w:rsidR="3AB746AD" w:rsidRDefault="3AB746AD" w:rsidP="519BF980">
      <w:pPr>
        <w:pStyle w:val="ListParagraph"/>
        <w:spacing w:after="0"/>
        <w:rPr>
          <w:lang w:val="en-US"/>
        </w:rPr>
      </w:pPr>
      <w:r w:rsidRPr="7A81D421">
        <w:rPr>
          <w:rFonts w:eastAsia="Times New Roman"/>
          <w:lang w:val="en-US"/>
        </w:rPr>
        <w:t xml:space="preserve">Estimated </w:t>
      </w:r>
      <w:r w:rsidR="00B02DA9">
        <w:rPr>
          <w:rFonts w:eastAsia="Times New Roman"/>
          <w:lang w:val="en-US"/>
        </w:rPr>
        <w:t>f</w:t>
      </w:r>
      <w:r w:rsidRPr="7A81D421">
        <w:rPr>
          <w:rFonts w:eastAsia="Times New Roman"/>
          <w:lang w:val="en-US"/>
        </w:rPr>
        <w:t>unding for project preparation costs;</w:t>
      </w:r>
    </w:p>
    <w:p w14:paraId="21981A67" w14:textId="66FCD004" w:rsidR="3AB746AD" w:rsidRDefault="3AB746AD" w:rsidP="519BF980">
      <w:pPr>
        <w:pStyle w:val="ListParagraph"/>
        <w:spacing w:after="0"/>
        <w:rPr>
          <w:lang w:val="en-US"/>
        </w:rPr>
      </w:pPr>
      <w:r w:rsidRPr="7A81D421">
        <w:rPr>
          <w:rFonts w:eastAsia="Times New Roman"/>
          <w:lang w:val="en-US"/>
        </w:rPr>
        <w:t xml:space="preserve">Estimated </w:t>
      </w:r>
      <w:r w:rsidR="00B02DA9">
        <w:rPr>
          <w:rFonts w:eastAsia="Times New Roman"/>
          <w:lang w:val="en-US"/>
        </w:rPr>
        <w:t>f</w:t>
      </w:r>
      <w:r w:rsidRPr="7A81D421">
        <w:rPr>
          <w:rFonts w:eastAsia="Times New Roman"/>
          <w:lang w:val="en-US"/>
        </w:rPr>
        <w:t>unding for HPMP verification.</w:t>
      </w:r>
    </w:p>
    <w:p w14:paraId="62ED2A19" w14:textId="63336960" w:rsidR="3AB746AD" w:rsidRDefault="3AB746AD" w:rsidP="519BF980">
      <w:pPr>
        <w:pStyle w:val="ListParagraph"/>
        <w:spacing w:after="0"/>
        <w:rPr>
          <w:lang w:val="en-US"/>
        </w:rPr>
      </w:pPr>
      <w:r w:rsidRPr="7A81D421">
        <w:rPr>
          <w:rFonts w:eastAsia="Times New Roman"/>
          <w:lang w:val="en-US"/>
        </w:rPr>
        <w:t xml:space="preserve">Estimated </w:t>
      </w:r>
      <w:r w:rsidR="00B02DA9">
        <w:rPr>
          <w:rFonts w:eastAsia="Times New Roman"/>
          <w:lang w:val="en-US"/>
        </w:rPr>
        <w:t>f</w:t>
      </w:r>
      <w:r w:rsidRPr="7A81D421">
        <w:rPr>
          <w:rFonts w:eastAsia="Times New Roman"/>
          <w:lang w:val="en-US"/>
        </w:rPr>
        <w:t xml:space="preserve">unding for new HPMPs stages for 25 parties (15 </w:t>
      </w:r>
      <w:r w:rsidR="006D2EE6">
        <w:rPr>
          <w:rFonts w:eastAsia="Times New Roman"/>
          <w:lang w:val="en-US"/>
        </w:rPr>
        <w:t>n</w:t>
      </w:r>
      <w:r w:rsidRPr="7A81D421">
        <w:rPr>
          <w:rFonts w:eastAsia="Times New Roman"/>
          <w:lang w:val="en-US"/>
        </w:rPr>
        <w:t>on</w:t>
      </w:r>
      <w:r w:rsidR="006D2EE6">
        <w:rPr>
          <w:rFonts w:eastAsia="Times New Roman"/>
          <w:lang w:val="en-US"/>
        </w:rPr>
        <w:t>-</w:t>
      </w:r>
      <w:r w:rsidRPr="7A81D421">
        <w:rPr>
          <w:rFonts w:eastAsia="Times New Roman"/>
          <w:lang w:val="en-US"/>
        </w:rPr>
        <w:t xml:space="preserve">LVCs and 10 LVCs) with approved HPMPs that do not address the complete phaseout by 2030. And for </w:t>
      </w:r>
      <w:r w:rsidR="006D2EE6">
        <w:rPr>
          <w:rFonts w:eastAsia="Times New Roman"/>
          <w:lang w:val="en-US"/>
        </w:rPr>
        <w:t xml:space="preserve">three </w:t>
      </w:r>
      <w:r w:rsidRPr="7A81D421">
        <w:rPr>
          <w:rFonts w:eastAsia="Times New Roman"/>
          <w:lang w:val="en-US"/>
        </w:rPr>
        <w:t>parties for re-submission of their cancelled HPMPs.</w:t>
      </w:r>
    </w:p>
    <w:p w14:paraId="2CCA4E86" w14:textId="23403AC2" w:rsidR="0821739B" w:rsidRDefault="13364142" w:rsidP="519BF980">
      <w:pPr>
        <w:pStyle w:val="ListParagraph"/>
        <w:spacing w:after="0"/>
        <w:rPr>
          <w:lang w:val="en-US"/>
        </w:rPr>
      </w:pPr>
      <w:r w:rsidRPr="2374FBE6">
        <w:rPr>
          <w:rFonts w:eastAsia="Times New Roman"/>
          <w:lang w:val="en-US"/>
        </w:rPr>
        <w:t xml:space="preserve">Estimated </w:t>
      </w:r>
      <w:r w:rsidR="00B02DA9">
        <w:rPr>
          <w:rFonts w:eastAsia="Times New Roman"/>
          <w:lang w:val="en-US"/>
        </w:rPr>
        <w:t>f</w:t>
      </w:r>
      <w:r w:rsidRPr="2374FBE6">
        <w:rPr>
          <w:rFonts w:eastAsia="Times New Roman"/>
          <w:lang w:val="en-US"/>
        </w:rPr>
        <w:t xml:space="preserve">unding for </w:t>
      </w:r>
      <w:r w:rsidR="00B02DA9">
        <w:rPr>
          <w:rFonts w:eastAsia="Times New Roman"/>
          <w:lang w:val="en-US"/>
        </w:rPr>
        <w:t>EE</w:t>
      </w:r>
      <w:r w:rsidRPr="2374FBE6">
        <w:rPr>
          <w:rFonts w:eastAsia="Times New Roman"/>
          <w:lang w:val="en-US"/>
        </w:rPr>
        <w:t xml:space="preserve"> (ExCom Decision 89/6 for LVCs)</w:t>
      </w:r>
      <w:r w:rsidR="437DF299" w:rsidRPr="2374FBE6">
        <w:rPr>
          <w:rFonts w:eastAsia="Times New Roman"/>
          <w:lang w:val="en-US"/>
        </w:rPr>
        <w:t>.</w:t>
      </w:r>
    </w:p>
    <w:p w14:paraId="5B13A31F" w14:textId="403E7A9C" w:rsidR="519BF980" w:rsidRDefault="519BF980" w:rsidP="519BF980">
      <w:pPr>
        <w:spacing w:after="0"/>
        <w:rPr>
          <w:lang w:val="en-US"/>
        </w:rPr>
      </w:pPr>
    </w:p>
    <w:p w14:paraId="4EFD9F31" w14:textId="267A1261" w:rsidR="3AB746AD" w:rsidRPr="002135B0" w:rsidRDefault="6EAB7DD7" w:rsidP="002D02B7">
      <w:pPr>
        <w:pStyle w:val="Heading2"/>
      </w:pPr>
      <w:bookmarkStart w:id="137" w:name="_Toc230099054"/>
      <w:r w:rsidRPr="002135B0">
        <w:t xml:space="preserve">2.4 </w:t>
      </w:r>
      <w:r w:rsidR="3AB746AD">
        <w:tab/>
      </w:r>
      <w:r w:rsidRPr="002135B0">
        <w:t>HCFC Funding Methodology</w:t>
      </w:r>
      <w:bookmarkEnd w:id="137"/>
    </w:p>
    <w:p w14:paraId="3E03389A" w14:textId="7E41DDFA" w:rsidR="00F266AE" w:rsidRPr="00D77EF8" w:rsidRDefault="00F266AE" w:rsidP="007C77CF">
      <w:pPr>
        <w:pStyle w:val="Heading3"/>
        <w:rPr>
          <w:sz w:val="24"/>
          <w:szCs w:val="24"/>
          <w:lang w:val="en-US"/>
        </w:rPr>
      </w:pPr>
      <w:bookmarkStart w:id="138" w:name="_Toc230099055"/>
      <w:r w:rsidRPr="2374FBE6">
        <w:rPr>
          <w:sz w:val="24"/>
          <w:szCs w:val="24"/>
          <w:lang w:val="en-US"/>
        </w:rPr>
        <w:t>2.4</w:t>
      </w:r>
      <w:r>
        <w:rPr>
          <w:sz w:val="24"/>
          <w:szCs w:val="24"/>
          <w:lang w:val="en-US"/>
        </w:rPr>
        <w:t>.1</w:t>
      </w:r>
      <w:r>
        <w:tab/>
      </w:r>
      <w:r w:rsidR="008D3811">
        <w:t xml:space="preserve">Remaining </w:t>
      </w:r>
      <w:r w:rsidR="008D3811" w:rsidRPr="00905EE6">
        <w:t>HCFC</w:t>
      </w:r>
      <w:r w:rsidR="008D3811">
        <w:t xml:space="preserve"> phase-out funding</w:t>
      </w:r>
      <w:bookmarkEnd w:id="138"/>
    </w:p>
    <w:p w14:paraId="2D57F658" w14:textId="19F8BC27" w:rsidR="519BF980" w:rsidRDefault="274D2446" w:rsidP="2374FBE6">
      <w:pPr>
        <w:spacing w:after="200"/>
        <w:rPr>
          <w:highlight w:val="yellow"/>
          <w:lang w:val="en-US"/>
        </w:rPr>
      </w:pPr>
      <w:r w:rsidRPr="274D2446">
        <w:rPr>
          <w:lang w:val="en-US"/>
        </w:rPr>
        <w:t xml:space="preserve">RTF treated the 144 A5 parties based on their HPMPs’ implementation status and eligible remaining consumption by sector, and grouped them accordingly, for funding calculation purposes. Funding for project preparation, verification, and </w:t>
      </w:r>
      <w:r w:rsidR="00D77ECA">
        <w:rPr>
          <w:lang w:val="en-US"/>
        </w:rPr>
        <w:t>EE</w:t>
      </w:r>
      <w:r w:rsidRPr="274D2446">
        <w:rPr>
          <w:lang w:val="en-US"/>
        </w:rPr>
        <w:t xml:space="preserve"> are presented in separate cost line items.</w:t>
      </w:r>
    </w:p>
    <w:p w14:paraId="0A1E5DAF" w14:textId="7E0D49E5" w:rsidR="519BF980" w:rsidRDefault="274D2446" w:rsidP="00AF70FD">
      <w:pPr>
        <w:spacing w:after="0"/>
        <w:rPr>
          <w:lang w:val="en-US"/>
        </w:rPr>
      </w:pPr>
      <w:r w:rsidRPr="274D2446">
        <w:rPr>
          <w:lang w:val="en-US"/>
        </w:rPr>
        <w:t xml:space="preserve">With the approaching HCFCs phaseout date and the HPMPs implementation progress, and as mentioned, 116 A5 parties have been already assisted, and/or have approved plans, to address all HCFC phaseout targets. The number of parties that still need </w:t>
      </w:r>
      <w:r w:rsidRPr="274D2446">
        <w:rPr>
          <w:u w:val="single"/>
          <w:lang w:val="en-US"/>
        </w:rPr>
        <w:t>new</w:t>
      </w:r>
      <w:r w:rsidRPr="274D2446">
        <w:rPr>
          <w:lang w:val="en-US"/>
        </w:rPr>
        <w:t xml:space="preserve"> funding is limited to a total of 28 parties: 25 (15 non-LVCs parties, 10 LVCs parties), and </w:t>
      </w:r>
      <w:r w:rsidRPr="00B10691">
        <w:rPr>
          <w:color w:val="auto"/>
          <w:lang w:val="en-US"/>
        </w:rPr>
        <w:t xml:space="preserve">three parties </w:t>
      </w:r>
      <w:r w:rsidRPr="274D2446">
        <w:rPr>
          <w:lang w:val="en-US"/>
        </w:rPr>
        <w:t>with canceled HPMPs (one non-LVC and</w:t>
      </w:r>
      <w:r w:rsidRPr="274D2446">
        <w:rPr>
          <w:color w:val="auto"/>
          <w:lang w:val="en-US"/>
        </w:rPr>
        <w:t xml:space="preserve"> </w:t>
      </w:r>
      <w:r w:rsidRPr="00A5067C">
        <w:rPr>
          <w:color w:val="auto"/>
          <w:lang w:val="en-US"/>
        </w:rPr>
        <w:t>t</w:t>
      </w:r>
      <w:r w:rsidRPr="274D2446">
        <w:rPr>
          <w:color w:val="auto"/>
          <w:lang w:val="en-US"/>
        </w:rPr>
        <w:t xml:space="preserve">wo </w:t>
      </w:r>
      <w:r w:rsidRPr="274D2446">
        <w:rPr>
          <w:lang w:val="en-US"/>
        </w:rPr>
        <w:t xml:space="preserve">LVCs) that may need funding if they can re-submit their HPMPs. </w:t>
      </w:r>
      <w:r w:rsidR="00A5067C" w:rsidRPr="00A5067C">
        <w:rPr>
          <w:lang w:val="en-US"/>
        </w:rPr>
        <w:t>The situation of one of the three countries with cancelled HPMP is pending further clarification, so an adjustment may be made in the RTF supplementary report.</w:t>
      </w:r>
    </w:p>
    <w:p w14:paraId="1EE076AD" w14:textId="77777777" w:rsidR="0067300A" w:rsidRDefault="0067300A" w:rsidP="00AF70FD">
      <w:pPr>
        <w:spacing w:after="0"/>
        <w:rPr>
          <w:lang w:val="en-US"/>
        </w:rPr>
      </w:pPr>
    </w:p>
    <w:p w14:paraId="03C0A5F3" w14:textId="3CC3DC98" w:rsidR="002012E5" w:rsidRDefault="274D2446" w:rsidP="008A2BF3">
      <w:pPr>
        <w:rPr>
          <w:lang w:val="en-US"/>
        </w:rPr>
      </w:pPr>
      <w:r w:rsidRPr="274D2446">
        <w:rPr>
          <w:lang w:val="en-US"/>
        </w:rPr>
        <w:lastRenderedPageBreak/>
        <w:t>For the 15 non-LVC parties, the 2024 CP data indicated consumption mostly in servicing sector, but some parties, consumption was also reported in one or more manufacturing sectors, such as, rigid PU foam, extruded polystyrene (XPS) foam, fire extinguishing, solvents, domestic air conditioning (AC), and other refrigeration and AC manufacturing sectors. For the largest consuming party among all the A5 (China), the eligible remaining consumption is only in three sectors/subsectors: residential AC, industrial and commercial refrigeration and AC (ICR/AC), and servicing. Consumption in those sectors was used for new funding estimates.</w:t>
      </w:r>
    </w:p>
    <w:p w14:paraId="64ADDDB7" w14:textId="70907374" w:rsidR="008D3811" w:rsidRPr="00943F5B" w:rsidRDefault="008D3811" w:rsidP="007C77CF">
      <w:pPr>
        <w:pStyle w:val="Heading3"/>
        <w:rPr>
          <w:sz w:val="24"/>
          <w:szCs w:val="24"/>
          <w:lang w:val="en-US"/>
        </w:rPr>
      </w:pPr>
      <w:bookmarkStart w:id="139" w:name="_Toc230099056"/>
      <w:r w:rsidRPr="2374FBE6">
        <w:rPr>
          <w:sz w:val="24"/>
          <w:szCs w:val="24"/>
          <w:lang w:val="en-US"/>
        </w:rPr>
        <w:t>2.4</w:t>
      </w:r>
      <w:r>
        <w:rPr>
          <w:sz w:val="24"/>
          <w:szCs w:val="24"/>
          <w:lang w:val="en-US"/>
        </w:rPr>
        <w:t>.2</w:t>
      </w:r>
      <w:r>
        <w:tab/>
      </w:r>
      <w:r w:rsidRPr="00905EE6">
        <w:t>Methodology</w:t>
      </w:r>
      <w:bookmarkEnd w:id="139"/>
    </w:p>
    <w:p w14:paraId="2338CF86" w14:textId="3328FF80" w:rsidR="008D3811" w:rsidRDefault="008D3811" w:rsidP="002012E5">
      <w:pPr>
        <w:spacing w:after="0"/>
        <w:rPr>
          <w:lang w:val="en-US"/>
        </w:rPr>
      </w:pPr>
      <w:r w:rsidRPr="00092858">
        <w:rPr>
          <w:lang w:val="en-US"/>
        </w:rPr>
        <w:t>Annex 1</w:t>
      </w:r>
      <w:r w:rsidRPr="008D3811">
        <w:rPr>
          <w:lang w:val="en-US"/>
        </w:rPr>
        <w:t xml:space="preserve"> provides details on the model</w:t>
      </w:r>
      <w:r w:rsidRPr="222ABFFA">
        <w:rPr>
          <w:lang w:val="en-US"/>
        </w:rPr>
        <w:t xml:space="preserve"> structure and flow, showing a flow chart with </w:t>
      </w:r>
      <w:r w:rsidR="008A2BF3">
        <w:rPr>
          <w:lang w:val="en-US"/>
        </w:rPr>
        <w:t>s</w:t>
      </w:r>
      <w:r w:rsidRPr="222ABFFA">
        <w:rPr>
          <w:lang w:val="en-US"/>
        </w:rPr>
        <w:t xml:space="preserve">cenarios to address parties’ requests and indicates the </w:t>
      </w:r>
      <w:r w:rsidRPr="00092858">
        <w:rPr>
          <w:lang w:val="en-US"/>
        </w:rPr>
        <w:t>output number</w:t>
      </w:r>
      <w:r w:rsidRPr="008D3811">
        <w:rPr>
          <w:lang w:val="en-US"/>
        </w:rPr>
        <w:t xml:space="preserve"> related</w:t>
      </w:r>
      <w:r w:rsidRPr="222ABFFA">
        <w:rPr>
          <w:lang w:val="en-US"/>
        </w:rPr>
        <w:t xml:space="preserve"> to the analysis</w:t>
      </w:r>
      <w:r>
        <w:rPr>
          <w:lang w:val="en-US"/>
        </w:rPr>
        <w:t>.</w:t>
      </w:r>
    </w:p>
    <w:p w14:paraId="1F897B28" w14:textId="77777777" w:rsidR="008D3811" w:rsidRDefault="008D3811" w:rsidP="002012E5">
      <w:pPr>
        <w:spacing w:after="0"/>
        <w:rPr>
          <w:lang w:val="en-US"/>
        </w:rPr>
      </w:pPr>
    </w:p>
    <w:p w14:paraId="10AB0C22" w14:textId="68635D3D" w:rsidR="002012E5" w:rsidRDefault="274D2446" w:rsidP="002012E5">
      <w:pPr>
        <w:spacing w:after="0"/>
        <w:rPr>
          <w:lang w:val="en-US"/>
        </w:rPr>
      </w:pPr>
      <w:r w:rsidRPr="274D2446">
        <w:rPr>
          <w:lang w:val="en-US"/>
        </w:rPr>
        <w:t>RTF used CP reports, as of January 2026, to inform on chemicals percentage (%) sector distribution, and reported A7 data. For those 25 parties, CP and A7 data were not significantly different, and RTF used the lower consumption value from the most recent year reported. This approach reflects the agreed value-reduction as a reference for the country’s actual achieved reduction level.</w:t>
      </w:r>
    </w:p>
    <w:p w14:paraId="4890A237" w14:textId="697242AF" w:rsidR="002012E5" w:rsidRDefault="002012E5" w:rsidP="5AD5DB8B">
      <w:pPr>
        <w:spacing w:after="0"/>
        <w:rPr>
          <w:lang w:val="en-US"/>
        </w:rPr>
      </w:pPr>
    </w:p>
    <w:p w14:paraId="6BC687EF" w14:textId="6B705743" w:rsidR="002012E5" w:rsidRDefault="274D2446" w:rsidP="274D2446">
      <w:pPr>
        <w:spacing w:after="120"/>
      </w:pPr>
      <w:r>
        <w:t>Some additional key assumptions made by the RTF for its estimates included:</w:t>
      </w:r>
    </w:p>
    <w:p w14:paraId="13D9CCF4" w14:textId="72710D76" w:rsidR="002012E5" w:rsidRDefault="00325F8D" w:rsidP="274D2446">
      <w:pPr>
        <w:pStyle w:val="ListParagraph"/>
        <w:spacing w:after="0"/>
        <w:rPr>
          <w:rFonts w:eastAsia="Times New Roman"/>
          <w:color w:val="000000" w:themeColor="text1"/>
          <w:lang w:val="en-CA"/>
        </w:rPr>
      </w:pPr>
      <w:r>
        <w:rPr>
          <w:rFonts w:eastAsia="Times New Roman"/>
          <w:color w:val="000000" w:themeColor="text1"/>
          <w:lang w:val="en-CA"/>
        </w:rPr>
        <w:t>IAs</w:t>
      </w:r>
      <w:r w:rsidR="274D2446" w:rsidRPr="274D2446">
        <w:rPr>
          <w:rFonts w:eastAsia="Times New Roman"/>
          <w:color w:val="000000" w:themeColor="text1"/>
          <w:lang w:val="en-CA"/>
        </w:rPr>
        <w:t>’ support costs were considered at an average of 9.6%, unless indicated otherwise;</w:t>
      </w:r>
    </w:p>
    <w:p w14:paraId="02072F33" w14:textId="05ADBFA4" w:rsidR="002012E5" w:rsidRDefault="274D2446" w:rsidP="274D2446">
      <w:pPr>
        <w:pStyle w:val="ListParagraph"/>
        <w:spacing w:after="0"/>
        <w:rPr>
          <w:rFonts w:eastAsia="Times New Roman"/>
          <w:color w:val="000000" w:themeColor="text1"/>
          <w:lang w:val="en-CA"/>
        </w:rPr>
      </w:pPr>
      <w:r w:rsidRPr="274D2446">
        <w:rPr>
          <w:rFonts w:eastAsia="Times New Roman"/>
          <w:color w:val="000000" w:themeColor="text1"/>
          <w:lang w:val="en-CA"/>
        </w:rPr>
        <w:t>A 15% deduction for ineligible foreign non-LVCs A5 ownership was applied in manufacturing sectors.</w:t>
      </w:r>
    </w:p>
    <w:p w14:paraId="632E3F07" w14:textId="114E85D9" w:rsidR="002012E5" w:rsidRDefault="002012E5" w:rsidP="00AF70FD">
      <w:pPr>
        <w:spacing w:after="0"/>
        <w:rPr>
          <w:lang w:val="en-US"/>
        </w:rPr>
      </w:pPr>
    </w:p>
    <w:p w14:paraId="795577CF" w14:textId="0622677E" w:rsidR="00F266AE" w:rsidRDefault="00F266AE" w:rsidP="00845F8B">
      <w:pPr>
        <w:spacing w:after="0"/>
        <w:rPr>
          <w:lang w:val="en-US"/>
        </w:rPr>
      </w:pPr>
      <w:r w:rsidRPr="4A4F5ED7">
        <w:rPr>
          <w:lang w:val="en-US"/>
        </w:rPr>
        <w:t xml:space="preserve">The </w:t>
      </w:r>
      <w:r w:rsidRPr="5211908F">
        <w:rPr>
          <w:lang w:val="en-US"/>
        </w:rPr>
        <w:t>methodology</w:t>
      </w:r>
      <w:r w:rsidRPr="4A4F5ED7">
        <w:rPr>
          <w:lang w:val="en-US"/>
        </w:rPr>
        <w:t xml:space="preserve"> used for new funding calculations was based on sector CEs applied to </w:t>
      </w:r>
      <w:r w:rsidRPr="351FCE64">
        <w:rPr>
          <w:lang w:val="en-US"/>
        </w:rPr>
        <w:t>eligible</w:t>
      </w:r>
      <w:r w:rsidRPr="7A81D421">
        <w:rPr>
          <w:lang w:val="en-US"/>
        </w:rPr>
        <w:t xml:space="preserve"> remaining consumption (in tonnes) in each sector</w:t>
      </w:r>
      <w:r w:rsidR="00400607">
        <w:rPr>
          <w:lang w:val="en-US"/>
        </w:rPr>
        <w:t>, i.e., manufacturing or servi</w:t>
      </w:r>
      <w:r w:rsidR="00B40AE0">
        <w:rPr>
          <w:lang w:val="en-US"/>
        </w:rPr>
        <w:t xml:space="preserve">cing, </w:t>
      </w:r>
      <w:r w:rsidRPr="7A81D421">
        <w:rPr>
          <w:lang w:val="en-US"/>
        </w:rPr>
        <w:t xml:space="preserve">as per equation below. </w:t>
      </w:r>
    </w:p>
    <w:p w14:paraId="5EE24532" w14:textId="77777777" w:rsidR="00F266AE" w:rsidRDefault="00F266AE" w:rsidP="00F266AE">
      <w:pPr>
        <w:spacing w:after="0"/>
        <w:jc w:val="both"/>
      </w:pPr>
    </w:p>
    <w:p w14:paraId="7AA968BB" w14:textId="33DCDD78" w:rsidR="3AB746AD" w:rsidRDefault="00F266AE" w:rsidP="00EC33AF">
      <w:pPr>
        <w:spacing w:after="0"/>
        <w:rPr>
          <w:lang w:val="en-US"/>
        </w:rPr>
      </w:pPr>
      <w:r>
        <w:rPr>
          <w:noProof/>
        </w:rPr>
        <w:drawing>
          <wp:inline distT="0" distB="0" distL="0" distR="0" wp14:anchorId="32D67B9C" wp14:editId="07CB6109">
            <wp:extent cx="5286375" cy="704850"/>
            <wp:effectExtent l="0" t="0" r="0" b="0"/>
            <wp:docPr id="19854938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97688" name="Picture 800197688"/>
                    <pic:cNvPicPr/>
                  </pic:nvPicPr>
                  <pic:blipFill>
                    <a:blip r:embed="rId27">
                      <a:extLst>
                        <a:ext uri="{28A0092B-C50C-407E-A947-70E740481C1C}">
                          <a14:useLocalDpi xmlns:a14="http://schemas.microsoft.com/office/drawing/2010/main"/>
                        </a:ext>
                      </a:extLst>
                    </a:blip>
                    <a:stretch>
                      <a:fillRect/>
                    </a:stretch>
                  </pic:blipFill>
                  <pic:spPr>
                    <a:xfrm>
                      <a:off x="0" y="0"/>
                      <a:ext cx="5286375" cy="704850"/>
                    </a:xfrm>
                    <a:prstGeom prst="rect">
                      <a:avLst/>
                    </a:prstGeom>
                  </pic:spPr>
                </pic:pic>
              </a:graphicData>
            </a:graphic>
          </wp:inline>
        </w:drawing>
      </w:r>
      <w:r>
        <w:br/>
      </w:r>
      <w:r>
        <w:br/>
      </w:r>
      <w:r w:rsidR="274D2446" w:rsidRPr="274D2446">
        <w:rPr>
          <w:lang w:val="en-US"/>
        </w:rPr>
        <w:t>For this assessment, RTF grouped parties following their HPMP status and the eligible remaining consumption still to be addressed for complete HCFC Phase-out, and following the steps below:</w:t>
      </w:r>
    </w:p>
    <w:p w14:paraId="572540FD" w14:textId="7953BC63" w:rsidR="3AB746AD" w:rsidRDefault="3AB746AD" w:rsidP="00AF70FD">
      <w:pPr>
        <w:spacing w:after="0"/>
        <w:rPr>
          <w:b/>
          <w:bCs/>
          <w:lang w:val="en-US"/>
        </w:rPr>
      </w:pPr>
      <w:r w:rsidRPr="7A81D421">
        <w:rPr>
          <w:b/>
          <w:bCs/>
          <w:lang w:val="en-US"/>
        </w:rPr>
        <w:t xml:space="preserve"> </w:t>
      </w:r>
    </w:p>
    <w:p w14:paraId="58313BAA" w14:textId="3681F415" w:rsidR="3AB746AD" w:rsidRPr="001E4A52" w:rsidRDefault="274D2446" w:rsidP="1F05CBF0">
      <w:pPr>
        <w:spacing w:after="0" w:line="259" w:lineRule="auto"/>
        <w:rPr>
          <w:b/>
          <w:bCs/>
          <w:lang w:val="en-US"/>
        </w:rPr>
      </w:pPr>
      <w:r w:rsidRPr="274D2446">
        <w:rPr>
          <w:b/>
          <w:bCs/>
          <w:lang w:val="en-US"/>
        </w:rPr>
        <w:t xml:space="preserve">STEP 1. Grouped parties (116) with approved HPMPs with agreements with ExCom covering 100% of their phase-out obligation </w:t>
      </w:r>
    </w:p>
    <w:p w14:paraId="7B053079" w14:textId="77777777" w:rsidR="00083BF4" w:rsidRDefault="00083BF4" w:rsidP="001E4A52">
      <w:pPr>
        <w:spacing w:after="0"/>
        <w:rPr>
          <w:lang w:val="en-US"/>
        </w:rPr>
      </w:pPr>
    </w:p>
    <w:p w14:paraId="0DE993B5" w14:textId="02FC3819" w:rsidR="3AB746AD" w:rsidRDefault="274D2446" w:rsidP="001E4A52">
      <w:pPr>
        <w:spacing w:after="0"/>
        <w:rPr>
          <w:b/>
          <w:bCs/>
          <w:lang w:val="en-US"/>
        </w:rPr>
      </w:pPr>
      <w:r w:rsidRPr="274D2446">
        <w:rPr>
          <w:lang w:val="en-US"/>
        </w:rPr>
        <w:t xml:space="preserve">Funding for those 116 parties has already been approved by the </w:t>
      </w:r>
      <w:r w:rsidR="00AF291D">
        <w:rPr>
          <w:lang w:val="en-US"/>
        </w:rPr>
        <w:t>ExCom</w:t>
      </w:r>
      <w:r w:rsidRPr="274D2446">
        <w:rPr>
          <w:lang w:val="en-US"/>
        </w:rPr>
        <w:t xml:space="preserve">. Other than the funding already committed, no new funding is projected for those 116 parties, nor for 2.5% HCFC servicing tail for the ones with 2.5% remaining (1 party). Committed funding amounts to </w:t>
      </w:r>
      <w:r w:rsidRPr="274D2446">
        <w:rPr>
          <w:b/>
          <w:bCs/>
          <w:lang w:val="en-US"/>
        </w:rPr>
        <w:t>US$ 76.73 million in the 2027 to 2029 triennium and US$ 20.13 million in the 2030 to 2031 period</w:t>
      </w:r>
      <w:r w:rsidRPr="274D2446">
        <w:rPr>
          <w:lang w:val="en-US"/>
        </w:rPr>
        <w:t xml:space="preserve">, as per information received from the MLF Secretariat. Funding commitments go only until 2031. This methodology step is shown in the flow chart in the Model Description in Annex 1. The committed funding is shown as the model </w:t>
      </w:r>
      <w:r w:rsidRPr="274D2446">
        <w:rPr>
          <w:b/>
          <w:bCs/>
          <w:lang w:val="en-US"/>
        </w:rPr>
        <w:t>Output 1.</w:t>
      </w:r>
    </w:p>
    <w:p w14:paraId="135CAB2A" w14:textId="2153DBBF" w:rsidR="3AB746AD" w:rsidRDefault="3AB746AD" w:rsidP="001E4A52">
      <w:pPr>
        <w:spacing w:after="0"/>
        <w:rPr>
          <w:b/>
          <w:bCs/>
          <w:lang w:val="en-US"/>
        </w:rPr>
      </w:pPr>
      <w:r w:rsidRPr="7A81D421">
        <w:rPr>
          <w:b/>
          <w:bCs/>
          <w:lang w:val="en-US"/>
        </w:rPr>
        <w:t xml:space="preserve"> </w:t>
      </w:r>
    </w:p>
    <w:p w14:paraId="42115A41" w14:textId="77777777" w:rsidR="003A3290" w:rsidRDefault="003A3290" w:rsidP="001E4A52">
      <w:pPr>
        <w:spacing w:after="0"/>
        <w:rPr>
          <w:b/>
          <w:bCs/>
          <w:lang w:val="en-US"/>
        </w:rPr>
      </w:pPr>
      <w:r>
        <w:rPr>
          <w:b/>
          <w:bCs/>
          <w:lang w:val="en-US"/>
        </w:rPr>
        <w:br w:type="page"/>
      </w:r>
    </w:p>
    <w:p w14:paraId="67E295A6" w14:textId="4142FDDA" w:rsidR="001E4A52" w:rsidRDefault="3AB746AD" w:rsidP="001E4A52">
      <w:pPr>
        <w:spacing w:after="0"/>
        <w:rPr>
          <w:lang w:val="en-US"/>
        </w:rPr>
      </w:pPr>
      <w:r w:rsidRPr="7A81D421">
        <w:rPr>
          <w:b/>
          <w:bCs/>
          <w:lang w:val="en-US"/>
        </w:rPr>
        <w:lastRenderedPageBreak/>
        <w:t xml:space="preserve">STEP 2. </w:t>
      </w:r>
      <w:r w:rsidR="5238832B" w:rsidRPr="519BF980">
        <w:rPr>
          <w:b/>
          <w:bCs/>
          <w:lang w:val="en-US"/>
        </w:rPr>
        <w:t>Calculat</w:t>
      </w:r>
      <w:r w:rsidR="01EDEEA4" w:rsidRPr="519BF980">
        <w:rPr>
          <w:b/>
          <w:bCs/>
          <w:lang w:val="en-US"/>
        </w:rPr>
        <w:t xml:space="preserve">ion of </w:t>
      </w:r>
      <w:r w:rsidR="5238832B" w:rsidRPr="519BF980">
        <w:rPr>
          <w:b/>
          <w:bCs/>
          <w:lang w:val="en-US"/>
        </w:rPr>
        <w:t xml:space="preserve">new </w:t>
      </w:r>
      <w:r w:rsidR="5238832B" w:rsidRPr="005352E7">
        <w:rPr>
          <w:b/>
          <w:bCs/>
          <w:lang w:val="en-US"/>
        </w:rPr>
        <w:t>f</w:t>
      </w:r>
      <w:r w:rsidR="0821739B" w:rsidRPr="005352E7">
        <w:rPr>
          <w:b/>
          <w:bCs/>
          <w:lang w:val="en-US"/>
        </w:rPr>
        <w:t>unding</w:t>
      </w:r>
      <w:r w:rsidRPr="005352E7">
        <w:rPr>
          <w:b/>
          <w:bCs/>
          <w:lang w:val="en-US"/>
        </w:rPr>
        <w:t xml:space="preserve"> for </w:t>
      </w:r>
      <w:r w:rsidR="00AE593D" w:rsidRPr="005352E7">
        <w:rPr>
          <w:b/>
          <w:bCs/>
          <w:lang w:val="en-US"/>
        </w:rPr>
        <w:t>three</w:t>
      </w:r>
      <w:r w:rsidRPr="005352E7">
        <w:rPr>
          <w:b/>
          <w:bCs/>
          <w:lang w:val="en-US"/>
        </w:rPr>
        <w:t xml:space="preserve"> A5 parties with cancelled HPMPs</w:t>
      </w:r>
      <w:r w:rsidRPr="7A81D421">
        <w:rPr>
          <w:lang w:val="en-US"/>
        </w:rPr>
        <w:t xml:space="preserve"> </w:t>
      </w:r>
    </w:p>
    <w:p w14:paraId="1886C6DF" w14:textId="77777777" w:rsidR="001E4A52" w:rsidRDefault="001E4A52" w:rsidP="001E4A52">
      <w:pPr>
        <w:spacing w:after="0"/>
        <w:rPr>
          <w:lang w:val="en-US"/>
        </w:rPr>
      </w:pPr>
    </w:p>
    <w:p w14:paraId="5E705133" w14:textId="6BA92B42" w:rsidR="3AB746AD" w:rsidRDefault="274D2446" w:rsidP="471F763B">
      <w:pPr>
        <w:spacing w:after="0"/>
      </w:pPr>
      <w:r w:rsidRPr="471F763B">
        <w:t>This includes 2 LVC parties (baselines 12 and 6.8 ODP tonnes) and one (1) non-LVC party (baseline 158.2 ODP tonnes</w:t>
      </w:r>
      <w:r w:rsidR="3AB746AD" w:rsidRPr="471F763B">
        <w:t>)</w:t>
      </w:r>
      <w:r w:rsidR="000C5C9B" w:rsidRPr="471F763B">
        <w:t xml:space="preserve">. </w:t>
      </w:r>
      <w:r w:rsidR="00BB7867" w:rsidRPr="471F763B">
        <w:rPr>
          <w:rStyle w:val="FootnoteReference"/>
        </w:rPr>
        <w:footnoteReference w:id="17"/>
      </w:r>
      <w:r w:rsidRPr="471F763B">
        <w:t xml:space="preserve"> Funding was calculated separately for LVCs and non-LVCs, using the CEs in cost guidelines for non-LVC, and the cost framework in Decision 74/50 for the LVCs.</w:t>
      </w:r>
      <w:r w:rsidR="3AB746AD" w:rsidRPr="471F763B" w:rsidDel="274D2446">
        <w:t xml:space="preserve"> </w:t>
      </w:r>
      <w:r w:rsidR="17CAB8E7" w:rsidRPr="471F763B">
        <w:t xml:space="preserve"> </w:t>
      </w:r>
    </w:p>
    <w:p w14:paraId="39400340" w14:textId="103FA4E4" w:rsidR="3AB746AD" w:rsidRDefault="274D2446" w:rsidP="274D2446">
      <w:pPr>
        <w:spacing w:before="240" w:after="0"/>
        <w:rPr>
          <w:b/>
          <w:bCs/>
          <w:lang w:val="en-US"/>
        </w:rPr>
      </w:pPr>
      <w:r w:rsidRPr="274D2446">
        <w:rPr>
          <w:lang w:val="en-US"/>
        </w:rPr>
        <w:t xml:space="preserve">For the </w:t>
      </w:r>
      <w:r w:rsidR="000C4623">
        <w:rPr>
          <w:lang w:val="en-US"/>
        </w:rPr>
        <w:t>three</w:t>
      </w:r>
      <w:r w:rsidRPr="274D2446">
        <w:rPr>
          <w:lang w:val="en-US"/>
        </w:rPr>
        <w:t xml:space="preserve"> parties that had their HPMP cancelled, future funding requests remain uncertain and depend on whether new submissions are prepared and subsequently approved</w:t>
      </w:r>
      <w:r w:rsidRPr="47ABF652">
        <w:rPr>
          <w:lang w:val="en-US"/>
        </w:rPr>
        <w:t>.</w:t>
      </w:r>
      <w:r w:rsidRPr="274D2446">
        <w:rPr>
          <w:lang w:val="en-US"/>
        </w:rPr>
        <w:t xml:space="preserve"> In addition, RTF may need to adjust the number of cancelled HPMPs, pending further clarification regarding the HPMP status for one LVC party.</w:t>
      </w:r>
      <w:r w:rsidR="0002504C">
        <w:rPr>
          <w:lang w:val="en-US"/>
        </w:rPr>
        <w:t xml:space="preserve"> </w:t>
      </w:r>
      <w:r w:rsidRPr="274D2446">
        <w:rPr>
          <w:lang w:val="en-US"/>
        </w:rPr>
        <w:t xml:space="preserve">For the sake of funding estimates and considering no party is left behind, RTF calculated the funding needs for those </w:t>
      </w:r>
      <w:r w:rsidR="000C4623">
        <w:rPr>
          <w:lang w:val="en-US"/>
        </w:rPr>
        <w:t>three</w:t>
      </w:r>
      <w:r w:rsidRPr="274D2446">
        <w:rPr>
          <w:lang w:val="en-US"/>
        </w:rPr>
        <w:t xml:space="preserve"> parties assuming they can still request all eligible funds in the next triennium to phase out 100% of remaining HCFCs.  The reduction was calculated based on reported last (2024) HCFC consumption for each party. This methodology step is shown in the flow chart in Annex, under model </w:t>
      </w:r>
      <w:r w:rsidRPr="274D2446">
        <w:rPr>
          <w:b/>
          <w:bCs/>
          <w:lang w:val="en-US"/>
        </w:rPr>
        <w:t>Output 2</w:t>
      </w:r>
      <w:r w:rsidRPr="274D2446">
        <w:rPr>
          <w:lang w:val="en-US"/>
        </w:rPr>
        <w:t xml:space="preserve">, with a total of </w:t>
      </w:r>
      <w:r w:rsidRPr="274D2446">
        <w:rPr>
          <w:b/>
          <w:bCs/>
          <w:lang w:val="en-US"/>
        </w:rPr>
        <w:t>US$ 10.22 million in 2027-2029 and zero in the following triennia.</w:t>
      </w:r>
    </w:p>
    <w:p w14:paraId="10814304" w14:textId="407766D6" w:rsidR="00083BF4" w:rsidRPr="00445116" w:rsidRDefault="274D2446" w:rsidP="001E4A52">
      <w:pPr>
        <w:spacing w:before="240" w:after="120"/>
        <w:rPr>
          <w:b/>
          <w:bCs/>
          <w:u w:val="single"/>
          <w:lang w:val="en-US"/>
        </w:rPr>
      </w:pPr>
      <w:r w:rsidRPr="274D2446">
        <w:rPr>
          <w:b/>
          <w:bCs/>
          <w:lang w:val="en-US"/>
        </w:rPr>
        <w:t>STEP 3. Calculation of committed and new funding estimates for 25 parties with remaining eligible consumption, and with HPMP agreements that do not achieve the complete phaseout"</w:t>
      </w:r>
    </w:p>
    <w:p w14:paraId="5509EC63" w14:textId="5F4C8137" w:rsidR="3AB746AD" w:rsidRDefault="274D2446" w:rsidP="274D2446">
      <w:pPr>
        <w:spacing w:after="0" w:line="259" w:lineRule="auto"/>
        <w:ind w:left="720"/>
        <w:rPr>
          <w:b/>
          <w:bCs/>
          <w:lang w:val="en-US"/>
        </w:rPr>
      </w:pPr>
      <w:r w:rsidRPr="274D2446">
        <w:rPr>
          <w:b/>
          <w:bCs/>
          <w:lang w:val="en-US"/>
        </w:rPr>
        <w:t>Step 3.1</w:t>
      </w:r>
      <w:r w:rsidRPr="274D2446">
        <w:rPr>
          <w:lang w:val="en-US"/>
        </w:rPr>
        <w:t>. Accounts for the c</w:t>
      </w:r>
      <w:r w:rsidRPr="274D2446">
        <w:rPr>
          <w:b/>
          <w:bCs/>
          <w:lang w:val="en-US"/>
        </w:rPr>
        <w:t>ommitted funding</w:t>
      </w:r>
      <w:r w:rsidRPr="274D2446">
        <w:rPr>
          <w:lang w:val="en-US"/>
        </w:rPr>
        <w:t xml:space="preserve"> for HPMPs/stages approved for those 25 A5 parties, where the phase-out has not yet been 100% completed. The total is </w:t>
      </w:r>
      <w:r w:rsidRPr="274D2446">
        <w:rPr>
          <w:b/>
          <w:bCs/>
          <w:lang w:val="en-US"/>
        </w:rPr>
        <w:t>US$ 1.33 million,</w:t>
      </w:r>
      <w:r w:rsidRPr="274D2446">
        <w:rPr>
          <w:lang w:val="en-US"/>
        </w:rPr>
        <w:t xml:space="preserve"> as </w:t>
      </w:r>
      <w:r w:rsidRPr="274D2446">
        <w:rPr>
          <w:b/>
          <w:bCs/>
          <w:lang w:val="en-US"/>
        </w:rPr>
        <w:t xml:space="preserve">per </w:t>
      </w:r>
      <w:r w:rsidRPr="274D2446">
        <w:rPr>
          <w:lang w:val="en-US"/>
        </w:rPr>
        <w:t>MLF</w:t>
      </w:r>
      <w:r w:rsidR="0002504C">
        <w:rPr>
          <w:lang w:val="en-US"/>
        </w:rPr>
        <w:t>S</w:t>
      </w:r>
      <w:r w:rsidRPr="274D2446">
        <w:rPr>
          <w:lang w:val="en-US"/>
        </w:rPr>
        <w:t xml:space="preserve"> information shared on 13 January 2026. This methodology step is shown in the flow chart in Annex 1, and committed funding is indicated in the model as </w:t>
      </w:r>
      <w:r w:rsidRPr="274D2446">
        <w:rPr>
          <w:b/>
          <w:bCs/>
          <w:lang w:val="en-US"/>
        </w:rPr>
        <w:t>Output 3.</w:t>
      </w:r>
      <w:r w:rsidR="3AB746AD">
        <w:tab/>
      </w:r>
    </w:p>
    <w:p w14:paraId="434B0F9D" w14:textId="77777777" w:rsidR="00083BF4" w:rsidRDefault="00083BF4" w:rsidP="001E4A52">
      <w:pPr>
        <w:spacing w:after="0"/>
        <w:ind w:firstLine="720"/>
        <w:rPr>
          <w:b/>
          <w:bCs/>
          <w:lang w:val="en-US"/>
        </w:rPr>
      </w:pPr>
    </w:p>
    <w:p w14:paraId="22F7DD80" w14:textId="6BC86EBD" w:rsidR="3AB746AD" w:rsidRDefault="274D2446" w:rsidP="001E4A52">
      <w:pPr>
        <w:spacing w:after="0"/>
        <w:ind w:left="720"/>
        <w:rPr>
          <w:lang w:val="en-US"/>
        </w:rPr>
      </w:pPr>
      <w:r w:rsidRPr="274D2446">
        <w:rPr>
          <w:b/>
          <w:bCs/>
          <w:lang w:val="en-US"/>
        </w:rPr>
        <w:t>Step 3.2.</w:t>
      </w:r>
      <w:r w:rsidRPr="274D2446">
        <w:rPr>
          <w:lang w:val="en-US"/>
        </w:rPr>
        <w:t xml:space="preserve"> </w:t>
      </w:r>
      <w:r w:rsidRPr="274D2446">
        <w:rPr>
          <w:b/>
          <w:bCs/>
          <w:lang w:val="en-US"/>
        </w:rPr>
        <w:t xml:space="preserve">Estimates new funding </w:t>
      </w:r>
      <w:r w:rsidRPr="274D2446">
        <w:rPr>
          <w:lang w:val="en-US"/>
        </w:rPr>
        <w:t>for those 25 parties with Agreements approved for less than 100% phase</w:t>
      </w:r>
      <w:r w:rsidR="003E2EC0">
        <w:rPr>
          <w:lang w:val="en-US"/>
        </w:rPr>
        <w:t>-</w:t>
      </w:r>
      <w:r w:rsidRPr="274D2446">
        <w:rPr>
          <w:lang w:val="en-US"/>
        </w:rPr>
        <w:t>out. These parties have eligible consumption that needs to be addressed before 2030, and for which new funding is required. The remaining eligible HCFC consumption was provided by MLFS to RTF for each of those parties, and new funding was calculated individually, to account for each party’s own reduction schedule in the agreements. There are two scenarios for the estimates in Step 3.2 as explained below.</w:t>
      </w:r>
    </w:p>
    <w:p w14:paraId="52F392BB" w14:textId="56990219" w:rsidR="0023708B" w:rsidRPr="00943F5B" w:rsidRDefault="274D2446" w:rsidP="007C77CF">
      <w:pPr>
        <w:pStyle w:val="Heading3"/>
        <w:rPr>
          <w:sz w:val="24"/>
          <w:szCs w:val="24"/>
          <w:lang w:val="en-US"/>
        </w:rPr>
      </w:pPr>
      <w:bookmarkStart w:id="140" w:name="_Toc230099057"/>
      <w:r w:rsidRPr="274D2446">
        <w:rPr>
          <w:sz w:val="24"/>
          <w:szCs w:val="24"/>
          <w:lang w:val="en-US"/>
        </w:rPr>
        <w:t>2.4.3</w:t>
      </w:r>
      <w:r w:rsidR="0023708B">
        <w:tab/>
      </w:r>
      <w:r>
        <w:t xml:space="preserve">Scenarios for 15 </w:t>
      </w:r>
      <w:r w:rsidRPr="00905EE6">
        <w:t>non</w:t>
      </w:r>
      <w:r>
        <w:t>-LVC parties</w:t>
      </w:r>
      <w:bookmarkEnd w:id="140"/>
    </w:p>
    <w:p w14:paraId="7E599DD4" w14:textId="2F6E0817" w:rsidR="3AB746AD" w:rsidRDefault="077E58F6" w:rsidP="274D2446">
      <w:pPr>
        <w:spacing w:after="0"/>
        <w:rPr>
          <w:lang w:val="en-US"/>
        </w:rPr>
      </w:pPr>
      <w:r w:rsidRPr="077E58F6">
        <w:rPr>
          <w:lang w:val="en-US"/>
        </w:rPr>
        <w:t xml:space="preserve">The TOR for the replenishment requested TEAP to </w:t>
      </w:r>
      <w:r w:rsidRPr="077E58F6">
        <w:rPr>
          <w:color w:val="auto"/>
          <w:lang w:val="en-US"/>
        </w:rPr>
        <w:t>apply "a</w:t>
      </w:r>
      <w:r w:rsidRPr="077E58F6">
        <w:rPr>
          <w:i/>
          <w:iCs/>
          <w:color w:val="auto"/>
          <w:lang w:val="en-US"/>
        </w:rPr>
        <w:t xml:space="preserve"> range of cost-effectiveness figures for the manufacturing sectors based on historical experience rather than only on cost-effectiveness thresholds approved by the Executive Committee". </w:t>
      </w:r>
      <w:r w:rsidRPr="077E58F6">
        <w:rPr>
          <w:color w:val="auto"/>
          <w:lang w:val="en-US"/>
        </w:rPr>
        <w:t xml:space="preserve">Therefore, RTF </w:t>
      </w:r>
      <w:r w:rsidRPr="077E58F6">
        <w:rPr>
          <w:lang w:val="en-US"/>
        </w:rPr>
        <w:t xml:space="preserve">considered funding estimates using CE in cost guidelines and historical CE values for the </w:t>
      </w:r>
      <w:r w:rsidRPr="077E58F6">
        <w:rPr>
          <w:u w:val="single"/>
          <w:lang w:val="en-US"/>
        </w:rPr>
        <w:t>manufacturing sectors</w:t>
      </w:r>
      <w:r w:rsidRPr="077E58F6">
        <w:rPr>
          <w:lang w:val="en-US"/>
        </w:rPr>
        <w:t>, so a range could be provided. RTF presents two HCFC scenarios 1 and 2 as follows</w:t>
      </w:r>
      <w:r w:rsidR="001A3E38">
        <w:rPr>
          <w:lang w:val="en-US"/>
        </w:rPr>
        <w:t>.</w:t>
      </w:r>
    </w:p>
    <w:p w14:paraId="5A4C1A98" w14:textId="6FC3CA5B" w:rsidR="274D2446" w:rsidRDefault="274D2446" w:rsidP="274D2446">
      <w:pPr>
        <w:spacing w:after="0"/>
        <w:ind w:left="720"/>
        <w:rPr>
          <w:b/>
          <w:bCs/>
          <w:lang w:val="en-US"/>
        </w:rPr>
      </w:pPr>
    </w:p>
    <w:p w14:paraId="53765BF5" w14:textId="069C5CED" w:rsidR="3AB746AD" w:rsidRPr="00CA1D30" w:rsidRDefault="00480ED5" w:rsidP="00700CBB">
      <w:pPr>
        <w:pStyle w:val="ListParagraph"/>
        <w:spacing w:after="0"/>
        <w:rPr>
          <w:lang w:val="en-US"/>
        </w:rPr>
      </w:pPr>
      <w:r>
        <w:rPr>
          <w:b/>
          <w:bCs/>
          <w:lang w:val="en-US"/>
        </w:rPr>
        <w:t xml:space="preserve">HCFC </w:t>
      </w:r>
      <w:r w:rsidR="274D2446" w:rsidRPr="274D2446">
        <w:rPr>
          <w:b/>
          <w:bCs/>
          <w:lang w:val="en-US"/>
        </w:rPr>
        <w:t>Scenario</w:t>
      </w:r>
      <w:r>
        <w:rPr>
          <w:b/>
          <w:bCs/>
          <w:lang w:val="en-US"/>
        </w:rPr>
        <w:t xml:space="preserve"> 1</w:t>
      </w:r>
      <w:r w:rsidR="274D2446" w:rsidRPr="274D2446">
        <w:rPr>
          <w:b/>
          <w:bCs/>
          <w:lang w:val="en-US"/>
        </w:rPr>
        <w:t xml:space="preserve">: estimated funding for 15 non-LVC parties </w:t>
      </w:r>
      <w:r w:rsidR="00494CBC">
        <w:rPr>
          <w:b/>
          <w:bCs/>
          <w:lang w:val="en-US"/>
        </w:rPr>
        <w:t>using historical CEs</w:t>
      </w:r>
    </w:p>
    <w:p w14:paraId="069F6949" w14:textId="77777777" w:rsidR="00E41C41" w:rsidRDefault="00E41C41" w:rsidP="00063244">
      <w:pPr>
        <w:spacing w:after="0"/>
        <w:rPr>
          <w:lang w:val="en-US"/>
        </w:rPr>
      </w:pPr>
    </w:p>
    <w:p w14:paraId="2AA749F9" w14:textId="222BCD0A" w:rsidR="004D2750" w:rsidRPr="00117A23" w:rsidRDefault="274D2446" w:rsidP="004D2750">
      <w:pPr>
        <w:spacing w:after="0"/>
        <w:rPr>
          <w:lang w:val="en-US"/>
        </w:rPr>
      </w:pPr>
      <w:r w:rsidRPr="274D2446">
        <w:rPr>
          <w:lang w:val="en-US"/>
        </w:rPr>
        <w:t xml:space="preserve">The RTF </w:t>
      </w:r>
      <w:r w:rsidR="00E766B4" w:rsidRPr="274D2446">
        <w:rPr>
          <w:lang w:val="en-US"/>
        </w:rPr>
        <w:t>analyzed</w:t>
      </w:r>
      <w:r w:rsidRPr="274D2446">
        <w:rPr>
          <w:lang w:val="en-US"/>
        </w:rPr>
        <w:t xml:space="preserve"> data from document </w:t>
      </w:r>
      <w:fldSimple w:instr="DOCPROPERTY &quot;Document number&quot;  \* MERGEFORMAT">
        <w:r>
          <w:t>UNEP/OzL.Pro/ExCom/89/10/Rev.1</w:t>
        </w:r>
      </w:fldSimple>
      <w:r w:rsidRPr="274D2446">
        <w:rPr>
          <w:lang w:val="en-US"/>
        </w:rPr>
        <w:t xml:space="preserve"> </w:t>
      </w:r>
      <w:r w:rsidR="009403E9">
        <w:rPr>
          <w:lang w:val="en-US"/>
        </w:rPr>
        <w:t>summarised</w:t>
      </w:r>
      <w:r w:rsidRPr="274D2446">
        <w:rPr>
          <w:lang w:val="en-US"/>
        </w:rPr>
        <w:t xml:space="preserve"> in Annex 1 </w:t>
      </w:r>
      <w:r w:rsidRPr="274D2446">
        <w:rPr>
          <w:b/>
          <w:bCs/>
          <w:lang w:val="en-US"/>
        </w:rPr>
        <w:t xml:space="preserve">“RTF analysis of document ExCom 89/10/Rev1” </w:t>
      </w:r>
      <w:r w:rsidRPr="274D2446">
        <w:rPr>
          <w:lang w:val="en-US"/>
        </w:rPr>
        <w:t>and used historical</w:t>
      </w:r>
      <w:r w:rsidRPr="274D2446">
        <w:rPr>
          <w:b/>
          <w:bCs/>
          <w:lang w:val="en-US"/>
        </w:rPr>
        <w:t xml:space="preserve"> </w:t>
      </w:r>
      <w:r w:rsidRPr="274D2446">
        <w:rPr>
          <w:lang w:val="en-US"/>
        </w:rPr>
        <w:t xml:space="preserve">CEs to </w:t>
      </w:r>
      <w:r w:rsidRPr="274D2446">
        <w:rPr>
          <w:lang w:val="en-US"/>
        </w:rPr>
        <w:lastRenderedPageBreak/>
        <w:t xml:space="preserve">calculate new funding for 15 non-LVC parties indicated as </w:t>
      </w:r>
      <w:r w:rsidRPr="274D2446">
        <w:rPr>
          <w:b/>
          <w:bCs/>
          <w:lang w:val="en-US"/>
        </w:rPr>
        <w:t xml:space="preserve">Output 4 </w:t>
      </w:r>
      <w:r w:rsidRPr="274D2446">
        <w:rPr>
          <w:lang w:val="en-US"/>
        </w:rPr>
        <w:t>in model flow chart. (Annex1)</w:t>
      </w:r>
    </w:p>
    <w:p w14:paraId="1836D704" w14:textId="5DCC081C" w:rsidR="3AB746AD" w:rsidRPr="003A3BC3" w:rsidRDefault="274D2446" w:rsidP="00063244">
      <w:pPr>
        <w:spacing w:after="0"/>
        <w:rPr>
          <w:lang w:val="en-US"/>
        </w:rPr>
      </w:pPr>
      <w:r w:rsidRPr="274D2446">
        <w:rPr>
          <w:lang w:val="en-US"/>
        </w:rPr>
        <w:t xml:space="preserve"> </w:t>
      </w:r>
    </w:p>
    <w:p w14:paraId="0A7B1E61" w14:textId="17D2C5C5" w:rsidR="3AB746AD" w:rsidRPr="00AC18AC" w:rsidRDefault="274D2446" w:rsidP="00063244">
      <w:pPr>
        <w:spacing w:after="160"/>
        <w:rPr>
          <w:lang w:val="en-US"/>
        </w:rPr>
      </w:pPr>
      <w:r w:rsidRPr="274D2446">
        <w:rPr>
          <w:lang w:val="en-US"/>
        </w:rPr>
        <w:t>For its analysis, RTF separated projects for the largest consuming party (China) from projects for the other 14 parties and extracted an average historical Sector CE by sector. Because CEs for China projects were significantly lower, results were presented, and CEs applied, separately. Sectors with no remaining eligible consumption were discarded. Funding estimates were calculated for eligible consumption in China in sectors eligible for additional funding (foam, fire extinguishing, and solvents sectors excluded).</w:t>
      </w:r>
    </w:p>
    <w:p w14:paraId="11A333B8" w14:textId="427EC0B3" w:rsidR="3AB746AD" w:rsidRDefault="4BCEE662" w:rsidP="00063244">
      <w:pPr>
        <w:spacing w:after="0"/>
        <w:rPr>
          <w:lang w:val="en-US"/>
        </w:rPr>
      </w:pPr>
      <w:r w:rsidRPr="4BCEE662">
        <w:rPr>
          <w:lang w:val="en-US"/>
        </w:rPr>
        <w:t>Then RTF applied the separate historical CEs, as described to estimate total new funding, as per HCFC Scenario 1. That is, total estimates are the sum of funding estimates for 14 parties plus China’s funding estimates.</w:t>
      </w:r>
      <w:r w:rsidRPr="4BCEE662">
        <w:rPr>
          <w:sz w:val="18"/>
          <w:szCs w:val="18"/>
          <w:lang w:val="en-US"/>
        </w:rPr>
        <w:t xml:space="preserve"> </w:t>
      </w:r>
      <w:r w:rsidRPr="4BCEE662">
        <w:rPr>
          <w:lang w:val="en-US"/>
        </w:rPr>
        <w:t xml:space="preserve">The historical CEs applied by RTF to HCFC manufacturing sectors (as requested in the TOR) are in Table 2.3 below. The servicing sector was fixed at US$ 4.8/kg. </w:t>
      </w:r>
    </w:p>
    <w:p w14:paraId="7CB1E0E7" w14:textId="3F0AE701" w:rsidR="4B4D7313" w:rsidRDefault="3AB746AD" w:rsidP="4B4D7313">
      <w:pPr>
        <w:spacing w:after="0"/>
        <w:jc w:val="both"/>
        <w:rPr>
          <w:lang w:val="en-US"/>
        </w:rPr>
      </w:pPr>
      <w:r w:rsidRPr="7A81D421">
        <w:rPr>
          <w:lang w:val="en-US"/>
        </w:rPr>
        <w:t xml:space="preserve"> </w:t>
      </w:r>
    </w:p>
    <w:p w14:paraId="4DD3B0FE" w14:textId="270D42CA" w:rsidR="00E41C41" w:rsidRPr="009C3A21" w:rsidRDefault="00E41C41" w:rsidP="002135B0">
      <w:pPr>
        <w:tabs>
          <w:tab w:val="left" w:pos="1134"/>
        </w:tabs>
        <w:spacing w:after="120"/>
        <w:ind w:left="1418" w:hanging="1418"/>
        <w:rPr>
          <w:b/>
          <w:bCs/>
        </w:rPr>
      </w:pPr>
      <w:r w:rsidRPr="222ABFFA">
        <w:rPr>
          <w:rFonts w:eastAsiaTheme="minorEastAsia"/>
          <w:b/>
          <w:bCs/>
        </w:rPr>
        <w:t>Table 2.</w:t>
      </w:r>
      <w:r>
        <w:rPr>
          <w:rFonts w:eastAsiaTheme="minorEastAsia"/>
          <w:b/>
          <w:bCs/>
        </w:rPr>
        <w:t>3</w:t>
      </w:r>
      <w:r w:rsidR="00DA6448">
        <w:rPr>
          <w:rFonts w:eastAsiaTheme="minorEastAsia"/>
          <w:b/>
          <w:bCs/>
        </w:rPr>
        <w:t>:</w:t>
      </w:r>
      <w:r>
        <w:tab/>
      </w:r>
      <w:r w:rsidRPr="779DC3C8">
        <w:rPr>
          <w:b/>
          <w:bCs/>
          <w:lang w:val="en-US"/>
        </w:rPr>
        <w:t>Historical CEs applied to 15 parties with manufacturing secto</w:t>
      </w:r>
      <w:r w:rsidRPr="222ABFFA">
        <w:rPr>
          <w:lang w:val="en-US"/>
        </w:rPr>
        <w:t>r</w:t>
      </w:r>
      <w:r w:rsidR="00BD4AE0">
        <w:rPr>
          <w:b/>
          <w:bCs/>
          <w:lang w:val="en-US"/>
        </w:rPr>
        <w:t>s</w:t>
      </w:r>
      <w:r w:rsidR="00A7124D">
        <w:rPr>
          <w:lang w:val="en-US"/>
        </w:rPr>
        <w:t xml:space="preserve"> </w:t>
      </w:r>
      <w:r w:rsidR="00A7124D" w:rsidRPr="00A7124D">
        <w:rPr>
          <w:b/>
          <w:bCs/>
          <w:lang w:val="en-US"/>
        </w:rPr>
        <w:t>(US$/kg)</w:t>
      </w:r>
      <w:r w:rsidRPr="222ABFFA">
        <w:rPr>
          <w:b/>
          <w:bCs/>
        </w:rPr>
        <w:t xml:space="preserve"> </w:t>
      </w:r>
    </w:p>
    <w:p w14:paraId="03D38011" w14:textId="389EEF20" w:rsidR="3AB746AD" w:rsidRDefault="3AB746AD" w:rsidP="00E41C41">
      <w:pPr>
        <w:spacing w:after="0"/>
        <w:jc w:val="both"/>
        <w:rPr>
          <w:lang w:val="en-US"/>
        </w:rPr>
      </w:pPr>
    </w:p>
    <w:tbl>
      <w:tblPr>
        <w:tblW w:w="84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132"/>
        <w:gridCol w:w="892"/>
        <w:gridCol w:w="894"/>
        <w:gridCol w:w="892"/>
        <w:gridCol w:w="894"/>
        <w:gridCol w:w="1136"/>
        <w:gridCol w:w="1080"/>
        <w:gridCol w:w="1530"/>
      </w:tblGrid>
      <w:tr w:rsidR="00231FFB" w14:paraId="4DC83F88" w14:textId="77777777" w:rsidTr="00F860C3">
        <w:trPr>
          <w:trHeight w:val="767"/>
        </w:trPr>
        <w:tc>
          <w:tcPr>
            <w:tcW w:w="1132" w:type="dxa"/>
            <w:shd w:val="clear" w:color="auto" w:fill="D9E2F3" w:themeFill="accent1" w:themeFillTint="33"/>
            <w:tcMar>
              <w:top w:w="15" w:type="dxa"/>
              <w:left w:w="15" w:type="dxa"/>
              <w:right w:w="15" w:type="dxa"/>
            </w:tcMar>
            <w:vAlign w:val="center"/>
          </w:tcPr>
          <w:p w14:paraId="78845451" w14:textId="79170607" w:rsidR="00231FFB" w:rsidRPr="00CF5E17" w:rsidRDefault="00231FFB" w:rsidP="486B843E">
            <w:pPr>
              <w:spacing w:after="0"/>
              <w:jc w:val="center"/>
              <w:rPr>
                <w:rFonts w:eastAsia="Times New Roman Bold"/>
                <w:b/>
                <w:bCs/>
              </w:rPr>
            </w:pPr>
          </w:p>
        </w:tc>
        <w:tc>
          <w:tcPr>
            <w:tcW w:w="892" w:type="dxa"/>
            <w:shd w:val="clear" w:color="auto" w:fill="D9E2F3" w:themeFill="accent1" w:themeFillTint="33"/>
            <w:tcMar>
              <w:top w:w="15" w:type="dxa"/>
              <w:left w:w="15" w:type="dxa"/>
              <w:right w:w="15" w:type="dxa"/>
            </w:tcMar>
            <w:vAlign w:val="center"/>
          </w:tcPr>
          <w:p w14:paraId="5C7663A8" w14:textId="5D41143D" w:rsidR="00231FFB" w:rsidRPr="00CA1D30" w:rsidRDefault="00231FFB" w:rsidP="00311CDE">
            <w:pPr>
              <w:spacing w:after="0"/>
              <w:jc w:val="center"/>
              <w:rPr>
                <w:rFonts w:eastAsia="Calibri"/>
                <w:b/>
                <w:bCs/>
              </w:rPr>
            </w:pPr>
            <w:r w:rsidRPr="00CA1D30">
              <w:rPr>
                <w:rFonts w:eastAsia="Times New Roman Bold"/>
                <w:b/>
                <w:bCs/>
              </w:rPr>
              <w:t>Aerosol</w:t>
            </w:r>
          </w:p>
        </w:tc>
        <w:tc>
          <w:tcPr>
            <w:tcW w:w="894" w:type="dxa"/>
            <w:shd w:val="clear" w:color="auto" w:fill="D9E2F3" w:themeFill="accent1" w:themeFillTint="33"/>
            <w:tcMar>
              <w:top w:w="15" w:type="dxa"/>
              <w:left w:w="15" w:type="dxa"/>
              <w:right w:w="15" w:type="dxa"/>
            </w:tcMar>
            <w:vAlign w:val="center"/>
          </w:tcPr>
          <w:p w14:paraId="54EC795D" w14:textId="3B3A18D1" w:rsidR="00231FFB" w:rsidRPr="00CA1D30" w:rsidRDefault="00231FFB" w:rsidP="00CA1E48">
            <w:pPr>
              <w:spacing w:after="0"/>
              <w:jc w:val="center"/>
              <w:rPr>
                <w:rFonts w:eastAsia="Calibri"/>
                <w:b/>
                <w:bCs/>
              </w:rPr>
            </w:pPr>
            <w:r w:rsidRPr="00CA1D30">
              <w:rPr>
                <w:rFonts w:eastAsia="Times New Roman Bold"/>
                <w:b/>
                <w:bCs/>
              </w:rPr>
              <w:t>XPS</w:t>
            </w:r>
          </w:p>
        </w:tc>
        <w:tc>
          <w:tcPr>
            <w:tcW w:w="892" w:type="dxa"/>
            <w:shd w:val="clear" w:color="auto" w:fill="D9E2F3" w:themeFill="accent1" w:themeFillTint="33"/>
            <w:tcMar>
              <w:top w:w="15" w:type="dxa"/>
              <w:left w:w="15" w:type="dxa"/>
              <w:right w:w="15" w:type="dxa"/>
            </w:tcMar>
            <w:vAlign w:val="center"/>
          </w:tcPr>
          <w:p w14:paraId="0B4BD238" w14:textId="64A1F5AD" w:rsidR="00231FFB" w:rsidRPr="00CA1D30" w:rsidRDefault="00231FFB" w:rsidP="00311CDE">
            <w:pPr>
              <w:spacing w:after="0"/>
              <w:jc w:val="center"/>
              <w:rPr>
                <w:rFonts w:eastAsia="Calibri"/>
                <w:b/>
                <w:bCs/>
              </w:rPr>
            </w:pPr>
            <w:r w:rsidRPr="00CA1D30">
              <w:rPr>
                <w:rFonts w:eastAsia="Times New Roman Bold"/>
                <w:b/>
                <w:bCs/>
              </w:rPr>
              <w:t>PU</w:t>
            </w:r>
          </w:p>
        </w:tc>
        <w:tc>
          <w:tcPr>
            <w:tcW w:w="894" w:type="dxa"/>
            <w:shd w:val="clear" w:color="auto" w:fill="D9E2F3" w:themeFill="accent1" w:themeFillTint="33"/>
            <w:tcMar>
              <w:top w:w="15" w:type="dxa"/>
              <w:left w:w="15" w:type="dxa"/>
              <w:right w:w="15" w:type="dxa"/>
            </w:tcMar>
            <w:vAlign w:val="center"/>
          </w:tcPr>
          <w:p w14:paraId="737E263E" w14:textId="15296681" w:rsidR="00231FFB" w:rsidRPr="00CA1D30" w:rsidRDefault="00231FFB" w:rsidP="00311CDE">
            <w:pPr>
              <w:spacing w:after="0"/>
              <w:jc w:val="center"/>
              <w:rPr>
                <w:rFonts w:eastAsia="Calibri"/>
                <w:b/>
                <w:bCs/>
              </w:rPr>
            </w:pPr>
            <w:r w:rsidRPr="00CA1D30">
              <w:rPr>
                <w:rFonts w:eastAsia="Times New Roman Bold"/>
                <w:b/>
                <w:bCs/>
              </w:rPr>
              <w:t>Fire Ext.</w:t>
            </w:r>
          </w:p>
        </w:tc>
        <w:tc>
          <w:tcPr>
            <w:tcW w:w="1136" w:type="dxa"/>
            <w:shd w:val="clear" w:color="auto" w:fill="D9E2F3" w:themeFill="accent1" w:themeFillTint="33"/>
            <w:tcMar>
              <w:top w:w="15" w:type="dxa"/>
              <w:left w:w="15" w:type="dxa"/>
              <w:right w:w="15" w:type="dxa"/>
            </w:tcMar>
            <w:vAlign w:val="center"/>
          </w:tcPr>
          <w:p w14:paraId="38647353" w14:textId="00A2AA40" w:rsidR="00231FFB" w:rsidRPr="00CA1D30" w:rsidRDefault="00231FFB" w:rsidP="00311CDE">
            <w:pPr>
              <w:spacing w:after="0"/>
              <w:jc w:val="center"/>
              <w:rPr>
                <w:rFonts w:eastAsia="Calibri"/>
                <w:b/>
                <w:bCs/>
              </w:rPr>
            </w:pPr>
            <w:r w:rsidRPr="00CA1D30">
              <w:rPr>
                <w:rFonts w:eastAsia="Times New Roman Bold"/>
                <w:b/>
                <w:bCs/>
              </w:rPr>
              <w:t>ICR/ AC</w:t>
            </w:r>
          </w:p>
        </w:tc>
        <w:tc>
          <w:tcPr>
            <w:tcW w:w="1080" w:type="dxa"/>
            <w:shd w:val="clear" w:color="auto" w:fill="D9E2F3" w:themeFill="accent1" w:themeFillTint="33"/>
            <w:tcMar>
              <w:top w:w="15" w:type="dxa"/>
              <w:left w:w="15" w:type="dxa"/>
              <w:right w:w="15" w:type="dxa"/>
            </w:tcMar>
            <w:vAlign w:val="center"/>
          </w:tcPr>
          <w:p w14:paraId="5638443F" w14:textId="5B55A097" w:rsidR="00231FFB" w:rsidRPr="00CA1D30" w:rsidRDefault="00231FFB" w:rsidP="00311CDE">
            <w:pPr>
              <w:spacing w:after="0"/>
              <w:jc w:val="center"/>
              <w:rPr>
                <w:rFonts w:eastAsia="Calibri"/>
                <w:b/>
                <w:bCs/>
              </w:rPr>
            </w:pPr>
            <w:r w:rsidRPr="00CA1D30">
              <w:rPr>
                <w:rFonts w:eastAsia="Times New Roman Bold"/>
                <w:b/>
                <w:bCs/>
              </w:rPr>
              <w:t xml:space="preserve">Res. AC </w:t>
            </w:r>
          </w:p>
        </w:tc>
        <w:tc>
          <w:tcPr>
            <w:tcW w:w="1530" w:type="dxa"/>
            <w:shd w:val="clear" w:color="auto" w:fill="D9E2F3" w:themeFill="accent1" w:themeFillTint="33"/>
            <w:tcMar>
              <w:top w:w="15" w:type="dxa"/>
              <w:left w:w="15" w:type="dxa"/>
              <w:right w:w="15" w:type="dxa"/>
            </w:tcMar>
            <w:vAlign w:val="center"/>
          </w:tcPr>
          <w:p w14:paraId="719E05ED" w14:textId="1AA548DD" w:rsidR="00231FFB" w:rsidRPr="00CA1D30" w:rsidRDefault="00231FFB" w:rsidP="00311CDE">
            <w:pPr>
              <w:spacing w:after="0"/>
              <w:jc w:val="center"/>
              <w:rPr>
                <w:rFonts w:eastAsia="Calibri"/>
                <w:b/>
                <w:bCs/>
              </w:rPr>
            </w:pPr>
            <w:r w:rsidRPr="00CA1D30">
              <w:rPr>
                <w:rFonts w:eastAsia="Times New Roman Bold"/>
                <w:b/>
                <w:bCs/>
              </w:rPr>
              <w:t>Solvents</w:t>
            </w:r>
          </w:p>
        </w:tc>
      </w:tr>
      <w:tr w:rsidR="00231FFB" w14:paraId="77D85855" w14:textId="77777777" w:rsidTr="008B534B">
        <w:trPr>
          <w:trHeight w:val="720"/>
        </w:trPr>
        <w:tc>
          <w:tcPr>
            <w:tcW w:w="1132" w:type="dxa"/>
            <w:tcMar>
              <w:top w:w="15" w:type="dxa"/>
              <w:left w:w="15" w:type="dxa"/>
              <w:right w:w="15" w:type="dxa"/>
            </w:tcMar>
            <w:vAlign w:val="center"/>
          </w:tcPr>
          <w:p w14:paraId="6A92D3EA" w14:textId="1FC1E8CD" w:rsidR="00231FFB" w:rsidRPr="00CF5E17" w:rsidRDefault="00231FFB" w:rsidP="486B843E">
            <w:pPr>
              <w:spacing w:after="0"/>
              <w:jc w:val="center"/>
              <w:rPr>
                <w:rFonts w:eastAsia="Arial"/>
                <w:b/>
                <w:bCs/>
              </w:rPr>
            </w:pPr>
            <w:r w:rsidRPr="00CF5E17">
              <w:rPr>
                <w:rFonts w:eastAsia="Arial"/>
                <w:b/>
                <w:bCs/>
              </w:rPr>
              <w:t>One party (China)</w:t>
            </w:r>
          </w:p>
        </w:tc>
        <w:tc>
          <w:tcPr>
            <w:tcW w:w="892" w:type="dxa"/>
            <w:tcMar>
              <w:top w:w="15" w:type="dxa"/>
              <w:left w:w="15" w:type="dxa"/>
              <w:right w:w="15" w:type="dxa"/>
            </w:tcMar>
            <w:vAlign w:val="center"/>
          </w:tcPr>
          <w:p w14:paraId="200D07B6" w14:textId="5588F3D0" w:rsidR="00231FFB" w:rsidRPr="00E41C41" w:rsidRDefault="00231FFB" w:rsidP="005A62D2">
            <w:pPr>
              <w:spacing w:after="0"/>
              <w:jc w:val="center"/>
              <w:rPr>
                <w:rFonts w:eastAsia="Times"/>
              </w:rPr>
            </w:pPr>
            <w:r w:rsidRPr="222ABFFA">
              <w:rPr>
                <w:rFonts w:eastAsia="Times"/>
              </w:rPr>
              <w:t>0.00</w:t>
            </w:r>
          </w:p>
        </w:tc>
        <w:tc>
          <w:tcPr>
            <w:tcW w:w="894" w:type="dxa"/>
            <w:tcMar>
              <w:top w:w="15" w:type="dxa"/>
              <w:left w:w="15" w:type="dxa"/>
              <w:right w:w="15" w:type="dxa"/>
            </w:tcMar>
            <w:vAlign w:val="center"/>
          </w:tcPr>
          <w:p w14:paraId="3D2C93BD" w14:textId="28D40A84" w:rsidR="00231FFB" w:rsidRPr="00E41C41" w:rsidRDefault="00231FFB" w:rsidP="005A62D2">
            <w:pPr>
              <w:spacing w:after="0"/>
              <w:jc w:val="center"/>
              <w:rPr>
                <w:rFonts w:eastAsia="Times"/>
              </w:rPr>
            </w:pPr>
            <w:r w:rsidRPr="222ABFFA">
              <w:rPr>
                <w:rFonts w:eastAsia="Times"/>
              </w:rPr>
              <w:t>0.00</w:t>
            </w:r>
          </w:p>
        </w:tc>
        <w:tc>
          <w:tcPr>
            <w:tcW w:w="892" w:type="dxa"/>
            <w:tcMar>
              <w:top w:w="15" w:type="dxa"/>
              <w:left w:w="15" w:type="dxa"/>
              <w:right w:w="15" w:type="dxa"/>
            </w:tcMar>
            <w:vAlign w:val="center"/>
          </w:tcPr>
          <w:p w14:paraId="49AB6D07" w14:textId="1FB72138" w:rsidR="00231FFB" w:rsidRPr="00E41C41" w:rsidRDefault="00231FFB" w:rsidP="005A62D2">
            <w:pPr>
              <w:spacing w:after="0"/>
              <w:jc w:val="center"/>
              <w:rPr>
                <w:rFonts w:eastAsia="Times"/>
              </w:rPr>
            </w:pPr>
            <w:r w:rsidRPr="222ABFFA">
              <w:rPr>
                <w:rFonts w:eastAsia="Times"/>
              </w:rPr>
              <w:t>0.00</w:t>
            </w:r>
          </w:p>
        </w:tc>
        <w:tc>
          <w:tcPr>
            <w:tcW w:w="894" w:type="dxa"/>
            <w:tcMar>
              <w:top w:w="15" w:type="dxa"/>
              <w:left w:w="15" w:type="dxa"/>
              <w:right w:w="15" w:type="dxa"/>
            </w:tcMar>
            <w:vAlign w:val="center"/>
          </w:tcPr>
          <w:p w14:paraId="6345569D" w14:textId="32EB7C65" w:rsidR="00231FFB" w:rsidRPr="00E41C41" w:rsidRDefault="00231FFB" w:rsidP="005A62D2">
            <w:pPr>
              <w:spacing w:after="0"/>
              <w:jc w:val="center"/>
              <w:rPr>
                <w:rFonts w:eastAsia="Times"/>
              </w:rPr>
            </w:pPr>
            <w:r w:rsidRPr="222ABFFA">
              <w:rPr>
                <w:rFonts w:eastAsia="Times"/>
              </w:rPr>
              <w:t>0.00</w:t>
            </w:r>
          </w:p>
        </w:tc>
        <w:tc>
          <w:tcPr>
            <w:tcW w:w="1136" w:type="dxa"/>
            <w:tcMar>
              <w:top w:w="15" w:type="dxa"/>
              <w:left w:w="15" w:type="dxa"/>
              <w:right w:w="15" w:type="dxa"/>
            </w:tcMar>
            <w:vAlign w:val="center"/>
          </w:tcPr>
          <w:p w14:paraId="7FB331FC" w14:textId="7A5ED374" w:rsidR="00231FFB" w:rsidRPr="00E41C41" w:rsidRDefault="00231FFB" w:rsidP="005A62D2">
            <w:pPr>
              <w:spacing w:after="0"/>
              <w:jc w:val="center"/>
              <w:rPr>
                <w:rFonts w:eastAsia="Times"/>
              </w:rPr>
            </w:pPr>
            <w:r w:rsidRPr="222ABFFA">
              <w:rPr>
                <w:rFonts w:eastAsia="Times"/>
              </w:rPr>
              <w:t>6.97</w:t>
            </w:r>
          </w:p>
        </w:tc>
        <w:tc>
          <w:tcPr>
            <w:tcW w:w="1080" w:type="dxa"/>
            <w:tcMar>
              <w:top w:w="15" w:type="dxa"/>
              <w:left w:w="15" w:type="dxa"/>
              <w:right w:w="15" w:type="dxa"/>
            </w:tcMar>
            <w:vAlign w:val="center"/>
          </w:tcPr>
          <w:p w14:paraId="261E8DF5" w14:textId="7A48C624" w:rsidR="00231FFB" w:rsidRPr="00E41C41" w:rsidRDefault="00231FFB" w:rsidP="005A62D2">
            <w:pPr>
              <w:spacing w:after="0"/>
              <w:jc w:val="center"/>
              <w:rPr>
                <w:rFonts w:eastAsia="Times"/>
              </w:rPr>
            </w:pPr>
            <w:r w:rsidRPr="222ABFFA">
              <w:rPr>
                <w:rFonts w:eastAsia="Times"/>
              </w:rPr>
              <w:t>4.74</w:t>
            </w:r>
          </w:p>
        </w:tc>
        <w:tc>
          <w:tcPr>
            <w:tcW w:w="1530" w:type="dxa"/>
            <w:tcMar>
              <w:top w:w="15" w:type="dxa"/>
              <w:left w:w="15" w:type="dxa"/>
              <w:right w:w="15" w:type="dxa"/>
            </w:tcMar>
            <w:vAlign w:val="center"/>
          </w:tcPr>
          <w:p w14:paraId="7C4A1272" w14:textId="043714A2" w:rsidR="00231FFB" w:rsidRPr="00E41C41" w:rsidRDefault="00231FFB" w:rsidP="005A62D2">
            <w:pPr>
              <w:spacing w:after="0"/>
              <w:jc w:val="center"/>
              <w:rPr>
                <w:rFonts w:eastAsia="Times"/>
              </w:rPr>
            </w:pPr>
            <w:r w:rsidRPr="222ABFFA">
              <w:rPr>
                <w:rFonts w:eastAsia="Times"/>
              </w:rPr>
              <w:t>0.00</w:t>
            </w:r>
          </w:p>
        </w:tc>
      </w:tr>
      <w:tr w:rsidR="00231FFB" w14:paraId="712FB88E" w14:textId="77777777" w:rsidTr="008B534B">
        <w:trPr>
          <w:trHeight w:val="600"/>
        </w:trPr>
        <w:tc>
          <w:tcPr>
            <w:tcW w:w="1132" w:type="dxa"/>
            <w:tcMar>
              <w:top w:w="15" w:type="dxa"/>
              <w:left w:w="15" w:type="dxa"/>
              <w:right w:w="15" w:type="dxa"/>
            </w:tcMar>
            <w:vAlign w:val="center"/>
          </w:tcPr>
          <w:p w14:paraId="3AAFE284" w14:textId="6413A4A2" w:rsidR="00231FFB" w:rsidRPr="00CF5E17" w:rsidRDefault="00231FFB" w:rsidP="4BE24003">
            <w:pPr>
              <w:spacing w:after="0"/>
              <w:jc w:val="center"/>
              <w:rPr>
                <w:rFonts w:eastAsia="Times"/>
                <w:b/>
                <w:bCs/>
              </w:rPr>
            </w:pPr>
            <w:r w:rsidRPr="00CF5E17">
              <w:rPr>
                <w:rFonts w:eastAsia="Times"/>
                <w:b/>
                <w:bCs/>
              </w:rPr>
              <w:t>Other 14</w:t>
            </w:r>
          </w:p>
        </w:tc>
        <w:tc>
          <w:tcPr>
            <w:tcW w:w="892" w:type="dxa"/>
            <w:tcMar>
              <w:top w:w="15" w:type="dxa"/>
              <w:left w:w="15" w:type="dxa"/>
              <w:right w:w="15" w:type="dxa"/>
            </w:tcMar>
            <w:vAlign w:val="center"/>
          </w:tcPr>
          <w:p w14:paraId="32465C0D" w14:textId="55487C60" w:rsidR="00231FFB" w:rsidRPr="00E41C41" w:rsidRDefault="00231FFB" w:rsidP="005A62D2">
            <w:pPr>
              <w:spacing w:after="0"/>
              <w:jc w:val="center"/>
              <w:rPr>
                <w:rFonts w:eastAsia="Times"/>
              </w:rPr>
            </w:pPr>
            <w:r w:rsidRPr="222ABFFA">
              <w:rPr>
                <w:rFonts w:eastAsia="Times"/>
              </w:rPr>
              <w:t>0.00</w:t>
            </w:r>
          </w:p>
        </w:tc>
        <w:tc>
          <w:tcPr>
            <w:tcW w:w="894" w:type="dxa"/>
            <w:tcMar>
              <w:top w:w="15" w:type="dxa"/>
              <w:left w:w="15" w:type="dxa"/>
              <w:right w:w="15" w:type="dxa"/>
            </w:tcMar>
            <w:vAlign w:val="center"/>
          </w:tcPr>
          <w:p w14:paraId="2DFF244E" w14:textId="65FD5C3E" w:rsidR="00231FFB" w:rsidRPr="00E41C41" w:rsidRDefault="00231FFB" w:rsidP="005A62D2">
            <w:pPr>
              <w:spacing w:after="0"/>
              <w:jc w:val="center"/>
              <w:rPr>
                <w:rFonts w:eastAsia="Times"/>
              </w:rPr>
            </w:pPr>
            <w:r w:rsidRPr="222ABFFA">
              <w:rPr>
                <w:rFonts w:eastAsia="Times"/>
              </w:rPr>
              <w:t>5.74</w:t>
            </w:r>
          </w:p>
        </w:tc>
        <w:tc>
          <w:tcPr>
            <w:tcW w:w="892" w:type="dxa"/>
            <w:tcMar>
              <w:top w:w="15" w:type="dxa"/>
              <w:left w:w="15" w:type="dxa"/>
              <w:right w:w="15" w:type="dxa"/>
            </w:tcMar>
            <w:vAlign w:val="center"/>
          </w:tcPr>
          <w:p w14:paraId="2A5C0DE7" w14:textId="17035DDC" w:rsidR="00231FFB" w:rsidRPr="00E41C41" w:rsidRDefault="00231FFB" w:rsidP="005A62D2">
            <w:pPr>
              <w:spacing w:after="0"/>
              <w:jc w:val="center"/>
              <w:rPr>
                <w:rFonts w:eastAsia="Times"/>
              </w:rPr>
            </w:pPr>
            <w:r w:rsidRPr="222ABFFA">
              <w:rPr>
                <w:rFonts w:eastAsia="Times"/>
              </w:rPr>
              <w:t>7.37</w:t>
            </w:r>
          </w:p>
        </w:tc>
        <w:tc>
          <w:tcPr>
            <w:tcW w:w="894" w:type="dxa"/>
            <w:tcMar>
              <w:top w:w="15" w:type="dxa"/>
              <w:left w:w="15" w:type="dxa"/>
              <w:right w:w="15" w:type="dxa"/>
            </w:tcMar>
            <w:vAlign w:val="center"/>
          </w:tcPr>
          <w:p w14:paraId="73C0EFD5" w14:textId="6521EE30" w:rsidR="00231FFB" w:rsidRPr="00E41C41" w:rsidRDefault="00231FFB" w:rsidP="005A62D2">
            <w:pPr>
              <w:spacing w:after="0"/>
              <w:jc w:val="center"/>
              <w:rPr>
                <w:rFonts w:eastAsia="Times"/>
              </w:rPr>
            </w:pPr>
            <w:r w:rsidRPr="222ABFFA">
              <w:rPr>
                <w:rFonts w:eastAsia="Times"/>
              </w:rPr>
              <w:t>4.80</w:t>
            </w:r>
          </w:p>
        </w:tc>
        <w:tc>
          <w:tcPr>
            <w:tcW w:w="1136" w:type="dxa"/>
            <w:tcMar>
              <w:top w:w="15" w:type="dxa"/>
              <w:left w:w="15" w:type="dxa"/>
              <w:right w:w="15" w:type="dxa"/>
            </w:tcMar>
            <w:vAlign w:val="center"/>
          </w:tcPr>
          <w:p w14:paraId="4A7D5234" w14:textId="41B53C42" w:rsidR="00231FFB" w:rsidRPr="00E41C41" w:rsidRDefault="00231FFB" w:rsidP="005A62D2">
            <w:pPr>
              <w:spacing w:after="0"/>
              <w:jc w:val="center"/>
              <w:rPr>
                <w:rFonts w:eastAsia="Times"/>
              </w:rPr>
            </w:pPr>
            <w:r w:rsidRPr="222ABFFA">
              <w:rPr>
                <w:rFonts w:eastAsia="Times"/>
              </w:rPr>
              <w:t>14.57</w:t>
            </w:r>
          </w:p>
        </w:tc>
        <w:tc>
          <w:tcPr>
            <w:tcW w:w="1080" w:type="dxa"/>
            <w:tcMar>
              <w:top w:w="15" w:type="dxa"/>
              <w:left w:w="15" w:type="dxa"/>
              <w:right w:w="15" w:type="dxa"/>
            </w:tcMar>
            <w:vAlign w:val="center"/>
          </w:tcPr>
          <w:p w14:paraId="22395A2C" w14:textId="553547C8" w:rsidR="00231FFB" w:rsidRPr="00E41C41" w:rsidRDefault="00231FFB" w:rsidP="005A62D2">
            <w:pPr>
              <w:spacing w:after="0"/>
              <w:jc w:val="center"/>
              <w:rPr>
                <w:rFonts w:eastAsia="Times"/>
              </w:rPr>
            </w:pPr>
            <w:r w:rsidRPr="222ABFFA">
              <w:rPr>
                <w:rFonts w:eastAsia="Times"/>
              </w:rPr>
              <w:t>10.05</w:t>
            </w:r>
          </w:p>
        </w:tc>
        <w:tc>
          <w:tcPr>
            <w:tcW w:w="1530" w:type="dxa"/>
            <w:tcMar>
              <w:top w:w="15" w:type="dxa"/>
              <w:left w:w="15" w:type="dxa"/>
              <w:right w:w="15" w:type="dxa"/>
            </w:tcMar>
            <w:vAlign w:val="center"/>
          </w:tcPr>
          <w:p w14:paraId="372B80D5" w14:textId="1FF1555B" w:rsidR="00231FFB" w:rsidRPr="00E41C41" w:rsidRDefault="00231FFB" w:rsidP="005A62D2">
            <w:pPr>
              <w:spacing w:after="0"/>
              <w:jc w:val="center"/>
              <w:rPr>
                <w:rFonts w:eastAsia="Times"/>
              </w:rPr>
            </w:pPr>
            <w:r w:rsidRPr="222ABFFA">
              <w:rPr>
                <w:rFonts w:eastAsia="Times"/>
              </w:rPr>
              <w:t>10.51</w:t>
            </w:r>
          </w:p>
        </w:tc>
      </w:tr>
    </w:tbl>
    <w:p w14:paraId="6076CB38" w14:textId="4F41AAE5" w:rsidR="779DC3C8" w:rsidRDefault="779DC3C8" w:rsidP="779DC3C8">
      <w:pPr>
        <w:spacing w:after="0"/>
        <w:rPr>
          <w:sz w:val="18"/>
          <w:szCs w:val="18"/>
          <w:lang w:val="en-US"/>
        </w:rPr>
      </w:pPr>
    </w:p>
    <w:p w14:paraId="444D4AF9" w14:textId="77777777" w:rsidR="00B809EE" w:rsidRDefault="00B809EE" w:rsidP="779DC3C8">
      <w:pPr>
        <w:spacing w:after="0"/>
        <w:rPr>
          <w:sz w:val="18"/>
          <w:szCs w:val="18"/>
          <w:lang w:val="en-US"/>
        </w:rPr>
      </w:pPr>
    </w:p>
    <w:p w14:paraId="408ECE6F" w14:textId="2D69974F" w:rsidR="00B809EE" w:rsidRDefault="00B809EE" w:rsidP="779DC3C8">
      <w:pPr>
        <w:spacing w:after="0"/>
        <w:rPr>
          <w:sz w:val="18"/>
          <w:szCs w:val="18"/>
          <w:lang w:val="en-US"/>
        </w:rPr>
      </w:pPr>
      <w:r w:rsidRPr="00AC18AC">
        <w:rPr>
          <w:lang w:val="en-US"/>
        </w:rPr>
        <w:t xml:space="preserve">The following </w:t>
      </w:r>
      <w:r w:rsidRPr="00F20561">
        <w:rPr>
          <w:lang w:val="en-US"/>
        </w:rPr>
        <w:t>Table 2.4</w:t>
      </w:r>
      <w:r w:rsidRPr="00AC18AC">
        <w:rPr>
          <w:lang w:val="en-US"/>
        </w:rPr>
        <w:t xml:space="preserve"> presents the estimated </w:t>
      </w:r>
      <w:r w:rsidR="005029CA">
        <w:rPr>
          <w:lang w:val="en-US"/>
        </w:rPr>
        <w:t xml:space="preserve">total </w:t>
      </w:r>
      <w:r w:rsidRPr="00AC18AC">
        <w:rPr>
          <w:lang w:val="en-US"/>
        </w:rPr>
        <w:t>fund</w:t>
      </w:r>
      <w:r w:rsidR="005029CA">
        <w:rPr>
          <w:lang w:val="en-US"/>
        </w:rPr>
        <w:t>ing</w:t>
      </w:r>
      <w:r w:rsidRPr="00AC18AC">
        <w:rPr>
          <w:lang w:val="en-US"/>
        </w:rPr>
        <w:t xml:space="preserve"> when applying the historical CE values.</w:t>
      </w:r>
    </w:p>
    <w:p w14:paraId="12C5E125" w14:textId="51878DD3" w:rsidR="779DC3C8" w:rsidRDefault="779DC3C8" w:rsidP="779DC3C8">
      <w:pPr>
        <w:spacing w:after="0"/>
        <w:rPr>
          <w:b/>
          <w:sz w:val="24"/>
          <w:szCs w:val="24"/>
          <w:lang w:val="en-US"/>
        </w:rPr>
      </w:pPr>
    </w:p>
    <w:p w14:paraId="62F604AF" w14:textId="425804AA" w:rsidR="779DC3C8" w:rsidRDefault="274D2446" w:rsidP="002135B0">
      <w:pPr>
        <w:spacing w:after="120"/>
        <w:ind w:left="1134" w:hanging="1134"/>
        <w:rPr>
          <w:sz w:val="18"/>
          <w:szCs w:val="18"/>
          <w:lang w:val="en-US"/>
        </w:rPr>
      </w:pPr>
      <w:r w:rsidRPr="274D2446">
        <w:rPr>
          <w:rFonts w:eastAsiaTheme="minorEastAsia"/>
          <w:b/>
          <w:bCs/>
        </w:rPr>
        <w:t>Table 2.4</w:t>
      </w:r>
      <w:r w:rsidR="00DA6448">
        <w:rPr>
          <w:rFonts w:eastAsiaTheme="minorEastAsia"/>
          <w:b/>
          <w:bCs/>
        </w:rPr>
        <w:t>:</w:t>
      </w:r>
      <w:r w:rsidR="00E41C41">
        <w:tab/>
      </w:r>
      <w:r w:rsidRPr="274D2446">
        <w:rPr>
          <w:b/>
          <w:bCs/>
        </w:rPr>
        <w:t>Estimated total funding with historical CE values only applied to the manufacturing sectors (US$ millions)</w:t>
      </w:r>
    </w:p>
    <w:tbl>
      <w:tblPr>
        <w:tblW w:w="5000" w:type="pct"/>
        <w:tblLook w:val="04A0" w:firstRow="1" w:lastRow="0" w:firstColumn="1" w:lastColumn="0" w:noHBand="0" w:noVBand="1"/>
      </w:tblPr>
      <w:tblGrid>
        <w:gridCol w:w="1318"/>
        <w:gridCol w:w="778"/>
        <w:gridCol w:w="777"/>
        <w:gridCol w:w="663"/>
        <w:gridCol w:w="845"/>
        <w:gridCol w:w="784"/>
        <w:gridCol w:w="1024"/>
        <w:gridCol w:w="1120"/>
        <w:gridCol w:w="974"/>
      </w:tblGrid>
      <w:tr w:rsidR="00311CDE" w:rsidRPr="00311CDE" w14:paraId="6491A0CA" w14:textId="77777777" w:rsidTr="274D2446">
        <w:trPr>
          <w:trHeight w:val="915"/>
        </w:trPr>
        <w:tc>
          <w:tcPr>
            <w:tcW w:w="795" w:type="pct"/>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D9E2F3" w:themeFill="accent1" w:themeFillTint="33"/>
            <w:tcMar>
              <w:left w:w="108" w:type="dxa"/>
              <w:right w:w="108" w:type="dxa"/>
            </w:tcMar>
            <w:vAlign w:val="bottom"/>
          </w:tcPr>
          <w:p w14:paraId="63B0E720" w14:textId="526897A7" w:rsidR="00311CDE" w:rsidRPr="00CF5E17" w:rsidRDefault="00311CDE" w:rsidP="72358026">
            <w:pPr>
              <w:spacing w:after="0"/>
              <w:rPr>
                <w:b/>
                <w:bCs/>
                <w:sz w:val="20"/>
                <w:szCs w:val="20"/>
                <w:lang w:val="en-US"/>
              </w:rPr>
            </w:pPr>
          </w:p>
          <w:p w14:paraId="049F73AB" w14:textId="5AB4CD30" w:rsidR="00311CDE" w:rsidRPr="00CF5E17" w:rsidRDefault="00311CDE" w:rsidP="72358026">
            <w:pPr>
              <w:spacing w:after="0"/>
              <w:rPr>
                <w:b/>
                <w:bCs/>
                <w:sz w:val="20"/>
                <w:szCs w:val="20"/>
                <w:lang w:val="en-US"/>
              </w:rPr>
            </w:pPr>
          </w:p>
        </w:tc>
        <w:tc>
          <w:tcPr>
            <w:tcW w:w="469" w:type="pct"/>
            <w:tcBorders>
              <w:top w:val="single" w:sz="8" w:space="0" w:color="auto"/>
              <w:left w:val="single" w:sz="12" w:space="0" w:color="000000" w:themeColor="text1"/>
              <w:bottom w:val="single" w:sz="8" w:space="0" w:color="auto"/>
              <w:right w:val="single" w:sz="8" w:space="0" w:color="auto"/>
            </w:tcBorders>
            <w:shd w:val="clear" w:color="auto" w:fill="D9E2F3" w:themeFill="accent1" w:themeFillTint="33"/>
            <w:tcMar>
              <w:left w:w="108" w:type="dxa"/>
              <w:right w:w="108" w:type="dxa"/>
            </w:tcMar>
            <w:vAlign w:val="center"/>
          </w:tcPr>
          <w:p w14:paraId="128A8DFF" w14:textId="1419EA28" w:rsidR="00311CDE" w:rsidRPr="00311CDE" w:rsidRDefault="00311CDE" w:rsidP="72358026">
            <w:pPr>
              <w:spacing w:after="0"/>
              <w:jc w:val="center"/>
              <w:rPr>
                <w:b/>
                <w:bCs/>
                <w:sz w:val="20"/>
                <w:szCs w:val="20"/>
                <w:lang w:val="en-US"/>
              </w:rPr>
            </w:pPr>
            <w:r w:rsidRPr="00311CDE">
              <w:rPr>
                <w:b/>
                <w:bCs/>
                <w:sz w:val="20"/>
                <w:szCs w:val="20"/>
                <w:lang w:val="en-US"/>
              </w:rPr>
              <w:t>XPS Foam</w:t>
            </w:r>
          </w:p>
        </w:tc>
        <w:tc>
          <w:tcPr>
            <w:tcW w:w="469"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4AA7D7E9" w14:textId="0BBB69D2" w:rsidR="00311CDE" w:rsidRPr="00311CDE" w:rsidRDefault="00311CDE" w:rsidP="72358026">
            <w:pPr>
              <w:spacing w:after="0"/>
              <w:jc w:val="center"/>
              <w:rPr>
                <w:b/>
                <w:bCs/>
                <w:sz w:val="20"/>
                <w:szCs w:val="20"/>
                <w:lang w:val="en-US"/>
              </w:rPr>
            </w:pPr>
            <w:r w:rsidRPr="00311CDE">
              <w:rPr>
                <w:b/>
                <w:bCs/>
                <w:sz w:val="20"/>
                <w:szCs w:val="20"/>
                <w:lang w:val="en-US"/>
              </w:rPr>
              <w:t>PU Foam</w:t>
            </w:r>
          </w:p>
        </w:tc>
        <w:tc>
          <w:tcPr>
            <w:tcW w:w="40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1E3C3200" w14:textId="4BC7360C" w:rsidR="00311CDE" w:rsidRPr="00311CDE" w:rsidRDefault="00311CDE" w:rsidP="00CA1D30">
            <w:pPr>
              <w:spacing w:after="0"/>
              <w:jc w:val="center"/>
              <w:rPr>
                <w:b/>
                <w:bCs/>
                <w:sz w:val="20"/>
                <w:szCs w:val="20"/>
                <w:lang w:val="pt-BR"/>
              </w:rPr>
            </w:pPr>
            <w:r w:rsidRPr="00311CDE">
              <w:rPr>
                <w:b/>
                <w:bCs/>
                <w:sz w:val="20"/>
                <w:szCs w:val="20"/>
                <w:lang w:val="en-US"/>
              </w:rPr>
              <w:t>Fire Ext</w:t>
            </w:r>
            <w:r w:rsidRPr="00311CDE">
              <w:rPr>
                <w:b/>
                <w:bCs/>
                <w:sz w:val="20"/>
                <w:szCs w:val="20"/>
                <w:lang w:val="pt-BR"/>
              </w:rPr>
              <w:t>.</w:t>
            </w:r>
          </w:p>
        </w:tc>
        <w:tc>
          <w:tcPr>
            <w:tcW w:w="51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2F715367" w14:textId="4332A985" w:rsidR="00311CDE" w:rsidRPr="00311CDE" w:rsidRDefault="00311CDE" w:rsidP="00CA1D30">
            <w:pPr>
              <w:spacing w:after="0"/>
              <w:jc w:val="center"/>
              <w:rPr>
                <w:b/>
                <w:bCs/>
                <w:sz w:val="20"/>
                <w:szCs w:val="20"/>
                <w:lang w:val="en-US"/>
              </w:rPr>
            </w:pPr>
            <w:r w:rsidRPr="00311CDE">
              <w:rPr>
                <w:b/>
                <w:bCs/>
                <w:sz w:val="20"/>
                <w:szCs w:val="20"/>
                <w:lang w:val="en-US"/>
              </w:rPr>
              <w:t>ICR</w:t>
            </w:r>
          </w:p>
        </w:tc>
        <w:tc>
          <w:tcPr>
            <w:tcW w:w="47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23082399" w14:textId="5F4088F6" w:rsidR="00311CDE" w:rsidRPr="00311CDE" w:rsidRDefault="00311CDE" w:rsidP="72358026">
            <w:pPr>
              <w:spacing w:after="0"/>
              <w:jc w:val="center"/>
              <w:rPr>
                <w:b/>
                <w:bCs/>
                <w:sz w:val="20"/>
                <w:szCs w:val="20"/>
                <w:lang w:val="en-US"/>
              </w:rPr>
            </w:pPr>
            <w:r w:rsidRPr="00311CDE">
              <w:rPr>
                <w:b/>
                <w:bCs/>
                <w:sz w:val="20"/>
                <w:szCs w:val="20"/>
                <w:lang w:val="en-US"/>
              </w:rPr>
              <w:t>Res. AC</w:t>
            </w:r>
          </w:p>
        </w:tc>
        <w:tc>
          <w:tcPr>
            <w:tcW w:w="618"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388A6622" w14:textId="40C0AD82" w:rsidR="00311CDE" w:rsidRPr="00311CDE" w:rsidRDefault="00311CDE" w:rsidP="00CA1D30">
            <w:pPr>
              <w:spacing w:after="0"/>
              <w:jc w:val="center"/>
              <w:rPr>
                <w:b/>
                <w:bCs/>
                <w:sz w:val="20"/>
                <w:szCs w:val="20"/>
                <w:lang w:val="pt-BR"/>
              </w:rPr>
            </w:pPr>
            <w:r w:rsidRPr="00311CDE">
              <w:rPr>
                <w:b/>
                <w:bCs/>
                <w:sz w:val="20"/>
                <w:szCs w:val="20"/>
                <w:lang w:val="en-US"/>
              </w:rPr>
              <w:t>Solvent</w:t>
            </w:r>
            <w:r w:rsidRPr="00311CDE">
              <w:rPr>
                <w:b/>
                <w:bCs/>
                <w:sz w:val="20"/>
                <w:szCs w:val="20"/>
                <w:lang w:val="pt-BR"/>
              </w:rPr>
              <w:t>s</w:t>
            </w:r>
          </w:p>
        </w:tc>
        <w:tc>
          <w:tcPr>
            <w:tcW w:w="676"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0AC7612E" w14:textId="1E84208A" w:rsidR="00311CDE" w:rsidRPr="00311CDE" w:rsidRDefault="00311CDE" w:rsidP="00CA1D30">
            <w:pPr>
              <w:spacing w:after="0"/>
              <w:jc w:val="center"/>
              <w:rPr>
                <w:b/>
                <w:bCs/>
                <w:sz w:val="20"/>
                <w:szCs w:val="20"/>
                <w:lang w:val="en-US"/>
              </w:rPr>
            </w:pPr>
            <w:r w:rsidRPr="00311CDE">
              <w:rPr>
                <w:b/>
                <w:bCs/>
                <w:sz w:val="20"/>
                <w:szCs w:val="20"/>
                <w:lang w:val="en-US"/>
              </w:rPr>
              <w:t>Servicing</w:t>
            </w:r>
          </w:p>
        </w:tc>
        <w:tc>
          <w:tcPr>
            <w:tcW w:w="588" w:type="pct"/>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D9E2F3" w:themeFill="accent1" w:themeFillTint="33"/>
            <w:tcMar>
              <w:left w:w="108" w:type="dxa"/>
              <w:right w:w="108" w:type="dxa"/>
            </w:tcMar>
            <w:vAlign w:val="center"/>
          </w:tcPr>
          <w:p w14:paraId="27A8A0B5" w14:textId="3BE21027" w:rsidR="00311CDE" w:rsidRPr="00311CDE" w:rsidRDefault="274D2446" w:rsidP="72358026">
            <w:pPr>
              <w:spacing w:after="0"/>
              <w:jc w:val="center"/>
              <w:rPr>
                <w:b/>
                <w:bCs/>
                <w:sz w:val="20"/>
                <w:szCs w:val="20"/>
                <w:lang w:val="en-US"/>
              </w:rPr>
            </w:pPr>
            <w:r w:rsidRPr="274D2446">
              <w:rPr>
                <w:b/>
                <w:bCs/>
                <w:sz w:val="20"/>
                <w:szCs w:val="20"/>
                <w:lang w:val="en-US"/>
              </w:rPr>
              <w:t xml:space="preserve">Total (with 9.6% support costs) </w:t>
            </w:r>
          </w:p>
        </w:tc>
      </w:tr>
      <w:tr w:rsidR="00311CDE" w:rsidRPr="00311CDE" w14:paraId="7DCF270C" w14:textId="77777777" w:rsidTr="002135B0">
        <w:trPr>
          <w:trHeight w:val="274"/>
        </w:trPr>
        <w:tc>
          <w:tcPr>
            <w:tcW w:w="795" w:type="pct"/>
            <w:tcBorders>
              <w:top w:val="single" w:sz="8" w:space="0" w:color="auto"/>
              <w:left w:val="single" w:sz="12" w:space="0" w:color="000000" w:themeColor="text1"/>
              <w:bottom w:val="single" w:sz="8" w:space="0" w:color="auto"/>
              <w:right w:val="single" w:sz="12" w:space="0" w:color="000000" w:themeColor="text1"/>
            </w:tcBorders>
            <w:tcMar>
              <w:left w:w="108" w:type="dxa"/>
              <w:right w:w="108" w:type="dxa"/>
            </w:tcMar>
          </w:tcPr>
          <w:p w14:paraId="56372F13" w14:textId="3B8F813F" w:rsidR="00311CDE" w:rsidRPr="00CF5E17" w:rsidRDefault="274D2446" w:rsidP="72358026">
            <w:pPr>
              <w:spacing w:after="0"/>
              <w:rPr>
                <w:b/>
                <w:bCs/>
                <w:sz w:val="20"/>
                <w:szCs w:val="20"/>
                <w:lang w:val="en-US"/>
              </w:rPr>
            </w:pPr>
            <w:r w:rsidRPr="274D2446">
              <w:rPr>
                <w:b/>
                <w:bCs/>
                <w:sz w:val="20"/>
                <w:szCs w:val="20"/>
                <w:lang w:val="en-US"/>
              </w:rPr>
              <w:t>One party (China)</w:t>
            </w:r>
          </w:p>
        </w:tc>
        <w:tc>
          <w:tcPr>
            <w:tcW w:w="469" w:type="pct"/>
            <w:tcBorders>
              <w:top w:val="single" w:sz="8" w:space="0" w:color="auto"/>
              <w:left w:val="single" w:sz="12" w:space="0" w:color="000000" w:themeColor="text1"/>
              <w:bottom w:val="single" w:sz="8" w:space="0" w:color="auto"/>
              <w:right w:val="single" w:sz="8" w:space="0" w:color="auto"/>
            </w:tcBorders>
            <w:tcMar>
              <w:left w:w="108" w:type="dxa"/>
              <w:right w:w="108" w:type="dxa"/>
            </w:tcMar>
            <w:vAlign w:val="center"/>
          </w:tcPr>
          <w:p w14:paraId="25DF609A" w14:textId="718364E6" w:rsidR="00311CDE" w:rsidRPr="00311CDE" w:rsidRDefault="00311CDE" w:rsidP="002135B0">
            <w:pPr>
              <w:spacing w:after="0"/>
              <w:jc w:val="center"/>
              <w:rPr>
                <w:sz w:val="20"/>
                <w:szCs w:val="20"/>
                <w:lang w:val="en-US"/>
              </w:rPr>
            </w:pPr>
            <w:r w:rsidRPr="00311CDE">
              <w:rPr>
                <w:sz w:val="20"/>
                <w:szCs w:val="20"/>
                <w:lang w:val="en-US"/>
              </w:rPr>
              <w:t>-</w:t>
            </w:r>
          </w:p>
        </w:tc>
        <w:tc>
          <w:tcPr>
            <w:tcW w:w="46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A831B4" w14:textId="4241994A" w:rsidR="00311CDE" w:rsidRPr="00311CDE" w:rsidRDefault="00311CDE" w:rsidP="002135B0">
            <w:pPr>
              <w:spacing w:after="0"/>
              <w:jc w:val="center"/>
              <w:rPr>
                <w:sz w:val="20"/>
                <w:szCs w:val="20"/>
                <w:lang w:val="en-US"/>
              </w:rPr>
            </w:pPr>
            <w:r w:rsidRPr="00311CDE">
              <w:rPr>
                <w:sz w:val="20"/>
                <w:szCs w:val="20"/>
                <w:lang w:val="en-US"/>
              </w:rPr>
              <w:t>-</w:t>
            </w:r>
          </w:p>
        </w:tc>
        <w:tc>
          <w:tcPr>
            <w:tcW w:w="4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81281E" w14:textId="0B257D0D" w:rsidR="00311CDE" w:rsidRPr="00311CDE" w:rsidRDefault="00311CDE" w:rsidP="002135B0">
            <w:pPr>
              <w:spacing w:after="0"/>
              <w:jc w:val="center"/>
              <w:rPr>
                <w:sz w:val="20"/>
                <w:szCs w:val="20"/>
                <w:lang w:val="en-US"/>
              </w:rPr>
            </w:pPr>
            <w:r w:rsidRPr="00311CDE">
              <w:rPr>
                <w:sz w:val="20"/>
                <w:szCs w:val="20"/>
                <w:lang w:val="en-US"/>
              </w:rPr>
              <w:t>-</w:t>
            </w:r>
          </w:p>
        </w:tc>
        <w:tc>
          <w:tcPr>
            <w:tcW w:w="51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B9855" w14:textId="0EA06660" w:rsidR="00311CDE" w:rsidRPr="00311CDE" w:rsidRDefault="00311CDE" w:rsidP="002135B0">
            <w:pPr>
              <w:spacing w:after="0"/>
              <w:jc w:val="center"/>
              <w:rPr>
                <w:sz w:val="20"/>
                <w:szCs w:val="20"/>
                <w:lang w:val="en-US"/>
              </w:rPr>
            </w:pPr>
            <w:r w:rsidRPr="00311CDE">
              <w:rPr>
                <w:sz w:val="20"/>
                <w:szCs w:val="20"/>
                <w:lang w:val="en-US"/>
              </w:rPr>
              <w:t>94</w:t>
            </w:r>
            <w:r w:rsidRPr="00311CDE">
              <w:rPr>
                <w:sz w:val="20"/>
                <w:szCs w:val="20"/>
                <w:lang w:val="pt-BR"/>
              </w:rPr>
              <w:t>.</w:t>
            </w:r>
            <w:r w:rsidRPr="00311CDE">
              <w:rPr>
                <w:sz w:val="20"/>
                <w:szCs w:val="20"/>
                <w:lang w:val="en-US"/>
              </w:rPr>
              <w:t>31</w:t>
            </w:r>
          </w:p>
        </w:tc>
        <w:tc>
          <w:tcPr>
            <w:tcW w:w="4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BFB17C" w14:textId="50502389" w:rsidR="00311CDE" w:rsidRPr="00311CDE" w:rsidRDefault="00311CDE" w:rsidP="002135B0">
            <w:pPr>
              <w:spacing w:after="0"/>
              <w:jc w:val="center"/>
              <w:rPr>
                <w:sz w:val="20"/>
                <w:szCs w:val="20"/>
                <w:lang w:val="en-US"/>
              </w:rPr>
            </w:pPr>
            <w:r w:rsidRPr="00311CDE">
              <w:rPr>
                <w:sz w:val="20"/>
                <w:szCs w:val="20"/>
                <w:lang w:val="en-US"/>
              </w:rPr>
              <w:t>66.10</w:t>
            </w:r>
          </w:p>
        </w:tc>
        <w:tc>
          <w:tcPr>
            <w:tcW w:w="6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C68E7B" w14:textId="6822AF68" w:rsidR="00311CDE" w:rsidRPr="00311CDE" w:rsidRDefault="00311CDE" w:rsidP="002135B0">
            <w:pPr>
              <w:spacing w:after="0"/>
              <w:jc w:val="center"/>
              <w:rPr>
                <w:sz w:val="20"/>
                <w:szCs w:val="20"/>
                <w:lang w:val="en-US"/>
              </w:rPr>
            </w:pPr>
            <w:r w:rsidRPr="00311CDE">
              <w:rPr>
                <w:sz w:val="20"/>
                <w:szCs w:val="20"/>
                <w:lang w:val="en-US"/>
              </w:rPr>
              <w:t>-</w:t>
            </w:r>
          </w:p>
        </w:tc>
        <w:tc>
          <w:tcPr>
            <w:tcW w:w="6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5973D" w14:textId="36B3075B" w:rsidR="00311CDE" w:rsidRPr="00311CDE" w:rsidRDefault="00311CDE" w:rsidP="002135B0">
            <w:pPr>
              <w:spacing w:after="0"/>
              <w:jc w:val="center"/>
              <w:rPr>
                <w:sz w:val="20"/>
                <w:szCs w:val="20"/>
                <w:lang w:val="en-US"/>
              </w:rPr>
            </w:pPr>
            <w:r w:rsidRPr="00311CDE">
              <w:rPr>
                <w:sz w:val="20"/>
                <w:szCs w:val="20"/>
                <w:lang w:val="en-US"/>
              </w:rPr>
              <w:t>144</w:t>
            </w:r>
            <w:r w:rsidRPr="00311CDE">
              <w:rPr>
                <w:sz w:val="20"/>
                <w:szCs w:val="20"/>
                <w:lang w:val="pt-BR"/>
              </w:rPr>
              <w:t>.</w:t>
            </w:r>
            <w:r w:rsidRPr="00311CDE">
              <w:rPr>
                <w:sz w:val="20"/>
                <w:szCs w:val="20"/>
                <w:lang w:val="en-US"/>
              </w:rPr>
              <w:t>37</w:t>
            </w:r>
          </w:p>
        </w:tc>
        <w:tc>
          <w:tcPr>
            <w:tcW w:w="588" w:type="pct"/>
            <w:tcBorders>
              <w:top w:val="single" w:sz="8" w:space="0" w:color="auto"/>
              <w:left w:val="single" w:sz="12" w:space="0" w:color="000000" w:themeColor="text1"/>
              <w:bottom w:val="single" w:sz="8" w:space="0" w:color="auto"/>
              <w:right w:val="single" w:sz="12" w:space="0" w:color="000000" w:themeColor="text1"/>
            </w:tcBorders>
            <w:tcMar>
              <w:left w:w="108" w:type="dxa"/>
              <w:right w:w="108" w:type="dxa"/>
            </w:tcMar>
            <w:vAlign w:val="center"/>
          </w:tcPr>
          <w:p w14:paraId="7D78800E" w14:textId="5F1635AD" w:rsidR="00311CDE" w:rsidRPr="007F46F7" w:rsidRDefault="00311CDE" w:rsidP="002135B0">
            <w:pPr>
              <w:spacing w:after="0"/>
              <w:jc w:val="center"/>
              <w:rPr>
                <w:sz w:val="20"/>
                <w:szCs w:val="20"/>
                <w:lang w:val="en-US"/>
              </w:rPr>
            </w:pPr>
            <w:r w:rsidRPr="007F46F7">
              <w:rPr>
                <w:sz w:val="20"/>
                <w:szCs w:val="20"/>
                <w:lang w:val="en-US"/>
              </w:rPr>
              <w:t>334</w:t>
            </w:r>
            <w:r w:rsidRPr="007F46F7">
              <w:rPr>
                <w:sz w:val="20"/>
                <w:szCs w:val="20"/>
                <w:lang w:val="pt-BR"/>
              </w:rPr>
              <w:t>.</w:t>
            </w:r>
            <w:r w:rsidRPr="007F46F7">
              <w:rPr>
                <w:sz w:val="20"/>
                <w:szCs w:val="20"/>
                <w:lang w:val="en-US"/>
              </w:rPr>
              <w:t>05</w:t>
            </w:r>
          </w:p>
        </w:tc>
      </w:tr>
      <w:tr w:rsidR="00311CDE" w:rsidRPr="00311CDE" w14:paraId="5D340888" w14:textId="77777777" w:rsidTr="002135B0">
        <w:trPr>
          <w:trHeight w:val="350"/>
        </w:trPr>
        <w:tc>
          <w:tcPr>
            <w:tcW w:w="795" w:type="pct"/>
            <w:tcBorders>
              <w:top w:val="single" w:sz="8" w:space="0" w:color="auto"/>
              <w:left w:val="single" w:sz="12" w:space="0" w:color="000000" w:themeColor="text1"/>
              <w:bottom w:val="single" w:sz="8" w:space="0" w:color="auto"/>
              <w:right w:val="single" w:sz="12" w:space="0" w:color="000000" w:themeColor="text1"/>
            </w:tcBorders>
            <w:tcMar>
              <w:left w:w="108" w:type="dxa"/>
              <w:right w:w="108" w:type="dxa"/>
            </w:tcMar>
          </w:tcPr>
          <w:p w14:paraId="589D8C97" w14:textId="386F46F2" w:rsidR="00311CDE" w:rsidRPr="00CF5E17" w:rsidRDefault="274D2446" w:rsidP="72358026">
            <w:pPr>
              <w:spacing w:after="0"/>
              <w:rPr>
                <w:b/>
                <w:bCs/>
                <w:sz w:val="20"/>
                <w:szCs w:val="20"/>
                <w:lang w:val="pt-BR"/>
              </w:rPr>
            </w:pPr>
            <w:r w:rsidRPr="274D2446">
              <w:rPr>
                <w:b/>
                <w:bCs/>
                <w:sz w:val="20"/>
                <w:szCs w:val="20"/>
                <w:lang w:val="pt-BR"/>
              </w:rPr>
              <w:t>14 parties</w:t>
            </w:r>
          </w:p>
        </w:tc>
        <w:tc>
          <w:tcPr>
            <w:tcW w:w="469" w:type="pct"/>
            <w:tcBorders>
              <w:top w:val="single" w:sz="8" w:space="0" w:color="auto"/>
              <w:left w:val="single" w:sz="12" w:space="0" w:color="000000" w:themeColor="text1"/>
              <w:bottom w:val="single" w:sz="8" w:space="0" w:color="auto"/>
              <w:right w:val="single" w:sz="8" w:space="0" w:color="auto"/>
            </w:tcBorders>
            <w:tcMar>
              <w:left w:w="108" w:type="dxa"/>
              <w:right w:w="108" w:type="dxa"/>
            </w:tcMar>
            <w:vAlign w:val="center"/>
          </w:tcPr>
          <w:p w14:paraId="2FD6D795" w14:textId="237C018F" w:rsidR="00311CDE" w:rsidRPr="00311CDE" w:rsidRDefault="00311CDE" w:rsidP="002135B0">
            <w:pPr>
              <w:spacing w:after="0"/>
              <w:jc w:val="center"/>
              <w:rPr>
                <w:sz w:val="20"/>
                <w:szCs w:val="20"/>
                <w:lang w:val="en-US"/>
              </w:rPr>
            </w:pPr>
            <w:r w:rsidRPr="00311CDE">
              <w:rPr>
                <w:sz w:val="20"/>
                <w:szCs w:val="20"/>
                <w:lang w:val="en-US"/>
              </w:rPr>
              <w:t>0.10</w:t>
            </w:r>
          </w:p>
        </w:tc>
        <w:tc>
          <w:tcPr>
            <w:tcW w:w="46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D8321" w14:textId="76B813DC" w:rsidR="00311CDE" w:rsidRPr="00311CDE" w:rsidRDefault="00311CDE" w:rsidP="002135B0">
            <w:pPr>
              <w:spacing w:after="0"/>
              <w:jc w:val="center"/>
              <w:rPr>
                <w:sz w:val="20"/>
                <w:szCs w:val="20"/>
                <w:lang w:val="en-US"/>
              </w:rPr>
            </w:pPr>
            <w:r w:rsidRPr="00311CDE">
              <w:rPr>
                <w:sz w:val="20"/>
                <w:szCs w:val="20"/>
                <w:lang w:val="en-US"/>
              </w:rPr>
              <w:t>0.36</w:t>
            </w:r>
          </w:p>
        </w:tc>
        <w:tc>
          <w:tcPr>
            <w:tcW w:w="4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6F6332" w14:textId="157FE898" w:rsidR="00311CDE" w:rsidRPr="00311CDE" w:rsidRDefault="00311CDE" w:rsidP="002135B0">
            <w:pPr>
              <w:spacing w:after="0"/>
              <w:jc w:val="center"/>
              <w:rPr>
                <w:sz w:val="20"/>
                <w:szCs w:val="20"/>
                <w:lang w:val="en-US"/>
              </w:rPr>
            </w:pPr>
            <w:r w:rsidRPr="00311CDE">
              <w:rPr>
                <w:sz w:val="20"/>
                <w:szCs w:val="20"/>
                <w:lang w:val="en-US"/>
              </w:rPr>
              <w:t>0.06</w:t>
            </w:r>
          </w:p>
        </w:tc>
        <w:tc>
          <w:tcPr>
            <w:tcW w:w="51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71DCD5" w14:textId="57CD46CD" w:rsidR="00311CDE" w:rsidRPr="00311CDE" w:rsidRDefault="00311CDE" w:rsidP="002135B0">
            <w:pPr>
              <w:spacing w:after="0"/>
              <w:jc w:val="center"/>
              <w:rPr>
                <w:sz w:val="20"/>
                <w:szCs w:val="20"/>
                <w:lang w:val="en-US"/>
              </w:rPr>
            </w:pPr>
            <w:r w:rsidRPr="00311CDE">
              <w:rPr>
                <w:sz w:val="20"/>
                <w:szCs w:val="20"/>
                <w:lang w:val="en-US"/>
              </w:rPr>
              <w:t>6.11</w:t>
            </w:r>
          </w:p>
        </w:tc>
        <w:tc>
          <w:tcPr>
            <w:tcW w:w="4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445712" w14:textId="48066649" w:rsidR="00311CDE" w:rsidRPr="00311CDE" w:rsidRDefault="00311CDE" w:rsidP="002135B0">
            <w:pPr>
              <w:spacing w:after="0"/>
              <w:jc w:val="center"/>
              <w:rPr>
                <w:sz w:val="20"/>
                <w:szCs w:val="20"/>
                <w:lang w:val="en-US"/>
              </w:rPr>
            </w:pPr>
            <w:r w:rsidRPr="00311CDE">
              <w:rPr>
                <w:sz w:val="20"/>
                <w:szCs w:val="20"/>
                <w:lang w:val="en-US"/>
              </w:rPr>
              <w:t>0.00</w:t>
            </w:r>
          </w:p>
        </w:tc>
        <w:tc>
          <w:tcPr>
            <w:tcW w:w="6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C336CC" w14:textId="51008E21" w:rsidR="00311CDE" w:rsidRPr="00311CDE" w:rsidRDefault="00311CDE" w:rsidP="002135B0">
            <w:pPr>
              <w:spacing w:after="0"/>
              <w:jc w:val="center"/>
              <w:rPr>
                <w:sz w:val="20"/>
                <w:szCs w:val="20"/>
                <w:lang w:val="en-US"/>
              </w:rPr>
            </w:pPr>
            <w:r w:rsidRPr="00311CDE">
              <w:rPr>
                <w:sz w:val="20"/>
                <w:szCs w:val="20"/>
                <w:lang w:val="en-US"/>
              </w:rPr>
              <w:t>2.11</w:t>
            </w:r>
          </w:p>
        </w:tc>
        <w:tc>
          <w:tcPr>
            <w:tcW w:w="6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E74BA0" w14:textId="59CFD025" w:rsidR="00311CDE" w:rsidRPr="00311CDE" w:rsidRDefault="00311CDE" w:rsidP="002135B0">
            <w:pPr>
              <w:spacing w:after="0"/>
              <w:jc w:val="center"/>
              <w:rPr>
                <w:sz w:val="20"/>
                <w:szCs w:val="20"/>
                <w:lang w:val="en-US"/>
              </w:rPr>
            </w:pPr>
            <w:r w:rsidRPr="00311CDE">
              <w:rPr>
                <w:sz w:val="20"/>
                <w:szCs w:val="20"/>
                <w:lang w:val="en-US"/>
              </w:rPr>
              <w:t>49.75</w:t>
            </w:r>
          </w:p>
        </w:tc>
        <w:tc>
          <w:tcPr>
            <w:tcW w:w="588" w:type="pct"/>
            <w:tcBorders>
              <w:top w:val="single" w:sz="8" w:space="0" w:color="auto"/>
              <w:left w:val="single" w:sz="12" w:space="0" w:color="000000" w:themeColor="text1"/>
              <w:bottom w:val="single" w:sz="8" w:space="0" w:color="auto"/>
              <w:right w:val="single" w:sz="12" w:space="0" w:color="000000" w:themeColor="text1"/>
            </w:tcBorders>
            <w:tcMar>
              <w:left w:w="108" w:type="dxa"/>
              <w:right w:w="108" w:type="dxa"/>
            </w:tcMar>
            <w:vAlign w:val="center"/>
          </w:tcPr>
          <w:p w14:paraId="77516653" w14:textId="568240C6" w:rsidR="00311CDE" w:rsidRPr="007F46F7" w:rsidRDefault="00311CDE" w:rsidP="002135B0">
            <w:pPr>
              <w:spacing w:after="0"/>
              <w:jc w:val="center"/>
              <w:rPr>
                <w:sz w:val="20"/>
                <w:szCs w:val="20"/>
                <w:lang w:val="en-US"/>
              </w:rPr>
            </w:pPr>
            <w:r w:rsidRPr="007F46F7">
              <w:rPr>
                <w:sz w:val="20"/>
                <w:szCs w:val="20"/>
                <w:lang w:val="en-US"/>
              </w:rPr>
              <w:t>64.11</w:t>
            </w:r>
          </w:p>
        </w:tc>
      </w:tr>
      <w:tr w:rsidR="00311CDE" w:rsidRPr="00311CDE" w14:paraId="52B461A6" w14:textId="77777777" w:rsidTr="002135B0">
        <w:trPr>
          <w:trHeight w:val="350"/>
        </w:trPr>
        <w:tc>
          <w:tcPr>
            <w:tcW w:w="795" w:type="pct"/>
            <w:tcBorders>
              <w:top w:val="single" w:sz="8" w:space="0" w:color="auto"/>
              <w:left w:val="single" w:sz="12" w:space="0" w:color="000000" w:themeColor="text1"/>
              <w:bottom w:val="single" w:sz="8" w:space="0" w:color="auto"/>
              <w:right w:val="single" w:sz="12" w:space="0" w:color="000000" w:themeColor="text1"/>
            </w:tcBorders>
            <w:tcMar>
              <w:left w:w="108" w:type="dxa"/>
              <w:right w:w="108" w:type="dxa"/>
            </w:tcMar>
          </w:tcPr>
          <w:p w14:paraId="245A2A1C" w14:textId="744009E3" w:rsidR="00311CDE" w:rsidRPr="00CF5E17" w:rsidRDefault="00311CDE" w:rsidP="72358026">
            <w:pPr>
              <w:spacing w:after="0"/>
              <w:rPr>
                <w:b/>
                <w:bCs/>
                <w:sz w:val="20"/>
                <w:szCs w:val="20"/>
                <w:lang w:val="en-US"/>
              </w:rPr>
            </w:pPr>
            <w:r w:rsidRPr="00CF5E17">
              <w:rPr>
                <w:b/>
                <w:bCs/>
                <w:sz w:val="20"/>
                <w:szCs w:val="20"/>
                <w:lang w:val="en-US"/>
              </w:rPr>
              <w:t>Total for 15 parties</w:t>
            </w:r>
          </w:p>
        </w:tc>
        <w:tc>
          <w:tcPr>
            <w:tcW w:w="469" w:type="pct"/>
            <w:tcBorders>
              <w:top w:val="single" w:sz="8" w:space="0" w:color="auto"/>
              <w:left w:val="single" w:sz="12" w:space="0" w:color="000000" w:themeColor="text1"/>
              <w:bottom w:val="single" w:sz="8" w:space="0" w:color="auto"/>
              <w:right w:val="single" w:sz="8" w:space="0" w:color="auto"/>
            </w:tcBorders>
            <w:tcMar>
              <w:left w:w="108" w:type="dxa"/>
              <w:right w:w="108" w:type="dxa"/>
            </w:tcMar>
            <w:vAlign w:val="center"/>
          </w:tcPr>
          <w:p w14:paraId="4A1BD91C" w14:textId="652B48DD" w:rsidR="00311CDE" w:rsidRPr="00311CDE" w:rsidRDefault="00311CDE" w:rsidP="002135B0">
            <w:pPr>
              <w:spacing w:after="0"/>
              <w:jc w:val="center"/>
              <w:rPr>
                <w:sz w:val="20"/>
                <w:szCs w:val="20"/>
                <w:lang w:val="en-US"/>
              </w:rPr>
            </w:pPr>
            <w:r w:rsidRPr="00311CDE">
              <w:rPr>
                <w:sz w:val="20"/>
                <w:szCs w:val="20"/>
                <w:lang w:val="en-US"/>
              </w:rPr>
              <w:t>0.10</w:t>
            </w:r>
          </w:p>
        </w:tc>
        <w:tc>
          <w:tcPr>
            <w:tcW w:w="46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BE2952" w14:textId="77786B9F" w:rsidR="00311CDE" w:rsidRPr="00311CDE" w:rsidRDefault="00311CDE" w:rsidP="002135B0">
            <w:pPr>
              <w:spacing w:after="0"/>
              <w:jc w:val="center"/>
              <w:rPr>
                <w:sz w:val="20"/>
                <w:szCs w:val="20"/>
                <w:lang w:val="en-US"/>
              </w:rPr>
            </w:pPr>
            <w:r w:rsidRPr="00311CDE">
              <w:rPr>
                <w:sz w:val="20"/>
                <w:szCs w:val="20"/>
                <w:lang w:val="en-US"/>
              </w:rPr>
              <w:t>0.36</w:t>
            </w:r>
          </w:p>
        </w:tc>
        <w:tc>
          <w:tcPr>
            <w:tcW w:w="4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37431E" w14:textId="0710906A" w:rsidR="00311CDE" w:rsidRPr="00311CDE" w:rsidRDefault="00311CDE" w:rsidP="002135B0">
            <w:pPr>
              <w:spacing w:after="0"/>
              <w:jc w:val="center"/>
              <w:rPr>
                <w:sz w:val="20"/>
                <w:szCs w:val="20"/>
                <w:lang w:val="en-US"/>
              </w:rPr>
            </w:pPr>
            <w:r w:rsidRPr="00311CDE">
              <w:rPr>
                <w:sz w:val="20"/>
                <w:szCs w:val="20"/>
                <w:lang w:val="en-US"/>
              </w:rPr>
              <w:t>0.06</w:t>
            </w:r>
          </w:p>
        </w:tc>
        <w:tc>
          <w:tcPr>
            <w:tcW w:w="51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C0B97E" w14:textId="34AD8CE8" w:rsidR="00311CDE" w:rsidRPr="00311CDE" w:rsidRDefault="00311CDE" w:rsidP="002135B0">
            <w:pPr>
              <w:spacing w:after="0"/>
              <w:jc w:val="center"/>
              <w:rPr>
                <w:sz w:val="20"/>
                <w:szCs w:val="20"/>
                <w:lang w:val="en-US"/>
              </w:rPr>
            </w:pPr>
            <w:r w:rsidRPr="00311CDE">
              <w:rPr>
                <w:sz w:val="20"/>
                <w:szCs w:val="20"/>
                <w:lang w:val="en-US"/>
              </w:rPr>
              <w:t>100.43</w:t>
            </w:r>
          </w:p>
        </w:tc>
        <w:tc>
          <w:tcPr>
            <w:tcW w:w="4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F6D8F" w14:textId="4510B2C5" w:rsidR="00311CDE" w:rsidRPr="00311CDE" w:rsidRDefault="00311CDE" w:rsidP="002135B0">
            <w:pPr>
              <w:spacing w:after="0"/>
              <w:jc w:val="center"/>
              <w:rPr>
                <w:sz w:val="20"/>
                <w:szCs w:val="20"/>
                <w:lang w:val="en-US"/>
              </w:rPr>
            </w:pPr>
            <w:r w:rsidRPr="00311CDE">
              <w:rPr>
                <w:sz w:val="20"/>
                <w:szCs w:val="20"/>
                <w:lang w:val="en-US"/>
              </w:rPr>
              <w:t>66.10</w:t>
            </w:r>
          </w:p>
        </w:tc>
        <w:tc>
          <w:tcPr>
            <w:tcW w:w="6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4D1FB" w14:textId="4DE72202" w:rsidR="00311CDE" w:rsidRPr="00311CDE" w:rsidRDefault="00311CDE" w:rsidP="002135B0">
            <w:pPr>
              <w:spacing w:after="0"/>
              <w:jc w:val="center"/>
              <w:rPr>
                <w:sz w:val="20"/>
                <w:szCs w:val="20"/>
                <w:lang w:val="en-US"/>
              </w:rPr>
            </w:pPr>
            <w:r w:rsidRPr="00311CDE">
              <w:rPr>
                <w:sz w:val="20"/>
                <w:szCs w:val="20"/>
                <w:lang w:val="en-US"/>
              </w:rPr>
              <w:t>2.11</w:t>
            </w:r>
          </w:p>
        </w:tc>
        <w:tc>
          <w:tcPr>
            <w:tcW w:w="6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C8DE0C" w14:textId="63185AD7" w:rsidR="00311CDE" w:rsidRPr="00311CDE" w:rsidRDefault="00311CDE" w:rsidP="002135B0">
            <w:pPr>
              <w:spacing w:after="0"/>
              <w:jc w:val="center"/>
              <w:rPr>
                <w:sz w:val="20"/>
                <w:szCs w:val="20"/>
                <w:lang w:val="en-US"/>
              </w:rPr>
            </w:pPr>
            <w:r w:rsidRPr="00311CDE">
              <w:rPr>
                <w:sz w:val="20"/>
                <w:szCs w:val="20"/>
                <w:lang w:val="en-US"/>
              </w:rPr>
              <w:t>194.12</w:t>
            </w:r>
          </w:p>
        </w:tc>
        <w:tc>
          <w:tcPr>
            <w:tcW w:w="588" w:type="pct"/>
            <w:tcBorders>
              <w:top w:val="single" w:sz="8" w:space="0" w:color="auto"/>
              <w:left w:val="single" w:sz="12" w:space="0" w:color="000000" w:themeColor="text1"/>
              <w:bottom w:val="single" w:sz="8" w:space="0" w:color="auto"/>
              <w:right w:val="single" w:sz="12" w:space="0" w:color="000000" w:themeColor="text1"/>
            </w:tcBorders>
            <w:tcMar>
              <w:left w:w="108" w:type="dxa"/>
              <w:right w:w="108" w:type="dxa"/>
            </w:tcMar>
            <w:vAlign w:val="center"/>
          </w:tcPr>
          <w:p w14:paraId="5B692E92" w14:textId="7288B11C" w:rsidR="00311CDE" w:rsidRPr="007F46F7" w:rsidRDefault="00311CDE" w:rsidP="002135B0">
            <w:pPr>
              <w:spacing w:after="0"/>
              <w:jc w:val="center"/>
              <w:rPr>
                <w:sz w:val="20"/>
                <w:szCs w:val="20"/>
                <w:lang w:val="en-US"/>
              </w:rPr>
            </w:pPr>
            <w:r w:rsidRPr="007F46F7">
              <w:rPr>
                <w:sz w:val="20"/>
                <w:szCs w:val="20"/>
                <w:lang w:val="en-US"/>
              </w:rPr>
              <w:t>398.15</w:t>
            </w:r>
          </w:p>
        </w:tc>
      </w:tr>
      <w:tr w:rsidR="00311CDE" w:rsidRPr="00205A46" w14:paraId="6B79B1E3" w14:textId="77777777" w:rsidTr="002135B0">
        <w:trPr>
          <w:trHeight w:val="381"/>
        </w:trPr>
        <w:tc>
          <w:tcPr>
            <w:tcW w:w="795" w:type="pct"/>
            <w:tcBorders>
              <w:top w:val="single" w:sz="8" w:space="0" w:color="auto"/>
              <w:left w:val="single" w:sz="12" w:space="0" w:color="000000" w:themeColor="text1"/>
              <w:bottom w:val="single" w:sz="12" w:space="0" w:color="000000" w:themeColor="text1"/>
              <w:right w:val="single" w:sz="12" w:space="0" w:color="000000" w:themeColor="text1"/>
            </w:tcBorders>
            <w:shd w:val="clear" w:color="auto" w:fill="B4C6E7" w:themeFill="accent1" w:themeFillTint="66"/>
            <w:tcMar>
              <w:left w:w="108" w:type="dxa"/>
              <w:right w:w="108" w:type="dxa"/>
            </w:tcMar>
          </w:tcPr>
          <w:p w14:paraId="1D88184D" w14:textId="719AA37E" w:rsidR="00311CDE" w:rsidRPr="00CF5E17" w:rsidRDefault="00311CDE" w:rsidP="72358026">
            <w:pPr>
              <w:spacing w:after="0"/>
              <w:rPr>
                <w:b/>
                <w:bCs/>
                <w:sz w:val="20"/>
                <w:szCs w:val="20"/>
                <w:lang w:val="pt-BR"/>
              </w:rPr>
            </w:pPr>
            <w:r w:rsidRPr="00CF5E17">
              <w:rPr>
                <w:b/>
                <w:bCs/>
                <w:sz w:val="20"/>
                <w:szCs w:val="20"/>
                <w:lang w:val="en-US"/>
              </w:rPr>
              <w:t>Total with 15% deduction</w:t>
            </w:r>
            <w:r w:rsidRPr="00CF5E17">
              <w:rPr>
                <w:b/>
                <w:bCs/>
                <w:sz w:val="20"/>
                <w:szCs w:val="20"/>
                <w:lang w:val="pt-BR"/>
              </w:rPr>
              <w:t>*</w:t>
            </w:r>
          </w:p>
        </w:tc>
        <w:tc>
          <w:tcPr>
            <w:tcW w:w="469" w:type="pct"/>
            <w:tcBorders>
              <w:top w:val="single" w:sz="8" w:space="0" w:color="auto"/>
              <w:left w:val="single" w:sz="12" w:space="0" w:color="000000" w:themeColor="text1"/>
              <w:bottom w:val="single" w:sz="8" w:space="0" w:color="auto"/>
              <w:right w:val="single" w:sz="8" w:space="0" w:color="auto"/>
            </w:tcBorders>
            <w:shd w:val="clear" w:color="auto" w:fill="B4C6E7" w:themeFill="accent1" w:themeFillTint="66"/>
            <w:tcMar>
              <w:left w:w="108" w:type="dxa"/>
              <w:right w:w="108" w:type="dxa"/>
            </w:tcMar>
            <w:vAlign w:val="center"/>
          </w:tcPr>
          <w:p w14:paraId="3B495CA2" w14:textId="64A2FFD7" w:rsidR="00311CDE" w:rsidRPr="00E445E4" w:rsidRDefault="00311CDE" w:rsidP="002135B0">
            <w:pPr>
              <w:spacing w:after="0"/>
              <w:jc w:val="center"/>
              <w:rPr>
                <w:b/>
                <w:bCs/>
                <w:sz w:val="20"/>
                <w:szCs w:val="20"/>
                <w:lang w:val="en-US"/>
              </w:rPr>
            </w:pPr>
            <w:r w:rsidRPr="00E445E4">
              <w:rPr>
                <w:b/>
                <w:bCs/>
                <w:sz w:val="20"/>
                <w:szCs w:val="20"/>
                <w:lang w:val="en-US"/>
              </w:rPr>
              <w:t>0.08</w:t>
            </w:r>
          </w:p>
        </w:tc>
        <w:tc>
          <w:tcPr>
            <w:tcW w:w="469"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1E575F3F" w14:textId="6379A325" w:rsidR="00311CDE" w:rsidRPr="00E445E4" w:rsidRDefault="00311CDE" w:rsidP="002135B0">
            <w:pPr>
              <w:spacing w:after="0"/>
              <w:jc w:val="center"/>
              <w:rPr>
                <w:b/>
                <w:bCs/>
                <w:sz w:val="20"/>
                <w:szCs w:val="20"/>
                <w:lang w:val="en-US"/>
              </w:rPr>
            </w:pPr>
            <w:r w:rsidRPr="00E445E4">
              <w:rPr>
                <w:b/>
                <w:bCs/>
                <w:sz w:val="20"/>
                <w:szCs w:val="20"/>
                <w:lang w:val="en-US"/>
              </w:rPr>
              <w:t>0.31</w:t>
            </w:r>
          </w:p>
        </w:tc>
        <w:tc>
          <w:tcPr>
            <w:tcW w:w="400"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607A3BE6" w14:textId="0A49AEF0" w:rsidR="00311CDE" w:rsidRPr="00E445E4" w:rsidRDefault="00311CDE" w:rsidP="002135B0">
            <w:pPr>
              <w:spacing w:after="0"/>
              <w:jc w:val="center"/>
              <w:rPr>
                <w:b/>
                <w:bCs/>
                <w:sz w:val="20"/>
                <w:szCs w:val="20"/>
                <w:lang w:val="en-US"/>
              </w:rPr>
            </w:pPr>
            <w:r w:rsidRPr="00E445E4">
              <w:rPr>
                <w:b/>
                <w:bCs/>
                <w:sz w:val="20"/>
                <w:szCs w:val="20"/>
                <w:lang w:val="en-US"/>
              </w:rPr>
              <w:t>0.05</w:t>
            </w:r>
          </w:p>
        </w:tc>
        <w:tc>
          <w:tcPr>
            <w:tcW w:w="510"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0C6B50FD" w14:textId="493D04C4" w:rsidR="00311CDE" w:rsidRPr="00E445E4" w:rsidRDefault="00311CDE" w:rsidP="002135B0">
            <w:pPr>
              <w:spacing w:after="0"/>
              <w:jc w:val="center"/>
              <w:rPr>
                <w:b/>
                <w:bCs/>
                <w:sz w:val="20"/>
                <w:szCs w:val="20"/>
                <w:lang w:val="en-US"/>
              </w:rPr>
            </w:pPr>
            <w:r w:rsidRPr="00E445E4">
              <w:rPr>
                <w:b/>
                <w:bCs/>
                <w:sz w:val="20"/>
                <w:szCs w:val="20"/>
                <w:lang w:val="en-US"/>
              </w:rPr>
              <w:t>85.36</w:t>
            </w:r>
          </w:p>
        </w:tc>
        <w:tc>
          <w:tcPr>
            <w:tcW w:w="473"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17345590" w14:textId="39088038" w:rsidR="00311CDE" w:rsidRPr="00E445E4" w:rsidRDefault="00311CDE" w:rsidP="002135B0">
            <w:pPr>
              <w:spacing w:after="0"/>
              <w:jc w:val="center"/>
              <w:rPr>
                <w:b/>
                <w:bCs/>
                <w:sz w:val="20"/>
                <w:szCs w:val="20"/>
                <w:lang w:val="en-US"/>
              </w:rPr>
            </w:pPr>
            <w:r w:rsidRPr="00E445E4">
              <w:rPr>
                <w:b/>
                <w:bCs/>
                <w:sz w:val="20"/>
                <w:szCs w:val="20"/>
                <w:lang w:val="en-US"/>
              </w:rPr>
              <w:t>56.18</w:t>
            </w:r>
          </w:p>
        </w:tc>
        <w:tc>
          <w:tcPr>
            <w:tcW w:w="618"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29925899" w14:textId="4EE1F000" w:rsidR="00311CDE" w:rsidRPr="00E445E4" w:rsidRDefault="00311CDE" w:rsidP="002135B0">
            <w:pPr>
              <w:spacing w:after="0"/>
              <w:jc w:val="center"/>
              <w:rPr>
                <w:b/>
                <w:bCs/>
                <w:sz w:val="20"/>
                <w:szCs w:val="20"/>
                <w:lang w:val="en-US"/>
              </w:rPr>
            </w:pPr>
            <w:r w:rsidRPr="00E445E4">
              <w:rPr>
                <w:b/>
                <w:bCs/>
                <w:sz w:val="20"/>
                <w:szCs w:val="20"/>
                <w:lang w:val="en-US"/>
              </w:rPr>
              <w:t>1.79</w:t>
            </w:r>
          </w:p>
        </w:tc>
        <w:tc>
          <w:tcPr>
            <w:tcW w:w="676"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1EF9C2C8" w14:textId="7EF710E4" w:rsidR="00311CDE" w:rsidRPr="00E445E4" w:rsidRDefault="00311CDE" w:rsidP="002135B0">
            <w:pPr>
              <w:spacing w:after="0"/>
              <w:jc w:val="center"/>
              <w:rPr>
                <w:b/>
                <w:bCs/>
                <w:sz w:val="20"/>
                <w:szCs w:val="20"/>
                <w:lang w:val="en-US"/>
              </w:rPr>
            </w:pPr>
            <w:r w:rsidRPr="00E445E4">
              <w:rPr>
                <w:b/>
                <w:bCs/>
                <w:sz w:val="20"/>
                <w:szCs w:val="20"/>
                <w:lang w:val="en-US"/>
              </w:rPr>
              <w:t>194.12</w:t>
            </w:r>
          </w:p>
        </w:tc>
        <w:tc>
          <w:tcPr>
            <w:tcW w:w="588" w:type="pct"/>
            <w:tcBorders>
              <w:top w:val="single" w:sz="8" w:space="0" w:color="auto"/>
              <w:left w:val="single" w:sz="12" w:space="0" w:color="000000" w:themeColor="text1"/>
              <w:bottom w:val="single" w:sz="12" w:space="0" w:color="000000" w:themeColor="text1"/>
              <w:right w:val="single" w:sz="12" w:space="0" w:color="000000" w:themeColor="text1"/>
            </w:tcBorders>
            <w:shd w:val="clear" w:color="auto" w:fill="B4C6E7" w:themeFill="accent1" w:themeFillTint="66"/>
            <w:tcMar>
              <w:left w:w="108" w:type="dxa"/>
              <w:right w:w="108" w:type="dxa"/>
            </w:tcMar>
            <w:vAlign w:val="center"/>
          </w:tcPr>
          <w:p w14:paraId="16BEA939" w14:textId="7258AFF8" w:rsidR="00311CDE" w:rsidRPr="007F46F7" w:rsidRDefault="00311CDE" w:rsidP="002135B0">
            <w:pPr>
              <w:spacing w:after="0"/>
              <w:jc w:val="center"/>
              <w:rPr>
                <w:b/>
                <w:bCs/>
                <w:sz w:val="20"/>
                <w:szCs w:val="20"/>
                <w:lang w:val="en-US"/>
              </w:rPr>
            </w:pPr>
            <w:r w:rsidRPr="007F46F7">
              <w:rPr>
                <w:b/>
                <w:bCs/>
                <w:sz w:val="20"/>
                <w:szCs w:val="20"/>
                <w:lang w:val="en-US"/>
              </w:rPr>
              <w:t>370.34</w:t>
            </w:r>
          </w:p>
        </w:tc>
      </w:tr>
    </w:tbl>
    <w:p w14:paraId="2F51C66E" w14:textId="415F4696" w:rsidR="00CA1D30" w:rsidRDefault="274D2446" w:rsidP="00FA78CD">
      <w:pPr>
        <w:spacing w:after="160"/>
        <w:rPr>
          <w:sz w:val="18"/>
          <w:szCs w:val="18"/>
          <w:lang w:val="en-US"/>
        </w:rPr>
      </w:pPr>
      <w:r w:rsidRPr="274D2446">
        <w:rPr>
          <w:sz w:val="18"/>
          <w:szCs w:val="18"/>
          <w:lang w:val="en-US"/>
        </w:rPr>
        <w:t>* Includes 15% deduction for ineligible foreign ownership in the manufacturing sectors</w:t>
      </w:r>
    </w:p>
    <w:p w14:paraId="2F8D7A20" w14:textId="77777777" w:rsidR="00F5483A" w:rsidRDefault="00F5483A" w:rsidP="00FA78CD">
      <w:pPr>
        <w:spacing w:after="160"/>
        <w:rPr>
          <w:sz w:val="18"/>
          <w:szCs w:val="18"/>
          <w:lang w:val="en-US"/>
        </w:rPr>
      </w:pPr>
    </w:p>
    <w:p w14:paraId="5C3A3C56" w14:textId="77777777" w:rsidR="00F5483A" w:rsidRDefault="00F5483A" w:rsidP="00FA78CD">
      <w:pPr>
        <w:spacing w:after="160"/>
        <w:rPr>
          <w:sz w:val="18"/>
          <w:szCs w:val="18"/>
          <w:lang w:val="en-US"/>
        </w:rPr>
      </w:pPr>
    </w:p>
    <w:p w14:paraId="16486FF6" w14:textId="77777777" w:rsidR="00655985" w:rsidRPr="00FA78CD" w:rsidRDefault="00655985" w:rsidP="00FA78CD">
      <w:pPr>
        <w:spacing w:after="160"/>
        <w:rPr>
          <w:sz w:val="18"/>
          <w:szCs w:val="18"/>
          <w:lang w:val="en-US"/>
        </w:rPr>
      </w:pPr>
    </w:p>
    <w:p w14:paraId="189D1575" w14:textId="0157540B" w:rsidR="3AB746AD" w:rsidRPr="00CA1D30" w:rsidRDefault="274D2446" w:rsidP="00CE1F27">
      <w:pPr>
        <w:pStyle w:val="ListParagraph"/>
        <w:spacing w:before="240" w:after="0"/>
        <w:rPr>
          <w:lang w:val="en-US"/>
        </w:rPr>
      </w:pPr>
      <w:r w:rsidRPr="274D2446">
        <w:rPr>
          <w:b/>
          <w:bCs/>
          <w:lang w:val="en-US"/>
        </w:rPr>
        <w:lastRenderedPageBreak/>
        <w:t xml:space="preserve"> </w:t>
      </w:r>
      <w:r w:rsidR="00480ED5">
        <w:rPr>
          <w:b/>
          <w:bCs/>
          <w:lang w:val="en-US"/>
        </w:rPr>
        <w:t>HCFC</w:t>
      </w:r>
      <w:r w:rsidRPr="274D2446">
        <w:rPr>
          <w:b/>
          <w:bCs/>
          <w:lang w:val="en-US"/>
        </w:rPr>
        <w:t xml:space="preserve"> Scenario</w:t>
      </w:r>
      <w:r w:rsidR="00480ED5">
        <w:rPr>
          <w:b/>
          <w:bCs/>
          <w:lang w:val="en-US"/>
        </w:rPr>
        <w:t xml:space="preserve"> 2</w:t>
      </w:r>
      <w:r w:rsidRPr="274D2446">
        <w:rPr>
          <w:b/>
          <w:bCs/>
          <w:lang w:val="en-US"/>
        </w:rPr>
        <w:t>: estimated funding for 15 non-LVC parties</w:t>
      </w:r>
      <w:r w:rsidR="00494CBC">
        <w:rPr>
          <w:b/>
          <w:bCs/>
          <w:lang w:val="en-US"/>
        </w:rPr>
        <w:t xml:space="preserve"> using CEs from </w:t>
      </w:r>
      <w:r w:rsidR="00FA7754">
        <w:rPr>
          <w:b/>
          <w:bCs/>
          <w:lang w:val="en-US"/>
        </w:rPr>
        <w:t>cost guidelines</w:t>
      </w:r>
    </w:p>
    <w:p w14:paraId="0F29CDDF" w14:textId="3F68F691" w:rsidR="3AB746AD" w:rsidRPr="0006692F" w:rsidRDefault="274D2446" w:rsidP="274D2446">
      <w:pPr>
        <w:spacing w:before="240"/>
        <w:rPr>
          <w:b/>
          <w:bCs/>
          <w:lang w:val="en-US"/>
        </w:rPr>
      </w:pPr>
      <w:r w:rsidRPr="274D2446">
        <w:rPr>
          <w:lang w:val="en-US"/>
        </w:rPr>
        <w:t>CE values in H</w:t>
      </w:r>
      <w:r w:rsidR="001026C4">
        <w:rPr>
          <w:lang w:val="en-US"/>
        </w:rPr>
        <w:t>C</w:t>
      </w:r>
      <w:r w:rsidRPr="274D2446">
        <w:rPr>
          <w:lang w:val="en-US"/>
        </w:rPr>
        <w:t xml:space="preserve">FC cost guidelines for all 15 parties, and for some case-by-case sectors, CE gaps were filled by RTF. This scenario estimated new funding calculations using This calculation is represented in Annex 1 as </w:t>
      </w:r>
      <w:r w:rsidRPr="274D2446">
        <w:rPr>
          <w:b/>
          <w:bCs/>
          <w:lang w:val="en-US"/>
        </w:rPr>
        <w:t>Output 5</w:t>
      </w:r>
      <w:r w:rsidRPr="274D2446">
        <w:rPr>
          <w:lang w:val="en-US"/>
        </w:rPr>
        <w:t xml:space="preserve"> in the flow chart. CEs used and associated estimated funding are shown in Tables 2.5 and 2.6 below.</w:t>
      </w:r>
    </w:p>
    <w:p w14:paraId="01181E83" w14:textId="341762CA" w:rsidR="470F312F" w:rsidRPr="00BE7515" w:rsidRDefault="00CA1D30" w:rsidP="002135B0">
      <w:pPr>
        <w:tabs>
          <w:tab w:val="clear" w:pos="0"/>
        </w:tabs>
        <w:spacing w:after="120"/>
        <w:ind w:left="1134" w:hanging="1134"/>
        <w:rPr>
          <w:b/>
          <w:bCs/>
        </w:rPr>
      </w:pPr>
      <w:r w:rsidRPr="222ABFFA">
        <w:rPr>
          <w:rFonts w:eastAsiaTheme="minorEastAsia"/>
          <w:b/>
          <w:bCs/>
        </w:rPr>
        <w:t>Table 2.</w:t>
      </w:r>
      <w:r w:rsidR="0006692F">
        <w:rPr>
          <w:rFonts w:eastAsiaTheme="minorEastAsia"/>
          <w:b/>
          <w:bCs/>
        </w:rPr>
        <w:t>5</w:t>
      </w:r>
      <w:r w:rsidR="00720371">
        <w:rPr>
          <w:rFonts w:eastAsiaTheme="minorEastAsia"/>
          <w:b/>
          <w:bCs/>
        </w:rPr>
        <w:t>:</w:t>
      </w:r>
      <w:r>
        <w:tab/>
      </w:r>
      <w:r w:rsidR="00BE7515" w:rsidRPr="00BE7515">
        <w:rPr>
          <w:b/>
          <w:bCs/>
        </w:rPr>
        <w:t>Cost guidelines CEs applied to 1</w:t>
      </w:r>
      <w:r w:rsidRPr="00BE7515">
        <w:rPr>
          <w:b/>
          <w:bCs/>
          <w:lang w:val="en-US"/>
        </w:rPr>
        <w:t>5 parties with manufacturing sector (US$/kg)</w:t>
      </w:r>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1068"/>
        <w:gridCol w:w="906"/>
        <w:gridCol w:w="793"/>
        <w:gridCol w:w="718"/>
        <w:gridCol w:w="980"/>
        <w:gridCol w:w="1000"/>
        <w:gridCol w:w="1186"/>
        <w:gridCol w:w="1642"/>
      </w:tblGrid>
      <w:tr w:rsidR="009668BB" w:rsidRPr="00260F0F" w14:paraId="72F15380" w14:textId="77777777" w:rsidTr="001026C4">
        <w:trPr>
          <w:trHeight w:val="460"/>
        </w:trPr>
        <w:tc>
          <w:tcPr>
            <w:tcW w:w="644" w:type="pct"/>
            <w:shd w:val="clear" w:color="auto" w:fill="D9E2F3" w:themeFill="accent1" w:themeFillTint="33"/>
            <w:tcMar>
              <w:top w:w="15" w:type="dxa"/>
              <w:left w:w="15" w:type="dxa"/>
              <w:right w:w="15" w:type="dxa"/>
            </w:tcMar>
            <w:vAlign w:val="center"/>
          </w:tcPr>
          <w:p w14:paraId="60B293BE" w14:textId="4E13A6F0" w:rsidR="009668BB" w:rsidRPr="00260F0F" w:rsidRDefault="009668BB" w:rsidP="1ECC9678">
            <w:pPr>
              <w:spacing w:after="0"/>
              <w:jc w:val="center"/>
              <w:rPr>
                <w:b/>
                <w:bCs/>
              </w:rPr>
            </w:pPr>
          </w:p>
        </w:tc>
        <w:tc>
          <w:tcPr>
            <w:tcW w:w="546" w:type="pct"/>
            <w:shd w:val="clear" w:color="auto" w:fill="D9E2F3" w:themeFill="accent1" w:themeFillTint="33"/>
            <w:tcMar>
              <w:top w:w="15" w:type="dxa"/>
              <w:left w:w="15" w:type="dxa"/>
              <w:right w:w="15" w:type="dxa"/>
            </w:tcMar>
            <w:vAlign w:val="center"/>
          </w:tcPr>
          <w:p w14:paraId="27F72757" w14:textId="6CAD24FE" w:rsidR="009668BB" w:rsidRPr="00260F0F" w:rsidRDefault="009668BB" w:rsidP="1699D5FE">
            <w:pPr>
              <w:spacing w:after="0"/>
              <w:jc w:val="center"/>
              <w:rPr>
                <w:rFonts w:eastAsia="Arial"/>
                <w:b/>
                <w:bCs/>
              </w:rPr>
            </w:pPr>
            <w:r w:rsidRPr="00260F0F">
              <w:rPr>
                <w:rFonts w:eastAsia="Arial"/>
                <w:b/>
                <w:bCs/>
              </w:rPr>
              <w:t xml:space="preserve"> Aerosol </w:t>
            </w:r>
          </w:p>
        </w:tc>
        <w:tc>
          <w:tcPr>
            <w:tcW w:w="478" w:type="pct"/>
            <w:shd w:val="clear" w:color="auto" w:fill="D9E2F3" w:themeFill="accent1" w:themeFillTint="33"/>
            <w:tcMar>
              <w:top w:w="15" w:type="dxa"/>
              <w:left w:w="15" w:type="dxa"/>
              <w:right w:w="15" w:type="dxa"/>
            </w:tcMar>
            <w:vAlign w:val="center"/>
          </w:tcPr>
          <w:p w14:paraId="6488EAC1" w14:textId="309ABC8D" w:rsidR="009668BB" w:rsidRPr="00260F0F" w:rsidRDefault="009668BB" w:rsidP="1699D5FE">
            <w:pPr>
              <w:spacing w:after="0"/>
              <w:jc w:val="center"/>
              <w:rPr>
                <w:rFonts w:eastAsia="Arial"/>
                <w:b/>
                <w:bCs/>
              </w:rPr>
            </w:pPr>
            <w:r w:rsidRPr="00260F0F">
              <w:rPr>
                <w:rFonts w:eastAsia="Arial"/>
                <w:b/>
                <w:bCs/>
              </w:rPr>
              <w:t xml:space="preserve"> XPS</w:t>
            </w:r>
          </w:p>
        </w:tc>
        <w:tc>
          <w:tcPr>
            <w:tcW w:w="433" w:type="pct"/>
            <w:shd w:val="clear" w:color="auto" w:fill="D9E2F3" w:themeFill="accent1" w:themeFillTint="33"/>
            <w:tcMar>
              <w:top w:w="15" w:type="dxa"/>
              <w:left w:w="15" w:type="dxa"/>
              <w:right w:w="15" w:type="dxa"/>
            </w:tcMar>
            <w:vAlign w:val="center"/>
          </w:tcPr>
          <w:p w14:paraId="55DDC882" w14:textId="6A3FA385" w:rsidR="009668BB" w:rsidRPr="00260F0F" w:rsidRDefault="009668BB" w:rsidP="1699D5FE">
            <w:pPr>
              <w:spacing w:after="0"/>
              <w:jc w:val="center"/>
              <w:rPr>
                <w:rFonts w:eastAsia="Arial"/>
                <w:b/>
                <w:bCs/>
              </w:rPr>
            </w:pPr>
            <w:r w:rsidRPr="00260F0F">
              <w:rPr>
                <w:rFonts w:eastAsia="Arial"/>
                <w:b/>
                <w:bCs/>
              </w:rPr>
              <w:t xml:space="preserve"> PU</w:t>
            </w:r>
          </w:p>
        </w:tc>
        <w:tc>
          <w:tcPr>
            <w:tcW w:w="591" w:type="pct"/>
            <w:shd w:val="clear" w:color="auto" w:fill="D9E2F3" w:themeFill="accent1" w:themeFillTint="33"/>
            <w:tcMar>
              <w:top w:w="15" w:type="dxa"/>
              <w:left w:w="15" w:type="dxa"/>
              <w:right w:w="15" w:type="dxa"/>
            </w:tcMar>
            <w:vAlign w:val="center"/>
          </w:tcPr>
          <w:p w14:paraId="2FDC4C1E" w14:textId="5BC54EDF" w:rsidR="009668BB" w:rsidRPr="00260F0F" w:rsidRDefault="009668BB" w:rsidP="1699D5FE">
            <w:pPr>
              <w:spacing w:after="0"/>
              <w:jc w:val="center"/>
              <w:rPr>
                <w:rFonts w:eastAsia="Arial"/>
                <w:b/>
                <w:bCs/>
              </w:rPr>
            </w:pPr>
            <w:r w:rsidRPr="00260F0F">
              <w:rPr>
                <w:rFonts w:eastAsia="Arial"/>
                <w:b/>
                <w:bCs/>
              </w:rPr>
              <w:t xml:space="preserve"> Fire Ext. </w:t>
            </w:r>
          </w:p>
        </w:tc>
        <w:tc>
          <w:tcPr>
            <w:tcW w:w="603" w:type="pct"/>
            <w:shd w:val="clear" w:color="auto" w:fill="D9E2F3" w:themeFill="accent1" w:themeFillTint="33"/>
            <w:tcMar>
              <w:top w:w="15" w:type="dxa"/>
              <w:left w:w="15" w:type="dxa"/>
              <w:right w:w="15" w:type="dxa"/>
            </w:tcMar>
            <w:vAlign w:val="center"/>
          </w:tcPr>
          <w:p w14:paraId="3AEAF6AD" w14:textId="106C4618" w:rsidR="009668BB" w:rsidRPr="00260F0F" w:rsidRDefault="009668BB" w:rsidP="1699D5FE">
            <w:pPr>
              <w:spacing w:after="0"/>
              <w:jc w:val="center"/>
              <w:rPr>
                <w:rFonts w:eastAsia="Arial"/>
                <w:b/>
                <w:bCs/>
              </w:rPr>
            </w:pPr>
            <w:r w:rsidRPr="00260F0F">
              <w:rPr>
                <w:rFonts w:eastAsia="Arial"/>
                <w:b/>
                <w:bCs/>
              </w:rPr>
              <w:t xml:space="preserve"> ICR/ AC</w:t>
            </w:r>
          </w:p>
        </w:tc>
        <w:tc>
          <w:tcPr>
            <w:tcW w:w="715" w:type="pct"/>
            <w:shd w:val="clear" w:color="auto" w:fill="D9E2F3" w:themeFill="accent1" w:themeFillTint="33"/>
            <w:tcMar>
              <w:top w:w="15" w:type="dxa"/>
              <w:left w:w="15" w:type="dxa"/>
              <w:right w:w="15" w:type="dxa"/>
            </w:tcMar>
            <w:vAlign w:val="center"/>
          </w:tcPr>
          <w:p w14:paraId="755AEDC0" w14:textId="31C68278" w:rsidR="009668BB" w:rsidRPr="00260F0F" w:rsidRDefault="274D2446" w:rsidP="1699D5FE">
            <w:pPr>
              <w:spacing w:after="0"/>
              <w:jc w:val="center"/>
              <w:rPr>
                <w:rFonts w:eastAsia="Arial"/>
                <w:b/>
                <w:bCs/>
              </w:rPr>
            </w:pPr>
            <w:r w:rsidRPr="274D2446">
              <w:rPr>
                <w:rFonts w:eastAsia="Arial"/>
                <w:b/>
                <w:bCs/>
              </w:rPr>
              <w:t xml:space="preserve"> Res. AC </w:t>
            </w:r>
          </w:p>
        </w:tc>
        <w:tc>
          <w:tcPr>
            <w:tcW w:w="990" w:type="pct"/>
            <w:shd w:val="clear" w:color="auto" w:fill="D9E2F3" w:themeFill="accent1" w:themeFillTint="33"/>
            <w:tcMar>
              <w:top w:w="15" w:type="dxa"/>
              <w:left w:w="15" w:type="dxa"/>
              <w:right w:w="15" w:type="dxa"/>
            </w:tcMar>
            <w:vAlign w:val="center"/>
          </w:tcPr>
          <w:p w14:paraId="723340EC" w14:textId="61DC540E" w:rsidR="009668BB" w:rsidRPr="00260F0F" w:rsidRDefault="009668BB" w:rsidP="1699D5FE">
            <w:pPr>
              <w:spacing w:after="0"/>
              <w:jc w:val="center"/>
              <w:rPr>
                <w:rFonts w:eastAsia="Arial"/>
                <w:b/>
                <w:bCs/>
              </w:rPr>
            </w:pPr>
            <w:r w:rsidRPr="00260F0F">
              <w:rPr>
                <w:rFonts w:eastAsia="Arial"/>
                <w:b/>
                <w:bCs/>
              </w:rPr>
              <w:t xml:space="preserve"> Solvents </w:t>
            </w:r>
          </w:p>
        </w:tc>
      </w:tr>
      <w:tr w:rsidR="009668BB" w:rsidRPr="00260F0F" w14:paraId="61144E39" w14:textId="77777777" w:rsidTr="001026C4">
        <w:trPr>
          <w:trHeight w:val="540"/>
        </w:trPr>
        <w:tc>
          <w:tcPr>
            <w:tcW w:w="644" w:type="pct"/>
            <w:tcMar>
              <w:top w:w="15" w:type="dxa"/>
              <w:left w:w="15" w:type="dxa"/>
              <w:right w:w="15" w:type="dxa"/>
            </w:tcMar>
            <w:vAlign w:val="center"/>
          </w:tcPr>
          <w:p w14:paraId="512BB3A9" w14:textId="330B3B0B" w:rsidR="009668BB" w:rsidRPr="00260F0F" w:rsidRDefault="274D2446" w:rsidP="7AC83930">
            <w:pPr>
              <w:spacing w:after="0"/>
              <w:jc w:val="center"/>
              <w:rPr>
                <w:rFonts w:eastAsia="Arial"/>
                <w:b/>
                <w:bCs/>
              </w:rPr>
            </w:pPr>
            <w:r w:rsidRPr="274D2446">
              <w:rPr>
                <w:rFonts w:eastAsia="Arial"/>
                <w:b/>
                <w:bCs/>
              </w:rPr>
              <w:t xml:space="preserve">All 15 parties* </w:t>
            </w:r>
          </w:p>
        </w:tc>
        <w:tc>
          <w:tcPr>
            <w:tcW w:w="546" w:type="pct"/>
            <w:tcMar>
              <w:top w:w="15" w:type="dxa"/>
              <w:left w:w="15" w:type="dxa"/>
              <w:right w:w="15" w:type="dxa"/>
            </w:tcMar>
            <w:vAlign w:val="center"/>
          </w:tcPr>
          <w:p w14:paraId="752605D4" w14:textId="6BC2B50F" w:rsidR="009668BB" w:rsidRPr="00CF5E17" w:rsidRDefault="009668BB" w:rsidP="7AC83930">
            <w:pPr>
              <w:spacing w:after="0"/>
              <w:jc w:val="center"/>
              <w:rPr>
                <w:rFonts w:eastAsia="Arial"/>
              </w:rPr>
            </w:pPr>
            <w:r w:rsidRPr="00CF5E17">
              <w:rPr>
                <w:rFonts w:eastAsia="Arial"/>
              </w:rPr>
              <w:t>0</w:t>
            </w:r>
          </w:p>
        </w:tc>
        <w:tc>
          <w:tcPr>
            <w:tcW w:w="478" w:type="pct"/>
            <w:tcMar>
              <w:top w:w="15" w:type="dxa"/>
              <w:left w:w="15" w:type="dxa"/>
              <w:right w:w="15" w:type="dxa"/>
            </w:tcMar>
            <w:vAlign w:val="center"/>
          </w:tcPr>
          <w:p w14:paraId="3712FD73" w14:textId="4B2E1F3C" w:rsidR="009668BB" w:rsidRPr="00CF5E17" w:rsidRDefault="009668BB" w:rsidP="7AC83930">
            <w:pPr>
              <w:spacing w:after="0"/>
              <w:jc w:val="center"/>
              <w:rPr>
                <w:rFonts w:eastAsia="Arial"/>
              </w:rPr>
            </w:pPr>
            <w:r w:rsidRPr="00CF5E17">
              <w:rPr>
                <w:rFonts w:eastAsia="Arial"/>
              </w:rPr>
              <w:t>8.22</w:t>
            </w:r>
          </w:p>
        </w:tc>
        <w:tc>
          <w:tcPr>
            <w:tcW w:w="433" w:type="pct"/>
            <w:tcMar>
              <w:top w:w="15" w:type="dxa"/>
              <w:left w:w="15" w:type="dxa"/>
              <w:right w:w="15" w:type="dxa"/>
            </w:tcMar>
            <w:vAlign w:val="center"/>
          </w:tcPr>
          <w:p w14:paraId="28C0DBD5" w14:textId="0AD48D65" w:rsidR="009668BB" w:rsidRPr="00CF5E17" w:rsidRDefault="009668BB" w:rsidP="7AC83930">
            <w:pPr>
              <w:spacing w:after="0"/>
              <w:jc w:val="center"/>
              <w:rPr>
                <w:rFonts w:eastAsia="Arial"/>
              </w:rPr>
            </w:pPr>
            <w:r w:rsidRPr="00CF5E17">
              <w:rPr>
                <w:rFonts w:eastAsia="Arial"/>
              </w:rPr>
              <w:t>7.83</w:t>
            </w:r>
          </w:p>
        </w:tc>
        <w:tc>
          <w:tcPr>
            <w:tcW w:w="591" w:type="pct"/>
            <w:tcMar>
              <w:top w:w="15" w:type="dxa"/>
              <w:left w:w="15" w:type="dxa"/>
              <w:right w:w="15" w:type="dxa"/>
            </w:tcMar>
            <w:vAlign w:val="center"/>
          </w:tcPr>
          <w:p w14:paraId="4848F91B" w14:textId="01657198" w:rsidR="009668BB" w:rsidRPr="00CF5E17" w:rsidRDefault="009668BB" w:rsidP="7AC83930">
            <w:pPr>
              <w:spacing w:after="0"/>
              <w:jc w:val="center"/>
              <w:rPr>
                <w:rFonts w:eastAsia="Arial"/>
              </w:rPr>
            </w:pPr>
            <w:r w:rsidRPr="00CF5E17">
              <w:rPr>
                <w:rFonts w:eastAsia="Arial"/>
              </w:rPr>
              <w:t>4.8</w:t>
            </w:r>
          </w:p>
        </w:tc>
        <w:tc>
          <w:tcPr>
            <w:tcW w:w="603" w:type="pct"/>
            <w:tcMar>
              <w:top w:w="15" w:type="dxa"/>
              <w:left w:w="15" w:type="dxa"/>
              <w:right w:w="15" w:type="dxa"/>
            </w:tcMar>
            <w:vAlign w:val="center"/>
          </w:tcPr>
          <w:p w14:paraId="0B17858F" w14:textId="36DD80E2" w:rsidR="009668BB" w:rsidRPr="00CF5E17" w:rsidRDefault="009668BB" w:rsidP="1699D5FE">
            <w:pPr>
              <w:spacing w:after="0"/>
              <w:jc w:val="center"/>
              <w:rPr>
                <w:rFonts w:eastAsia="Arial"/>
              </w:rPr>
            </w:pPr>
            <w:r w:rsidRPr="00CF5E17">
              <w:rPr>
                <w:rFonts w:eastAsia="Arial"/>
              </w:rPr>
              <w:t>15.21</w:t>
            </w:r>
          </w:p>
        </w:tc>
        <w:tc>
          <w:tcPr>
            <w:tcW w:w="715" w:type="pct"/>
            <w:tcMar>
              <w:top w:w="15" w:type="dxa"/>
              <w:left w:w="15" w:type="dxa"/>
              <w:right w:w="15" w:type="dxa"/>
            </w:tcMar>
            <w:vAlign w:val="center"/>
          </w:tcPr>
          <w:p w14:paraId="145D28A7" w14:textId="3DF65FFE" w:rsidR="009668BB" w:rsidRPr="00CF5E17" w:rsidRDefault="009668BB" w:rsidP="1699D5FE">
            <w:pPr>
              <w:spacing w:after="0"/>
              <w:jc w:val="center"/>
              <w:rPr>
                <w:rFonts w:eastAsia="Arial"/>
              </w:rPr>
            </w:pPr>
            <w:r w:rsidRPr="00CF5E17">
              <w:rPr>
                <w:rFonts w:eastAsia="Arial"/>
              </w:rPr>
              <w:t>7.15</w:t>
            </w:r>
          </w:p>
        </w:tc>
        <w:tc>
          <w:tcPr>
            <w:tcW w:w="990" w:type="pct"/>
            <w:tcMar>
              <w:top w:w="15" w:type="dxa"/>
              <w:left w:w="15" w:type="dxa"/>
              <w:right w:w="15" w:type="dxa"/>
            </w:tcMar>
            <w:vAlign w:val="center"/>
          </w:tcPr>
          <w:p w14:paraId="4DCF6EEA" w14:textId="10EDEC4B" w:rsidR="009668BB" w:rsidRPr="00CF5E17" w:rsidRDefault="009668BB" w:rsidP="7AC83930">
            <w:pPr>
              <w:spacing w:after="0"/>
              <w:jc w:val="center"/>
              <w:rPr>
                <w:rFonts w:eastAsia="Arial"/>
              </w:rPr>
            </w:pPr>
            <w:r w:rsidRPr="00CF5E17">
              <w:rPr>
                <w:rFonts w:eastAsia="Arial"/>
              </w:rPr>
              <w:t>10.13</w:t>
            </w:r>
          </w:p>
        </w:tc>
      </w:tr>
    </w:tbl>
    <w:p w14:paraId="67C7FA34" w14:textId="112F06B2" w:rsidR="00260F0F" w:rsidRDefault="274D2446" w:rsidP="51EC0AF0">
      <w:pPr>
        <w:spacing w:after="0"/>
        <w:rPr>
          <w:b/>
          <w:bCs/>
          <w:sz w:val="24"/>
          <w:szCs w:val="24"/>
          <w:lang w:val="en-US"/>
        </w:rPr>
      </w:pPr>
      <w:r w:rsidRPr="274D2446">
        <w:rPr>
          <w:b/>
          <w:bCs/>
          <w:sz w:val="24"/>
          <w:szCs w:val="24"/>
          <w:lang w:val="en-US"/>
        </w:rPr>
        <w:t>*</w:t>
      </w:r>
      <w:r w:rsidRPr="274D2446">
        <w:rPr>
          <w:sz w:val="20"/>
          <w:szCs w:val="20"/>
          <w:lang w:val="en-US"/>
        </w:rPr>
        <w:t>Including China</w:t>
      </w:r>
    </w:p>
    <w:p w14:paraId="7057C105" w14:textId="77777777" w:rsidR="009443A3" w:rsidRDefault="009443A3" w:rsidP="51EC0AF0">
      <w:pPr>
        <w:spacing w:after="0"/>
        <w:rPr>
          <w:b/>
          <w:bCs/>
          <w:sz w:val="24"/>
          <w:szCs w:val="24"/>
          <w:lang w:val="en-US"/>
        </w:rPr>
      </w:pPr>
    </w:p>
    <w:p w14:paraId="483D4898" w14:textId="43C1A00E" w:rsidR="51EC0AF0" w:rsidRPr="00260F0F" w:rsidRDefault="274D2446" w:rsidP="002135B0">
      <w:pPr>
        <w:tabs>
          <w:tab w:val="left" w:pos="1134"/>
        </w:tabs>
        <w:spacing w:after="120"/>
        <w:ind w:left="1134" w:hanging="1134"/>
        <w:rPr>
          <w:b/>
          <w:bCs/>
        </w:rPr>
      </w:pPr>
      <w:r w:rsidRPr="00C94690">
        <w:rPr>
          <w:rFonts w:eastAsiaTheme="minorEastAsia"/>
          <w:b/>
          <w:bCs/>
        </w:rPr>
        <w:t>Table 2.6</w:t>
      </w:r>
      <w:r w:rsidR="00720371" w:rsidRPr="00C94690">
        <w:rPr>
          <w:rFonts w:eastAsiaTheme="minorEastAsia"/>
          <w:b/>
          <w:bCs/>
        </w:rPr>
        <w:t>:</w:t>
      </w:r>
      <w:r w:rsidR="00260F0F">
        <w:tab/>
      </w:r>
      <w:r w:rsidRPr="274D2446">
        <w:rPr>
          <w:b/>
          <w:bCs/>
        </w:rPr>
        <w:t xml:space="preserve">Estimated funding applying cost guideline CEs to </w:t>
      </w:r>
      <w:r w:rsidRPr="274D2446">
        <w:rPr>
          <w:b/>
          <w:bCs/>
          <w:lang w:val="en-US"/>
        </w:rPr>
        <w:t>15 manufacturing sector parties (US$ millions)</w:t>
      </w:r>
    </w:p>
    <w:tbl>
      <w:tblPr>
        <w:tblW w:w="84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27"/>
        <w:gridCol w:w="705"/>
        <w:gridCol w:w="705"/>
        <w:gridCol w:w="704"/>
        <w:gridCol w:w="824"/>
        <w:gridCol w:w="744"/>
        <w:gridCol w:w="928"/>
        <w:gridCol w:w="1051"/>
        <w:gridCol w:w="794"/>
        <w:gridCol w:w="885"/>
      </w:tblGrid>
      <w:tr w:rsidR="7A81D421" w14:paraId="56BBD011" w14:textId="77777777" w:rsidTr="274D2446">
        <w:trPr>
          <w:trHeight w:val="900"/>
        </w:trPr>
        <w:tc>
          <w:tcPr>
            <w:tcW w:w="1129" w:type="dxa"/>
            <w:shd w:val="clear" w:color="auto" w:fill="D9E2F3" w:themeFill="accent1" w:themeFillTint="33"/>
            <w:tcMar>
              <w:left w:w="108" w:type="dxa"/>
              <w:right w:w="108" w:type="dxa"/>
            </w:tcMar>
            <w:vAlign w:val="bottom"/>
          </w:tcPr>
          <w:p w14:paraId="1C4C7A79" w14:textId="211D5834" w:rsidR="7A81D421" w:rsidRDefault="7A81D421" w:rsidP="00065670">
            <w:pPr>
              <w:spacing w:after="0"/>
              <w:rPr>
                <w:b/>
                <w:bCs/>
                <w:sz w:val="20"/>
                <w:szCs w:val="20"/>
                <w:lang w:val="en-US"/>
              </w:rPr>
            </w:pPr>
          </w:p>
        </w:tc>
        <w:tc>
          <w:tcPr>
            <w:tcW w:w="705" w:type="dxa"/>
            <w:shd w:val="clear" w:color="auto" w:fill="D9E2F3" w:themeFill="accent1" w:themeFillTint="33"/>
            <w:tcMar>
              <w:left w:w="108" w:type="dxa"/>
              <w:right w:w="108" w:type="dxa"/>
            </w:tcMar>
            <w:vAlign w:val="center"/>
          </w:tcPr>
          <w:p w14:paraId="2EF311A2" w14:textId="27C759AB" w:rsidR="7A81D421" w:rsidRDefault="7A81D421" w:rsidP="72358026">
            <w:pPr>
              <w:spacing w:after="0"/>
              <w:jc w:val="center"/>
              <w:rPr>
                <w:b/>
                <w:bCs/>
                <w:sz w:val="20"/>
                <w:szCs w:val="20"/>
                <w:lang w:val="en-US"/>
              </w:rPr>
            </w:pPr>
            <w:r w:rsidRPr="7A81D421">
              <w:rPr>
                <w:b/>
                <w:bCs/>
                <w:sz w:val="20"/>
                <w:szCs w:val="20"/>
                <w:lang w:val="en-US"/>
              </w:rPr>
              <w:t>XPS Foam</w:t>
            </w:r>
          </w:p>
        </w:tc>
        <w:tc>
          <w:tcPr>
            <w:tcW w:w="705" w:type="dxa"/>
            <w:shd w:val="clear" w:color="auto" w:fill="D9E2F3" w:themeFill="accent1" w:themeFillTint="33"/>
            <w:tcMar>
              <w:left w:w="108" w:type="dxa"/>
              <w:right w:w="108" w:type="dxa"/>
            </w:tcMar>
            <w:vAlign w:val="center"/>
          </w:tcPr>
          <w:p w14:paraId="6422E434" w14:textId="5F87850F" w:rsidR="7A81D421" w:rsidRDefault="7A81D421" w:rsidP="72358026">
            <w:pPr>
              <w:spacing w:after="0"/>
              <w:jc w:val="center"/>
              <w:rPr>
                <w:b/>
                <w:bCs/>
                <w:sz w:val="20"/>
                <w:szCs w:val="20"/>
                <w:lang w:val="en-US"/>
              </w:rPr>
            </w:pPr>
            <w:r w:rsidRPr="7A81D421">
              <w:rPr>
                <w:b/>
                <w:bCs/>
                <w:sz w:val="20"/>
                <w:szCs w:val="20"/>
                <w:lang w:val="en-US"/>
              </w:rPr>
              <w:t>PU Foam</w:t>
            </w:r>
          </w:p>
        </w:tc>
        <w:tc>
          <w:tcPr>
            <w:tcW w:w="706" w:type="dxa"/>
            <w:shd w:val="clear" w:color="auto" w:fill="D9E2F3" w:themeFill="accent1" w:themeFillTint="33"/>
            <w:tcMar>
              <w:left w:w="108" w:type="dxa"/>
              <w:right w:w="108" w:type="dxa"/>
            </w:tcMar>
            <w:vAlign w:val="center"/>
          </w:tcPr>
          <w:p w14:paraId="18ED73DD" w14:textId="3E618A1E" w:rsidR="7A81D421" w:rsidRDefault="7A81D421" w:rsidP="72358026">
            <w:pPr>
              <w:spacing w:after="0"/>
              <w:jc w:val="center"/>
              <w:rPr>
                <w:b/>
                <w:bCs/>
                <w:sz w:val="20"/>
                <w:szCs w:val="20"/>
                <w:lang w:val="pt-BR"/>
              </w:rPr>
            </w:pPr>
            <w:r w:rsidRPr="7A81D421">
              <w:rPr>
                <w:b/>
                <w:bCs/>
                <w:sz w:val="20"/>
                <w:szCs w:val="20"/>
                <w:lang w:val="en-US"/>
              </w:rPr>
              <w:t>Fire Ext</w:t>
            </w:r>
            <w:r w:rsidRPr="7A81D421">
              <w:rPr>
                <w:b/>
                <w:bCs/>
                <w:sz w:val="20"/>
                <w:szCs w:val="20"/>
                <w:lang w:val="pt-BR"/>
              </w:rPr>
              <w:t>.</w:t>
            </w:r>
          </w:p>
        </w:tc>
        <w:tc>
          <w:tcPr>
            <w:tcW w:w="825" w:type="dxa"/>
            <w:shd w:val="clear" w:color="auto" w:fill="D9E2F3" w:themeFill="accent1" w:themeFillTint="33"/>
            <w:tcMar>
              <w:left w:w="108" w:type="dxa"/>
              <w:right w:w="108" w:type="dxa"/>
            </w:tcMar>
            <w:vAlign w:val="center"/>
          </w:tcPr>
          <w:p w14:paraId="6FB6A280" w14:textId="3E49282E" w:rsidR="7A81D421" w:rsidRDefault="7A81D421" w:rsidP="72358026">
            <w:pPr>
              <w:spacing w:after="0"/>
              <w:jc w:val="center"/>
              <w:rPr>
                <w:b/>
                <w:bCs/>
                <w:sz w:val="20"/>
                <w:szCs w:val="20"/>
                <w:lang w:val="en-US"/>
              </w:rPr>
            </w:pPr>
            <w:r w:rsidRPr="7A81D421">
              <w:rPr>
                <w:b/>
                <w:bCs/>
                <w:sz w:val="20"/>
                <w:szCs w:val="20"/>
                <w:lang w:val="en-US"/>
              </w:rPr>
              <w:t>ICR</w:t>
            </w:r>
          </w:p>
        </w:tc>
        <w:tc>
          <w:tcPr>
            <w:tcW w:w="740" w:type="dxa"/>
            <w:shd w:val="clear" w:color="auto" w:fill="D9E2F3" w:themeFill="accent1" w:themeFillTint="33"/>
            <w:tcMar>
              <w:left w:w="108" w:type="dxa"/>
              <w:right w:w="108" w:type="dxa"/>
            </w:tcMar>
            <w:vAlign w:val="center"/>
          </w:tcPr>
          <w:p w14:paraId="1E514448" w14:textId="14384383" w:rsidR="7A81D421" w:rsidRDefault="7A81D421" w:rsidP="72358026">
            <w:pPr>
              <w:spacing w:after="0"/>
              <w:jc w:val="center"/>
              <w:rPr>
                <w:b/>
                <w:bCs/>
                <w:sz w:val="20"/>
                <w:szCs w:val="20"/>
                <w:lang w:val="en-US"/>
              </w:rPr>
            </w:pPr>
            <w:r w:rsidRPr="7A81D421">
              <w:rPr>
                <w:b/>
                <w:bCs/>
                <w:sz w:val="20"/>
                <w:szCs w:val="20"/>
                <w:lang w:val="en-US"/>
              </w:rPr>
              <w:t>Resid. AC</w:t>
            </w:r>
          </w:p>
        </w:tc>
        <w:tc>
          <w:tcPr>
            <w:tcW w:w="928" w:type="dxa"/>
            <w:shd w:val="clear" w:color="auto" w:fill="D9E2F3" w:themeFill="accent1" w:themeFillTint="33"/>
            <w:tcMar>
              <w:left w:w="108" w:type="dxa"/>
              <w:right w:w="108" w:type="dxa"/>
            </w:tcMar>
            <w:vAlign w:val="center"/>
          </w:tcPr>
          <w:p w14:paraId="0BD662FF" w14:textId="0015306F" w:rsidR="7A81D421" w:rsidRDefault="7A81D421" w:rsidP="72358026">
            <w:pPr>
              <w:spacing w:after="0"/>
              <w:jc w:val="center"/>
              <w:rPr>
                <w:b/>
                <w:bCs/>
                <w:sz w:val="20"/>
                <w:szCs w:val="20"/>
                <w:lang w:val="pt-BR"/>
              </w:rPr>
            </w:pPr>
            <w:r w:rsidRPr="7A81D421">
              <w:rPr>
                <w:b/>
                <w:bCs/>
                <w:sz w:val="20"/>
                <w:szCs w:val="20"/>
                <w:lang w:val="en-US"/>
              </w:rPr>
              <w:t>Solvent</w:t>
            </w:r>
            <w:r w:rsidRPr="7A81D421">
              <w:rPr>
                <w:b/>
                <w:bCs/>
                <w:sz w:val="20"/>
                <w:szCs w:val="20"/>
                <w:lang w:val="pt-BR"/>
              </w:rPr>
              <w:t>s</w:t>
            </w:r>
          </w:p>
        </w:tc>
        <w:tc>
          <w:tcPr>
            <w:tcW w:w="1052" w:type="dxa"/>
            <w:shd w:val="clear" w:color="auto" w:fill="D9E2F3" w:themeFill="accent1" w:themeFillTint="33"/>
            <w:tcMar>
              <w:left w:w="108" w:type="dxa"/>
              <w:right w:w="108" w:type="dxa"/>
            </w:tcMar>
            <w:vAlign w:val="center"/>
          </w:tcPr>
          <w:p w14:paraId="3BA5340A" w14:textId="585CE534" w:rsidR="7A81D421" w:rsidRDefault="7A81D421" w:rsidP="72358026">
            <w:pPr>
              <w:spacing w:after="0"/>
              <w:jc w:val="center"/>
              <w:rPr>
                <w:b/>
                <w:bCs/>
                <w:sz w:val="20"/>
                <w:szCs w:val="20"/>
                <w:lang w:val="en-US"/>
              </w:rPr>
            </w:pPr>
            <w:r w:rsidRPr="7A81D421">
              <w:rPr>
                <w:b/>
                <w:bCs/>
                <w:sz w:val="20"/>
                <w:szCs w:val="20"/>
                <w:lang w:val="en-US"/>
              </w:rPr>
              <w:t>Servicing</w:t>
            </w:r>
          </w:p>
        </w:tc>
        <w:tc>
          <w:tcPr>
            <w:tcW w:w="794" w:type="dxa"/>
            <w:shd w:val="clear" w:color="auto" w:fill="D9E2F3" w:themeFill="accent1" w:themeFillTint="33"/>
            <w:tcMar>
              <w:left w:w="108" w:type="dxa"/>
              <w:right w:w="108" w:type="dxa"/>
            </w:tcMar>
            <w:vAlign w:val="center"/>
          </w:tcPr>
          <w:p w14:paraId="0222FCA7" w14:textId="52CDD110" w:rsidR="7A81D421" w:rsidRDefault="7A81D421" w:rsidP="72358026">
            <w:pPr>
              <w:spacing w:after="0"/>
              <w:jc w:val="center"/>
              <w:rPr>
                <w:b/>
                <w:bCs/>
                <w:sz w:val="20"/>
                <w:szCs w:val="20"/>
                <w:lang w:val="en-US"/>
              </w:rPr>
            </w:pPr>
            <w:r w:rsidRPr="7A81D421">
              <w:rPr>
                <w:b/>
                <w:bCs/>
                <w:sz w:val="20"/>
                <w:szCs w:val="20"/>
                <w:lang w:val="en-US"/>
              </w:rPr>
              <w:t>Total</w:t>
            </w:r>
          </w:p>
        </w:tc>
        <w:tc>
          <w:tcPr>
            <w:tcW w:w="885" w:type="dxa"/>
            <w:shd w:val="clear" w:color="auto" w:fill="D9E2F3" w:themeFill="accent1" w:themeFillTint="33"/>
            <w:tcMar>
              <w:left w:w="108" w:type="dxa"/>
              <w:right w:w="108" w:type="dxa"/>
            </w:tcMar>
            <w:vAlign w:val="center"/>
          </w:tcPr>
          <w:p w14:paraId="22ADD0C2" w14:textId="506DE100" w:rsidR="7A81D421" w:rsidRDefault="274D2446" w:rsidP="72358026">
            <w:pPr>
              <w:spacing w:after="0"/>
              <w:jc w:val="center"/>
              <w:rPr>
                <w:b/>
                <w:bCs/>
                <w:sz w:val="20"/>
                <w:szCs w:val="20"/>
                <w:lang w:val="en-US"/>
              </w:rPr>
            </w:pPr>
            <w:r w:rsidRPr="274D2446">
              <w:rPr>
                <w:b/>
                <w:bCs/>
                <w:sz w:val="20"/>
                <w:szCs w:val="20"/>
                <w:lang w:val="en-US"/>
              </w:rPr>
              <w:t xml:space="preserve">Total (with 9.6% support costs) </w:t>
            </w:r>
          </w:p>
        </w:tc>
      </w:tr>
      <w:tr w:rsidR="7A81D421" w14:paraId="5698171E" w14:textId="77777777" w:rsidTr="002135B0">
        <w:trPr>
          <w:trHeight w:val="574"/>
        </w:trPr>
        <w:tc>
          <w:tcPr>
            <w:tcW w:w="1129" w:type="dxa"/>
            <w:tcMar>
              <w:left w:w="108" w:type="dxa"/>
              <w:right w:w="108" w:type="dxa"/>
            </w:tcMar>
          </w:tcPr>
          <w:p w14:paraId="144E4A03" w14:textId="41AEA17E" w:rsidR="7A81D421" w:rsidRDefault="274D2446" w:rsidP="1699D5FE">
            <w:pPr>
              <w:spacing w:after="0"/>
              <w:rPr>
                <w:sz w:val="20"/>
                <w:szCs w:val="20"/>
                <w:lang w:val="pt-BR"/>
              </w:rPr>
            </w:pPr>
            <w:r w:rsidRPr="274D2446">
              <w:rPr>
                <w:sz w:val="20"/>
                <w:szCs w:val="20"/>
                <w:lang w:val="pt-BR"/>
              </w:rPr>
              <w:t xml:space="preserve">Total for 15 parties </w:t>
            </w:r>
          </w:p>
        </w:tc>
        <w:tc>
          <w:tcPr>
            <w:tcW w:w="705" w:type="dxa"/>
            <w:tcMar>
              <w:left w:w="108" w:type="dxa"/>
              <w:right w:w="108" w:type="dxa"/>
            </w:tcMar>
            <w:vAlign w:val="center"/>
          </w:tcPr>
          <w:p w14:paraId="63689C9D" w14:textId="7DC43C61" w:rsidR="7A81D421" w:rsidRDefault="7A81D421" w:rsidP="002135B0">
            <w:pPr>
              <w:spacing w:after="0"/>
              <w:jc w:val="center"/>
              <w:rPr>
                <w:sz w:val="20"/>
                <w:szCs w:val="20"/>
                <w:lang w:val="en-US"/>
              </w:rPr>
            </w:pPr>
            <w:r w:rsidRPr="7A81D421">
              <w:rPr>
                <w:sz w:val="20"/>
                <w:szCs w:val="20"/>
                <w:lang w:val="en-US"/>
              </w:rPr>
              <w:t>0.14</w:t>
            </w:r>
          </w:p>
        </w:tc>
        <w:tc>
          <w:tcPr>
            <w:tcW w:w="705" w:type="dxa"/>
            <w:tcMar>
              <w:left w:w="108" w:type="dxa"/>
              <w:right w:w="108" w:type="dxa"/>
            </w:tcMar>
            <w:vAlign w:val="center"/>
          </w:tcPr>
          <w:p w14:paraId="05B95D8A" w14:textId="6A1C3103" w:rsidR="7A81D421" w:rsidRDefault="7A81D421" w:rsidP="002135B0">
            <w:pPr>
              <w:spacing w:after="0"/>
              <w:jc w:val="center"/>
              <w:rPr>
                <w:sz w:val="20"/>
                <w:szCs w:val="20"/>
                <w:lang w:val="en-US"/>
              </w:rPr>
            </w:pPr>
            <w:r w:rsidRPr="7A81D421">
              <w:rPr>
                <w:sz w:val="20"/>
                <w:szCs w:val="20"/>
                <w:lang w:val="en-US"/>
              </w:rPr>
              <w:t>0.38</w:t>
            </w:r>
          </w:p>
        </w:tc>
        <w:tc>
          <w:tcPr>
            <w:tcW w:w="706" w:type="dxa"/>
            <w:tcMar>
              <w:left w:w="108" w:type="dxa"/>
              <w:right w:w="108" w:type="dxa"/>
            </w:tcMar>
            <w:vAlign w:val="center"/>
          </w:tcPr>
          <w:p w14:paraId="7C29AD3B" w14:textId="4E28847C" w:rsidR="7A81D421" w:rsidRDefault="7A81D421" w:rsidP="002135B0">
            <w:pPr>
              <w:spacing w:after="0"/>
              <w:jc w:val="center"/>
              <w:rPr>
                <w:sz w:val="20"/>
                <w:szCs w:val="20"/>
                <w:lang w:val="en-US"/>
              </w:rPr>
            </w:pPr>
            <w:r w:rsidRPr="7A81D421">
              <w:rPr>
                <w:sz w:val="20"/>
                <w:szCs w:val="20"/>
                <w:lang w:val="en-US"/>
              </w:rPr>
              <w:t>0.06</w:t>
            </w:r>
          </w:p>
        </w:tc>
        <w:tc>
          <w:tcPr>
            <w:tcW w:w="825" w:type="dxa"/>
            <w:tcMar>
              <w:left w:w="108" w:type="dxa"/>
              <w:right w:w="108" w:type="dxa"/>
            </w:tcMar>
            <w:vAlign w:val="center"/>
          </w:tcPr>
          <w:p w14:paraId="17451A07" w14:textId="3196A7E0" w:rsidR="7A81D421" w:rsidRDefault="7A81D421" w:rsidP="002135B0">
            <w:pPr>
              <w:spacing w:after="0"/>
              <w:jc w:val="center"/>
              <w:rPr>
                <w:sz w:val="20"/>
                <w:szCs w:val="20"/>
                <w:lang w:val="en-US"/>
              </w:rPr>
            </w:pPr>
            <w:r w:rsidRPr="7A81D421">
              <w:rPr>
                <w:sz w:val="20"/>
                <w:szCs w:val="20"/>
                <w:lang w:val="en-US"/>
              </w:rPr>
              <w:t>212.20</w:t>
            </w:r>
          </w:p>
        </w:tc>
        <w:tc>
          <w:tcPr>
            <w:tcW w:w="740" w:type="dxa"/>
            <w:tcMar>
              <w:left w:w="108" w:type="dxa"/>
              <w:right w:w="108" w:type="dxa"/>
            </w:tcMar>
            <w:vAlign w:val="center"/>
          </w:tcPr>
          <w:p w14:paraId="05F8172A" w14:textId="198CD6EF" w:rsidR="7A81D421" w:rsidRDefault="7A81D421" w:rsidP="002135B0">
            <w:pPr>
              <w:spacing w:after="0"/>
              <w:jc w:val="center"/>
              <w:rPr>
                <w:sz w:val="20"/>
                <w:szCs w:val="20"/>
                <w:lang w:val="en-US"/>
              </w:rPr>
            </w:pPr>
            <w:r w:rsidRPr="7A81D421">
              <w:rPr>
                <w:sz w:val="20"/>
                <w:szCs w:val="20"/>
                <w:lang w:val="en-US"/>
              </w:rPr>
              <w:t>99.70</w:t>
            </w:r>
          </w:p>
        </w:tc>
        <w:tc>
          <w:tcPr>
            <w:tcW w:w="928" w:type="dxa"/>
            <w:tcMar>
              <w:left w:w="108" w:type="dxa"/>
              <w:right w:w="108" w:type="dxa"/>
            </w:tcMar>
            <w:vAlign w:val="center"/>
          </w:tcPr>
          <w:p w14:paraId="0D8F148A" w14:textId="6EF0CAE5" w:rsidR="7A81D421" w:rsidRDefault="7A81D421" w:rsidP="002135B0">
            <w:pPr>
              <w:spacing w:after="0"/>
              <w:jc w:val="center"/>
              <w:rPr>
                <w:sz w:val="20"/>
                <w:szCs w:val="20"/>
                <w:lang w:val="en-US"/>
              </w:rPr>
            </w:pPr>
            <w:r w:rsidRPr="7A81D421">
              <w:rPr>
                <w:sz w:val="20"/>
                <w:szCs w:val="20"/>
                <w:lang w:val="en-US"/>
              </w:rPr>
              <w:t>2.03</w:t>
            </w:r>
          </w:p>
        </w:tc>
        <w:tc>
          <w:tcPr>
            <w:tcW w:w="1052" w:type="dxa"/>
            <w:tcMar>
              <w:left w:w="108" w:type="dxa"/>
              <w:right w:w="108" w:type="dxa"/>
            </w:tcMar>
            <w:vAlign w:val="center"/>
          </w:tcPr>
          <w:p w14:paraId="6717A0E4" w14:textId="35BB4E6B" w:rsidR="7A81D421" w:rsidRDefault="7A81D421" w:rsidP="002135B0">
            <w:pPr>
              <w:spacing w:after="0"/>
              <w:jc w:val="center"/>
              <w:rPr>
                <w:sz w:val="20"/>
                <w:szCs w:val="20"/>
                <w:lang w:val="en-US"/>
              </w:rPr>
            </w:pPr>
            <w:r w:rsidRPr="7A81D421">
              <w:rPr>
                <w:sz w:val="20"/>
                <w:szCs w:val="20"/>
                <w:lang w:val="en-US"/>
              </w:rPr>
              <w:t>194.12</w:t>
            </w:r>
          </w:p>
        </w:tc>
        <w:tc>
          <w:tcPr>
            <w:tcW w:w="794" w:type="dxa"/>
            <w:tcMar>
              <w:left w:w="108" w:type="dxa"/>
              <w:right w:w="108" w:type="dxa"/>
            </w:tcMar>
            <w:vAlign w:val="center"/>
          </w:tcPr>
          <w:p w14:paraId="141E0D74" w14:textId="0E6BEE61" w:rsidR="7A81D421" w:rsidRDefault="274D2446" w:rsidP="002135B0">
            <w:pPr>
              <w:spacing w:after="0"/>
              <w:jc w:val="center"/>
              <w:rPr>
                <w:sz w:val="20"/>
                <w:szCs w:val="20"/>
                <w:lang w:val="en-US"/>
              </w:rPr>
            </w:pPr>
            <w:r w:rsidRPr="274D2446">
              <w:rPr>
                <w:sz w:val="20"/>
                <w:szCs w:val="20"/>
                <w:lang w:val="en-US"/>
              </w:rPr>
              <w:t>508.64</w:t>
            </w:r>
          </w:p>
        </w:tc>
        <w:tc>
          <w:tcPr>
            <w:tcW w:w="885" w:type="dxa"/>
            <w:tcMar>
              <w:left w:w="108" w:type="dxa"/>
              <w:right w:w="108" w:type="dxa"/>
            </w:tcMar>
            <w:vAlign w:val="center"/>
          </w:tcPr>
          <w:p w14:paraId="176A17B2" w14:textId="18E51526" w:rsidR="7A81D421" w:rsidRPr="007F46F7" w:rsidRDefault="7A81D421" w:rsidP="002135B0">
            <w:pPr>
              <w:spacing w:after="0"/>
              <w:jc w:val="center"/>
              <w:rPr>
                <w:sz w:val="20"/>
                <w:szCs w:val="20"/>
                <w:lang w:val="en-US"/>
              </w:rPr>
            </w:pPr>
            <w:r w:rsidRPr="007F46F7">
              <w:rPr>
                <w:sz w:val="20"/>
                <w:szCs w:val="20"/>
                <w:lang w:val="en-US"/>
              </w:rPr>
              <w:t>557.47</w:t>
            </w:r>
          </w:p>
        </w:tc>
      </w:tr>
      <w:tr w:rsidR="7A81D421" w14:paraId="27620F13" w14:textId="77777777" w:rsidTr="002135B0">
        <w:trPr>
          <w:trHeight w:val="375"/>
        </w:trPr>
        <w:tc>
          <w:tcPr>
            <w:tcW w:w="1129" w:type="dxa"/>
            <w:shd w:val="clear" w:color="auto" w:fill="B4C6E7" w:themeFill="accent1" w:themeFillTint="66"/>
            <w:tcMar>
              <w:left w:w="108" w:type="dxa"/>
              <w:right w:w="108" w:type="dxa"/>
            </w:tcMar>
          </w:tcPr>
          <w:p w14:paraId="27462123" w14:textId="7A3B4015" w:rsidR="7A81D421" w:rsidRDefault="274D2446" w:rsidP="72358026">
            <w:pPr>
              <w:spacing w:after="0"/>
              <w:rPr>
                <w:sz w:val="20"/>
                <w:szCs w:val="20"/>
                <w:lang w:val="pt-BR"/>
              </w:rPr>
            </w:pPr>
            <w:r w:rsidRPr="274D2446">
              <w:rPr>
                <w:sz w:val="20"/>
                <w:szCs w:val="20"/>
                <w:lang w:val="pt-BR"/>
              </w:rPr>
              <w:t>15% deduction *</w:t>
            </w:r>
          </w:p>
        </w:tc>
        <w:tc>
          <w:tcPr>
            <w:tcW w:w="705" w:type="dxa"/>
            <w:shd w:val="clear" w:color="auto" w:fill="B4C6E7" w:themeFill="accent1" w:themeFillTint="66"/>
            <w:tcMar>
              <w:left w:w="108" w:type="dxa"/>
              <w:right w:w="108" w:type="dxa"/>
            </w:tcMar>
            <w:vAlign w:val="center"/>
          </w:tcPr>
          <w:p w14:paraId="7597F3F4" w14:textId="0567B849" w:rsidR="7A81D421" w:rsidRDefault="7A81D421" w:rsidP="002135B0">
            <w:pPr>
              <w:spacing w:after="0"/>
              <w:jc w:val="center"/>
              <w:rPr>
                <w:sz w:val="20"/>
                <w:szCs w:val="20"/>
                <w:lang w:val="en-US"/>
              </w:rPr>
            </w:pPr>
            <w:r w:rsidRPr="7A81D421">
              <w:rPr>
                <w:sz w:val="20"/>
                <w:szCs w:val="20"/>
                <w:lang w:val="en-US"/>
              </w:rPr>
              <w:t>0.12</w:t>
            </w:r>
          </w:p>
        </w:tc>
        <w:tc>
          <w:tcPr>
            <w:tcW w:w="705" w:type="dxa"/>
            <w:shd w:val="clear" w:color="auto" w:fill="B4C6E7" w:themeFill="accent1" w:themeFillTint="66"/>
            <w:tcMar>
              <w:left w:w="108" w:type="dxa"/>
              <w:right w:w="108" w:type="dxa"/>
            </w:tcMar>
            <w:vAlign w:val="center"/>
          </w:tcPr>
          <w:p w14:paraId="4961B6D2" w14:textId="2EAF12A5" w:rsidR="7A81D421" w:rsidRDefault="7A81D421" w:rsidP="002135B0">
            <w:pPr>
              <w:spacing w:after="0"/>
              <w:jc w:val="center"/>
              <w:rPr>
                <w:sz w:val="20"/>
                <w:szCs w:val="20"/>
                <w:lang w:val="en-US"/>
              </w:rPr>
            </w:pPr>
            <w:r w:rsidRPr="7A81D421">
              <w:rPr>
                <w:sz w:val="20"/>
                <w:szCs w:val="20"/>
                <w:lang w:val="en-US"/>
              </w:rPr>
              <w:t>0.33</w:t>
            </w:r>
          </w:p>
        </w:tc>
        <w:tc>
          <w:tcPr>
            <w:tcW w:w="706" w:type="dxa"/>
            <w:shd w:val="clear" w:color="auto" w:fill="B4C6E7" w:themeFill="accent1" w:themeFillTint="66"/>
            <w:tcMar>
              <w:left w:w="108" w:type="dxa"/>
              <w:right w:w="108" w:type="dxa"/>
            </w:tcMar>
            <w:vAlign w:val="center"/>
          </w:tcPr>
          <w:p w14:paraId="0C88E812" w14:textId="0AD3504B" w:rsidR="7A81D421" w:rsidRDefault="7A81D421" w:rsidP="002135B0">
            <w:pPr>
              <w:spacing w:after="0"/>
              <w:jc w:val="center"/>
              <w:rPr>
                <w:sz w:val="20"/>
                <w:szCs w:val="20"/>
                <w:lang w:val="en-US"/>
              </w:rPr>
            </w:pPr>
            <w:r w:rsidRPr="7A81D421">
              <w:rPr>
                <w:sz w:val="20"/>
                <w:szCs w:val="20"/>
                <w:lang w:val="en-US"/>
              </w:rPr>
              <w:t>0.05</w:t>
            </w:r>
          </w:p>
        </w:tc>
        <w:tc>
          <w:tcPr>
            <w:tcW w:w="825" w:type="dxa"/>
            <w:shd w:val="clear" w:color="auto" w:fill="B4C6E7" w:themeFill="accent1" w:themeFillTint="66"/>
            <w:tcMar>
              <w:left w:w="108" w:type="dxa"/>
              <w:right w:w="108" w:type="dxa"/>
            </w:tcMar>
            <w:vAlign w:val="center"/>
          </w:tcPr>
          <w:p w14:paraId="236CCF9B" w14:textId="5F7140B4" w:rsidR="7A81D421" w:rsidRDefault="7A81D421" w:rsidP="002135B0">
            <w:pPr>
              <w:spacing w:after="0"/>
              <w:jc w:val="center"/>
              <w:rPr>
                <w:sz w:val="20"/>
                <w:szCs w:val="20"/>
                <w:lang w:val="en-US"/>
              </w:rPr>
            </w:pPr>
            <w:r w:rsidRPr="7A81D421">
              <w:rPr>
                <w:sz w:val="20"/>
                <w:szCs w:val="20"/>
                <w:lang w:val="en-US"/>
              </w:rPr>
              <w:t>180.37</w:t>
            </w:r>
          </w:p>
        </w:tc>
        <w:tc>
          <w:tcPr>
            <w:tcW w:w="740" w:type="dxa"/>
            <w:shd w:val="clear" w:color="auto" w:fill="B4C6E7" w:themeFill="accent1" w:themeFillTint="66"/>
            <w:tcMar>
              <w:left w:w="108" w:type="dxa"/>
              <w:right w:w="108" w:type="dxa"/>
            </w:tcMar>
            <w:vAlign w:val="center"/>
          </w:tcPr>
          <w:p w14:paraId="2171B32F" w14:textId="4D9824EE" w:rsidR="7A81D421" w:rsidRDefault="7A81D421" w:rsidP="002135B0">
            <w:pPr>
              <w:spacing w:after="0"/>
              <w:jc w:val="center"/>
              <w:rPr>
                <w:sz w:val="20"/>
                <w:szCs w:val="20"/>
                <w:lang w:val="en-US"/>
              </w:rPr>
            </w:pPr>
            <w:r w:rsidRPr="7A81D421">
              <w:rPr>
                <w:sz w:val="20"/>
                <w:szCs w:val="20"/>
                <w:lang w:val="en-US"/>
              </w:rPr>
              <w:t>84.75</w:t>
            </w:r>
          </w:p>
        </w:tc>
        <w:tc>
          <w:tcPr>
            <w:tcW w:w="928" w:type="dxa"/>
            <w:shd w:val="clear" w:color="auto" w:fill="B4C6E7" w:themeFill="accent1" w:themeFillTint="66"/>
            <w:tcMar>
              <w:left w:w="108" w:type="dxa"/>
              <w:right w:w="108" w:type="dxa"/>
            </w:tcMar>
            <w:vAlign w:val="center"/>
          </w:tcPr>
          <w:p w14:paraId="0BC79FF3" w14:textId="297885D2" w:rsidR="7A81D421" w:rsidRDefault="7A81D421" w:rsidP="002135B0">
            <w:pPr>
              <w:spacing w:after="0"/>
              <w:jc w:val="center"/>
              <w:rPr>
                <w:sz w:val="20"/>
                <w:szCs w:val="20"/>
                <w:lang w:val="en-US"/>
              </w:rPr>
            </w:pPr>
            <w:r w:rsidRPr="7A81D421">
              <w:rPr>
                <w:sz w:val="20"/>
                <w:szCs w:val="20"/>
                <w:lang w:val="en-US"/>
              </w:rPr>
              <w:t>1.73</w:t>
            </w:r>
          </w:p>
        </w:tc>
        <w:tc>
          <w:tcPr>
            <w:tcW w:w="1052" w:type="dxa"/>
            <w:shd w:val="clear" w:color="auto" w:fill="B4C6E7" w:themeFill="accent1" w:themeFillTint="66"/>
            <w:tcMar>
              <w:left w:w="108" w:type="dxa"/>
              <w:right w:w="108" w:type="dxa"/>
            </w:tcMar>
            <w:vAlign w:val="center"/>
          </w:tcPr>
          <w:p w14:paraId="502C83B0" w14:textId="1758A003" w:rsidR="7A81D421" w:rsidRDefault="7A81D421" w:rsidP="002135B0">
            <w:pPr>
              <w:spacing w:after="0"/>
              <w:jc w:val="center"/>
              <w:rPr>
                <w:sz w:val="20"/>
                <w:szCs w:val="20"/>
                <w:lang w:val="en-US"/>
              </w:rPr>
            </w:pPr>
            <w:r w:rsidRPr="7A81D421">
              <w:rPr>
                <w:sz w:val="20"/>
                <w:szCs w:val="20"/>
                <w:lang w:val="en-US"/>
              </w:rPr>
              <w:t>194.12</w:t>
            </w:r>
          </w:p>
        </w:tc>
        <w:tc>
          <w:tcPr>
            <w:tcW w:w="794" w:type="dxa"/>
            <w:shd w:val="clear" w:color="auto" w:fill="B4C6E7" w:themeFill="accent1" w:themeFillTint="66"/>
            <w:tcMar>
              <w:left w:w="108" w:type="dxa"/>
              <w:right w:w="108" w:type="dxa"/>
            </w:tcMar>
            <w:vAlign w:val="center"/>
          </w:tcPr>
          <w:p w14:paraId="7B2574B4" w14:textId="79443892" w:rsidR="7A81D421" w:rsidRDefault="7A81D421" w:rsidP="002135B0">
            <w:pPr>
              <w:spacing w:after="0"/>
              <w:jc w:val="center"/>
              <w:rPr>
                <w:sz w:val="20"/>
                <w:szCs w:val="20"/>
                <w:lang w:val="en-US"/>
              </w:rPr>
            </w:pPr>
            <w:r w:rsidRPr="7A81D421">
              <w:rPr>
                <w:sz w:val="20"/>
                <w:szCs w:val="20"/>
                <w:lang w:val="en-US"/>
              </w:rPr>
              <w:t>461.46</w:t>
            </w:r>
          </w:p>
        </w:tc>
        <w:tc>
          <w:tcPr>
            <w:tcW w:w="885" w:type="dxa"/>
            <w:shd w:val="clear" w:color="auto" w:fill="B4C6E7" w:themeFill="accent1" w:themeFillTint="66"/>
            <w:tcMar>
              <w:left w:w="108" w:type="dxa"/>
              <w:right w:w="108" w:type="dxa"/>
            </w:tcMar>
            <w:vAlign w:val="center"/>
          </w:tcPr>
          <w:p w14:paraId="5BDA28AF" w14:textId="1BD9FD97" w:rsidR="7A81D421" w:rsidRPr="007F46F7" w:rsidRDefault="7A81D421" w:rsidP="002135B0">
            <w:pPr>
              <w:spacing w:after="0"/>
              <w:jc w:val="center"/>
              <w:rPr>
                <w:b/>
                <w:sz w:val="20"/>
                <w:szCs w:val="20"/>
                <w:lang w:val="en-US"/>
              </w:rPr>
            </w:pPr>
            <w:r w:rsidRPr="007F46F7">
              <w:rPr>
                <w:b/>
                <w:sz w:val="20"/>
                <w:szCs w:val="20"/>
                <w:lang w:val="en-US"/>
              </w:rPr>
              <w:t>505.76</w:t>
            </w:r>
          </w:p>
        </w:tc>
      </w:tr>
    </w:tbl>
    <w:p w14:paraId="6E3F42B2" w14:textId="6D2A39FA" w:rsidR="00944F08" w:rsidRPr="00FA78CD" w:rsidRDefault="274D2446" w:rsidP="003A3BC3">
      <w:pPr>
        <w:spacing w:after="160"/>
        <w:rPr>
          <w:sz w:val="18"/>
          <w:szCs w:val="18"/>
          <w:lang w:val="en-US"/>
        </w:rPr>
      </w:pPr>
      <w:r w:rsidRPr="274D2446">
        <w:rPr>
          <w:sz w:val="18"/>
          <w:szCs w:val="18"/>
          <w:lang w:val="en-US"/>
        </w:rPr>
        <w:t>* 15% deduction for ineligible foreign ownership in the manufacturing sectors. Only sectors with remaining consumption for each individual party were considered.</w:t>
      </w:r>
    </w:p>
    <w:p w14:paraId="3E4CEC75" w14:textId="14C6BBAA" w:rsidR="00F142C6" w:rsidRPr="00C2703B" w:rsidRDefault="00064DA6" w:rsidP="003A3BC3">
      <w:pPr>
        <w:spacing w:after="160"/>
        <w:rPr>
          <w:lang w:val="en-US"/>
        </w:rPr>
      </w:pPr>
      <w:r>
        <w:rPr>
          <w:lang w:val="en-US"/>
        </w:rPr>
        <w:t>A</w:t>
      </w:r>
      <w:r w:rsidR="006943B6">
        <w:rPr>
          <w:lang w:val="en-US"/>
        </w:rPr>
        <w:t>s</w:t>
      </w:r>
      <w:r>
        <w:rPr>
          <w:lang w:val="en-US"/>
        </w:rPr>
        <w:t xml:space="preserve"> mentioned in section 1.6.10, </w:t>
      </w:r>
      <w:r w:rsidR="006C7F43" w:rsidRPr="006C7F43">
        <w:rPr>
          <w:lang w:val="en-US"/>
        </w:rPr>
        <w:t>RTF was unable to estimate and has not included PMU for remaining HPMPs (PMU is outside cost guidelines values for non-LVCs</w:t>
      </w:r>
      <w:r w:rsidR="00AF683B">
        <w:rPr>
          <w:lang w:val="en-US"/>
        </w:rPr>
        <w:t>)</w:t>
      </w:r>
      <w:r w:rsidR="00DE0939">
        <w:rPr>
          <w:lang w:val="en-US"/>
        </w:rPr>
        <w:t xml:space="preserve">. </w:t>
      </w:r>
      <w:r w:rsidR="006C7F43" w:rsidRPr="006C7F43">
        <w:rPr>
          <w:lang w:val="en-US"/>
        </w:rPr>
        <w:t>RTF, in consultation with the MLFS, believes the costs could be about 5</w:t>
      </w:r>
      <w:r w:rsidR="0073345B">
        <w:rPr>
          <w:lang w:val="en-US"/>
        </w:rPr>
        <w:t>,</w:t>
      </w:r>
      <w:r w:rsidR="006C7F43" w:rsidRPr="006C7F43">
        <w:rPr>
          <w:lang w:val="en-US"/>
        </w:rPr>
        <w:t xml:space="preserve"> 7</w:t>
      </w:r>
      <w:r w:rsidR="0073345B">
        <w:rPr>
          <w:lang w:val="en-US"/>
        </w:rPr>
        <w:t>,</w:t>
      </w:r>
      <w:r w:rsidR="006C7F43" w:rsidRPr="006C7F43">
        <w:rPr>
          <w:lang w:val="en-US"/>
        </w:rPr>
        <w:t xml:space="preserve"> or 10</w:t>
      </w:r>
      <w:r w:rsidR="0073345B">
        <w:rPr>
          <w:lang w:val="en-US"/>
        </w:rPr>
        <w:t>%</w:t>
      </w:r>
      <w:r w:rsidR="006C7F43" w:rsidRPr="006C7F43">
        <w:rPr>
          <w:lang w:val="en-US"/>
        </w:rPr>
        <w:t xml:space="preserve"> depending upon the party. </w:t>
      </w:r>
    </w:p>
    <w:p w14:paraId="64E1C029" w14:textId="138DDCD7" w:rsidR="00F17458" w:rsidRPr="00F17458" w:rsidRDefault="00F17458" w:rsidP="007C77CF">
      <w:pPr>
        <w:pStyle w:val="Heading3"/>
        <w:rPr>
          <w:sz w:val="24"/>
          <w:szCs w:val="24"/>
          <w:lang w:val="en-US"/>
        </w:rPr>
      </w:pPr>
      <w:bookmarkStart w:id="141" w:name="_Toc230099058"/>
      <w:r w:rsidRPr="2374FBE6">
        <w:rPr>
          <w:sz w:val="24"/>
          <w:szCs w:val="24"/>
          <w:lang w:val="en-US"/>
        </w:rPr>
        <w:t>2.4</w:t>
      </w:r>
      <w:r>
        <w:rPr>
          <w:sz w:val="24"/>
          <w:szCs w:val="24"/>
          <w:lang w:val="en-US"/>
        </w:rPr>
        <w:t>.</w:t>
      </w:r>
      <w:r w:rsidR="00273F28">
        <w:rPr>
          <w:sz w:val="24"/>
          <w:szCs w:val="24"/>
          <w:lang w:val="en-US"/>
        </w:rPr>
        <w:t>4</w:t>
      </w:r>
      <w:r>
        <w:tab/>
      </w:r>
      <w:r w:rsidRPr="00F17458">
        <w:t xml:space="preserve">Estimated </w:t>
      </w:r>
      <w:r w:rsidR="000C4623">
        <w:t>f</w:t>
      </w:r>
      <w:r w:rsidRPr="00F17458">
        <w:t xml:space="preserve">unding for </w:t>
      </w:r>
      <w:r w:rsidRPr="00905EE6">
        <w:t>10</w:t>
      </w:r>
      <w:r w:rsidRPr="00F17458">
        <w:t xml:space="preserve"> LVC </w:t>
      </w:r>
      <w:r w:rsidR="000C4623">
        <w:t>p</w:t>
      </w:r>
      <w:r w:rsidRPr="00F17458">
        <w:t>arties</w:t>
      </w:r>
      <w:bookmarkEnd w:id="141"/>
    </w:p>
    <w:p w14:paraId="41CAF67B" w14:textId="17C5295A" w:rsidR="00931CF0" w:rsidRPr="00FA78CD" w:rsidRDefault="4BCEE662" w:rsidP="00FA78CD">
      <w:pPr>
        <w:spacing w:after="0"/>
        <w:rPr>
          <w:b/>
          <w:bCs/>
          <w:lang w:val="en-US"/>
        </w:rPr>
      </w:pPr>
      <w:r w:rsidRPr="4BCEE662">
        <w:rPr>
          <w:lang w:val="en-US"/>
        </w:rPr>
        <w:t xml:space="preserve">Out of 25 parties, 10 are LVCs. For those, RTF estimated new funding taking into account a separate cost framework, as per ExCom Decision 74/50. New funding estimates are under </w:t>
      </w:r>
      <w:r w:rsidRPr="4BCEE662">
        <w:rPr>
          <w:b/>
          <w:bCs/>
          <w:lang w:val="en-US"/>
        </w:rPr>
        <w:t>Output 6</w:t>
      </w:r>
      <w:r w:rsidRPr="4BCEE662">
        <w:rPr>
          <w:lang w:val="en-US"/>
        </w:rPr>
        <w:t xml:space="preserve"> in the flow chart. Based on the most recent reported data (2024), two parties have completed their phaseout processes. Considering the amounts already committed for the remaining eight countries, as well as the funding levels established under Decision 74/50 for phaseout, the total amount to be allocated to these countries is </w:t>
      </w:r>
      <w:r w:rsidRPr="4BCEE662">
        <w:rPr>
          <w:b/>
          <w:bCs/>
          <w:lang w:val="en-US"/>
        </w:rPr>
        <w:t>US$ 2.56 million.</w:t>
      </w:r>
    </w:p>
    <w:p w14:paraId="2D86B44F" w14:textId="64AB8CAD" w:rsidR="00931CF0" w:rsidRPr="00B44F02" w:rsidRDefault="00610233" w:rsidP="007C77CF">
      <w:pPr>
        <w:pStyle w:val="Heading3"/>
        <w:rPr>
          <w:sz w:val="24"/>
          <w:szCs w:val="24"/>
          <w:lang w:val="en-US"/>
        </w:rPr>
      </w:pPr>
      <w:bookmarkStart w:id="142" w:name="_Toc230099059"/>
      <w:r w:rsidRPr="2374FBE6">
        <w:rPr>
          <w:sz w:val="24"/>
          <w:szCs w:val="24"/>
          <w:lang w:val="en-US"/>
        </w:rPr>
        <w:t>2.4</w:t>
      </w:r>
      <w:r>
        <w:rPr>
          <w:sz w:val="24"/>
          <w:szCs w:val="24"/>
          <w:lang w:val="en-US"/>
        </w:rPr>
        <w:t>.</w:t>
      </w:r>
      <w:r w:rsidR="00273F28">
        <w:rPr>
          <w:sz w:val="24"/>
          <w:szCs w:val="24"/>
          <w:lang w:val="en-US"/>
        </w:rPr>
        <w:t>5</w:t>
      </w:r>
      <w:r>
        <w:tab/>
      </w:r>
      <w:r w:rsidR="00273F28">
        <w:t xml:space="preserve">Total </w:t>
      </w:r>
      <w:r w:rsidR="00273F28" w:rsidRPr="00905EE6">
        <w:t>estimated</w:t>
      </w:r>
      <w:r w:rsidR="00273F28">
        <w:t xml:space="preserve"> funding for remaining</w:t>
      </w:r>
      <w:r w:rsidR="00B44F02">
        <w:t xml:space="preserve"> phase-out in the consumption sector</w:t>
      </w:r>
      <w:bookmarkEnd w:id="142"/>
    </w:p>
    <w:p w14:paraId="2F74A11E" w14:textId="5C23604D" w:rsidR="3AB746AD" w:rsidRDefault="274D2446" w:rsidP="00FA78CD">
      <w:pPr>
        <w:spacing w:after="0"/>
        <w:rPr>
          <w:b/>
          <w:bCs/>
          <w:lang w:val="en-US"/>
        </w:rPr>
      </w:pPr>
      <w:r w:rsidRPr="274D2446">
        <w:rPr>
          <w:lang w:val="en-US"/>
        </w:rPr>
        <w:t>The total estimated funding requirement for 2027-2029 for all 25 parties, which have eligible remaining consumption, to reach complete phase</w:t>
      </w:r>
      <w:r w:rsidR="009E1435">
        <w:rPr>
          <w:lang w:val="en-US"/>
        </w:rPr>
        <w:t>-</w:t>
      </w:r>
      <w:r w:rsidRPr="274D2446">
        <w:rPr>
          <w:lang w:val="en-US"/>
        </w:rPr>
        <w:t xml:space="preserve">out ranges from </w:t>
      </w:r>
      <w:r w:rsidRPr="274D2446">
        <w:rPr>
          <w:b/>
          <w:bCs/>
          <w:lang w:val="en-US"/>
        </w:rPr>
        <w:t>US$ 37</w:t>
      </w:r>
      <w:r w:rsidR="009C28D2">
        <w:rPr>
          <w:b/>
          <w:bCs/>
          <w:lang w:val="en-US"/>
        </w:rPr>
        <w:t>3</w:t>
      </w:r>
      <w:r w:rsidRPr="274D2446">
        <w:rPr>
          <w:b/>
          <w:bCs/>
          <w:lang w:val="en-US"/>
        </w:rPr>
        <w:t xml:space="preserve"> million to US$ 508 million.</w:t>
      </w:r>
    </w:p>
    <w:p w14:paraId="5F716073" w14:textId="33CA1A6A" w:rsidR="3AB746AD" w:rsidRDefault="3AB746AD" w:rsidP="72358026">
      <w:pPr>
        <w:spacing w:after="0"/>
        <w:jc w:val="both"/>
        <w:rPr>
          <w:b/>
          <w:bCs/>
          <w:lang w:val="en-US"/>
        </w:rPr>
      </w:pPr>
      <w:r w:rsidRPr="7A81D421">
        <w:rPr>
          <w:b/>
          <w:bCs/>
          <w:lang w:val="en-US"/>
        </w:rPr>
        <w:t xml:space="preserve"> </w:t>
      </w:r>
    </w:p>
    <w:p w14:paraId="4B0E3FB9" w14:textId="77777777" w:rsidR="00C2374A" w:rsidRDefault="00C2374A" w:rsidP="72358026">
      <w:pPr>
        <w:spacing w:after="0"/>
        <w:jc w:val="both"/>
        <w:rPr>
          <w:b/>
          <w:bCs/>
          <w:lang w:val="en-US"/>
        </w:rPr>
      </w:pPr>
    </w:p>
    <w:p w14:paraId="54D7D905" w14:textId="77777777" w:rsidR="00720371" w:rsidRDefault="00720371" w:rsidP="72358026">
      <w:pPr>
        <w:spacing w:after="0"/>
        <w:jc w:val="both"/>
        <w:rPr>
          <w:b/>
          <w:bCs/>
          <w:lang w:val="en-US"/>
        </w:rPr>
      </w:pPr>
    </w:p>
    <w:p w14:paraId="720EB9F3" w14:textId="21D84F61" w:rsidR="00726C47" w:rsidRDefault="274D2446" w:rsidP="002135B0">
      <w:pPr>
        <w:tabs>
          <w:tab w:val="left" w:pos="1134"/>
        </w:tabs>
        <w:spacing w:after="120"/>
        <w:ind w:left="1134" w:hanging="1134"/>
        <w:rPr>
          <w:lang w:val="en-US"/>
        </w:rPr>
      </w:pPr>
      <w:r w:rsidRPr="274D2446">
        <w:rPr>
          <w:rFonts w:eastAsiaTheme="minorEastAsia"/>
          <w:b/>
          <w:bCs/>
        </w:rPr>
        <w:lastRenderedPageBreak/>
        <w:t>Table 2.</w:t>
      </w:r>
      <w:r w:rsidR="00790CEA">
        <w:rPr>
          <w:rFonts w:eastAsiaTheme="minorEastAsia"/>
          <w:b/>
          <w:bCs/>
        </w:rPr>
        <w:t>7</w:t>
      </w:r>
      <w:r w:rsidR="00720371">
        <w:rPr>
          <w:rFonts w:eastAsiaTheme="minorEastAsia"/>
          <w:b/>
          <w:bCs/>
        </w:rPr>
        <w:t>:</w:t>
      </w:r>
      <w:r w:rsidR="00245AB7">
        <w:tab/>
      </w:r>
      <w:r w:rsidRPr="274D2446">
        <w:rPr>
          <w:b/>
          <w:bCs/>
        </w:rPr>
        <w:t xml:space="preserve">Total estimated funding for remaining HCFC consumption sector phase-out for 25 parties </w:t>
      </w:r>
      <w:r w:rsidRPr="274D2446">
        <w:rPr>
          <w:b/>
          <w:bCs/>
          <w:lang w:val="en-US"/>
        </w:rPr>
        <w:t>(US$ millions)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3"/>
        <w:gridCol w:w="1151"/>
        <w:gridCol w:w="1139"/>
      </w:tblGrid>
      <w:tr w:rsidR="00885736" w:rsidRPr="00F87D09" w14:paraId="5490808E" w14:textId="76C9CE93" w:rsidTr="00D41A33">
        <w:trPr>
          <w:trHeight w:val="46"/>
          <w:jc w:val="center"/>
        </w:trPr>
        <w:tc>
          <w:tcPr>
            <w:tcW w:w="6013" w:type="dxa"/>
            <w:shd w:val="clear" w:color="auto" w:fill="D9E2F3" w:themeFill="accent1" w:themeFillTint="33"/>
            <w:noWrap/>
            <w:vAlign w:val="center"/>
            <w:hideMark/>
          </w:tcPr>
          <w:p w14:paraId="03A10D86" w14:textId="0B671717" w:rsidR="00885736" w:rsidRPr="00F87D09" w:rsidRDefault="274D2446" w:rsidP="00726C47">
            <w:pPr>
              <w:spacing w:after="0"/>
              <w:rPr>
                <w:b/>
                <w:bCs/>
                <w:sz w:val="20"/>
                <w:szCs w:val="20"/>
                <w:lang w:val="en-US"/>
              </w:rPr>
            </w:pPr>
            <w:r w:rsidRPr="00F87D09">
              <w:rPr>
                <w:b/>
                <w:bCs/>
                <w:sz w:val="20"/>
                <w:szCs w:val="20"/>
                <w:lang w:val="en-US"/>
              </w:rPr>
              <w:t>HCFC Consumption Sector</w:t>
            </w:r>
          </w:p>
        </w:tc>
        <w:tc>
          <w:tcPr>
            <w:tcW w:w="1151" w:type="dxa"/>
            <w:shd w:val="clear" w:color="auto" w:fill="D9E2F3" w:themeFill="accent1" w:themeFillTint="33"/>
            <w:vAlign w:val="center"/>
          </w:tcPr>
          <w:p w14:paraId="1E0DA580" w14:textId="468AABCB" w:rsidR="00885736" w:rsidRPr="00F87D09" w:rsidRDefault="00AD20D5" w:rsidP="00C21B8E">
            <w:pPr>
              <w:spacing w:after="0"/>
              <w:jc w:val="center"/>
              <w:rPr>
                <w:b/>
                <w:bCs/>
                <w:sz w:val="20"/>
                <w:szCs w:val="20"/>
                <w:lang w:val="en-US"/>
              </w:rPr>
            </w:pPr>
            <w:r w:rsidRPr="00F87D09">
              <w:rPr>
                <w:b/>
                <w:bCs/>
                <w:sz w:val="20"/>
                <w:szCs w:val="20"/>
                <w:lang w:val="en-US"/>
              </w:rPr>
              <w:t xml:space="preserve">HCFC </w:t>
            </w:r>
            <w:r w:rsidR="00C9176B" w:rsidRPr="00F87D09">
              <w:rPr>
                <w:b/>
                <w:bCs/>
                <w:sz w:val="20"/>
                <w:szCs w:val="20"/>
                <w:lang w:val="en-US"/>
              </w:rPr>
              <w:t xml:space="preserve"> Scenario </w:t>
            </w:r>
            <w:r w:rsidRPr="00F87D09">
              <w:rPr>
                <w:b/>
                <w:bCs/>
                <w:sz w:val="20"/>
                <w:szCs w:val="20"/>
                <w:lang w:val="en-US"/>
              </w:rPr>
              <w:t xml:space="preserve">1 </w:t>
            </w:r>
            <w:r w:rsidR="00C9176B" w:rsidRPr="00F87D09">
              <w:rPr>
                <w:b/>
                <w:bCs/>
                <w:sz w:val="20"/>
                <w:szCs w:val="20"/>
                <w:lang w:val="en-US"/>
              </w:rPr>
              <w:t>(historical CE)</w:t>
            </w:r>
          </w:p>
        </w:tc>
        <w:tc>
          <w:tcPr>
            <w:tcW w:w="1139" w:type="dxa"/>
            <w:shd w:val="clear" w:color="auto" w:fill="D9E2F3" w:themeFill="accent1" w:themeFillTint="33"/>
            <w:vAlign w:val="center"/>
          </w:tcPr>
          <w:p w14:paraId="3706D9BF" w14:textId="541D8476" w:rsidR="00885736" w:rsidRPr="00F87D09" w:rsidRDefault="00AD20D5" w:rsidP="00C21B8E">
            <w:pPr>
              <w:spacing w:after="0"/>
              <w:jc w:val="center"/>
              <w:rPr>
                <w:b/>
                <w:bCs/>
                <w:sz w:val="20"/>
                <w:szCs w:val="20"/>
                <w:lang w:val="en-US"/>
              </w:rPr>
            </w:pPr>
            <w:r w:rsidRPr="00F87D09">
              <w:rPr>
                <w:b/>
                <w:bCs/>
                <w:sz w:val="20"/>
                <w:szCs w:val="20"/>
                <w:lang w:val="en-US"/>
              </w:rPr>
              <w:t xml:space="preserve">HCFC </w:t>
            </w:r>
            <w:r w:rsidR="00C9176B" w:rsidRPr="00F87D09">
              <w:rPr>
                <w:b/>
                <w:bCs/>
                <w:sz w:val="20"/>
                <w:szCs w:val="20"/>
                <w:lang w:val="en-US"/>
              </w:rPr>
              <w:t xml:space="preserve"> Scenario </w:t>
            </w:r>
            <w:r w:rsidRPr="00F87D09">
              <w:rPr>
                <w:b/>
                <w:bCs/>
                <w:sz w:val="20"/>
                <w:szCs w:val="20"/>
                <w:lang w:val="en-US"/>
              </w:rPr>
              <w:t xml:space="preserve">2 </w:t>
            </w:r>
            <w:r w:rsidR="00C9176B" w:rsidRPr="00F87D09">
              <w:rPr>
                <w:b/>
                <w:bCs/>
                <w:sz w:val="20"/>
                <w:szCs w:val="20"/>
                <w:lang w:val="en-US"/>
              </w:rPr>
              <w:t>(cost guidelines CE)</w:t>
            </w:r>
          </w:p>
        </w:tc>
      </w:tr>
      <w:tr w:rsidR="00C9176B" w:rsidRPr="00F87D09" w14:paraId="1B7C7FC3" w14:textId="7E7ABA20" w:rsidTr="00DD7DCC">
        <w:trPr>
          <w:trHeight w:val="73"/>
          <w:jc w:val="center"/>
        </w:trPr>
        <w:tc>
          <w:tcPr>
            <w:tcW w:w="6013" w:type="dxa"/>
            <w:shd w:val="clear" w:color="auto" w:fill="FFFFFF" w:themeFill="background1"/>
            <w:noWrap/>
            <w:hideMark/>
          </w:tcPr>
          <w:p w14:paraId="1D492E28" w14:textId="7910DAFF" w:rsidR="00C9176B" w:rsidRPr="00F87D09" w:rsidRDefault="00C9176B" w:rsidP="00C9176B">
            <w:pPr>
              <w:spacing w:after="0"/>
              <w:rPr>
                <w:sz w:val="20"/>
                <w:szCs w:val="20"/>
                <w:lang w:val="en-US"/>
              </w:rPr>
            </w:pPr>
            <w:r w:rsidRPr="00F87D09">
              <w:rPr>
                <w:color w:val="auto"/>
                <w:sz w:val="20"/>
                <w:szCs w:val="20"/>
                <w:lang w:val="en-US"/>
              </w:rPr>
              <w:t xml:space="preserve">Estimated </w:t>
            </w:r>
            <w:r w:rsidR="00673DE5" w:rsidRPr="00F87D09">
              <w:rPr>
                <w:color w:val="auto"/>
                <w:sz w:val="20"/>
                <w:szCs w:val="20"/>
                <w:lang w:val="en-US"/>
              </w:rPr>
              <w:t>new</w:t>
            </w:r>
            <w:r w:rsidRPr="00F87D09">
              <w:rPr>
                <w:color w:val="auto"/>
                <w:sz w:val="20"/>
                <w:szCs w:val="20"/>
                <w:lang w:val="en-US"/>
              </w:rPr>
              <w:t xml:space="preserve"> </w:t>
            </w:r>
            <w:r w:rsidR="00673DE5" w:rsidRPr="00F87D09">
              <w:rPr>
                <w:color w:val="auto"/>
                <w:sz w:val="20"/>
                <w:szCs w:val="20"/>
                <w:lang w:val="en-US"/>
              </w:rPr>
              <w:t>f</w:t>
            </w:r>
            <w:r w:rsidRPr="00F87D09">
              <w:rPr>
                <w:color w:val="auto"/>
                <w:sz w:val="20"/>
                <w:szCs w:val="20"/>
                <w:lang w:val="en-US"/>
              </w:rPr>
              <w:t>unding</w:t>
            </w:r>
            <w:r w:rsidR="00D3079D" w:rsidRPr="00F87D09">
              <w:rPr>
                <w:color w:val="auto"/>
                <w:sz w:val="20"/>
                <w:szCs w:val="20"/>
                <w:lang w:val="en-US"/>
              </w:rPr>
              <w:t xml:space="preserve">: </w:t>
            </w:r>
            <w:r w:rsidRPr="00F87D09">
              <w:rPr>
                <w:color w:val="auto"/>
                <w:sz w:val="20"/>
                <w:szCs w:val="20"/>
                <w:lang w:val="en-US"/>
              </w:rPr>
              <w:t>10 LVC</w:t>
            </w:r>
            <w:r w:rsidR="00CD4F5B" w:rsidRPr="00F87D09">
              <w:rPr>
                <w:color w:val="auto"/>
                <w:sz w:val="20"/>
                <w:szCs w:val="20"/>
                <w:lang w:val="en-US"/>
              </w:rPr>
              <w:t>*</w:t>
            </w:r>
            <w:r w:rsidRPr="00F87D09">
              <w:rPr>
                <w:color w:val="auto"/>
                <w:sz w:val="20"/>
                <w:szCs w:val="20"/>
                <w:lang w:val="en-US"/>
              </w:rPr>
              <w:t xml:space="preserve"> parties to complete phase</w:t>
            </w:r>
            <w:r w:rsidR="00D3079D" w:rsidRPr="00F87D09">
              <w:rPr>
                <w:color w:val="auto"/>
                <w:sz w:val="20"/>
                <w:szCs w:val="20"/>
                <w:lang w:val="en-US"/>
              </w:rPr>
              <w:t>-</w:t>
            </w:r>
            <w:r w:rsidRPr="00F87D09">
              <w:rPr>
                <w:color w:val="auto"/>
                <w:sz w:val="20"/>
                <w:szCs w:val="20"/>
                <w:lang w:val="en-US"/>
              </w:rPr>
              <w:t>out</w:t>
            </w:r>
          </w:p>
        </w:tc>
        <w:tc>
          <w:tcPr>
            <w:tcW w:w="1151" w:type="dxa"/>
            <w:shd w:val="clear" w:color="auto" w:fill="FFFFFF" w:themeFill="background1"/>
          </w:tcPr>
          <w:p w14:paraId="67A2198B" w14:textId="1F62DA36" w:rsidR="00C9176B" w:rsidRPr="00F87D09" w:rsidRDefault="00C9176B" w:rsidP="00C9176B">
            <w:pPr>
              <w:spacing w:after="0"/>
              <w:jc w:val="right"/>
              <w:rPr>
                <w:sz w:val="20"/>
                <w:szCs w:val="20"/>
                <w:lang w:val="en-US"/>
              </w:rPr>
            </w:pPr>
            <w:r w:rsidRPr="00F87D09">
              <w:rPr>
                <w:sz w:val="20"/>
                <w:szCs w:val="20"/>
                <w:lang w:val="en-US"/>
              </w:rPr>
              <w:t>2.56</w:t>
            </w:r>
            <w:r w:rsidR="004E1D48" w:rsidRPr="00F87D09">
              <w:rPr>
                <w:sz w:val="20"/>
                <w:szCs w:val="20"/>
                <w:lang w:val="en-US"/>
              </w:rPr>
              <w:t>**</w:t>
            </w:r>
          </w:p>
        </w:tc>
        <w:tc>
          <w:tcPr>
            <w:tcW w:w="1139" w:type="dxa"/>
            <w:shd w:val="clear" w:color="auto" w:fill="FFFFFF" w:themeFill="background1"/>
          </w:tcPr>
          <w:p w14:paraId="45436BD7" w14:textId="448E5523" w:rsidR="00C9176B" w:rsidRPr="00F87D09" w:rsidRDefault="274D2446" w:rsidP="00C9176B">
            <w:pPr>
              <w:spacing w:after="0"/>
              <w:jc w:val="right"/>
              <w:rPr>
                <w:sz w:val="20"/>
                <w:szCs w:val="20"/>
                <w:lang w:val="en-US"/>
              </w:rPr>
            </w:pPr>
            <w:r w:rsidRPr="00F87D09">
              <w:rPr>
                <w:sz w:val="20"/>
                <w:szCs w:val="20"/>
                <w:lang w:val="en-US"/>
              </w:rPr>
              <w:t>2.56</w:t>
            </w:r>
            <w:r w:rsidR="002B2C9B" w:rsidRPr="00F87D09">
              <w:rPr>
                <w:sz w:val="20"/>
                <w:szCs w:val="20"/>
                <w:lang w:val="en-US"/>
              </w:rPr>
              <w:t>**</w:t>
            </w:r>
          </w:p>
        </w:tc>
      </w:tr>
      <w:tr w:rsidR="00C9176B" w:rsidRPr="00F87D09" w14:paraId="6093822F" w14:textId="77777777" w:rsidTr="00DD7DCC">
        <w:trPr>
          <w:trHeight w:val="73"/>
          <w:jc w:val="center"/>
        </w:trPr>
        <w:tc>
          <w:tcPr>
            <w:tcW w:w="6013" w:type="dxa"/>
            <w:shd w:val="clear" w:color="auto" w:fill="FFFFFF" w:themeFill="background1"/>
            <w:noWrap/>
          </w:tcPr>
          <w:p w14:paraId="4E5FC5C0" w14:textId="3BFC1BDE" w:rsidR="00C9176B" w:rsidRPr="00F87D09" w:rsidRDefault="00C9176B" w:rsidP="00C9176B">
            <w:pPr>
              <w:spacing w:after="0"/>
              <w:rPr>
                <w:sz w:val="20"/>
                <w:szCs w:val="20"/>
                <w:lang w:val="en-US"/>
              </w:rPr>
            </w:pPr>
            <w:r w:rsidRPr="00F87D09">
              <w:rPr>
                <w:color w:val="auto"/>
                <w:sz w:val="20"/>
                <w:szCs w:val="20"/>
                <w:lang w:val="en-US"/>
              </w:rPr>
              <w:t xml:space="preserve">Estimated </w:t>
            </w:r>
            <w:r w:rsidR="00673DE5" w:rsidRPr="00F87D09">
              <w:rPr>
                <w:color w:val="auto"/>
                <w:sz w:val="20"/>
                <w:szCs w:val="20"/>
                <w:lang w:val="en-US"/>
              </w:rPr>
              <w:t>n</w:t>
            </w:r>
            <w:r w:rsidRPr="00F87D09">
              <w:rPr>
                <w:color w:val="auto"/>
                <w:sz w:val="20"/>
                <w:szCs w:val="20"/>
                <w:lang w:val="en-US"/>
              </w:rPr>
              <w:t xml:space="preserve">ew </w:t>
            </w:r>
            <w:r w:rsidR="00673DE5" w:rsidRPr="00F87D09">
              <w:rPr>
                <w:color w:val="auto"/>
                <w:sz w:val="20"/>
                <w:szCs w:val="20"/>
                <w:lang w:val="en-US"/>
              </w:rPr>
              <w:t>f</w:t>
            </w:r>
            <w:r w:rsidRPr="00F87D09">
              <w:rPr>
                <w:color w:val="auto"/>
                <w:sz w:val="20"/>
                <w:szCs w:val="20"/>
                <w:lang w:val="en-US"/>
              </w:rPr>
              <w:t>unding</w:t>
            </w:r>
            <w:r w:rsidR="00D3079D" w:rsidRPr="00F87D09">
              <w:rPr>
                <w:color w:val="auto"/>
                <w:sz w:val="20"/>
                <w:szCs w:val="20"/>
                <w:lang w:val="en-US"/>
              </w:rPr>
              <w:t xml:space="preserve">: </w:t>
            </w:r>
            <w:r w:rsidRPr="00F87D09">
              <w:rPr>
                <w:color w:val="auto"/>
                <w:sz w:val="20"/>
                <w:szCs w:val="20"/>
                <w:lang w:val="en-US"/>
              </w:rPr>
              <w:t>15 non-LVC parties to complete phase</w:t>
            </w:r>
            <w:r w:rsidR="00D3079D" w:rsidRPr="00F87D09">
              <w:rPr>
                <w:color w:val="auto"/>
                <w:sz w:val="20"/>
                <w:szCs w:val="20"/>
                <w:lang w:val="en-US"/>
              </w:rPr>
              <w:t>-</w:t>
            </w:r>
            <w:r w:rsidRPr="00F87D09">
              <w:rPr>
                <w:color w:val="auto"/>
                <w:sz w:val="20"/>
                <w:szCs w:val="20"/>
                <w:lang w:val="en-US"/>
              </w:rPr>
              <w:t>out</w:t>
            </w:r>
          </w:p>
        </w:tc>
        <w:tc>
          <w:tcPr>
            <w:tcW w:w="1151" w:type="dxa"/>
            <w:shd w:val="clear" w:color="auto" w:fill="FFFFFF" w:themeFill="background1"/>
          </w:tcPr>
          <w:p w14:paraId="4B3238FB" w14:textId="66A80A70" w:rsidR="00C9176B" w:rsidRPr="00F87D09" w:rsidRDefault="00C9176B" w:rsidP="00C9176B">
            <w:pPr>
              <w:spacing w:after="0"/>
              <w:jc w:val="right"/>
              <w:rPr>
                <w:sz w:val="20"/>
                <w:szCs w:val="20"/>
                <w:lang w:val="en-US"/>
              </w:rPr>
            </w:pPr>
            <w:r w:rsidRPr="00F87D09">
              <w:rPr>
                <w:sz w:val="20"/>
                <w:szCs w:val="20"/>
                <w:lang w:val="en-US"/>
              </w:rPr>
              <w:t>370.34</w:t>
            </w:r>
          </w:p>
        </w:tc>
        <w:tc>
          <w:tcPr>
            <w:tcW w:w="1139" w:type="dxa"/>
            <w:shd w:val="clear" w:color="auto" w:fill="FFFFFF" w:themeFill="background1"/>
          </w:tcPr>
          <w:p w14:paraId="60C0D40B" w14:textId="2AE057DE" w:rsidR="00C9176B" w:rsidRPr="00F87D09" w:rsidRDefault="00C9176B" w:rsidP="00C9176B">
            <w:pPr>
              <w:spacing w:after="0"/>
              <w:jc w:val="right"/>
              <w:rPr>
                <w:sz w:val="20"/>
                <w:szCs w:val="20"/>
                <w:lang w:val="en-US"/>
              </w:rPr>
            </w:pPr>
            <w:r w:rsidRPr="00F87D09">
              <w:rPr>
                <w:sz w:val="20"/>
                <w:szCs w:val="20"/>
                <w:lang w:val="en-US"/>
              </w:rPr>
              <w:t>505.76</w:t>
            </w:r>
          </w:p>
        </w:tc>
      </w:tr>
      <w:tr w:rsidR="00C9176B" w:rsidRPr="00F87D09" w14:paraId="780223EA" w14:textId="5CD31A70" w:rsidTr="00DD7DCC">
        <w:trPr>
          <w:trHeight w:val="352"/>
          <w:jc w:val="center"/>
        </w:trPr>
        <w:tc>
          <w:tcPr>
            <w:tcW w:w="6013" w:type="dxa"/>
            <w:shd w:val="clear" w:color="auto" w:fill="B4C6E7" w:themeFill="accent1" w:themeFillTint="66"/>
            <w:noWrap/>
            <w:hideMark/>
          </w:tcPr>
          <w:p w14:paraId="73FACFC8" w14:textId="59309B42" w:rsidR="00C9176B" w:rsidRPr="00F87D09" w:rsidRDefault="00C9176B" w:rsidP="00C9176B">
            <w:pPr>
              <w:spacing w:after="0"/>
              <w:rPr>
                <w:b/>
                <w:bCs/>
                <w:sz w:val="20"/>
                <w:szCs w:val="20"/>
                <w:lang w:val="en-US"/>
              </w:rPr>
            </w:pPr>
            <w:r w:rsidRPr="00F87D09">
              <w:rPr>
                <w:b/>
                <w:bCs/>
                <w:sz w:val="20"/>
                <w:szCs w:val="20"/>
                <w:lang w:val="en-US"/>
              </w:rPr>
              <w:t>Total with 9.6% support costs</w:t>
            </w:r>
          </w:p>
        </w:tc>
        <w:tc>
          <w:tcPr>
            <w:tcW w:w="1151" w:type="dxa"/>
            <w:shd w:val="clear" w:color="auto" w:fill="B4C6E7" w:themeFill="accent1" w:themeFillTint="66"/>
          </w:tcPr>
          <w:p w14:paraId="6821B4FF" w14:textId="3137DB08" w:rsidR="00C9176B" w:rsidRPr="00F87D09" w:rsidRDefault="00C9176B" w:rsidP="00C9176B">
            <w:pPr>
              <w:spacing w:after="0"/>
              <w:jc w:val="right"/>
              <w:rPr>
                <w:b/>
                <w:bCs/>
                <w:sz w:val="20"/>
                <w:szCs w:val="20"/>
                <w:lang w:val="en-US"/>
              </w:rPr>
            </w:pPr>
            <w:r w:rsidRPr="00F87D09">
              <w:rPr>
                <w:b/>
                <w:bCs/>
                <w:sz w:val="20"/>
                <w:szCs w:val="20"/>
                <w:lang w:val="en-US"/>
              </w:rPr>
              <w:t>372.90</w:t>
            </w:r>
          </w:p>
        </w:tc>
        <w:tc>
          <w:tcPr>
            <w:tcW w:w="1139" w:type="dxa"/>
            <w:shd w:val="clear" w:color="auto" w:fill="B4C6E7" w:themeFill="accent1" w:themeFillTint="66"/>
          </w:tcPr>
          <w:p w14:paraId="29AA272F" w14:textId="4638267E" w:rsidR="00C9176B" w:rsidRPr="00F87D09" w:rsidRDefault="00C9176B" w:rsidP="00C9176B">
            <w:pPr>
              <w:spacing w:after="0"/>
              <w:jc w:val="right"/>
              <w:rPr>
                <w:b/>
                <w:bCs/>
                <w:sz w:val="20"/>
                <w:szCs w:val="20"/>
                <w:lang w:val="en-US"/>
              </w:rPr>
            </w:pPr>
            <w:r w:rsidRPr="00F87D09">
              <w:rPr>
                <w:b/>
                <w:bCs/>
                <w:sz w:val="20"/>
                <w:szCs w:val="20"/>
                <w:lang w:val="en-US"/>
              </w:rPr>
              <w:t>508.32</w:t>
            </w:r>
          </w:p>
        </w:tc>
      </w:tr>
    </w:tbl>
    <w:p w14:paraId="18636CA8" w14:textId="36578DE7" w:rsidR="00726C47" w:rsidRPr="00F87D09" w:rsidRDefault="274D2446" w:rsidP="72358026">
      <w:pPr>
        <w:spacing w:after="0"/>
        <w:rPr>
          <w:sz w:val="18"/>
          <w:szCs w:val="18"/>
          <w:lang w:val="en-US"/>
        </w:rPr>
      </w:pPr>
      <w:r w:rsidRPr="00F87D09">
        <w:rPr>
          <w:sz w:val="18"/>
          <w:szCs w:val="18"/>
          <w:lang w:val="en-US"/>
        </w:rPr>
        <w:t>*Actual number is 8 LVCs when taking into consideration the two parties who have completed their phaseout in 2024</w:t>
      </w:r>
    </w:p>
    <w:p w14:paraId="097A1E38" w14:textId="70AB4CFA" w:rsidR="00FB41CA" w:rsidRPr="00F87D09" w:rsidRDefault="4BCEE662" w:rsidP="72358026">
      <w:pPr>
        <w:spacing w:after="0"/>
        <w:rPr>
          <w:sz w:val="18"/>
          <w:szCs w:val="18"/>
          <w:lang w:val="en-US"/>
        </w:rPr>
      </w:pPr>
      <w:r w:rsidRPr="4BCEE662">
        <w:rPr>
          <w:sz w:val="18"/>
          <w:szCs w:val="18"/>
          <w:lang w:val="en-US"/>
        </w:rPr>
        <w:t>**Calculation based on remaining funding after considering the already approved amounts</w:t>
      </w:r>
    </w:p>
    <w:p w14:paraId="2F73CCDD" w14:textId="77777777" w:rsidR="00EC0DBF" w:rsidRPr="006F587C" w:rsidRDefault="00EC0DBF" w:rsidP="72358026">
      <w:pPr>
        <w:spacing w:after="0"/>
        <w:rPr>
          <w:sz w:val="20"/>
          <w:szCs w:val="20"/>
          <w:lang w:val="en-US"/>
        </w:rPr>
      </w:pPr>
    </w:p>
    <w:p w14:paraId="6FDF27C8" w14:textId="48132EC9" w:rsidR="0085438A" w:rsidRDefault="274D2446" w:rsidP="0085438A">
      <w:pPr>
        <w:spacing w:after="0"/>
        <w:rPr>
          <w:lang w:val="en-US"/>
        </w:rPr>
      </w:pPr>
      <w:r w:rsidRPr="274D2446">
        <w:rPr>
          <w:lang w:val="en-US"/>
        </w:rPr>
        <w:t xml:space="preserve">It is important to note that the RTF methodology is applicable to all parties and that RTF used historical CEs as documented in ExCom 89/10/Rev1. This methodology provides a consistent and transparent basis for estimating remaining funding requirements for complete phaseout of HCFCs, based on actual implementation experience and the policy ceilings defined by existing cost guidelines. </w:t>
      </w:r>
      <w:r>
        <w:t>The low-end historical CE scenario, in Table 2.</w:t>
      </w:r>
      <w:r w:rsidR="00790CEA">
        <w:t>7</w:t>
      </w:r>
      <w:r>
        <w:t xml:space="preserve"> above, includes US$ 372.90 million as the funding needed for 25 countries with remaining consumption.</w:t>
      </w:r>
    </w:p>
    <w:p w14:paraId="5F06152C" w14:textId="77777777" w:rsidR="0085438A" w:rsidRDefault="0085438A" w:rsidP="0085438A">
      <w:pPr>
        <w:spacing w:after="0"/>
        <w:rPr>
          <w:lang w:val="en-US"/>
        </w:rPr>
      </w:pPr>
      <w:r w:rsidRPr="7A81D421">
        <w:rPr>
          <w:lang w:val="en-US"/>
        </w:rPr>
        <w:t xml:space="preserve"> </w:t>
      </w:r>
    </w:p>
    <w:p w14:paraId="437CD10C" w14:textId="3D2F257E" w:rsidR="0085438A" w:rsidRDefault="274D2446" w:rsidP="0085438A">
      <w:pPr>
        <w:spacing w:after="0"/>
      </w:pPr>
      <w:r w:rsidRPr="274D2446">
        <w:rPr>
          <w:lang w:val="en-US"/>
        </w:rPr>
        <w:t xml:space="preserve">For the highest consumption party (China), approval of HPMP stages/tranches is decided on a case-by-case basis. The ExCom approved several tranches for HPMP I and II with costs, and associated sector CEs that are different than the historical CE (in document 89/10/Rev1). RTF used these costs in its modelling. In addition, HPMP II was approved by the ExCom at a level lower than for HPMP I, so when compared, the funding for China has decreased considerably for the different sector plans. </w:t>
      </w:r>
    </w:p>
    <w:p w14:paraId="1DE53573" w14:textId="77777777" w:rsidR="00277706" w:rsidRDefault="00277706" w:rsidP="0085438A">
      <w:pPr>
        <w:spacing w:after="0"/>
      </w:pPr>
    </w:p>
    <w:p w14:paraId="63FC7F12" w14:textId="3551F9F1" w:rsidR="00A10836" w:rsidRDefault="274D2446" w:rsidP="0085438A">
      <w:pPr>
        <w:spacing w:after="0"/>
      </w:pPr>
      <w:r>
        <w:t>The RTF considered whether to apply China’s CE for sectors according to the approval for HPMP II tranches; but would need guidance from parties. This approach would imply using a different methodology than was used above and would have a very large impact on the range for the total estimated funding for the HCFC consumption sector phaseout.</w:t>
      </w:r>
    </w:p>
    <w:p w14:paraId="7609BAB0" w14:textId="77777777" w:rsidR="00726C47" w:rsidRDefault="00726C47" w:rsidP="72358026">
      <w:pPr>
        <w:spacing w:after="0"/>
        <w:rPr>
          <w:lang w:val="en-US"/>
        </w:rPr>
      </w:pPr>
    </w:p>
    <w:p w14:paraId="6003CC39" w14:textId="7D38E69D" w:rsidR="00F95EDB" w:rsidRPr="002135B0" w:rsidRDefault="00F95EDB" w:rsidP="002D02B7">
      <w:pPr>
        <w:pStyle w:val="Heading2"/>
      </w:pPr>
      <w:bookmarkStart w:id="143" w:name="_Toc230099060"/>
      <w:r w:rsidRPr="002135B0">
        <w:t>2.5</w:t>
      </w:r>
      <w:r>
        <w:tab/>
      </w:r>
      <w:r w:rsidR="003D1BB7" w:rsidRPr="002135B0">
        <w:t>V</w:t>
      </w:r>
      <w:r w:rsidRPr="002135B0">
        <w:t>erification</w:t>
      </w:r>
      <w:bookmarkEnd w:id="143"/>
    </w:p>
    <w:p w14:paraId="63187D0C" w14:textId="38266F1B" w:rsidR="3AB746AD" w:rsidRDefault="5DF0FACE" w:rsidP="2374FBE6">
      <w:pPr>
        <w:rPr>
          <w:b/>
          <w:bCs/>
        </w:rPr>
      </w:pPr>
      <w:r w:rsidRPr="4555C3FE">
        <w:t xml:space="preserve">Regarding the verification costs, the adjusted consolidated 2026-2028 business plan includes the amounts for 2027 and 2028, but not 2029. A total of US$ 588,600 per year for 2027 and 2028 is included in the </w:t>
      </w:r>
      <w:r w:rsidR="008E1A03">
        <w:t>“</w:t>
      </w:r>
      <w:r w:rsidRPr="4555C3FE">
        <w:t>Adjusted Consolidated B</w:t>
      </w:r>
      <w:r w:rsidR="008E1A03">
        <w:t xml:space="preserve">usiness Plan of the Multilateral Fund for 2026-2028” </w:t>
      </w:r>
      <w:r w:rsidR="008E1A03">
        <w:rPr>
          <w:rStyle w:val="FootnoteReference"/>
        </w:rPr>
        <w:footnoteReference w:id="18"/>
      </w:r>
      <w:r w:rsidR="008E1A03">
        <w:t xml:space="preserve"> </w:t>
      </w:r>
      <w:r w:rsidRPr="4555C3FE">
        <w:t>for 18 countries. RTF has used the same annual amount as an estimate for HPMP verification for 2029 as can be seen in Table</w:t>
      </w:r>
      <w:r w:rsidR="007868B3">
        <w:t xml:space="preserve"> 2.</w:t>
      </w:r>
      <w:r w:rsidR="00790CEA">
        <w:t>8</w:t>
      </w:r>
      <w:r w:rsidR="007868B3">
        <w:t xml:space="preserve"> </w:t>
      </w:r>
      <w:r w:rsidRPr="4555C3FE">
        <w:t xml:space="preserve">below. The total </w:t>
      </w:r>
      <w:r w:rsidR="007868B3">
        <w:t xml:space="preserve">estimated funding requirement </w:t>
      </w:r>
      <w:r w:rsidRPr="4555C3FE">
        <w:t xml:space="preserve">for HPMP </w:t>
      </w:r>
      <w:r w:rsidR="007868B3">
        <w:t>v</w:t>
      </w:r>
      <w:r w:rsidRPr="4555C3FE">
        <w:t xml:space="preserve">erification </w:t>
      </w:r>
      <w:r w:rsidR="007868B3">
        <w:t xml:space="preserve">for 2027-2029 </w:t>
      </w:r>
      <w:r w:rsidRPr="4555C3FE">
        <w:t xml:space="preserve">is </w:t>
      </w:r>
      <w:r w:rsidRPr="4555C3FE">
        <w:rPr>
          <w:b/>
          <w:bCs/>
        </w:rPr>
        <w:t>US$ 1,765,800.</w:t>
      </w:r>
    </w:p>
    <w:p w14:paraId="194B1CCA" w14:textId="297A7AB9" w:rsidR="00812F8F" w:rsidRDefault="274D2446" w:rsidP="002135B0">
      <w:pPr>
        <w:tabs>
          <w:tab w:val="left" w:pos="1134"/>
        </w:tabs>
        <w:spacing w:after="120"/>
        <w:ind w:left="1134" w:hanging="1134"/>
        <w:rPr>
          <w:lang w:val="en-US"/>
        </w:rPr>
      </w:pPr>
      <w:r w:rsidRPr="274D2446">
        <w:rPr>
          <w:rFonts w:eastAsiaTheme="minorEastAsia"/>
          <w:b/>
          <w:bCs/>
        </w:rPr>
        <w:t>Table 2.</w:t>
      </w:r>
      <w:r w:rsidR="00790CEA">
        <w:rPr>
          <w:rFonts w:eastAsiaTheme="minorEastAsia"/>
          <w:b/>
          <w:bCs/>
        </w:rPr>
        <w:t>8</w:t>
      </w:r>
      <w:r w:rsidR="00720371">
        <w:rPr>
          <w:rFonts w:eastAsiaTheme="minorEastAsia"/>
          <w:b/>
          <w:bCs/>
        </w:rPr>
        <w:t>:</w:t>
      </w:r>
      <w:r w:rsidR="00812F8F">
        <w:tab/>
      </w:r>
      <w:r w:rsidRPr="274D2446">
        <w:rPr>
          <w:b/>
          <w:bCs/>
        </w:rPr>
        <w:t xml:space="preserve">Estimated funding requirement for HPMP verification for 2027-2029 </w:t>
      </w:r>
      <w:r w:rsidRPr="274D2446">
        <w:rPr>
          <w:b/>
          <w:bCs/>
          <w:lang w:val="en-US"/>
        </w:rPr>
        <w:t>(US$ millions)</w:t>
      </w:r>
    </w:p>
    <w:tbl>
      <w:tblPr>
        <w:tblW w:w="5000" w:type="pct"/>
        <w:tblLook w:val="04A0" w:firstRow="1" w:lastRow="0" w:firstColumn="1" w:lastColumn="0" w:noHBand="0" w:noVBand="1"/>
      </w:tblPr>
      <w:tblGrid>
        <w:gridCol w:w="2814"/>
        <w:gridCol w:w="1503"/>
        <w:gridCol w:w="1489"/>
        <w:gridCol w:w="1193"/>
        <w:gridCol w:w="1294"/>
      </w:tblGrid>
      <w:tr w:rsidR="00667A1A" w14:paraId="63598C6D" w14:textId="77777777" w:rsidTr="0006403F">
        <w:trPr>
          <w:trHeight w:val="690"/>
        </w:trPr>
        <w:tc>
          <w:tcPr>
            <w:tcW w:w="1696"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44874FF6" w14:textId="3A5F0D08" w:rsidR="00667A1A" w:rsidRDefault="00667A1A" w:rsidP="72358026">
            <w:pPr>
              <w:spacing w:after="0"/>
              <w:jc w:val="center"/>
              <w:rPr>
                <w:b/>
                <w:bCs/>
                <w:lang w:val="en-US"/>
              </w:rPr>
            </w:pPr>
          </w:p>
          <w:p w14:paraId="68A51100" w14:textId="5529ED74" w:rsidR="00667A1A" w:rsidRDefault="00667A1A" w:rsidP="72358026">
            <w:pPr>
              <w:spacing w:after="0"/>
              <w:jc w:val="center"/>
              <w:rPr>
                <w:b/>
                <w:bCs/>
                <w:lang w:val="en-US"/>
              </w:rPr>
            </w:pPr>
            <w:r>
              <w:rPr>
                <w:b/>
                <w:bCs/>
                <w:lang w:val="en-US"/>
              </w:rPr>
              <w:t>HPMP Verification</w:t>
            </w:r>
          </w:p>
        </w:tc>
        <w:tc>
          <w:tcPr>
            <w:tcW w:w="906"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4B65354C" w14:textId="33D65A9E" w:rsidR="00667A1A" w:rsidRDefault="00667A1A" w:rsidP="00E037E8">
            <w:pPr>
              <w:spacing w:after="0"/>
              <w:jc w:val="center"/>
              <w:rPr>
                <w:lang w:val="en-US"/>
              </w:rPr>
            </w:pPr>
            <w:r>
              <w:rPr>
                <w:b/>
                <w:bCs/>
                <w:lang w:val="en-US"/>
              </w:rPr>
              <w:t>2027</w:t>
            </w:r>
          </w:p>
        </w:tc>
        <w:tc>
          <w:tcPr>
            <w:tcW w:w="898"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36E721FE" w14:textId="7B38898B" w:rsidR="00667A1A" w:rsidRDefault="00667A1A" w:rsidP="00E037E8">
            <w:pPr>
              <w:spacing w:after="0"/>
              <w:jc w:val="center"/>
              <w:rPr>
                <w:lang w:val="en-US"/>
              </w:rPr>
            </w:pPr>
            <w:r>
              <w:rPr>
                <w:b/>
                <w:bCs/>
                <w:lang w:val="en-US"/>
              </w:rPr>
              <w:t>2028</w:t>
            </w:r>
          </w:p>
        </w:tc>
        <w:tc>
          <w:tcPr>
            <w:tcW w:w="719" w:type="pct"/>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4179BA8D" w14:textId="5DB3DD9A" w:rsidR="00667A1A" w:rsidRDefault="00667A1A" w:rsidP="00E037E8">
            <w:pPr>
              <w:spacing w:after="0"/>
              <w:jc w:val="center"/>
              <w:rPr>
                <w:b/>
                <w:bCs/>
                <w:lang w:val="en-US"/>
              </w:rPr>
            </w:pPr>
            <w:r>
              <w:rPr>
                <w:b/>
                <w:bCs/>
                <w:lang w:val="en-US"/>
              </w:rPr>
              <w:t>2029</w:t>
            </w:r>
          </w:p>
        </w:tc>
        <w:tc>
          <w:tcPr>
            <w:tcW w:w="780" w:type="pct"/>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7810F1DF" w14:textId="75F8802B" w:rsidR="00E037E8" w:rsidRDefault="00667A1A" w:rsidP="001D3030">
            <w:pPr>
              <w:spacing w:after="0"/>
              <w:jc w:val="center"/>
              <w:rPr>
                <w:b/>
                <w:bCs/>
                <w:lang w:val="en-US"/>
              </w:rPr>
            </w:pPr>
            <w:r w:rsidRPr="7A81D421">
              <w:rPr>
                <w:b/>
                <w:bCs/>
                <w:lang w:val="en-US"/>
              </w:rPr>
              <w:t>Total</w:t>
            </w:r>
          </w:p>
          <w:p w14:paraId="15CEBB07" w14:textId="5959DCC4" w:rsidR="00667A1A" w:rsidRDefault="00667A1A" w:rsidP="001D3030">
            <w:pPr>
              <w:spacing w:after="0"/>
              <w:jc w:val="center"/>
              <w:rPr>
                <w:b/>
                <w:bCs/>
                <w:lang w:val="en-US"/>
              </w:rPr>
            </w:pPr>
            <w:r w:rsidRPr="7A81D421">
              <w:rPr>
                <w:b/>
                <w:bCs/>
                <w:lang w:val="en-US"/>
              </w:rPr>
              <w:t>2027-2029</w:t>
            </w:r>
          </w:p>
        </w:tc>
      </w:tr>
      <w:tr w:rsidR="00667A1A" w14:paraId="578746C1" w14:textId="77777777" w:rsidTr="00C70829">
        <w:trPr>
          <w:trHeight w:val="240"/>
        </w:trPr>
        <w:tc>
          <w:tcPr>
            <w:tcW w:w="1696" w:type="pct"/>
            <w:tcBorders>
              <w:top w:val="single" w:sz="8" w:space="0" w:color="auto"/>
              <w:left w:val="single" w:sz="8" w:space="0" w:color="auto"/>
              <w:bottom w:val="single" w:sz="8" w:space="0" w:color="auto"/>
              <w:right w:val="single" w:sz="8" w:space="0" w:color="auto"/>
            </w:tcBorders>
            <w:tcMar>
              <w:left w:w="108" w:type="dxa"/>
              <w:right w:w="108" w:type="dxa"/>
            </w:tcMar>
          </w:tcPr>
          <w:p w14:paraId="19853991" w14:textId="77777777" w:rsidR="00667A1A" w:rsidRDefault="00667A1A" w:rsidP="72358026">
            <w:pPr>
              <w:spacing w:after="0"/>
              <w:rPr>
                <w:lang w:val="pt-BR"/>
              </w:rPr>
            </w:pPr>
            <w:r w:rsidRPr="7A81D421">
              <w:rPr>
                <w:lang w:val="pt-BR"/>
              </w:rPr>
              <w:t xml:space="preserve"> </w:t>
            </w:r>
          </w:p>
          <w:p w14:paraId="266658CE" w14:textId="706D0A05" w:rsidR="00667A1A" w:rsidRDefault="00667A1A" w:rsidP="72358026">
            <w:pPr>
              <w:spacing w:after="0"/>
              <w:jc w:val="center"/>
              <w:rPr>
                <w:lang w:val="en-US"/>
              </w:rPr>
            </w:pPr>
            <w:r>
              <w:rPr>
                <w:lang w:val="en-US"/>
              </w:rPr>
              <w:t>18 LVC countries</w:t>
            </w:r>
          </w:p>
        </w:tc>
        <w:tc>
          <w:tcPr>
            <w:tcW w:w="90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5F4E60" w14:textId="5B21AB64" w:rsidR="00667A1A" w:rsidRDefault="00667A1A" w:rsidP="00667A1A">
            <w:pPr>
              <w:spacing w:after="0"/>
              <w:jc w:val="right"/>
              <w:rPr>
                <w:lang w:val="en-US"/>
              </w:rPr>
            </w:pPr>
            <w:r w:rsidRPr="7A81D421">
              <w:rPr>
                <w:lang w:val="en-US"/>
              </w:rPr>
              <w:t xml:space="preserve"> </w:t>
            </w:r>
          </w:p>
          <w:p w14:paraId="68623F99" w14:textId="3770305A" w:rsidR="00667A1A" w:rsidRDefault="00667A1A" w:rsidP="00667A1A">
            <w:pPr>
              <w:spacing w:after="0"/>
              <w:jc w:val="right"/>
              <w:rPr>
                <w:lang w:val="en-US"/>
              </w:rPr>
            </w:pPr>
            <w:r w:rsidRPr="7A81D421">
              <w:rPr>
                <w:lang w:val="en-US"/>
              </w:rPr>
              <w:t xml:space="preserve"> 588,600</w:t>
            </w:r>
          </w:p>
          <w:p w14:paraId="7057747E" w14:textId="095380F9" w:rsidR="00667A1A" w:rsidRDefault="00667A1A" w:rsidP="00667A1A">
            <w:pPr>
              <w:spacing w:after="0"/>
              <w:jc w:val="right"/>
              <w:rPr>
                <w:lang w:val="en-US"/>
              </w:rPr>
            </w:pPr>
          </w:p>
        </w:tc>
        <w:tc>
          <w:tcPr>
            <w:tcW w:w="8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E388E8" w14:textId="07DED07A" w:rsidR="00667A1A" w:rsidRDefault="00667A1A" w:rsidP="00667A1A">
            <w:pPr>
              <w:spacing w:after="0"/>
              <w:jc w:val="right"/>
              <w:rPr>
                <w:lang w:val="en-US"/>
              </w:rPr>
            </w:pPr>
            <w:r w:rsidRPr="7A81D421">
              <w:rPr>
                <w:lang w:val="en-US"/>
              </w:rPr>
              <w:t xml:space="preserve"> </w:t>
            </w:r>
          </w:p>
          <w:p w14:paraId="6C5B9A9E" w14:textId="68A2FFC3" w:rsidR="00667A1A" w:rsidRDefault="00667A1A" w:rsidP="00667A1A">
            <w:pPr>
              <w:spacing w:after="0"/>
              <w:jc w:val="right"/>
              <w:rPr>
                <w:lang w:val="en-US"/>
              </w:rPr>
            </w:pPr>
            <w:r w:rsidRPr="7A81D421">
              <w:rPr>
                <w:lang w:val="en-US"/>
              </w:rPr>
              <w:t>588,600</w:t>
            </w:r>
          </w:p>
          <w:p w14:paraId="621F57AD" w14:textId="21317BE6" w:rsidR="00667A1A" w:rsidRDefault="00667A1A" w:rsidP="00667A1A">
            <w:pPr>
              <w:spacing w:after="0"/>
              <w:jc w:val="right"/>
              <w:rPr>
                <w:lang w:val="en-US"/>
              </w:rPr>
            </w:pPr>
          </w:p>
        </w:tc>
        <w:tc>
          <w:tcPr>
            <w:tcW w:w="719" w:type="pct"/>
            <w:tcBorders>
              <w:top w:val="single" w:sz="8" w:space="0" w:color="auto"/>
              <w:left w:val="single" w:sz="8" w:space="0" w:color="auto"/>
              <w:bottom w:val="single" w:sz="8" w:space="0" w:color="auto"/>
              <w:right w:val="single" w:sz="8" w:space="0" w:color="auto"/>
            </w:tcBorders>
            <w:vAlign w:val="center"/>
          </w:tcPr>
          <w:p w14:paraId="67D32EDE" w14:textId="75A47747" w:rsidR="00667A1A" w:rsidRDefault="00667A1A" w:rsidP="00667A1A">
            <w:pPr>
              <w:spacing w:after="0"/>
              <w:jc w:val="right"/>
              <w:rPr>
                <w:lang w:val="pt-BR"/>
              </w:rPr>
            </w:pPr>
            <w:r w:rsidRPr="7A81D421">
              <w:rPr>
                <w:lang w:val="pt-BR"/>
              </w:rPr>
              <w:t>588,600</w:t>
            </w:r>
          </w:p>
        </w:tc>
        <w:tc>
          <w:tcPr>
            <w:tcW w:w="780" w:type="pct"/>
            <w:tcBorders>
              <w:top w:val="single" w:sz="8" w:space="0" w:color="auto"/>
              <w:left w:val="single" w:sz="8" w:space="0" w:color="auto"/>
              <w:bottom w:val="single" w:sz="8" w:space="0" w:color="auto"/>
              <w:right w:val="single" w:sz="8" w:space="0" w:color="auto"/>
            </w:tcBorders>
            <w:vAlign w:val="center"/>
          </w:tcPr>
          <w:p w14:paraId="426A2203" w14:textId="5539EF0B" w:rsidR="00667A1A" w:rsidRDefault="00667A1A" w:rsidP="00667A1A">
            <w:pPr>
              <w:spacing w:after="0"/>
              <w:jc w:val="right"/>
              <w:rPr>
                <w:b/>
                <w:bCs/>
                <w:lang w:val="en-US"/>
              </w:rPr>
            </w:pPr>
            <w:r w:rsidRPr="7A81D421">
              <w:rPr>
                <w:lang w:val="en-US"/>
              </w:rPr>
              <w:t>1</w:t>
            </w:r>
            <w:r w:rsidRPr="7A81D421">
              <w:rPr>
                <w:b/>
                <w:bCs/>
                <w:lang w:val="en-US"/>
              </w:rPr>
              <w:t>,765,800</w:t>
            </w:r>
          </w:p>
        </w:tc>
      </w:tr>
    </w:tbl>
    <w:p w14:paraId="285C866B" w14:textId="136FF43B" w:rsidR="001D0BDC" w:rsidRPr="002135B0" w:rsidRDefault="3AB746AD" w:rsidP="002D02B7">
      <w:pPr>
        <w:pStyle w:val="Heading2"/>
      </w:pPr>
      <w:r w:rsidRPr="002135B0">
        <w:lastRenderedPageBreak/>
        <w:t xml:space="preserve"> </w:t>
      </w:r>
      <w:bookmarkStart w:id="144" w:name="_Toc230099061"/>
      <w:r w:rsidR="001D0BDC" w:rsidRPr="002135B0">
        <w:t>2.6</w:t>
      </w:r>
      <w:r w:rsidR="001D0BDC" w:rsidRPr="00142DB3">
        <w:tab/>
      </w:r>
      <w:r w:rsidR="001D0BDC" w:rsidRPr="002135B0">
        <w:t>Project preparation</w:t>
      </w:r>
      <w:bookmarkEnd w:id="144"/>
    </w:p>
    <w:p w14:paraId="64B3CCA3" w14:textId="6687C368" w:rsidR="3AB746AD" w:rsidRPr="00B92678" w:rsidRDefault="5DF0FACE" w:rsidP="72358026">
      <w:pPr>
        <w:spacing w:after="0"/>
        <w:rPr>
          <w:color w:val="auto"/>
          <w:lang w:val="en-US"/>
        </w:rPr>
      </w:pPr>
      <w:r w:rsidRPr="222ABFFA">
        <w:rPr>
          <w:lang w:val="en-US"/>
        </w:rPr>
        <w:t xml:space="preserve">Remaining </w:t>
      </w:r>
      <w:r w:rsidR="007F545C">
        <w:rPr>
          <w:lang w:val="en-US"/>
        </w:rPr>
        <w:t>PRP</w:t>
      </w:r>
      <w:r w:rsidRPr="222ABFFA">
        <w:rPr>
          <w:lang w:val="en-US"/>
        </w:rPr>
        <w:t xml:space="preserve"> requests for </w:t>
      </w:r>
      <w:r w:rsidR="3821A095" w:rsidRPr="222ABFFA">
        <w:rPr>
          <w:lang w:val="en-US"/>
        </w:rPr>
        <w:t>HPMPs</w:t>
      </w:r>
      <w:r w:rsidRPr="222ABFFA">
        <w:rPr>
          <w:lang w:val="en-US"/>
        </w:rPr>
        <w:t xml:space="preserve"> are in the list of countries in Table</w:t>
      </w:r>
      <w:r w:rsidR="00106F9B">
        <w:rPr>
          <w:lang w:val="en-US"/>
        </w:rPr>
        <w:t xml:space="preserve"> 2.</w:t>
      </w:r>
      <w:r w:rsidR="00790CEA">
        <w:rPr>
          <w:lang w:val="en-US"/>
        </w:rPr>
        <w:t>9</w:t>
      </w:r>
      <w:r w:rsidRPr="222ABFFA">
        <w:rPr>
          <w:lang w:val="en-US"/>
        </w:rPr>
        <w:t xml:space="preserve"> below that have preparation costs required. RTF used only values after 2026 that are listed in the </w:t>
      </w:r>
      <w:r w:rsidR="007C0002">
        <w:rPr>
          <w:lang w:val="en-US"/>
        </w:rPr>
        <w:t>BP</w:t>
      </w:r>
      <w:r w:rsidRPr="222ABFFA">
        <w:rPr>
          <w:lang w:val="en-US"/>
        </w:rPr>
        <w:t>, because the</w:t>
      </w:r>
      <w:r w:rsidR="00106F9B">
        <w:rPr>
          <w:lang w:val="en-US"/>
        </w:rPr>
        <w:t xml:space="preserve">se </w:t>
      </w:r>
      <w:r w:rsidRPr="222ABFFA">
        <w:rPr>
          <w:lang w:val="en-US"/>
        </w:rPr>
        <w:t xml:space="preserve">fall </w:t>
      </w:r>
      <w:r w:rsidR="00106F9B">
        <w:rPr>
          <w:lang w:val="en-US"/>
        </w:rPr>
        <w:t>with</w:t>
      </w:r>
      <w:r w:rsidRPr="222ABFFA">
        <w:rPr>
          <w:lang w:val="en-US"/>
        </w:rPr>
        <w:t>in the 2027-2029 triennium</w:t>
      </w:r>
      <w:r w:rsidR="4A150B3D" w:rsidRPr="222ABFFA">
        <w:rPr>
          <w:lang w:val="en-US"/>
        </w:rPr>
        <w:t>.</w:t>
      </w:r>
      <w:r w:rsidRPr="222ABFFA">
        <w:rPr>
          <w:lang w:val="en-US"/>
        </w:rPr>
        <w:t xml:space="preserve"> </w:t>
      </w:r>
      <w:r w:rsidR="00106F9B">
        <w:rPr>
          <w:lang w:val="en-US"/>
        </w:rPr>
        <w:t>The tot</w:t>
      </w:r>
      <w:r w:rsidRPr="222ABFFA">
        <w:rPr>
          <w:lang w:val="en-US"/>
        </w:rPr>
        <w:t xml:space="preserve">al </w:t>
      </w:r>
      <w:r w:rsidR="00106F9B">
        <w:rPr>
          <w:lang w:val="en-US"/>
        </w:rPr>
        <w:t xml:space="preserve">estimated funding requirement for HPMP project preparation for 2027-2029 is </w:t>
      </w:r>
      <w:r w:rsidRPr="222ABFFA">
        <w:rPr>
          <w:b/>
          <w:bCs/>
          <w:lang w:val="en-US"/>
        </w:rPr>
        <w:t xml:space="preserve">US$ 43,840 </w:t>
      </w:r>
      <w:r w:rsidRPr="222ABFFA">
        <w:rPr>
          <w:lang w:val="en-US"/>
        </w:rPr>
        <w:t>with support costs</w:t>
      </w:r>
      <w:r w:rsidRPr="00B92678">
        <w:rPr>
          <w:color w:val="auto"/>
          <w:lang w:val="en-US"/>
        </w:rPr>
        <w:t>.</w:t>
      </w:r>
      <w:r w:rsidR="7432F870" w:rsidRPr="00B92678">
        <w:rPr>
          <w:color w:val="auto"/>
          <w:lang w:val="en-US"/>
        </w:rPr>
        <w:t xml:space="preserve"> It should be noted that the </w:t>
      </w:r>
      <w:r w:rsidR="00A24DA4">
        <w:rPr>
          <w:color w:val="auto"/>
          <w:lang w:val="en-US"/>
        </w:rPr>
        <w:t>BP</w:t>
      </w:r>
      <w:r w:rsidR="7432F870" w:rsidRPr="00B92678">
        <w:rPr>
          <w:color w:val="auto"/>
          <w:lang w:val="en-US"/>
        </w:rPr>
        <w:t xml:space="preserve"> did not include PRP required for all the remaining countries</w:t>
      </w:r>
      <w:r w:rsidR="00D022D5" w:rsidRPr="00B92678">
        <w:rPr>
          <w:color w:val="auto"/>
          <w:lang w:val="en-US"/>
        </w:rPr>
        <w:t>; consequently</w:t>
      </w:r>
      <w:r w:rsidR="00F37D4C" w:rsidRPr="00B92678">
        <w:rPr>
          <w:color w:val="auto"/>
          <w:lang w:val="en-US"/>
        </w:rPr>
        <w:t>,</w:t>
      </w:r>
      <w:r w:rsidR="7432F870" w:rsidRPr="00B92678">
        <w:rPr>
          <w:color w:val="auto"/>
          <w:lang w:val="en-US"/>
        </w:rPr>
        <w:t xml:space="preserve"> the </w:t>
      </w:r>
      <w:r w:rsidR="00F37D4C" w:rsidRPr="00B92678">
        <w:rPr>
          <w:color w:val="auto"/>
          <w:lang w:val="en-US"/>
        </w:rPr>
        <w:t>numbers</w:t>
      </w:r>
      <w:r w:rsidR="7432F870" w:rsidRPr="00B92678">
        <w:rPr>
          <w:color w:val="auto"/>
          <w:lang w:val="en-US"/>
        </w:rPr>
        <w:t xml:space="preserve"> </w:t>
      </w:r>
      <w:r w:rsidR="00173084" w:rsidRPr="00B92678">
        <w:rPr>
          <w:color w:val="auto"/>
          <w:lang w:val="en-US"/>
        </w:rPr>
        <w:t>might</w:t>
      </w:r>
      <w:r w:rsidR="7432F870" w:rsidRPr="00B92678">
        <w:rPr>
          <w:color w:val="auto"/>
          <w:lang w:val="en-US"/>
        </w:rPr>
        <w:t xml:space="preserve"> be higher.</w:t>
      </w:r>
    </w:p>
    <w:p w14:paraId="438E265A" w14:textId="4FD0A5D4" w:rsidR="3AB746AD" w:rsidRPr="00B92678" w:rsidRDefault="3AB746AD" w:rsidP="72358026">
      <w:pPr>
        <w:spacing w:after="0"/>
        <w:rPr>
          <w:color w:val="auto"/>
          <w:lang w:val="en-US"/>
        </w:rPr>
      </w:pPr>
      <w:r w:rsidRPr="00B92678">
        <w:rPr>
          <w:color w:val="auto"/>
          <w:lang w:val="en-US"/>
        </w:rPr>
        <w:t xml:space="preserve"> </w:t>
      </w:r>
    </w:p>
    <w:p w14:paraId="4A0BD56D" w14:textId="2F926EA0" w:rsidR="3AB746AD" w:rsidRPr="006826D6" w:rsidRDefault="00812F8F" w:rsidP="002135B0">
      <w:pPr>
        <w:tabs>
          <w:tab w:val="left" w:pos="1134"/>
        </w:tabs>
        <w:spacing w:after="120"/>
        <w:ind w:left="1418" w:hanging="1418"/>
        <w:rPr>
          <w:lang w:val="en-US"/>
        </w:rPr>
      </w:pPr>
      <w:r w:rsidRPr="00260F0F">
        <w:rPr>
          <w:rFonts w:eastAsiaTheme="minorEastAsia"/>
          <w:b/>
          <w:bCs/>
        </w:rPr>
        <w:t>Table 2.</w:t>
      </w:r>
      <w:r w:rsidR="00790CEA">
        <w:rPr>
          <w:rFonts w:eastAsiaTheme="minorEastAsia"/>
          <w:b/>
          <w:bCs/>
        </w:rPr>
        <w:t>9</w:t>
      </w:r>
      <w:r w:rsidR="00720371">
        <w:rPr>
          <w:rFonts w:eastAsiaTheme="minorEastAsia"/>
          <w:b/>
          <w:bCs/>
        </w:rPr>
        <w:t>:</w:t>
      </w:r>
      <w:r w:rsidRPr="00260F0F">
        <w:rPr>
          <w:b/>
          <w:bCs/>
        </w:rPr>
        <w:tab/>
      </w:r>
      <w:r w:rsidR="00106F9B">
        <w:rPr>
          <w:b/>
          <w:bCs/>
        </w:rPr>
        <w:t>Es</w:t>
      </w:r>
      <w:r w:rsidRPr="00260F0F">
        <w:rPr>
          <w:b/>
          <w:bCs/>
        </w:rPr>
        <w:t>timated funding</w:t>
      </w:r>
      <w:r>
        <w:rPr>
          <w:b/>
          <w:bCs/>
        </w:rPr>
        <w:t xml:space="preserve"> </w:t>
      </w:r>
      <w:r w:rsidR="00106F9B">
        <w:rPr>
          <w:b/>
          <w:bCs/>
        </w:rPr>
        <w:t xml:space="preserve">requirement </w:t>
      </w:r>
      <w:r>
        <w:rPr>
          <w:b/>
          <w:bCs/>
        </w:rPr>
        <w:t xml:space="preserve">for </w:t>
      </w:r>
      <w:r w:rsidR="006826D6">
        <w:rPr>
          <w:b/>
          <w:bCs/>
        </w:rPr>
        <w:t>HPMP project preparation</w:t>
      </w:r>
      <w:r>
        <w:rPr>
          <w:b/>
          <w:bCs/>
        </w:rPr>
        <w:t xml:space="preserve"> </w:t>
      </w:r>
      <w:r w:rsidRPr="00260F0F">
        <w:rPr>
          <w:b/>
          <w:bCs/>
          <w:lang w:val="en-US"/>
        </w:rPr>
        <w:t>(US$</w:t>
      </w:r>
      <w:r>
        <w:rPr>
          <w:b/>
          <w:bCs/>
          <w:lang w:val="en-US"/>
        </w:rPr>
        <w:t>)</w:t>
      </w:r>
    </w:p>
    <w:p w14:paraId="498A9F28" w14:textId="7D63A6E5" w:rsidR="3AB746AD" w:rsidRDefault="3AB746AD" w:rsidP="72358026">
      <w:pPr>
        <w:spacing w:after="0"/>
        <w:rPr>
          <w:rFonts w:ascii="Helvetica" w:eastAsia="Helvetica" w:hAnsi="Helvetica" w:cs="Helvetica"/>
          <w:sz w:val="12"/>
          <w:szCs w:val="12"/>
          <w:lang w:val="en-US"/>
        </w:rPr>
      </w:pPr>
      <w:r w:rsidRPr="7A81D421">
        <w:rPr>
          <w:rFonts w:ascii="Helvetica" w:eastAsia="Helvetica" w:hAnsi="Helvetica" w:cs="Helvetica"/>
          <w:sz w:val="12"/>
          <w:szCs w:val="12"/>
          <w:lang w:val="en-US"/>
        </w:rPr>
        <w:t xml:space="preserve"> </w:t>
      </w:r>
    </w:p>
    <w:tbl>
      <w:tblPr>
        <w:tblW w:w="5000" w:type="pct"/>
        <w:tblLook w:val="04A0" w:firstRow="1" w:lastRow="0" w:firstColumn="1" w:lastColumn="0" w:noHBand="0" w:noVBand="1"/>
      </w:tblPr>
      <w:tblGrid>
        <w:gridCol w:w="2543"/>
        <w:gridCol w:w="965"/>
        <w:gridCol w:w="1163"/>
        <w:gridCol w:w="1539"/>
        <w:gridCol w:w="1035"/>
        <w:gridCol w:w="1048"/>
      </w:tblGrid>
      <w:tr w:rsidR="7A81D421" w14:paraId="73995D9B" w14:textId="77777777" w:rsidTr="00D41A33">
        <w:trPr>
          <w:trHeight w:val="855"/>
          <w:tblHeader/>
        </w:trPr>
        <w:tc>
          <w:tcPr>
            <w:tcW w:w="153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3B985ABC" w14:textId="7702CAEF" w:rsidR="7A81D421" w:rsidRDefault="7A81D421" w:rsidP="72358026">
            <w:pPr>
              <w:spacing w:after="0"/>
              <w:jc w:val="center"/>
              <w:rPr>
                <w:b/>
                <w:bCs/>
                <w:sz w:val="20"/>
                <w:szCs w:val="20"/>
                <w:lang w:val="en-US"/>
              </w:rPr>
            </w:pPr>
            <w:r w:rsidRPr="7A81D421">
              <w:rPr>
                <w:b/>
                <w:bCs/>
                <w:sz w:val="20"/>
                <w:szCs w:val="20"/>
                <w:lang w:val="en-US"/>
              </w:rPr>
              <w:t>Country</w:t>
            </w:r>
          </w:p>
        </w:tc>
        <w:tc>
          <w:tcPr>
            <w:tcW w:w="58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0D31DD50" w14:textId="3C4FC483" w:rsidR="7A81D421" w:rsidRDefault="7A81D421" w:rsidP="72358026">
            <w:pPr>
              <w:spacing w:after="0"/>
              <w:jc w:val="center"/>
              <w:rPr>
                <w:b/>
                <w:bCs/>
                <w:sz w:val="20"/>
                <w:szCs w:val="20"/>
                <w:lang w:val="en-US"/>
              </w:rPr>
            </w:pPr>
            <w:r w:rsidRPr="7A81D421">
              <w:rPr>
                <w:b/>
                <w:bCs/>
                <w:sz w:val="20"/>
                <w:szCs w:val="20"/>
                <w:lang w:val="en-US"/>
              </w:rPr>
              <w:t>Status</w:t>
            </w:r>
          </w:p>
        </w:tc>
        <w:tc>
          <w:tcPr>
            <w:tcW w:w="701"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2E5BAB6A" w14:textId="191927D1" w:rsidR="7A81D421" w:rsidRDefault="7A81D421" w:rsidP="72358026">
            <w:pPr>
              <w:spacing w:after="0"/>
              <w:jc w:val="center"/>
              <w:rPr>
                <w:b/>
                <w:bCs/>
                <w:sz w:val="20"/>
                <w:szCs w:val="20"/>
                <w:lang w:val="en-US"/>
              </w:rPr>
            </w:pPr>
            <w:r w:rsidRPr="7A81D421">
              <w:rPr>
                <w:b/>
                <w:bCs/>
                <w:sz w:val="20"/>
                <w:szCs w:val="20"/>
                <w:lang w:val="en-US"/>
              </w:rPr>
              <w:t>HPMP PRP Required for Total Phase-Out</w:t>
            </w:r>
          </w:p>
        </w:tc>
        <w:tc>
          <w:tcPr>
            <w:tcW w:w="928"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6C2939EB" w14:textId="35A92143" w:rsidR="7A81D421" w:rsidRDefault="274D2446" w:rsidP="72358026">
            <w:pPr>
              <w:spacing w:after="0"/>
              <w:jc w:val="center"/>
              <w:rPr>
                <w:b/>
                <w:bCs/>
                <w:sz w:val="20"/>
                <w:szCs w:val="20"/>
                <w:lang w:val="en-US"/>
              </w:rPr>
            </w:pPr>
            <w:r w:rsidRPr="274D2446">
              <w:rPr>
                <w:b/>
                <w:bCs/>
                <w:sz w:val="20"/>
                <w:szCs w:val="20"/>
                <w:lang w:val="en-US"/>
              </w:rPr>
              <w:t>Funding Eligibility for Servicing (excluding support costs)</w:t>
            </w:r>
          </w:p>
        </w:tc>
        <w:tc>
          <w:tcPr>
            <w:tcW w:w="624"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509C5C0A" w14:textId="45F8B0F0" w:rsidR="7A81D421" w:rsidRDefault="7A9F84BC" w:rsidP="72358026">
            <w:pPr>
              <w:spacing w:after="0"/>
              <w:jc w:val="center"/>
              <w:rPr>
                <w:b/>
                <w:bCs/>
                <w:sz w:val="20"/>
                <w:szCs w:val="20"/>
                <w:lang w:val="en-US"/>
              </w:rPr>
            </w:pPr>
            <w:r w:rsidRPr="222ABFFA">
              <w:rPr>
                <w:b/>
                <w:bCs/>
                <w:sz w:val="20"/>
                <w:szCs w:val="20"/>
                <w:lang w:val="en-US"/>
              </w:rPr>
              <w:t>PRP in B</w:t>
            </w:r>
            <w:r w:rsidR="00BC3889">
              <w:rPr>
                <w:b/>
                <w:bCs/>
                <w:sz w:val="20"/>
                <w:szCs w:val="20"/>
                <w:lang w:val="en-US"/>
              </w:rPr>
              <w:t>P</w:t>
            </w:r>
            <w:r w:rsidRPr="222ABFFA">
              <w:rPr>
                <w:b/>
                <w:bCs/>
                <w:sz w:val="20"/>
                <w:szCs w:val="20"/>
                <w:lang w:val="en-US"/>
              </w:rPr>
              <w:t xml:space="preserve"> 2006 and before</w:t>
            </w:r>
          </w:p>
        </w:tc>
        <w:tc>
          <w:tcPr>
            <w:tcW w:w="63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5B6C1036" w14:textId="3E9E87B3" w:rsidR="7A81D421" w:rsidRDefault="7A81D421" w:rsidP="72358026">
            <w:pPr>
              <w:spacing w:after="0"/>
              <w:jc w:val="center"/>
              <w:rPr>
                <w:b/>
                <w:bCs/>
                <w:sz w:val="20"/>
                <w:szCs w:val="20"/>
                <w:lang w:val="en-US"/>
              </w:rPr>
            </w:pPr>
            <w:r w:rsidRPr="7A81D421">
              <w:rPr>
                <w:b/>
                <w:bCs/>
                <w:sz w:val="20"/>
                <w:szCs w:val="20"/>
                <w:lang w:val="en-US"/>
              </w:rPr>
              <w:t xml:space="preserve">PRP in </w:t>
            </w:r>
            <w:r w:rsidR="00BC3889">
              <w:rPr>
                <w:b/>
                <w:bCs/>
                <w:sz w:val="20"/>
                <w:szCs w:val="20"/>
                <w:lang w:val="en-US"/>
              </w:rPr>
              <w:t>BP</w:t>
            </w:r>
            <w:r w:rsidRPr="7A81D421">
              <w:rPr>
                <w:b/>
                <w:bCs/>
                <w:sz w:val="20"/>
                <w:szCs w:val="20"/>
                <w:lang w:val="en-US"/>
              </w:rPr>
              <w:t xml:space="preserve"> 2027 or 2028 </w:t>
            </w:r>
          </w:p>
          <w:p w14:paraId="6CA91E59" w14:textId="46AE278A" w:rsidR="7A81D421" w:rsidRPr="00E165F6" w:rsidRDefault="7A81D421" w:rsidP="72358026">
            <w:pPr>
              <w:spacing w:after="0"/>
              <w:jc w:val="center"/>
              <w:rPr>
                <w:b/>
                <w:bCs/>
                <w:sz w:val="20"/>
                <w:szCs w:val="20"/>
                <w:lang w:val="en-US"/>
              </w:rPr>
            </w:pPr>
            <w:r w:rsidRPr="00E165F6">
              <w:rPr>
                <w:b/>
                <w:bCs/>
                <w:sz w:val="20"/>
                <w:szCs w:val="20"/>
                <w:lang w:val="en-US"/>
              </w:rPr>
              <w:t>(US$)</w:t>
            </w:r>
          </w:p>
        </w:tc>
      </w:tr>
      <w:tr w:rsidR="7A81D421" w14:paraId="2E5EAC90" w14:textId="77777777" w:rsidTr="274D2446">
        <w:trPr>
          <w:trHeight w:val="255"/>
        </w:trPr>
        <w:tc>
          <w:tcPr>
            <w:tcW w:w="1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D5015" w14:textId="500E57A4" w:rsidR="7A81D421" w:rsidRDefault="7A81D421" w:rsidP="72358026">
            <w:pPr>
              <w:spacing w:after="0"/>
              <w:rPr>
                <w:sz w:val="20"/>
                <w:szCs w:val="20"/>
                <w:lang w:val="en-US"/>
              </w:rPr>
            </w:pPr>
            <w:r w:rsidRPr="7A81D421">
              <w:rPr>
                <w:sz w:val="20"/>
                <w:szCs w:val="20"/>
                <w:lang w:val="en-US"/>
              </w:rPr>
              <w:t>Afghanistan</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6E018B" w14:textId="77A4405B" w:rsidR="7A81D421" w:rsidRDefault="7A81D421" w:rsidP="72358026">
            <w:pPr>
              <w:spacing w:after="0"/>
              <w:jc w:val="center"/>
              <w:rPr>
                <w:sz w:val="20"/>
                <w:szCs w:val="20"/>
                <w:lang w:val="en-US"/>
              </w:rPr>
            </w:pPr>
            <w:r w:rsidRPr="7A81D421">
              <w:rPr>
                <w:sz w:val="20"/>
                <w:szCs w:val="20"/>
                <w:lang w:val="en-US"/>
              </w:rPr>
              <w:t>Non-LVC</w:t>
            </w:r>
          </w:p>
        </w:tc>
        <w:tc>
          <w:tcPr>
            <w:tcW w:w="70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F3DE51" w14:textId="336968C6" w:rsidR="7A81D421" w:rsidRDefault="7A81D421" w:rsidP="72358026">
            <w:pPr>
              <w:spacing w:after="0"/>
              <w:jc w:val="center"/>
              <w:rPr>
                <w:sz w:val="20"/>
                <w:szCs w:val="20"/>
                <w:lang w:val="en-US"/>
              </w:rPr>
            </w:pPr>
            <w:r w:rsidRPr="7A81D421">
              <w:rPr>
                <w:sz w:val="20"/>
                <w:szCs w:val="20"/>
                <w:lang w:val="en-US"/>
              </w:rPr>
              <w:t>Yes</w:t>
            </w:r>
          </w:p>
        </w:tc>
        <w:tc>
          <w:tcPr>
            <w:tcW w:w="92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41E734" w14:textId="3431062F" w:rsidR="7A81D421" w:rsidRDefault="7A81D421" w:rsidP="72358026">
            <w:pPr>
              <w:spacing w:after="0"/>
              <w:jc w:val="center"/>
              <w:rPr>
                <w:sz w:val="20"/>
                <w:szCs w:val="20"/>
                <w:lang w:val="en-US"/>
              </w:rPr>
            </w:pPr>
            <w:r w:rsidRPr="7A81D421">
              <w:rPr>
                <w:sz w:val="20"/>
                <w:szCs w:val="20"/>
                <w:lang w:val="en-US"/>
              </w:rPr>
              <w:t>40,000</w:t>
            </w:r>
          </w:p>
        </w:tc>
        <w:tc>
          <w:tcPr>
            <w:tcW w:w="6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35500" w14:textId="27F62B92" w:rsidR="7A81D421" w:rsidRDefault="274D2446" w:rsidP="72358026">
            <w:pPr>
              <w:spacing w:after="0"/>
              <w:jc w:val="center"/>
              <w:rPr>
                <w:sz w:val="20"/>
                <w:szCs w:val="20"/>
                <w:lang w:val="en-US"/>
              </w:rPr>
            </w:pPr>
            <w:r w:rsidRPr="274D2446">
              <w:rPr>
                <w:sz w:val="20"/>
                <w:szCs w:val="20"/>
                <w:lang w:val="en-US"/>
              </w:rPr>
              <w:t>No</w:t>
            </w:r>
          </w:p>
        </w:tc>
        <w:tc>
          <w:tcPr>
            <w:tcW w:w="632" w:type="pct"/>
            <w:tcBorders>
              <w:top w:val="single" w:sz="8" w:space="0" w:color="auto"/>
              <w:left w:val="single" w:sz="8" w:space="0" w:color="auto"/>
              <w:bottom w:val="single" w:sz="8" w:space="0" w:color="auto"/>
              <w:right w:val="single" w:sz="8" w:space="0" w:color="auto"/>
            </w:tcBorders>
            <w:tcMar>
              <w:left w:w="108" w:type="dxa"/>
              <w:right w:w="108" w:type="dxa"/>
            </w:tcMar>
          </w:tcPr>
          <w:p w14:paraId="50FFB997" w14:textId="61E745D0" w:rsidR="7A81D421" w:rsidRDefault="274D2446" w:rsidP="72358026">
            <w:pPr>
              <w:spacing w:after="0"/>
              <w:jc w:val="center"/>
              <w:rPr>
                <w:sz w:val="20"/>
                <w:szCs w:val="20"/>
                <w:lang w:val="pt-BR"/>
              </w:rPr>
            </w:pPr>
            <w:r w:rsidRPr="274D2446">
              <w:rPr>
                <w:sz w:val="20"/>
                <w:szCs w:val="20"/>
                <w:lang w:val="pt-BR"/>
              </w:rPr>
              <w:t>40,000 (in 2027)</w:t>
            </w:r>
          </w:p>
        </w:tc>
      </w:tr>
      <w:tr w:rsidR="7A81D421" w14:paraId="26BFB6D8" w14:textId="77777777" w:rsidTr="274D2446">
        <w:trPr>
          <w:trHeight w:val="255"/>
        </w:trPr>
        <w:tc>
          <w:tcPr>
            <w:tcW w:w="1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45606" w14:textId="4BE7331C" w:rsidR="7A81D421" w:rsidRDefault="7A81D421" w:rsidP="72358026">
            <w:pPr>
              <w:spacing w:after="0"/>
              <w:rPr>
                <w:sz w:val="20"/>
                <w:szCs w:val="20"/>
                <w:lang w:val="en-US"/>
              </w:rPr>
            </w:pPr>
            <w:r w:rsidRPr="7A81D421">
              <w:rPr>
                <w:sz w:val="20"/>
                <w:szCs w:val="20"/>
                <w:lang w:val="en-US"/>
              </w:rPr>
              <w:t>China</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0C9148" w14:textId="5F6337B8" w:rsidR="7A81D421" w:rsidRDefault="7A81D421" w:rsidP="72358026">
            <w:pPr>
              <w:spacing w:after="0"/>
              <w:jc w:val="center"/>
              <w:rPr>
                <w:sz w:val="20"/>
                <w:szCs w:val="20"/>
                <w:lang w:val="en-US"/>
              </w:rPr>
            </w:pPr>
            <w:r w:rsidRPr="7A81D421">
              <w:rPr>
                <w:sz w:val="20"/>
                <w:szCs w:val="20"/>
                <w:lang w:val="en-US"/>
              </w:rPr>
              <w:t>Non-LVC</w:t>
            </w:r>
          </w:p>
        </w:tc>
        <w:tc>
          <w:tcPr>
            <w:tcW w:w="70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0893D7" w14:textId="5A8CCD12" w:rsidR="7A81D421" w:rsidRDefault="7A81D421" w:rsidP="72358026">
            <w:pPr>
              <w:spacing w:after="0"/>
              <w:jc w:val="center"/>
              <w:rPr>
                <w:sz w:val="20"/>
                <w:szCs w:val="20"/>
                <w:lang w:val="en-US"/>
              </w:rPr>
            </w:pPr>
            <w:r w:rsidRPr="7A81D421">
              <w:rPr>
                <w:sz w:val="20"/>
                <w:szCs w:val="20"/>
                <w:lang w:val="en-US"/>
              </w:rPr>
              <w:t>Yes</w:t>
            </w:r>
          </w:p>
        </w:tc>
        <w:tc>
          <w:tcPr>
            <w:tcW w:w="92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30539" w14:textId="56D985C8" w:rsidR="7A81D421" w:rsidRDefault="7A81D421" w:rsidP="72358026">
            <w:pPr>
              <w:spacing w:after="0"/>
              <w:jc w:val="center"/>
              <w:rPr>
                <w:sz w:val="20"/>
                <w:szCs w:val="20"/>
                <w:lang w:val="en-US"/>
              </w:rPr>
            </w:pPr>
            <w:r w:rsidRPr="7A81D421">
              <w:rPr>
                <w:sz w:val="20"/>
                <w:szCs w:val="20"/>
                <w:lang w:val="en-US"/>
              </w:rPr>
              <w:t>Case by case basis</w:t>
            </w:r>
          </w:p>
        </w:tc>
        <w:tc>
          <w:tcPr>
            <w:tcW w:w="6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1E5205" w14:textId="5265C09E" w:rsidR="7A81D421" w:rsidRDefault="7A81D421" w:rsidP="72358026">
            <w:pPr>
              <w:spacing w:after="0"/>
              <w:jc w:val="center"/>
              <w:rPr>
                <w:sz w:val="20"/>
                <w:szCs w:val="20"/>
                <w:lang w:val="en-US"/>
              </w:rPr>
            </w:pPr>
            <w:r w:rsidRPr="7A81D421">
              <w:rPr>
                <w:sz w:val="20"/>
                <w:szCs w:val="20"/>
                <w:lang w:val="en-US"/>
              </w:rPr>
              <w:t>Yes</w:t>
            </w:r>
          </w:p>
        </w:tc>
        <w:tc>
          <w:tcPr>
            <w:tcW w:w="632" w:type="pct"/>
            <w:tcBorders>
              <w:top w:val="single" w:sz="8" w:space="0" w:color="auto"/>
              <w:left w:val="single" w:sz="8" w:space="0" w:color="auto"/>
              <w:bottom w:val="single" w:sz="8" w:space="0" w:color="auto"/>
              <w:right w:val="single" w:sz="8" w:space="0" w:color="auto"/>
            </w:tcBorders>
            <w:tcMar>
              <w:left w:w="108" w:type="dxa"/>
              <w:right w:w="108" w:type="dxa"/>
            </w:tcMar>
          </w:tcPr>
          <w:p w14:paraId="3FFF4454" w14:textId="0A7F4623" w:rsidR="7A81D421" w:rsidRDefault="00A020EE" w:rsidP="72358026">
            <w:pPr>
              <w:spacing w:after="0"/>
              <w:jc w:val="center"/>
              <w:rPr>
                <w:sz w:val="20"/>
                <w:szCs w:val="20"/>
                <w:lang w:val="pt-BR"/>
              </w:rPr>
            </w:pPr>
            <w:r>
              <w:rPr>
                <w:sz w:val="20"/>
                <w:szCs w:val="20"/>
                <w:lang w:val="pt-BR"/>
              </w:rPr>
              <w:t>No</w:t>
            </w:r>
          </w:p>
        </w:tc>
      </w:tr>
      <w:tr w:rsidR="7A81D421" w14:paraId="666108C4" w14:textId="77777777" w:rsidTr="274D2446">
        <w:trPr>
          <w:trHeight w:val="255"/>
        </w:trPr>
        <w:tc>
          <w:tcPr>
            <w:tcW w:w="1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B101EA" w14:textId="1352245F" w:rsidR="7A81D421" w:rsidRDefault="7A81D421" w:rsidP="72358026">
            <w:pPr>
              <w:spacing w:after="0"/>
              <w:rPr>
                <w:sz w:val="20"/>
                <w:szCs w:val="20"/>
                <w:lang w:val="en-US"/>
              </w:rPr>
            </w:pPr>
            <w:r w:rsidRPr="7A81D421">
              <w:rPr>
                <w:sz w:val="20"/>
                <w:szCs w:val="20"/>
                <w:lang w:val="en-US"/>
              </w:rPr>
              <w:t>Democratic People's Republic of Korea (the)</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5D21A4" w14:textId="606C70E9" w:rsidR="7A81D421" w:rsidRDefault="7A81D421" w:rsidP="72358026">
            <w:pPr>
              <w:spacing w:after="0"/>
              <w:jc w:val="center"/>
              <w:rPr>
                <w:sz w:val="20"/>
                <w:szCs w:val="20"/>
                <w:lang w:val="en-US"/>
              </w:rPr>
            </w:pPr>
            <w:r w:rsidRPr="7A81D421">
              <w:rPr>
                <w:sz w:val="20"/>
                <w:szCs w:val="20"/>
                <w:lang w:val="en-US"/>
              </w:rPr>
              <w:t>Non-LVC</w:t>
            </w:r>
          </w:p>
        </w:tc>
        <w:tc>
          <w:tcPr>
            <w:tcW w:w="70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8A1499" w14:textId="5965672A" w:rsidR="7A81D421" w:rsidRDefault="7A81D421" w:rsidP="72358026">
            <w:pPr>
              <w:spacing w:after="0"/>
              <w:jc w:val="center"/>
              <w:rPr>
                <w:sz w:val="20"/>
                <w:szCs w:val="20"/>
                <w:lang w:val="en-US"/>
              </w:rPr>
            </w:pPr>
            <w:r w:rsidRPr="7A81D421">
              <w:rPr>
                <w:sz w:val="20"/>
                <w:szCs w:val="20"/>
                <w:lang w:val="en-US"/>
              </w:rPr>
              <w:t>Yes</w:t>
            </w:r>
          </w:p>
        </w:tc>
        <w:tc>
          <w:tcPr>
            <w:tcW w:w="92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AD364D" w14:textId="2E085351" w:rsidR="7A81D421" w:rsidRDefault="7A81D421" w:rsidP="72358026">
            <w:pPr>
              <w:spacing w:after="0"/>
              <w:jc w:val="center"/>
              <w:rPr>
                <w:sz w:val="20"/>
                <w:szCs w:val="20"/>
                <w:lang w:val="en-US"/>
              </w:rPr>
            </w:pPr>
            <w:r w:rsidRPr="7A81D421">
              <w:rPr>
                <w:sz w:val="20"/>
                <w:szCs w:val="20"/>
                <w:lang w:val="en-US"/>
              </w:rPr>
              <w:t>70,000</w:t>
            </w:r>
          </w:p>
        </w:tc>
        <w:tc>
          <w:tcPr>
            <w:tcW w:w="6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382EAD" w14:textId="790264C3" w:rsidR="7A81D421" w:rsidRDefault="7A81D421" w:rsidP="72358026">
            <w:pPr>
              <w:spacing w:after="0"/>
              <w:jc w:val="center"/>
              <w:rPr>
                <w:sz w:val="20"/>
                <w:szCs w:val="20"/>
                <w:lang w:val="en-US"/>
              </w:rPr>
            </w:pPr>
            <w:r w:rsidRPr="7A81D421">
              <w:rPr>
                <w:sz w:val="20"/>
                <w:szCs w:val="20"/>
                <w:lang w:val="en-US"/>
              </w:rPr>
              <w:t>-</w:t>
            </w:r>
          </w:p>
        </w:tc>
        <w:tc>
          <w:tcPr>
            <w:tcW w:w="632" w:type="pct"/>
            <w:tcBorders>
              <w:top w:val="single" w:sz="8" w:space="0" w:color="auto"/>
              <w:left w:val="single" w:sz="8" w:space="0" w:color="auto"/>
              <w:bottom w:val="single" w:sz="8" w:space="0" w:color="auto"/>
              <w:right w:val="single" w:sz="8" w:space="0" w:color="auto"/>
            </w:tcBorders>
            <w:tcMar>
              <w:left w:w="108" w:type="dxa"/>
              <w:right w:w="108" w:type="dxa"/>
            </w:tcMar>
          </w:tcPr>
          <w:p w14:paraId="2A9B79FC" w14:textId="73C4B55E" w:rsidR="7A81D421" w:rsidRDefault="00A020EE" w:rsidP="72358026">
            <w:pPr>
              <w:spacing w:after="0"/>
              <w:jc w:val="center"/>
              <w:rPr>
                <w:sz w:val="20"/>
                <w:szCs w:val="20"/>
                <w:lang w:val="en-US"/>
              </w:rPr>
            </w:pPr>
            <w:r>
              <w:rPr>
                <w:sz w:val="20"/>
                <w:szCs w:val="20"/>
                <w:lang w:val="en-US"/>
              </w:rPr>
              <w:t>No</w:t>
            </w:r>
          </w:p>
        </w:tc>
      </w:tr>
      <w:tr w:rsidR="7A81D421" w14:paraId="4D412603" w14:textId="77777777" w:rsidTr="274D2446">
        <w:trPr>
          <w:trHeight w:val="255"/>
        </w:trPr>
        <w:tc>
          <w:tcPr>
            <w:tcW w:w="1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3D3FE" w14:textId="24D059D4" w:rsidR="7A81D421" w:rsidRDefault="7A81D421" w:rsidP="72358026">
            <w:pPr>
              <w:spacing w:after="0"/>
              <w:rPr>
                <w:sz w:val="20"/>
                <w:szCs w:val="20"/>
                <w:lang w:val="en-US"/>
              </w:rPr>
            </w:pPr>
            <w:r w:rsidRPr="7A81D421">
              <w:rPr>
                <w:sz w:val="20"/>
                <w:szCs w:val="20"/>
                <w:lang w:val="en-US"/>
              </w:rPr>
              <w:t>Libya</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C5198E" w14:textId="35300D54" w:rsidR="7A81D421" w:rsidRDefault="7A81D421" w:rsidP="72358026">
            <w:pPr>
              <w:spacing w:after="0"/>
              <w:jc w:val="center"/>
              <w:rPr>
                <w:sz w:val="20"/>
                <w:szCs w:val="20"/>
                <w:lang w:val="en-US"/>
              </w:rPr>
            </w:pPr>
            <w:r w:rsidRPr="7A81D421">
              <w:rPr>
                <w:sz w:val="20"/>
                <w:szCs w:val="20"/>
                <w:lang w:val="en-US"/>
              </w:rPr>
              <w:t>Non-LVC</w:t>
            </w:r>
          </w:p>
        </w:tc>
        <w:tc>
          <w:tcPr>
            <w:tcW w:w="70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A0C7E8" w14:textId="2B03DA8F" w:rsidR="7A81D421" w:rsidRDefault="7A81D421" w:rsidP="72358026">
            <w:pPr>
              <w:spacing w:after="0"/>
              <w:jc w:val="center"/>
              <w:rPr>
                <w:sz w:val="20"/>
                <w:szCs w:val="20"/>
                <w:lang w:val="en-US"/>
              </w:rPr>
            </w:pPr>
            <w:r w:rsidRPr="7A81D421">
              <w:rPr>
                <w:sz w:val="20"/>
                <w:szCs w:val="20"/>
                <w:lang w:val="en-US"/>
              </w:rPr>
              <w:t>Yes</w:t>
            </w:r>
          </w:p>
        </w:tc>
        <w:tc>
          <w:tcPr>
            <w:tcW w:w="92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5CA96E" w14:textId="2D550AAC" w:rsidR="7A81D421" w:rsidRDefault="7A81D421" w:rsidP="72358026">
            <w:pPr>
              <w:spacing w:after="0"/>
              <w:jc w:val="center"/>
              <w:rPr>
                <w:sz w:val="20"/>
                <w:szCs w:val="20"/>
                <w:lang w:val="en-US"/>
              </w:rPr>
            </w:pPr>
            <w:r w:rsidRPr="7A81D421">
              <w:rPr>
                <w:sz w:val="20"/>
                <w:szCs w:val="20"/>
                <w:lang w:val="en-US"/>
              </w:rPr>
              <w:t>60,000</w:t>
            </w:r>
          </w:p>
        </w:tc>
        <w:tc>
          <w:tcPr>
            <w:tcW w:w="6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EA31BF" w14:textId="1E9F7C1F" w:rsidR="7A81D421" w:rsidRDefault="7A81D421" w:rsidP="72358026">
            <w:pPr>
              <w:spacing w:after="0"/>
              <w:jc w:val="center"/>
              <w:rPr>
                <w:sz w:val="20"/>
                <w:szCs w:val="20"/>
                <w:lang w:val="en-US"/>
              </w:rPr>
            </w:pPr>
            <w:r w:rsidRPr="7A81D421">
              <w:rPr>
                <w:sz w:val="20"/>
                <w:szCs w:val="20"/>
                <w:lang w:val="en-US"/>
              </w:rPr>
              <w:t>-</w:t>
            </w:r>
          </w:p>
        </w:tc>
        <w:tc>
          <w:tcPr>
            <w:tcW w:w="632" w:type="pct"/>
            <w:tcBorders>
              <w:top w:val="single" w:sz="8" w:space="0" w:color="auto"/>
              <w:left w:val="single" w:sz="8" w:space="0" w:color="auto"/>
              <w:bottom w:val="single" w:sz="8" w:space="0" w:color="auto"/>
              <w:right w:val="single" w:sz="8" w:space="0" w:color="auto"/>
            </w:tcBorders>
            <w:tcMar>
              <w:left w:w="108" w:type="dxa"/>
              <w:right w:w="108" w:type="dxa"/>
            </w:tcMar>
          </w:tcPr>
          <w:p w14:paraId="66DF4EB7" w14:textId="225460BA" w:rsidR="7A81D421" w:rsidRDefault="00A020EE" w:rsidP="72358026">
            <w:pPr>
              <w:spacing w:after="0"/>
              <w:jc w:val="center"/>
              <w:rPr>
                <w:sz w:val="20"/>
                <w:szCs w:val="20"/>
                <w:lang w:val="en-US"/>
              </w:rPr>
            </w:pPr>
            <w:r>
              <w:rPr>
                <w:sz w:val="20"/>
                <w:szCs w:val="20"/>
                <w:lang w:val="en-US"/>
              </w:rPr>
              <w:t>No</w:t>
            </w:r>
          </w:p>
        </w:tc>
      </w:tr>
      <w:tr w:rsidR="7A81D421" w14:paraId="755F7321" w14:textId="77777777" w:rsidTr="274D2446">
        <w:trPr>
          <w:trHeight w:val="255"/>
        </w:trPr>
        <w:tc>
          <w:tcPr>
            <w:tcW w:w="1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2D801" w14:textId="480ABF41" w:rsidR="7A81D421" w:rsidRDefault="7A81D421" w:rsidP="72358026">
            <w:pPr>
              <w:spacing w:after="0"/>
              <w:rPr>
                <w:sz w:val="20"/>
                <w:szCs w:val="20"/>
                <w:lang w:val="en-US"/>
              </w:rPr>
            </w:pPr>
            <w:r w:rsidRPr="7A81D421">
              <w:rPr>
                <w:sz w:val="20"/>
                <w:szCs w:val="20"/>
                <w:lang w:val="en-US"/>
              </w:rPr>
              <w:t>Mauritania</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563DD" w14:textId="0A304D5E" w:rsidR="7A81D421" w:rsidRDefault="7A81D421" w:rsidP="72358026">
            <w:pPr>
              <w:spacing w:after="0"/>
              <w:jc w:val="center"/>
              <w:rPr>
                <w:sz w:val="20"/>
                <w:szCs w:val="20"/>
                <w:lang w:val="en-US"/>
              </w:rPr>
            </w:pPr>
            <w:r w:rsidRPr="7A81D421">
              <w:rPr>
                <w:sz w:val="20"/>
                <w:szCs w:val="20"/>
                <w:lang w:val="en-US"/>
              </w:rPr>
              <w:t>Non-LVC</w:t>
            </w:r>
          </w:p>
        </w:tc>
        <w:tc>
          <w:tcPr>
            <w:tcW w:w="70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D0F1F8" w14:textId="0A77A6ED" w:rsidR="7A81D421" w:rsidRDefault="7A81D421" w:rsidP="72358026">
            <w:pPr>
              <w:spacing w:after="0"/>
              <w:jc w:val="center"/>
              <w:rPr>
                <w:sz w:val="20"/>
                <w:szCs w:val="20"/>
                <w:lang w:val="en-US"/>
              </w:rPr>
            </w:pPr>
            <w:r w:rsidRPr="7A81D421">
              <w:rPr>
                <w:sz w:val="20"/>
                <w:szCs w:val="20"/>
                <w:lang w:val="en-US"/>
              </w:rPr>
              <w:t>Yes</w:t>
            </w:r>
          </w:p>
        </w:tc>
        <w:tc>
          <w:tcPr>
            <w:tcW w:w="92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80015" w14:textId="4509BB0C" w:rsidR="7A81D421" w:rsidRDefault="7A81D421" w:rsidP="72358026">
            <w:pPr>
              <w:spacing w:after="0"/>
              <w:jc w:val="center"/>
              <w:rPr>
                <w:sz w:val="20"/>
                <w:szCs w:val="20"/>
                <w:lang w:val="en-US"/>
              </w:rPr>
            </w:pPr>
            <w:r w:rsidRPr="7A81D421">
              <w:rPr>
                <w:sz w:val="20"/>
                <w:szCs w:val="20"/>
                <w:lang w:val="en-US"/>
              </w:rPr>
              <w:t>30,000</w:t>
            </w:r>
          </w:p>
        </w:tc>
        <w:tc>
          <w:tcPr>
            <w:tcW w:w="6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A38A2" w14:textId="04E61FA2" w:rsidR="7A81D421" w:rsidRDefault="7A81D421" w:rsidP="72358026">
            <w:pPr>
              <w:spacing w:after="0"/>
              <w:jc w:val="center"/>
              <w:rPr>
                <w:sz w:val="20"/>
                <w:szCs w:val="20"/>
                <w:lang w:val="en-US"/>
              </w:rPr>
            </w:pPr>
            <w:r w:rsidRPr="7A81D421">
              <w:rPr>
                <w:sz w:val="20"/>
                <w:szCs w:val="20"/>
                <w:lang w:val="en-US"/>
              </w:rPr>
              <w:t>Yes</w:t>
            </w:r>
          </w:p>
        </w:tc>
        <w:tc>
          <w:tcPr>
            <w:tcW w:w="632" w:type="pct"/>
            <w:tcBorders>
              <w:top w:val="single" w:sz="8" w:space="0" w:color="auto"/>
              <w:left w:val="single" w:sz="8" w:space="0" w:color="auto"/>
              <w:bottom w:val="single" w:sz="8" w:space="0" w:color="auto"/>
              <w:right w:val="single" w:sz="8" w:space="0" w:color="auto"/>
            </w:tcBorders>
            <w:tcMar>
              <w:left w:w="108" w:type="dxa"/>
              <w:right w:w="108" w:type="dxa"/>
            </w:tcMar>
          </w:tcPr>
          <w:p w14:paraId="101B5147" w14:textId="5356E2B2" w:rsidR="7A81D421" w:rsidRDefault="00A020EE" w:rsidP="72358026">
            <w:pPr>
              <w:spacing w:after="0"/>
              <w:jc w:val="center"/>
              <w:rPr>
                <w:sz w:val="20"/>
                <w:szCs w:val="20"/>
                <w:lang w:val="en-US"/>
              </w:rPr>
            </w:pPr>
            <w:r>
              <w:rPr>
                <w:sz w:val="20"/>
                <w:szCs w:val="20"/>
                <w:lang w:val="en-US"/>
              </w:rPr>
              <w:t>No</w:t>
            </w:r>
          </w:p>
        </w:tc>
      </w:tr>
      <w:tr w:rsidR="7A81D421" w14:paraId="7B2197A9" w14:textId="77777777" w:rsidTr="274D2446">
        <w:trPr>
          <w:trHeight w:val="255"/>
        </w:trPr>
        <w:tc>
          <w:tcPr>
            <w:tcW w:w="1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3BBE1A" w14:textId="1F95F8A5" w:rsidR="7A81D421" w:rsidRDefault="7A81D421" w:rsidP="72358026">
            <w:pPr>
              <w:spacing w:after="0"/>
              <w:rPr>
                <w:sz w:val="20"/>
                <w:szCs w:val="20"/>
                <w:lang w:val="en-US"/>
              </w:rPr>
            </w:pPr>
            <w:r w:rsidRPr="7A81D421">
              <w:rPr>
                <w:sz w:val="20"/>
                <w:szCs w:val="20"/>
                <w:lang w:val="en-US"/>
              </w:rPr>
              <w:t>Senegal</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79D62A" w14:textId="1DF19D22" w:rsidR="7A81D421" w:rsidRDefault="7A81D421" w:rsidP="72358026">
            <w:pPr>
              <w:spacing w:after="0"/>
              <w:jc w:val="center"/>
              <w:rPr>
                <w:sz w:val="20"/>
                <w:szCs w:val="20"/>
                <w:lang w:val="en-US"/>
              </w:rPr>
            </w:pPr>
            <w:r w:rsidRPr="7A81D421">
              <w:rPr>
                <w:sz w:val="20"/>
                <w:szCs w:val="20"/>
                <w:lang w:val="en-US"/>
              </w:rPr>
              <w:t>Non-LVC</w:t>
            </w:r>
          </w:p>
        </w:tc>
        <w:tc>
          <w:tcPr>
            <w:tcW w:w="70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51B6DE" w14:textId="263C471E" w:rsidR="7A81D421" w:rsidRDefault="7A81D421" w:rsidP="72358026">
            <w:pPr>
              <w:spacing w:after="0"/>
              <w:jc w:val="center"/>
              <w:rPr>
                <w:sz w:val="20"/>
                <w:szCs w:val="20"/>
                <w:lang w:val="en-US"/>
              </w:rPr>
            </w:pPr>
            <w:r w:rsidRPr="7A81D421">
              <w:rPr>
                <w:sz w:val="20"/>
                <w:szCs w:val="20"/>
                <w:lang w:val="en-US"/>
              </w:rPr>
              <w:t>Yes</w:t>
            </w:r>
          </w:p>
        </w:tc>
        <w:tc>
          <w:tcPr>
            <w:tcW w:w="92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41F4A6" w14:textId="5DC45874" w:rsidR="7A81D421" w:rsidRDefault="7A81D421" w:rsidP="72358026">
            <w:pPr>
              <w:spacing w:after="0"/>
              <w:jc w:val="center"/>
              <w:rPr>
                <w:sz w:val="20"/>
                <w:szCs w:val="20"/>
                <w:lang w:val="en-US"/>
              </w:rPr>
            </w:pPr>
            <w:r w:rsidRPr="7A81D421">
              <w:rPr>
                <w:sz w:val="20"/>
                <w:szCs w:val="20"/>
                <w:lang w:val="en-US"/>
              </w:rPr>
              <w:t>40,000</w:t>
            </w:r>
          </w:p>
        </w:tc>
        <w:tc>
          <w:tcPr>
            <w:tcW w:w="6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A496E4" w14:textId="399D62F4" w:rsidR="7A81D421" w:rsidRDefault="7A81D421" w:rsidP="72358026">
            <w:pPr>
              <w:spacing w:after="0"/>
              <w:jc w:val="center"/>
              <w:rPr>
                <w:sz w:val="20"/>
                <w:szCs w:val="20"/>
                <w:lang w:val="en-US"/>
              </w:rPr>
            </w:pPr>
            <w:r w:rsidRPr="7A81D421">
              <w:rPr>
                <w:sz w:val="20"/>
                <w:szCs w:val="20"/>
                <w:lang w:val="en-US"/>
              </w:rPr>
              <w:t>Yes</w:t>
            </w:r>
          </w:p>
        </w:tc>
        <w:tc>
          <w:tcPr>
            <w:tcW w:w="632" w:type="pct"/>
            <w:tcBorders>
              <w:top w:val="single" w:sz="8" w:space="0" w:color="auto"/>
              <w:left w:val="single" w:sz="8" w:space="0" w:color="auto"/>
              <w:bottom w:val="single" w:sz="8" w:space="0" w:color="auto"/>
              <w:right w:val="single" w:sz="8" w:space="0" w:color="auto"/>
            </w:tcBorders>
            <w:tcMar>
              <w:left w:w="108" w:type="dxa"/>
              <w:right w:w="108" w:type="dxa"/>
            </w:tcMar>
          </w:tcPr>
          <w:p w14:paraId="2365D372" w14:textId="17EFD3D5" w:rsidR="7A81D421" w:rsidRDefault="00A020EE" w:rsidP="72358026">
            <w:pPr>
              <w:spacing w:after="0"/>
              <w:jc w:val="center"/>
              <w:rPr>
                <w:sz w:val="20"/>
                <w:szCs w:val="20"/>
                <w:lang w:val="en-US"/>
              </w:rPr>
            </w:pPr>
            <w:r>
              <w:rPr>
                <w:sz w:val="20"/>
                <w:szCs w:val="20"/>
                <w:lang w:val="en-US"/>
              </w:rPr>
              <w:t>No</w:t>
            </w:r>
          </w:p>
        </w:tc>
      </w:tr>
      <w:tr w:rsidR="7A81D421" w14:paraId="1739511D" w14:textId="77777777" w:rsidTr="274D2446">
        <w:trPr>
          <w:trHeight w:val="277"/>
        </w:trPr>
        <w:tc>
          <w:tcPr>
            <w:tcW w:w="1533"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7807B395" w14:textId="314DD821" w:rsidR="7A81D421" w:rsidRDefault="7A81D421" w:rsidP="72358026">
            <w:pPr>
              <w:spacing w:after="0"/>
              <w:rPr>
                <w:b/>
                <w:bCs/>
                <w:sz w:val="20"/>
                <w:szCs w:val="20"/>
                <w:lang w:val="en-US"/>
              </w:rPr>
            </w:pPr>
            <w:r w:rsidRPr="7A81D421">
              <w:rPr>
                <w:b/>
                <w:bCs/>
                <w:sz w:val="20"/>
                <w:szCs w:val="20"/>
                <w:lang w:val="en-US"/>
              </w:rPr>
              <w:t xml:space="preserve">Total </w:t>
            </w:r>
          </w:p>
        </w:tc>
        <w:tc>
          <w:tcPr>
            <w:tcW w:w="582"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57377FAF" w14:textId="112396CB" w:rsidR="7A81D421" w:rsidRDefault="7A81D421" w:rsidP="72358026">
            <w:pPr>
              <w:spacing w:after="0"/>
              <w:rPr>
                <w:b/>
                <w:bCs/>
                <w:sz w:val="20"/>
                <w:szCs w:val="20"/>
                <w:lang w:val="en-US"/>
              </w:rPr>
            </w:pPr>
            <w:r w:rsidRPr="7A81D421">
              <w:rPr>
                <w:b/>
                <w:bCs/>
                <w:sz w:val="20"/>
                <w:szCs w:val="20"/>
                <w:lang w:val="en-US"/>
              </w:rPr>
              <w:t xml:space="preserve"> </w:t>
            </w:r>
          </w:p>
        </w:tc>
        <w:tc>
          <w:tcPr>
            <w:tcW w:w="701"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4BAA1BB4" w14:textId="566CBB06" w:rsidR="7A81D421" w:rsidRDefault="7A81D421" w:rsidP="72358026">
            <w:pPr>
              <w:spacing w:after="0"/>
              <w:rPr>
                <w:b/>
                <w:bCs/>
                <w:sz w:val="20"/>
                <w:szCs w:val="20"/>
                <w:lang w:val="en-US"/>
              </w:rPr>
            </w:pPr>
            <w:r w:rsidRPr="7A81D421">
              <w:rPr>
                <w:b/>
                <w:bCs/>
                <w:sz w:val="20"/>
                <w:szCs w:val="20"/>
                <w:lang w:val="en-US"/>
              </w:rPr>
              <w:t xml:space="preserve"> </w:t>
            </w:r>
          </w:p>
        </w:tc>
        <w:tc>
          <w:tcPr>
            <w:tcW w:w="928"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47D577B4" w14:textId="4FBAA214" w:rsidR="7A81D421" w:rsidRDefault="7A81D421" w:rsidP="274D2446">
            <w:pPr>
              <w:spacing w:after="0"/>
            </w:pPr>
          </w:p>
        </w:tc>
        <w:tc>
          <w:tcPr>
            <w:tcW w:w="624"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447F18D1" w14:textId="3E347509" w:rsidR="7A81D421" w:rsidRDefault="7A81D421" w:rsidP="72358026">
            <w:pPr>
              <w:spacing w:after="0"/>
              <w:jc w:val="center"/>
              <w:rPr>
                <w:b/>
                <w:bCs/>
                <w:sz w:val="20"/>
                <w:szCs w:val="20"/>
                <w:lang w:val="en-US"/>
              </w:rPr>
            </w:pPr>
            <w:r w:rsidRPr="7A81D421">
              <w:rPr>
                <w:b/>
                <w:bCs/>
                <w:sz w:val="20"/>
                <w:szCs w:val="20"/>
                <w:lang w:val="en-US"/>
              </w:rPr>
              <w:t>-</w:t>
            </w:r>
          </w:p>
        </w:tc>
        <w:tc>
          <w:tcPr>
            <w:tcW w:w="632"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tcPr>
          <w:p w14:paraId="2D366A30" w14:textId="4FB047C7" w:rsidR="7A81D421" w:rsidRDefault="7A81D421" w:rsidP="72358026">
            <w:pPr>
              <w:spacing w:after="0"/>
              <w:jc w:val="center"/>
              <w:rPr>
                <w:b/>
                <w:bCs/>
                <w:sz w:val="20"/>
                <w:szCs w:val="20"/>
                <w:lang w:val="en-US"/>
              </w:rPr>
            </w:pPr>
            <w:r w:rsidRPr="7A81D421">
              <w:rPr>
                <w:b/>
                <w:bCs/>
                <w:sz w:val="20"/>
                <w:szCs w:val="20"/>
                <w:lang w:val="en-US"/>
              </w:rPr>
              <w:t>40,000</w:t>
            </w:r>
          </w:p>
        </w:tc>
      </w:tr>
      <w:tr w:rsidR="7A81D421" w14:paraId="0311354E" w14:textId="77777777" w:rsidTr="274D2446">
        <w:trPr>
          <w:trHeight w:val="255"/>
        </w:trPr>
        <w:tc>
          <w:tcPr>
            <w:tcW w:w="1533"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76F402F6" w14:textId="7DCED06D" w:rsidR="7A81D421" w:rsidRDefault="7A81D421" w:rsidP="72358026">
            <w:pPr>
              <w:spacing w:after="0"/>
              <w:rPr>
                <w:b/>
                <w:bCs/>
                <w:sz w:val="20"/>
                <w:szCs w:val="20"/>
                <w:lang w:val="en-US"/>
              </w:rPr>
            </w:pPr>
            <w:r w:rsidRPr="7A81D421">
              <w:rPr>
                <w:b/>
                <w:bCs/>
                <w:sz w:val="20"/>
                <w:szCs w:val="20"/>
                <w:lang w:val="en-US"/>
              </w:rPr>
              <w:t>Total including 9.6% support costs</w:t>
            </w:r>
          </w:p>
        </w:tc>
        <w:tc>
          <w:tcPr>
            <w:tcW w:w="582"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5E885222" w14:textId="498B3B77" w:rsidR="7A81D421" w:rsidRDefault="7A81D421" w:rsidP="72358026">
            <w:pPr>
              <w:spacing w:after="0"/>
              <w:rPr>
                <w:sz w:val="20"/>
                <w:szCs w:val="20"/>
                <w:lang w:val="en-US"/>
              </w:rPr>
            </w:pPr>
            <w:r w:rsidRPr="7A81D421">
              <w:rPr>
                <w:sz w:val="20"/>
                <w:szCs w:val="20"/>
                <w:lang w:val="en-US"/>
              </w:rPr>
              <w:t xml:space="preserve"> </w:t>
            </w:r>
          </w:p>
        </w:tc>
        <w:tc>
          <w:tcPr>
            <w:tcW w:w="701"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3724C1BC" w14:textId="4A14FDE3" w:rsidR="7A81D421" w:rsidRDefault="7A81D421" w:rsidP="72358026">
            <w:pPr>
              <w:spacing w:after="0"/>
              <w:rPr>
                <w:sz w:val="20"/>
                <w:szCs w:val="20"/>
                <w:lang w:val="en-US"/>
              </w:rPr>
            </w:pPr>
            <w:r w:rsidRPr="7A81D421">
              <w:rPr>
                <w:sz w:val="20"/>
                <w:szCs w:val="20"/>
                <w:lang w:val="en-US"/>
              </w:rPr>
              <w:t xml:space="preserve"> </w:t>
            </w:r>
          </w:p>
        </w:tc>
        <w:tc>
          <w:tcPr>
            <w:tcW w:w="928"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01BCCA69" w14:textId="39472931" w:rsidR="7A81D421" w:rsidRDefault="7A81D421" w:rsidP="274D2446">
            <w:pPr>
              <w:spacing w:after="0"/>
            </w:pPr>
          </w:p>
        </w:tc>
        <w:tc>
          <w:tcPr>
            <w:tcW w:w="624"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vAlign w:val="center"/>
          </w:tcPr>
          <w:p w14:paraId="333471A7" w14:textId="0DE79FC6" w:rsidR="7A81D421" w:rsidRDefault="7A81D421" w:rsidP="274D2446">
            <w:pPr>
              <w:spacing w:after="0"/>
            </w:pPr>
          </w:p>
        </w:tc>
        <w:tc>
          <w:tcPr>
            <w:tcW w:w="632" w:type="pct"/>
            <w:tcBorders>
              <w:top w:val="single" w:sz="8" w:space="0" w:color="auto"/>
              <w:left w:val="single" w:sz="8" w:space="0" w:color="auto"/>
              <w:bottom w:val="single" w:sz="8" w:space="0" w:color="auto"/>
              <w:right w:val="single" w:sz="8" w:space="0" w:color="auto"/>
            </w:tcBorders>
            <w:shd w:val="clear" w:color="auto" w:fill="B4C6E7" w:themeFill="accent1" w:themeFillTint="66"/>
            <w:tcMar>
              <w:left w:w="108" w:type="dxa"/>
              <w:right w:w="108" w:type="dxa"/>
            </w:tcMar>
          </w:tcPr>
          <w:p w14:paraId="5BE25EB7" w14:textId="4EF69AF6" w:rsidR="7A81D421" w:rsidRDefault="7A81D421" w:rsidP="72358026">
            <w:pPr>
              <w:spacing w:after="0"/>
              <w:jc w:val="center"/>
              <w:rPr>
                <w:b/>
                <w:bCs/>
                <w:sz w:val="20"/>
                <w:szCs w:val="20"/>
                <w:lang w:val="en-US"/>
              </w:rPr>
            </w:pPr>
            <w:r w:rsidRPr="7A81D421">
              <w:rPr>
                <w:b/>
                <w:bCs/>
                <w:sz w:val="20"/>
                <w:szCs w:val="20"/>
                <w:lang w:val="en-US"/>
              </w:rPr>
              <w:t>43,840</w:t>
            </w:r>
          </w:p>
        </w:tc>
      </w:tr>
    </w:tbl>
    <w:p w14:paraId="04E0D885" w14:textId="2394EA6B" w:rsidR="3AB746AD" w:rsidRDefault="3AB746AD" w:rsidP="72358026">
      <w:pPr>
        <w:spacing w:after="0"/>
        <w:jc w:val="both"/>
        <w:rPr>
          <w:b/>
          <w:bCs/>
          <w:lang w:val="en-US"/>
        </w:rPr>
      </w:pPr>
      <w:r w:rsidRPr="7A81D421">
        <w:rPr>
          <w:b/>
          <w:bCs/>
          <w:lang w:val="en-US"/>
        </w:rPr>
        <w:t xml:space="preserve"> </w:t>
      </w:r>
    </w:p>
    <w:p w14:paraId="23851970" w14:textId="77777777" w:rsidR="00373198" w:rsidRDefault="00373198" w:rsidP="72358026">
      <w:pPr>
        <w:spacing w:after="0"/>
        <w:jc w:val="both"/>
        <w:rPr>
          <w:b/>
          <w:bCs/>
          <w:lang w:val="en-US"/>
        </w:rPr>
      </w:pPr>
    </w:p>
    <w:p w14:paraId="23DE150F" w14:textId="2ACBF8A4" w:rsidR="0050086C" w:rsidRPr="002135B0" w:rsidRDefault="0050086C" w:rsidP="002D02B7">
      <w:pPr>
        <w:pStyle w:val="Heading2"/>
      </w:pPr>
      <w:bookmarkStart w:id="145" w:name="_Toc230099062"/>
      <w:r w:rsidRPr="002135B0">
        <w:t>2.7</w:t>
      </w:r>
      <w:r>
        <w:tab/>
      </w:r>
      <w:r w:rsidRPr="002135B0">
        <w:t>Energy Efficiency (Decision 89/</w:t>
      </w:r>
      <w:r w:rsidR="5AD5DB8B" w:rsidRPr="002135B0">
        <w:t>6</w:t>
      </w:r>
      <w:r w:rsidRPr="002135B0">
        <w:t>)</w:t>
      </w:r>
      <w:bookmarkEnd w:id="145"/>
    </w:p>
    <w:p w14:paraId="313642C0" w14:textId="41AA3E1B" w:rsidR="3AB746AD" w:rsidRDefault="5DF0FACE" w:rsidP="0050086C">
      <w:pPr>
        <w:spacing w:after="0"/>
      </w:pPr>
      <w:r w:rsidRPr="4555C3FE">
        <w:t xml:space="preserve">In the context of HCFC phase-out, </w:t>
      </w:r>
      <w:r w:rsidR="00CC2A95">
        <w:t>p</w:t>
      </w:r>
      <w:r w:rsidRPr="4555C3FE">
        <w:t xml:space="preserve">arties agreed in </w:t>
      </w:r>
      <w:r w:rsidR="00CC2A95">
        <w:t>D</w:t>
      </w:r>
      <w:r w:rsidRPr="4555C3FE">
        <w:t xml:space="preserve">ecision XXVIII/2 paragraph 16 to request the ExCom to increase funding available to LVC countries for maintaining EE in the servicing/end-use sector. In </w:t>
      </w:r>
      <w:r w:rsidR="00CC2A95">
        <w:t>D</w:t>
      </w:r>
      <w:r w:rsidRPr="4555C3FE">
        <w:t>ecision 89/</w:t>
      </w:r>
      <w:r w:rsidR="5AD5DB8B">
        <w:t>6</w:t>
      </w:r>
      <w:r w:rsidRPr="4555C3FE">
        <w:t xml:space="preserve"> the ExCom established a funding table and defined additional activities for inclusion in existing and future HPMPs for LVC countries in response to paragraph 16 of </w:t>
      </w:r>
      <w:r w:rsidR="00CC2A95">
        <w:t>D</w:t>
      </w:r>
      <w:r w:rsidRPr="4555C3FE">
        <w:t xml:space="preserve">ecision XXVIII/2 and paragraph 2 of </w:t>
      </w:r>
      <w:r w:rsidR="00CC2A95">
        <w:t>D</w:t>
      </w:r>
      <w:r w:rsidRPr="4555C3FE">
        <w:t xml:space="preserve">ecision XXX/5 of the </w:t>
      </w:r>
      <w:r w:rsidR="0050086C">
        <w:t>p</w:t>
      </w:r>
      <w:r w:rsidRPr="4555C3FE">
        <w:t xml:space="preserve">arties. The ExCom in </w:t>
      </w:r>
      <w:r w:rsidR="00CC2A95">
        <w:t>D</w:t>
      </w:r>
      <w:r w:rsidRPr="4555C3FE">
        <w:t xml:space="preserve">ecision 91/37 decided that </w:t>
      </w:r>
      <w:r w:rsidR="00CC2A95">
        <w:t>D</w:t>
      </w:r>
      <w:r w:rsidRPr="4555C3FE">
        <w:t>ecision 89/</w:t>
      </w:r>
      <w:r w:rsidR="5AD5DB8B">
        <w:t>6</w:t>
      </w:r>
      <w:r w:rsidRPr="4555C3FE">
        <w:t xml:space="preserve"> applies to LVC countries that have already completed their </w:t>
      </w:r>
      <w:r w:rsidR="0050086C">
        <w:t>HPMPs</w:t>
      </w:r>
      <w:r w:rsidRPr="4555C3FE">
        <w:t xml:space="preserve">. Informed by </w:t>
      </w:r>
      <w:r w:rsidR="00BC3889">
        <w:t>BP</w:t>
      </w:r>
      <w:r w:rsidR="0050086C">
        <w:t xml:space="preserve">, </w:t>
      </w:r>
      <w:r w:rsidRPr="4555C3FE">
        <w:t xml:space="preserve">RTF estimated </w:t>
      </w:r>
      <w:r w:rsidR="0050086C">
        <w:t xml:space="preserve">funding requirement for </w:t>
      </w:r>
      <w:r w:rsidRPr="4555C3FE">
        <w:t>EE for 2027-2029 including an average of 9.6% support costs</w:t>
      </w:r>
      <w:r w:rsidR="57BB50BA" w:rsidRPr="4555C3FE">
        <w:t xml:space="preserve"> to be </w:t>
      </w:r>
      <w:r w:rsidR="0050086C" w:rsidRPr="009A1421">
        <w:rPr>
          <w:b/>
          <w:bCs/>
        </w:rPr>
        <w:t xml:space="preserve">US$ </w:t>
      </w:r>
      <w:r w:rsidR="7D96DB09" w:rsidRPr="009A1421">
        <w:rPr>
          <w:b/>
          <w:bCs/>
        </w:rPr>
        <w:t>3.4 million</w:t>
      </w:r>
      <w:r w:rsidR="7D96DB09" w:rsidRPr="009A1421">
        <w:rPr>
          <w:bCs/>
        </w:rPr>
        <w:t>,</w:t>
      </w:r>
      <w:r w:rsidR="7D96DB09" w:rsidRPr="009A1421">
        <w:t xml:space="preserve"> and</w:t>
      </w:r>
      <w:r w:rsidR="7D96DB09" w:rsidRPr="4555C3FE">
        <w:t xml:space="preserve"> </w:t>
      </w:r>
      <w:r w:rsidR="0050086C">
        <w:t xml:space="preserve">further </w:t>
      </w:r>
      <w:r w:rsidR="7D96DB09" w:rsidRPr="4555C3FE">
        <w:t xml:space="preserve">details can be found </w:t>
      </w:r>
      <w:r w:rsidR="7D96DB09" w:rsidRPr="009C6F40">
        <w:t xml:space="preserve">in Chapter </w:t>
      </w:r>
      <w:r w:rsidR="009A1421" w:rsidRPr="009C6F40">
        <w:t>7</w:t>
      </w:r>
      <w:r w:rsidRPr="009C6F40">
        <w:t>.</w:t>
      </w:r>
    </w:p>
    <w:p w14:paraId="7664F27F" w14:textId="509B476A" w:rsidR="3AB746AD" w:rsidRDefault="3AB746AD" w:rsidP="72358026">
      <w:pPr>
        <w:spacing w:after="0"/>
        <w:jc w:val="both"/>
        <w:rPr>
          <w:lang w:val="en-US"/>
        </w:rPr>
      </w:pPr>
      <w:r w:rsidRPr="7A81D421">
        <w:rPr>
          <w:lang w:val="en-US"/>
        </w:rPr>
        <w:t xml:space="preserve"> </w:t>
      </w:r>
    </w:p>
    <w:p w14:paraId="71F0E1DF" w14:textId="0820FB5A" w:rsidR="0040488B" w:rsidRPr="002135B0" w:rsidRDefault="274D2446" w:rsidP="002D02B7">
      <w:pPr>
        <w:pStyle w:val="Heading2"/>
      </w:pPr>
      <w:bookmarkStart w:id="146" w:name="_Toc230099063"/>
      <w:r w:rsidRPr="002135B0">
        <w:t>2.8</w:t>
      </w:r>
      <w:r w:rsidR="0040488B" w:rsidRPr="00284DB4">
        <w:tab/>
      </w:r>
      <w:r w:rsidRPr="002135B0">
        <w:t>Resource Allocation Proposals for HCFC Funding Estimates in 2027-2029 and 2030-2032</w:t>
      </w:r>
      <w:bookmarkEnd w:id="146"/>
    </w:p>
    <w:p w14:paraId="5C2F5849" w14:textId="0623FC88" w:rsidR="007E2B99" w:rsidRDefault="274D2446" w:rsidP="007342FD">
      <w:pPr>
        <w:spacing w:after="0"/>
      </w:pPr>
      <w:r w:rsidRPr="274D2446">
        <w:rPr>
          <w:lang w:val="en-US"/>
        </w:rPr>
        <w:t>The total HCFC phase-out is scheduled for 2030 with the special allowances for the servicing tail. ExCom Decision 62/17 “</w:t>
      </w:r>
      <w:r>
        <w:t xml:space="preserve">requested the bilateral and </w:t>
      </w:r>
      <w:r w:rsidR="00325F8D">
        <w:t>IAs</w:t>
      </w:r>
      <w:r>
        <w:t xml:space="preserve">, when preparing multi-year HPMPs, to ensure that the last tranche comprised 10% of the total funding for the refrigeration servicing sector in the agreement and was scheduled for the last year of the plan.” </w:t>
      </w:r>
    </w:p>
    <w:p w14:paraId="1A17103A" w14:textId="77777777" w:rsidR="007E2B99" w:rsidRDefault="007E2B99" w:rsidP="007342FD">
      <w:pPr>
        <w:spacing w:after="0"/>
      </w:pPr>
    </w:p>
    <w:p w14:paraId="778A04EB" w14:textId="51E330B6" w:rsidR="5AB8954D" w:rsidRPr="007342FD" w:rsidRDefault="5AB8954D" w:rsidP="007342FD">
      <w:pPr>
        <w:spacing w:after="0"/>
        <w:rPr>
          <w:lang w:val="en-US"/>
        </w:rPr>
      </w:pPr>
      <w:r>
        <w:t>RTF considered that the last tranche of the HPMPs would occur in 2030; consequently, 90% of the</w:t>
      </w:r>
      <w:r w:rsidR="00232F44">
        <w:t xml:space="preserve"> total phase-out</w:t>
      </w:r>
      <w:r>
        <w:t xml:space="preserve"> resource allocation would be within the 2027-2029 triennium and the 10% for the last tranche would be allocated to the next triennium </w:t>
      </w:r>
      <w:r w:rsidR="007E2B99">
        <w:t xml:space="preserve">2030-2032, </w:t>
      </w:r>
      <w:r>
        <w:t>following decision 62/17.</w:t>
      </w:r>
    </w:p>
    <w:p w14:paraId="57AE46E6" w14:textId="4BB0E89E" w:rsidR="67541CC0" w:rsidRDefault="00825BB3" w:rsidP="00F17423">
      <w:pPr>
        <w:spacing w:before="220" w:after="0"/>
        <w:rPr>
          <w:highlight w:val="yellow"/>
          <w:lang w:val="en-US"/>
        </w:rPr>
      </w:pPr>
      <w:r>
        <w:t xml:space="preserve">Applying the </w:t>
      </w:r>
      <w:r w:rsidR="00F17423">
        <w:t xml:space="preserve">HCFC </w:t>
      </w:r>
      <w:r>
        <w:t>scenarios</w:t>
      </w:r>
      <w:r w:rsidR="00F17423">
        <w:t xml:space="preserve"> 1 and 2</w:t>
      </w:r>
      <w:r>
        <w:t xml:space="preserve"> based on historical versus cost guidelines CEs, </w:t>
      </w:r>
      <w:r w:rsidR="00AF76E4">
        <w:t xml:space="preserve">respectively, and </w:t>
      </w:r>
      <w:r>
        <w:t>c</w:t>
      </w:r>
      <w:r w:rsidR="5AB8954D">
        <w:t>onsidering Decision 62/17</w:t>
      </w:r>
      <w:r w:rsidR="00A9342E">
        <w:t xml:space="preserve">, </w:t>
      </w:r>
      <w:r w:rsidR="06FC6ABC">
        <w:t xml:space="preserve">and </w:t>
      </w:r>
      <w:r w:rsidR="5AB8954D">
        <w:t>a</w:t>
      </w:r>
      <w:r w:rsidR="00D56A84">
        <w:t xml:space="preserve">llocating funding resources </w:t>
      </w:r>
      <w:r w:rsidR="5AB8954D">
        <w:t xml:space="preserve">90% to 2027-2029 and 10% to 2030-2032, </w:t>
      </w:r>
      <w:r w:rsidR="005F482D">
        <w:t xml:space="preserve">the ranges for the estimated funding requirement for the HCFC consumption sector </w:t>
      </w:r>
      <w:r w:rsidR="00783EDE">
        <w:t xml:space="preserve">total </w:t>
      </w:r>
      <w:r w:rsidR="005F482D">
        <w:t>phase-out for the 202</w:t>
      </w:r>
      <w:r w:rsidR="00AC37EC">
        <w:t xml:space="preserve">7-2029 and 2030-2032 are </w:t>
      </w:r>
      <w:r w:rsidR="009403E9">
        <w:t>summarised</w:t>
      </w:r>
      <w:r w:rsidR="00AC37EC" w:rsidRPr="00AC37EC">
        <w:t xml:space="preserve"> in </w:t>
      </w:r>
      <w:r w:rsidR="5AB8954D" w:rsidRPr="00AC37EC">
        <w:t>Table</w:t>
      </w:r>
      <w:r w:rsidR="00A9342E" w:rsidRPr="00AC37EC">
        <w:t xml:space="preserve"> 2.</w:t>
      </w:r>
      <w:r w:rsidR="00790CEA">
        <w:t>10</w:t>
      </w:r>
      <w:r w:rsidR="00AC37EC">
        <w:t>.</w:t>
      </w:r>
    </w:p>
    <w:p w14:paraId="6D70C763" w14:textId="77777777" w:rsidR="00FE4B7E" w:rsidRDefault="00FE4B7E" w:rsidP="00FE4B7E">
      <w:pPr>
        <w:tabs>
          <w:tab w:val="left" w:pos="1418"/>
        </w:tabs>
        <w:ind w:left="1418" w:hanging="1418"/>
        <w:rPr>
          <w:rFonts w:eastAsiaTheme="minorEastAsia"/>
          <w:b/>
          <w:bCs/>
        </w:rPr>
      </w:pPr>
    </w:p>
    <w:p w14:paraId="7DAE5B15" w14:textId="7A5D4E3B" w:rsidR="00FE4B7E" w:rsidRPr="006826D6" w:rsidRDefault="274D2446" w:rsidP="002135B0">
      <w:pPr>
        <w:tabs>
          <w:tab w:val="left" w:pos="1134"/>
        </w:tabs>
        <w:spacing w:after="120"/>
        <w:ind w:left="1134" w:hanging="1134"/>
        <w:rPr>
          <w:lang w:val="en-US"/>
        </w:rPr>
      </w:pPr>
      <w:r w:rsidRPr="274D2446">
        <w:rPr>
          <w:rFonts w:eastAsiaTheme="minorEastAsia"/>
          <w:b/>
          <w:bCs/>
        </w:rPr>
        <w:t>Table 2.</w:t>
      </w:r>
      <w:r w:rsidR="00790CEA">
        <w:rPr>
          <w:rFonts w:eastAsiaTheme="minorEastAsia"/>
          <w:b/>
          <w:bCs/>
        </w:rPr>
        <w:t>10</w:t>
      </w:r>
      <w:r w:rsidR="00720371">
        <w:rPr>
          <w:rFonts w:eastAsiaTheme="minorEastAsia"/>
          <w:b/>
          <w:bCs/>
        </w:rPr>
        <w:t>:</w:t>
      </w:r>
      <w:r w:rsidR="00FE4B7E">
        <w:tab/>
      </w:r>
      <w:r w:rsidRPr="274D2446">
        <w:rPr>
          <w:b/>
          <w:bCs/>
        </w:rPr>
        <w:t xml:space="preserve">Range of estimated funding requirement for </w:t>
      </w:r>
      <w:r w:rsidR="00554C1B">
        <w:rPr>
          <w:b/>
          <w:bCs/>
        </w:rPr>
        <w:t xml:space="preserve">total </w:t>
      </w:r>
      <w:r w:rsidRPr="274D2446">
        <w:rPr>
          <w:b/>
          <w:bCs/>
        </w:rPr>
        <w:t>HCFC consumption sector phase-out for 2027-2029 and 2030-2032 (</w:t>
      </w:r>
      <w:r w:rsidRPr="274D2446">
        <w:rPr>
          <w:b/>
          <w:bCs/>
          <w:lang w:val="en-US"/>
        </w:rPr>
        <w:t>US$ millions)</w:t>
      </w: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34"/>
        <w:gridCol w:w="1307"/>
        <w:gridCol w:w="883"/>
        <w:gridCol w:w="821"/>
        <w:gridCol w:w="1120"/>
        <w:gridCol w:w="1120"/>
      </w:tblGrid>
      <w:tr w:rsidR="00DB748B" w:rsidRPr="00DB748B" w14:paraId="173480BA" w14:textId="77777777" w:rsidTr="4BCEE662">
        <w:trPr>
          <w:trHeight w:val="498"/>
          <w:tblHeader/>
        </w:trPr>
        <w:tc>
          <w:tcPr>
            <w:tcW w:w="1815" w:type="dxa"/>
            <w:vMerge w:val="restart"/>
            <w:shd w:val="clear" w:color="auto" w:fill="E2EFD9" w:themeFill="accent6" w:themeFillTint="33"/>
            <w:tcMar>
              <w:left w:w="108" w:type="dxa"/>
              <w:right w:w="108" w:type="dxa"/>
            </w:tcMar>
            <w:vAlign w:val="center"/>
          </w:tcPr>
          <w:p w14:paraId="6D222039"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HCFC CONSUMPTION SECTOR</w:t>
            </w:r>
          </w:p>
        </w:tc>
        <w:tc>
          <w:tcPr>
            <w:tcW w:w="2559" w:type="dxa"/>
            <w:gridSpan w:val="2"/>
            <w:vMerge w:val="restart"/>
            <w:shd w:val="clear" w:color="auto" w:fill="E2EFD9" w:themeFill="accent6" w:themeFillTint="33"/>
            <w:tcMar>
              <w:left w:w="108" w:type="dxa"/>
              <w:right w:w="108" w:type="dxa"/>
            </w:tcMar>
          </w:tcPr>
          <w:p w14:paraId="513B1208"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2027-2029 and 2030-2032 Total Estimated Funding for Complete Phaseout</w:t>
            </w:r>
          </w:p>
        </w:tc>
        <w:tc>
          <w:tcPr>
            <w:tcW w:w="1668" w:type="dxa"/>
            <w:gridSpan w:val="2"/>
            <w:shd w:val="clear" w:color="auto" w:fill="E2EFD9" w:themeFill="accent6" w:themeFillTint="33"/>
            <w:tcMar>
              <w:left w:w="108" w:type="dxa"/>
              <w:right w:w="108" w:type="dxa"/>
            </w:tcMar>
          </w:tcPr>
          <w:p w14:paraId="622FA953"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 xml:space="preserve">Proposed Resource Allocation  </w:t>
            </w:r>
          </w:p>
        </w:tc>
        <w:tc>
          <w:tcPr>
            <w:tcW w:w="2256" w:type="dxa"/>
            <w:gridSpan w:val="2"/>
            <w:shd w:val="clear" w:color="auto" w:fill="E2EFD9" w:themeFill="accent6" w:themeFillTint="33"/>
            <w:tcMar>
              <w:left w:w="108" w:type="dxa"/>
              <w:right w:w="108" w:type="dxa"/>
            </w:tcMar>
          </w:tcPr>
          <w:p w14:paraId="597FCEFC"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 xml:space="preserve">Proposed Resource Allocation </w:t>
            </w:r>
          </w:p>
        </w:tc>
      </w:tr>
      <w:tr w:rsidR="00DB748B" w:rsidRPr="00DB748B" w14:paraId="34D80E3F" w14:textId="77777777" w:rsidTr="4BCEE662">
        <w:trPr>
          <w:trHeight w:val="498"/>
          <w:tblHeader/>
        </w:trPr>
        <w:tc>
          <w:tcPr>
            <w:tcW w:w="1815" w:type="dxa"/>
            <w:vMerge/>
            <w:tcMar>
              <w:left w:w="108" w:type="dxa"/>
              <w:right w:w="108" w:type="dxa"/>
            </w:tcMar>
            <w:vAlign w:val="center"/>
          </w:tcPr>
          <w:p w14:paraId="543B179E"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p>
        </w:tc>
        <w:tc>
          <w:tcPr>
            <w:tcW w:w="2559" w:type="dxa"/>
            <w:gridSpan w:val="2"/>
            <w:vMerge/>
            <w:tcMar>
              <w:left w:w="108" w:type="dxa"/>
              <w:right w:w="108" w:type="dxa"/>
            </w:tcMar>
          </w:tcPr>
          <w:p w14:paraId="7A05DD24"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p>
        </w:tc>
        <w:tc>
          <w:tcPr>
            <w:tcW w:w="885" w:type="dxa"/>
            <w:shd w:val="clear" w:color="auto" w:fill="E2EFD9" w:themeFill="accent6" w:themeFillTint="33"/>
            <w:tcMar>
              <w:left w:w="108" w:type="dxa"/>
              <w:right w:w="108" w:type="dxa"/>
            </w:tcMar>
            <w:vAlign w:val="center"/>
          </w:tcPr>
          <w:p w14:paraId="4E0198A0"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2027-2029</w:t>
            </w:r>
          </w:p>
        </w:tc>
        <w:tc>
          <w:tcPr>
            <w:tcW w:w="783" w:type="dxa"/>
            <w:shd w:val="clear" w:color="auto" w:fill="E2EFD9" w:themeFill="accent6" w:themeFillTint="33"/>
            <w:tcMar>
              <w:left w:w="108" w:type="dxa"/>
              <w:right w:w="108" w:type="dxa"/>
            </w:tcMar>
            <w:vAlign w:val="center"/>
          </w:tcPr>
          <w:p w14:paraId="2E49175B"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2030-2032</w:t>
            </w:r>
          </w:p>
        </w:tc>
        <w:tc>
          <w:tcPr>
            <w:tcW w:w="1128" w:type="dxa"/>
            <w:shd w:val="clear" w:color="auto" w:fill="E2EFD9" w:themeFill="accent6" w:themeFillTint="33"/>
            <w:tcMar>
              <w:left w:w="108" w:type="dxa"/>
              <w:right w:w="108" w:type="dxa"/>
            </w:tcMar>
            <w:vAlign w:val="center"/>
          </w:tcPr>
          <w:p w14:paraId="4511C0BF"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2027-2029</w:t>
            </w:r>
          </w:p>
        </w:tc>
        <w:tc>
          <w:tcPr>
            <w:tcW w:w="1128" w:type="dxa"/>
            <w:shd w:val="clear" w:color="auto" w:fill="E2EFD9" w:themeFill="accent6" w:themeFillTint="33"/>
            <w:tcMar>
              <w:left w:w="108" w:type="dxa"/>
              <w:right w:w="108" w:type="dxa"/>
            </w:tcMar>
            <w:vAlign w:val="center"/>
          </w:tcPr>
          <w:p w14:paraId="551C2C30"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2030-2032</w:t>
            </w:r>
          </w:p>
        </w:tc>
      </w:tr>
      <w:tr w:rsidR="008E1E59" w:rsidRPr="00DB748B" w14:paraId="3F15AB74" w14:textId="77777777" w:rsidTr="4BCEE662">
        <w:trPr>
          <w:trHeight w:val="60"/>
          <w:tblHeader/>
        </w:trPr>
        <w:tc>
          <w:tcPr>
            <w:tcW w:w="1815" w:type="dxa"/>
            <w:vMerge/>
            <w:tcMar>
              <w:left w:w="108" w:type="dxa"/>
              <w:right w:w="108" w:type="dxa"/>
            </w:tcMar>
          </w:tcPr>
          <w:p w14:paraId="5FA75470" w14:textId="77777777" w:rsidR="008E1E59" w:rsidRPr="00DB748B" w:rsidRDefault="008E1E59" w:rsidP="00DB748B">
            <w:pPr>
              <w:tabs>
                <w:tab w:val="clear" w:pos="0"/>
              </w:tabs>
              <w:spacing w:after="0" w:line="259" w:lineRule="auto"/>
              <w:rPr>
                <w:rFonts w:eastAsiaTheme="minorHAnsi"/>
                <w:b/>
                <w:bCs/>
                <w:color w:val="auto"/>
                <w:kern w:val="2"/>
                <w:sz w:val="20"/>
                <w:szCs w:val="20"/>
                <w:lang w:val="en-US"/>
                <w14:ligatures w14:val="standardContextual"/>
              </w:rPr>
            </w:pPr>
          </w:p>
        </w:tc>
        <w:tc>
          <w:tcPr>
            <w:tcW w:w="2559" w:type="dxa"/>
            <w:gridSpan w:val="2"/>
            <w:shd w:val="clear" w:color="auto" w:fill="E2EFD9" w:themeFill="accent6" w:themeFillTint="33"/>
            <w:tcMar>
              <w:left w:w="108" w:type="dxa"/>
              <w:right w:w="108" w:type="dxa"/>
            </w:tcMar>
          </w:tcPr>
          <w:p w14:paraId="315F2674" w14:textId="77777777" w:rsidR="008E1E59" w:rsidRPr="00DB748B" w:rsidRDefault="008E1E59"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 xml:space="preserve">2 Scenarios </w:t>
            </w:r>
          </w:p>
          <w:p w14:paraId="2A52FAD9" w14:textId="0B74D162" w:rsidR="008E1E59" w:rsidRPr="00DB748B" w:rsidRDefault="008E1E59" w:rsidP="00DB748B">
            <w:pPr>
              <w:tabs>
                <w:tab w:val="clear" w:pos="0"/>
              </w:tabs>
              <w:spacing w:after="0" w:line="259" w:lineRule="auto"/>
              <w:jc w:val="center"/>
              <w:rPr>
                <w:rFonts w:eastAsiaTheme="minorHAnsi"/>
                <w:b/>
                <w:bCs/>
                <w:color w:val="auto"/>
                <w:kern w:val="2"/>
                <w:sz w:val="20"/>
                <w:szCs w:val="20"/>
                <w:lang w:val="en-US"/>
                <w14:ligatures w14:val="standardContextual"/>
              </w:rPr>
            </w:pPr>
            <w:r>
              <w:rPr>
                <w:rFonts w:eastAsiaTheme="minorHAnsi"/>
                <w:b/>
                <w:bCs/>
                <w:color w:val="auto"/>
                <w:kern w:val="2"/>
                <w:sz w:val="20"/>
                <w:szCs w:val="20"/>
                <w:lang w:val="en-US"/>
                <w14:ligatures w14:val="standardContextual"/>
              </w:rPr>
              <w:t>a</w:t>
            </w:r>
            <w:r w:rsidRPr="00DB748B">
              <w:rPr>
                <w:rFonts w:eastAsiaTheme="minorHAnsi"/>
                <w:b/>
                <w:bCs/>
                <w:color w:val="auto"/>
                <w:kern w:val="2"/>
                <w:sz w:val="20"/>
                <w:szCs w:val="20"/>
                <w:lang w:val="en-US"/>
                <w14:ligatures w14:val="standardContextual"/>
              </w:rPr>
              <w:t>pplying different CEs to manufacturing sectors</w:t>
            </w:r>
          </w:p>
        </w:tc>
        <w:tc>
          <w:tcPr>
            <w:tcW w:w="1668" w:type="dxa"/>
            <w:gridSpan w:val="2"/>
            <w:shd w:val="clear" w:color="auto" w:fill="E2EFD9" w:themeFill="accent6" w:themeFillTint="33"/>
            <w:tcMar>
              <w:left w:w="108" w:type="dxa"/>
              <w:right w:w="108" w:type="dxa"/>
            </w:tcMar>
          </w:tcPr>
          <w:p w14:paraId="4CACDCA4" w14:textId="77777777" w:rsidR="008E1E59" w:rsidRPr="00DB748B" w:rsidRDefault="008E1E59" w:rsidP="00DB748B">
            <w:pPr>
              <w:tabs>
                <w:tab w:val="clear" w:pos="0"/>
              </w:tabs>
              <w:spacing w:after="0" w:line="259" w:lineRule="auto"/>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 xml:space="preserve"> </w:t>
            </w:r>
          </w:p>
          <w:p w14:paraId="21198115" w14:textId="1D3EF0B4" w:rsidR="008E1E59" w:rsidRPr="00DB748B" w:rsidRDefault="008E1E59" w:rsidP="00DB748B">
            <w:pPr>
              <w:tabs>
                <w:tab w:val="clear" w:pos="0"/>
              </w:tabs>
              <w:spacing w:after="0" w:line="259" w:lineRule="auto"/>
              <w:jc w:val="center"/>
              <w:rPr>
                <w:rFonts w:eastAsiaTheme="minorHAnsi"/>
                <w:b/>
                <w:bCs/>
                <w:color w:val="auto"/>
                <w:kern w:val="2"/>
                <w:sz w:val="20"/>
                <w:szCs w:val="20"/>
                <w:lang w:val="en-US"/>
                <w14:ligatures w14:val="standardContextual"/>
              </w:rPr>
            </w:pPr>
            <w:r>
              <w:rPr>
                <w:rFonts w:eastAsiaTheme="minorHAnsi"/>
                <w:b/>
                <w:bCs/>
                <w:color w:val="auto"/>
                <w:kern w:val="2"/>
                <w:sz w:val="20"/>
                <w:szCs w:val="20"/>
                <w:lang w:val="en-US"/>
                <w14:ligatures w14:val="standardContextual"/>
              </w:rPr>
              <w:t>Scenario 1</w:t>
            </w:r>
            <w:r w:rsidRPr="00DB748B">
              <w:rPr>
                <w:rFonts w:eastAsiaTheme="minorHAnsi"/>
                <w:b/>
                <w:bCs/>
                <w:color w:val="auto"/>
                <w:kern w:val="2"/>
                <w:sz w:val="20"/>
                <w:szCs w:val="20"/>
                <w:lang w:val="en-US"/>
                <w14:ligatures w14:val="standardContextual"/>
              </w:rPr>
              <w:t xml:space="preserve"> </w:t>
            </w:r>
          </w:p>
        </w:tc>
        <w:tc>
          <w:tcPr>
            <w:tcW w:w="2256" w:type="dxa"/>
            <w:gridSpan w:val="2"/>
            <w:shd w:val="clear" w:color="auto" w:fill="E2EFD9" w:themeFill="accent6" w:themeFillTint="33"/>
            <w:tcMar>
              <w:left w:w="108" w:type="dxa"/>
              <w:right w:w="108" w:type="dxa"/>
            </w:tcMar>
          </w:tcPr>
          <w:p w14:paraId="42DE0F0A" w14:textId="77777777" w:rsidR="008E1E59" w:rsidRPr="00DB748B" w:rsidRDefault="008E1E59"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 xml:space="preserve"> </w:t>
            </w:r>
          </w:p>
          <w:p w14:paraId="2ED1BB92" w14:textId="24EF8FA7" w:rsidR="008E1E59" w:rsidRPr="00DB748B" w:rsidRDefault="008E1E59" w:rsidP="00DB748B">
            <w:pPr>
              <w:tabs>
                <w:tab w:val="clear" w:pos="0"/>
              </w:tabs>
              <w:spacing w:after="0" w:line="259" w:lineRule="auto"/>
              <w:jc w:val="center"/>
              <w:rPr>
                <w:rFonts w:eastAsiaTheme="minorHAnsi"/>
                <w:b/>
                <w:bCs/>
                <w:color w:val="auto"/>
                <w:kern w:val="2"/>
                <w:sz w:val="20"/>
                <w:szCs w:val="20"/>
                <w:lang w:val="en-US"/>
                <w14:ligatures w14:val="standardContextual"/>
              </w:rPr>
            </w:pPr>
            <w:r>
              <w:rPr>
                <w:rFonts w:eastAsiaTheme="minorHAnsi"/>
                <w:b/>
                <w:bCs/>
                <w:color w:val="auto"/>
                <w:kern w:val="2"/>
                <w:sz w:val="20"/>
                <w:szCs w:val="20"/>
                <w:lang w:val="en-US"/>
                <w14:ligatures w14:val="standardContextual"/>
              </w:rPr>
              <w:t>Scenario 2</w:t>
            </w:r>
            <w:r w:rsidRPr="00DB748B">
              <w:rPr>
                <w:rFonts w:eastAsiaTheme="minorHAnsi"/>
                <w:b/>
                <w:bCs/>
                <w:color w:val="auto"/>
                <w:kern w:val="2"/>
                <w:sz w:val="20"/>
                <w:szCs w:val="20"/>
                <w:lang w:val="en-US"/>
                <w14:ligatures w14:val="standardContextual"/>
              </w:rPr>
              <w:t xml:space="preserve"> </w:t>
            </w:r>
          </w:p>
        </w:tc>
      </w:tr>
      <w:tr w:rsidR="00DB748B" w:rsidRPr="00DB748B" w14:paraId="404A1DE8" w14:textId="77777777" w:rsidTr="4BCEE662">
        <w:trPr>
          <w:trHeight w:val="180"/>
          <w:tblHeader/>
        </w:trPr>
        <w:tc>
          <w:tcPr>
            <w:tcW w:w="1815" w:type="dxa"/>
            <w:vMerge/>
            <w:tcMar>
              <w:left w:w="108" w:type="dxa"/>
              <w:right w:w="108" w:type="dxa"/>
            </w:tcMar>
          </w:tcPr>
          <w:p w14:paraId="3D5F4BB2" w14:textId="77777777" w:rsidR="00DB748B" w:rsidRPr="00DB748B" w:rsidRDefault="00DB748B" w:rsidP="00DB748B">
            <w:pPr>
              <w:tabs>
                <w:tab w:val="clear" w:pos="0"/>
              </w:tabs>
              <w:spacing w:after="0" w:line="259" w:lineRule="auto"/>
              <w:rPr>
                <w:rFonts w:eastAsiaTheme="minorHAnsi"/>
                <w:b/>
                <w:bCs/>
                <w:color w:val="auto"/>
                <w:kern w:val="2"/>
                <w:sz w:val="20"/>
                <w:szCs w:val="20"/>
                <w:lang w:val="en-US"/>
                <w14:ligatures w14:val="standardContextual"/>
              </w:rPr>
            </w:pPr>
          </w:p>
        </w:tc>
        <w:tc>
          <w:tcPr>
            <w:tcW w:w="1242" w:type="dxa"/>
            <w:shd w:val="clear" w:color="auto" w:fill="F7CAAC" w:themeFill="accent2" w:themeFillTint="66"/>
            <w:tcMar>
              <w:left w:w="108" w:type="dxa"/>
              <w:right w:w="108" w:type="dxa"/>
            </w:tcMar>
            <w:vAlign w:val="center"/>
          </w:tcPr>
          <w:p w14:paraId="0BE7BB3E" w14:textId="16FBD875" w:rsidR="00DB748B" w:rsidRPr="00DB748B" w:rsidRDefault="0064544E" w:rsidP="00DB748B">
            <w:pPr>
              <w:tabs>
                <w:tab w:val="clear" w:pos="0"/>
              </w:tabs>
              <w:spacing w:after="0" w:line="259" w:lineRule="auto"/>
              <w:jc w:val="center"/>
              <w:rPr>
                <w:rFonts w:eastAsiaTheme="minorHAnsi"/>
                <w:b/>
                <w:bCs/>
                <w:color w:val="auto"/>
                <w:kern w:val="2"/>
                <w:sz w:val="20"/>
                <w:szCs w:val="20"/>
                <w:lang w:val="en-US"/>
                <w14:ligatures w14:val="standardContextual"/>
              </w:rPr>
            </w:pPr>
            <w:r>
              <w:rPr>
                <w:rFonts w:eastAsiaTheme="minorHAnsi"/>
                <w:b/>
                <w:bCs/>
                <w:color w:val="auto"/>
                <w:kern w:val="2"/>
                <w:sz w:val="20"/>
                <w:szCs w:val="20"/>
                <w:lang w:val="en-US"/>
                <w14:ligatures w14:val="standardContextual"/>
              </w:rPr>
              <w:t>Scenario 1</w:t>
            </w:r>
          </w:p>
        </w:tc>
        <w:tc>
          <w:tcPr>
            <w:tcW w:w="1317" w:type="dxa"/>
            <w:tcMar>
              <w:left w:w="108" w:type="dxa"/>
              <w:right w:w="108" w:type="dxa"/>
            </w:tcMar>
            <w:vAlign w:val="center"/>
          </w:tcPr>
          <w:p w14:paraId="5406E940" w14:textId="63553467" w:rsidR="00DB748B" w:rsidRPr="00DB748B" w:rsidRDefault="0064544E" w:rsidP="00DB748B">
            <w:pPr>
              <w:tabs>
                <w:tab w:val="clear" w:pos="0"/>
              </w:tabs>
              <w:spacing w:after="0" w:line="259" w:lineRule="auto"/>
              <w:jc w:val="center"/>
              <w:rPr>
                <w:rFonts w:eastAsiaTheme="minorHAnsi"/>
                <w:b/>
                <w:bCs/>
                <w:color w:val="auto"/>
                <w:kern w:val="2"/>
                <w:sz w:val="20"/>
                <w:szCs w:val="20"/>
                <w:lang w:val="en-US"/>
                <w14:ligatures w14:val="standardContextual"/>
              </w:rPr>
            </w:pPr>
            <w:r>
              <w:rPr>
                <w:rFonts w:eastAsiaTheme="minorHAnsi"/>
                <w:b/>
                <w:bCs/>
                <w:color w:val="auto"/>
                <w:kern w:val="2"/>
                <w:sz w:val="20"/>
                <w:szCs w:val="20"/>
                <w:lang w:val="en-US"/>
                <w14:ligatures w14:val="standardContextual"/>
              </w:rPr>
              <w:t>Scenario 2</w:t>
            </w:r>
          </w:p>
        </w:tc>
        <w:tc>
          <w:tcPr>
            <w:tcW w:w="885" w:type="dxa"/>
            <w:shd w:val="clear" w:color="auto" w:fill="F7CAAC" w:themeFill="accent2" w:themeFillTint="66"/>
            <w:tcMar>
              <w:left w:w="108" w:type="dxa"/>
              <w:right w:w="108" w:type="dxa"/>
            </w:tcMar>
          </w:tcPr>
          <w:p w14:paraId="357CF357"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90%</w:t>
            </w:r>
          </w:p>
        </w:tc>
        <w:tc>
          <w:tcPr>
            <w:tcW w:w="783" w:type="dxa"/>
            <w:shd w:val="clear" w:color="auto" w:fill="F7CAAC" w:themeFill="accent2" w:themeFillTint="66"/>
            <w:tcMar>
              <w:left w:w="108" w:type="dxa"/>
              <w:right w:w="108" w:type="dxa"/>
            </w:tcMar>
          </w:tcPr>
          <w:p w14:paraId="57ECBB3F"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10%</w:t>
            </w:r>
          </w:p>
        </w:tc>
        <w:tc>
          <w:tcPr>
            <w:tcW w:w="1128" w:type="dxa"/>
            <w:tcMar>
              <w:left w:w="108" w:type="dxa"/>
              <w:right w:w="108" w:type="dxa"/>
            </w:tcMar>
          </w:tcPr>
          <w:p w14:paraId="1802A587"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90%</w:t>
            </w:r>
          </w:p>
        </w:tc>
        <w:tc>
          <w:tcPr>
            <w:tcW w:w="1128" w:type="dxa"/>
            <w:tcMar>
              <w:left w:w="108" w:type="dxa"/>
              <w:right w:w="108" w:type="dxa"/>
            </w:tcMar>
          </w:tcPr>
          <w:p w14:paraId="4138EF88" w14:textId="77777777" w:rsidR="00DB748B" w:rsidRPr="00DB748B" w:rsidRDefault="00DB748B" w:rsidP="00DB748B">
            <w:pPr>
              <w:tabs>
                <w:tab w:val="clear" w:pos="0"/>
              </w:tabs>
              <w:spacing w:after="0" w:line="259" w:lineRule="auto"/>
              <w:jc w:val="center"/>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10%</w:t>
            </w:r>
          </w:p>
        </w:tc>
      </w:tr>
      <w:tr w:rsidR="00DB748B" w:rsidRPr="00DB748B" w14:paraId="622E039A" w14:textId="77777777" w:rsidTr="002135B0">
        <w:trPr>
          <w:trHeight w:val="180"/>
        </w:trPr>
        <w:tc>
          <w:tcPr>
            <w:tcW w:w="1815" w:type="dxa"/>
            <w:shd w:val="clear" w:color="auto" w:fill="E2EFD9" w:themeFill="accent6" w:themeFillTint="33"/>
            <w:tcMar>
              <w:left w:w="108" w:type="dxa"/>
              <w:right w:w="108" w:type="dxa"/>
            </w:tcMar>
          </w:tcPr>
          <w:p w14:paraId="766A1D87" w14:textId="77777777" w:rsidR="00DB748B" w:rsidRPr="00DB748B" w:rsidRDefault="00DB748B" w:rsidP="00DB748B">
            <w:pPr>
              <w:tabs>
                <w:tab w:val="clear" w:pos="0"/>
              </w:tabs>
              <w:spacing w:after="0" w:line="259" w:lineRule="auto"/>
              <w:rPr>
                <w:rFonts w:eastAsiaTheme="minorHAnsi"/>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Funding Committed *</w:t>
            </w:r>
            <w:r w:rsidRPr="00DB748B">
              <w:rPr>
                <w:rFonts w:eastAsiaTheme="minorHAnsi"/>
                <w:color w:val="auto"/>
                <w:kern w:val="2"/>
                <w:sz w:val="20"/>
                <w:szCs w:val="20"/>
                <w:lang w:val="en-US"/>
                <w14:ligatures w14:val="standardContextual"/>
              </w:rPr>
              <w:t xml:space="preserve"> for Approved HPMPs</w:t>
            </w:r>
          </w:p>
        </w:tc>
        <w:tc>
          <w:tcPr>
            <w:tcW w:w="1242" w:type="dxa"/>
            <w:shd w:val="clear" w:color="auto" w:fill="F7CAAC" w:themeFill="accent2" w:themeFillTint="66"/>
            <w:tcMar>
              <w:left w:w="108" w:type="dxa"/>
              <w:right w:w="108" w:type="dxa"/>
            </w:tcMar>
            <w:vAlign w:val="center"/>
          </w:tcPr>
          <w:p w14:paraId="5FFBB27C"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98.19*</w:t>
            </w:r>
          </w:p>
        </w:tc>
        <w:tc>
          <w:tcPr>
            <w:tcW w:w="1317" w:type="dxa"/>
            <w:tcMar>
              <w:left w:w="108" w:type="dxa"/>
              <w:right w:w="108" w:type="dxa"/>
            </w:tcMar>
            <w:vAlign w:val="center"/>
          </w:tcPr>
          <w:p w14:paraId="55FB355C"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98.19*</w:t>
            </w:r>
          </w:p>
        </w:tc>
        <w:tc>
          <w:tcPr>
            <w:tcW w:w="885" w:type="dxa"/>
            <w:shd w:val="clear" w:color="auto" w:fill="F7CAAC" w:themeFill="accent2" w:themeFillTint="66"/>
            <w:tcMar>
              <w:left w:w="108" w:type="dxa"/>
              <w:right w:w="108" w:type="dxa"/>
            </w:tcMar>
            <w:vAlign w:val="center"/>
          </w:tcPr>
          <w:p w14:paraId="213ADCFF"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78.06*</w:t>
            </w:r>
          </w:p>
        </w:tc>
        <w:tc>
          <w:tcPr>
            <w:tcW w:w="783" w:type="dxa"/>
            <w:shd w:val="clear" w:color="auto" w:fill="F7CAAC" w:themeFill="accent2" w:themeFillTint="66"/>
            <w:tcMar>
              <w:left w:w="108" w:type="dxa"/>
              <w:right w:w="108" w:type="dxa"/>
            </w:tcMar>
            <w:vAlign w:val="center"/>
          </w:tcPr>
          <w:p w14:paraId="6A3CDC8E"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20.13*</w:t>
            </w:r>
          </w:p>
        </w:tc>
        <w:tc>
          <w:tcPr>
            <w:tcW w:w="1128" w:type="dxa"/>
            <w:tcMar>
              <w:left w:w="108" w:type="dxa"/>
              <w:right w:w="108" w:type="dxa"/>
            </w:tcMar>
            <w:vAlign w:val="center"/>
          </w:tcPr>
          <w:p w14:paraId="3BE61D16"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78.06*</w:t>
            </w:r>
          </w:p>
        </w:tc>
        <w:tc>
          <w:tcPr>
            <w:tcW w:w="1128" w:type="dxa"/>
            <w:tcMar>
              <w:left w:w="108" w:type="dxa"/>
              <w:right w:w="108" w:type="dxa"/>
            </w:tcMar>
            <w:vAlign w:val="center"/>
          </w:tcPr>
          <w:p w14:paraId="05F6A53F"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20.13*</w:t>
            </w:r>
          </w:p>
        </w:tc>
      </w:tr>
      <w:tr w:rsidR="00DB748B" w:rsidRPr="00DB748B" w14:paraId="3160EDE7" w14:textId="77777777" w:rsidTr="002135B0">
        <w:trPr>
          <w:trHeight w:val="180"/>
        </w:trPr>
        <w:tc>
          <w:tcPr>
            <w:tcW w:w="1815" w:type="dxa"/>
            <w:shd w:val="clear" w:color="auto" w:fill="E2EFD9" w:themeFill="accent6" w:themeFillTint="33"/>
            <w:tcMar>
              <w:left w:w="108" w:type="dxa"/>
              <w:right w:w="108" w:type="dxa"/>
            </w:tcMar>
          </w:tcPr>
          <w:p w14:paraId="1A4D211C" w14:textId="77777777" w:rsidR="00DB748B" w:rsidRPr="00DB748B" w:rsidRDefault="00DB748B" w:rsidP="00DB748B">
            <w:pPr>
              <w:tabs>
                <w:tab w:val="clear" w:pos="0"/>
              </w:tabs>
              <w:spacing w:after="0" w:line="259" w:lineRule="auto"/>
              <w:rPr>
                <w:rFonts w:eastAsiaTheme="minorHAnsi"/>
                <w:color w:val="auto"/>
                <w:kern w:val="2"/>
                <w:sz w:val="20"/>
                <w:szCs w:val="20"/>
                <w:lang w:val="en-US"/>
                <w14:ligatures w14:val="standardContextual"/>
              </w:rPr>
            </w:pPr>
            <w:r w:rsidRPr="00DB748B">
              <w:rPr>
                <w:rFonts w:eastAsiaTheme="minorHAnsi"/>
                <w:color w:val="auto"/>
                <w:kern w:val="2"/>
                <w:sz w:val="20"/>
                <w:szCs w:val="20"/>
                <w:lang w:val="en-US"/>
                <w14:ligatures w14:val="standardContextual"/>
              </w:rPr>
              <w:t>Estimated New Funding for Project Preparation (PRP)</w:t>
            </w:r>
          </w:p>
        </w:tc>
        <w:tc>
          <w:tcPr>
            <w:tcW w:w="1242" w:type="dxa"/>
            <w:shd w:val="clear" w:color="auto" w:fill="F7CAAC" w:themeFill="accent2" w:themeFillTint="66"/>
            <w:tcMar>
              <w:left w:w="108" w:type="dxa"/>
              <w:right w:w="108" w:type="dxa"/>
            </w:tcMar>
            <w:vAlign w:val="center"/>
          </w:tcPr>
          <w:p w14:paraId="1BFBF3CF"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0.0438</w:t>
            </w:r>
          </w:p>
        </w:tc>
        <w:tc>
          <w:tcPr>
            <w:tcW w:w="1317" w:type="dxa"/>
            <w:tcMar>
              <w:left w:w="108" w:type="dxa"/>
              <w:right w:w="108" w:type="dxa"/>
            </w:tcMar>
            <w:vAlign w:val="center"/>
          </w:tcPr>
          <w:p w14:paraId="2BC50E5D"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0.0438</w:t>
            </w:r>
          </w:p>
        </w:tc>
        <w:tc>
          <w:tcPr>
            <w:tcW w:w="885" w:type="dxa"/>
            <w:shd w:val="clear" w:color="auto" w:fill="F7CAAC" w:themeFill="accent2" w:themeFillTint="66"/>
            <w:tcMar>
              <w:left w:w="108" w:type="dxa"/>
              <w:right w:w="108" w:type="dxa"/>
            </w:tcMar>
            <w:vAlign w:val="center"/>
          </w:tcPr>
          <w:p w14:paraId="41C4C82C"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0.04</w:t>
            </w:r>
          </w:p>
        </w:tc>
        <w:tc>
          <w:tcPr>
            <w:tcW w:w="783" w:type="dxa"/>
            <w:shd w:val="clear" w:color="auto" w:fill="F7CAAC" w:themeFill="accent2" w:themeFillTint="66"/>
            <w:tcMar>
              <w:left w:w="108" w:type="dxa"/>
              <w:right w:w="108" w:type="dxa"/>
            </w:tcMar>
            <w:vAlign w:val="center"/>
          </w:tcPr>
          <w:p w14:paraId="35401747"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0.00</w:t>
            </w:r>
          </w:p>
        </w:tc>
        <w:tc>
          <w:tcPr>
            <w:tcW w:w="1128" w:type="dxa"/>
            <w:tcMar>
              <w:left w:w="108" w:type="dxa"/>
              <w:right w:w="108" w:type="dxa"/>
            </w:tcMar>
            <w:vAlign w:val="center"/>
          </w:tcPr>
          <w:p w14:paraId="76C9C9B8"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0.04</w:t>
            </w:r>
          </w:p>
        </w:tc>
        <w:tc>
          <w:tcPr>
            <w:tcW w:w="1128" w:type="dxa"/>
            <w:tcMar>
              <w:left w:w="108" w:type="dxa"/>
              <w:right w:w="108" w:type="dxa"/>
            </w:tcMar>
            <w:vAlign w:val="center"/>
          </w:tcPr>
          <w:p w14:paraId="364C8A43"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0.00</w:t>
            </w:r>
          </w:p>
        </w:tc>
      </w:tr>
      <w:tr w:rsidR="00DB748B" w:rsidRPr="00DB748B" w14:paraId="0417FAC5" w14:textId="77777777" w:rsidTr="002135B0">
        <w:trPr>
          <w:trHeight w:val="60"/>
        </w:trPr>
        <w:tc>
          <w:tcPr>
            <w:tcW w:w="1815" w:type="dxa"/>
            <w:shd w:val="clear" w:color="auto" w:fill="E2EFD9" w:themeFill="accent6" w:themeFillTint="33"/>
            <w:tcMar>
              <w:left w:w="108" w:type="dxa"/>
              <w:right w:w="108" w:type="dxa"/>
            </w:tcMar>
          </w:tcPr>
          <w:p w14:paraId="6E938E48" w14:textId="77777777" w:rsidR="00DB748B" w:rsidRPr="00DB748B" w:rsidRDefault="00DB748B" w:rsidP="00DB748B">
            <w:pPr>
              <w:tabs>
                <w:tab w:val="clear" w:pos="0"/>
              </w:tabs>
              <w:spacing w:after="0" w:line="259" w:lineRule="auto"/>
              <w:rPr>
                <w:rFonts w:eastAsiaTheme="minorHAnsi"/>
                <w:color w:val="auto"/>
                <w:kern w:val="2"/>
                <w:sz w:val="20"/>
                <w:szCs w:val="20"/>
                <w:lang w:val="en-US"/>
                <w14:ligatures w14:val="standardContextual"/>
              </w:rPr>
            </w:pPr>
            <w:r w:rsidRPr="00DB748B">
              <w:rPr>
                <w:rFonts w:eastAsiaTheme="minorHAnsi"/>
                <w:color w:val="auto"/>
                <w:kern w:val="2"/>
                <w:sz w:val="20"/>
                <w:szCs w:val="20"/>
                <w:lang w:val="en-US"/>
                <w14:ligatures w14:val="standardContextual"/>
              </w:rPr>
              <w:t xml:space="preserve">Estimated New Funding to Address Remaining Consumption in 25 Parties for Complete Phaseout </w:t>
            </w:r>
          </w:p>
        </w:tc>
        <w:tc>
          <w:tcPr>
            <w:tcW w:w="1242" w:type="dxa"/>
            <w:shd w:val="clear" w:color="auto" w:fill="F7CAAC" w:themeFill="accent2" w:themeFillTint="66"/>
            <w:tcMar>
              <w:left w:w="108" w:type="dxa"/>
              <w:right w:w="108" w:type="dxa"/>
            </w:tcMar>
            <w:vAlign w:val="center"/>
          </w:tcPr>
          <w:p w14:paraId="2DC6586B"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372.9</w:t>
            </w:r>
          </w:p>
        </w:tc>
        <w:tc>
          <w:tcPr>
            <w:tcW w:w="1317" w:type="dxa"/>
            <w:tcMar>
              <w:left w:w="108" w:type="dxa"/>
              <w:right w:w="108" w:type="dxa"/>
            </w:tcMar>
            <w:vAlign w:val="center"/>
          </w:tcPr>
          <w:p w14:paraId="2D3AC8E1"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508.32</w:t>
            </w:r>
          </w:p>
        </w:tc>
        <w:tc>
          <w:tcPr>
            <w:tcW w:w="885" w:type="dxa"/>
            <w:shd w:val="clear" w:color="auto" w:fill="F7CAAC" w:themeFill="accent2" w:themeFillTint="66"/>
            <w:tcMar>
              <w:left w:w="108" w:type="dxa"/>
              <w:right w:w="108" w:type="dxa"/>
            </w:tcMar>
            <w:vAlign w:val="center"/>
          </w:tcPr>
          <w:p w14:paraId="43392892" w14:textId="77777777" w:rsidR="00DB748B" w:rsidRPr="00DB748B" w:rsidRDefault="00DB748B" w:rsidP="002135B0">
            <w:pPr>
              <w:tabs>
                <w:tab w:val="clear" w:pos="0"/>
              </w:tabs>
              <w:spacing w:after="0" w:line="259" w:lineRule="auto"/>
              <w:jc w:val="center"/>
              <w:rPr>
                <w:rFonts w:eastAsiaTheme="minorHAnsi"/>
                <w:color w:val="auto"/>
                <w:kern w:val="2"/>
                <w:lang w:val="pt-BR"/>
                <w14:ligatures w14:val="standardContextual"/>
              </w:rPr>
            </w:pPr>
            <w:r w:rsidRPr="00DB748B">
              <w:rPr>
                <w:rFonts w:eastAsiaTheme="minorHAnsi"/>
                <w:color w:val="auto"/>
                <w:kern w:val="2"/>
                <w:lang w:val="pt-BR"/>
                <w14:ligatures w14:val="standardContextual"/>
              </w:rPr>
              <w:t>335.61</w:t>
            </w:r>
          </w:p>
        </w:tc>
        <w:tc>
          <w:tcPr>
            <w:tcW w:w="783" w:type="dxa"/>
            <w:shd w:val="clear" w:color="auto" w:fill="F7CAAC" w:themeFill="accent2" w:themeFillTint="66"/>
            <w:tcMar>
              <w:left w:w="108" w:type="dxa"/>
              <w:right w:w="108" w:type="dxa"/>
            </w:tcMar>
            <w:vAlign w:val="center"/>
          </w:tcPr>
          <w:p w14:paraId="02D631CC" w14:textId="77777777" w:rsidR="00DB748B" w:rsidRPr="00DB748B" w:rsidRDefault="00DB748B" w:rsidP="002135B0">
            <w:pPr>
              <w:tabs>
                <w:tab w:val="clear" w:pos="0"/>
              </w:tabs>
              <w:spacing w:after="0" w:line="259" w:lineRule="auto"/>
              <w:jc w:val="center"/>
              <w:rPr>
                <w:rFonts w:eastAsiaTheme="minorHAnsi"/>
                <w:color w:val="auto"/>
                <w:kern w:val="2"/>
                <w:lang w:val="pt-BR"/>
                <w14:ligatures w14:val="standardContextual"/>
              </w:rPr>
            </w:pPr>
            <w:r w:rsidRPr="00DB748B">
              <w:rPr>
                <w:rFonts w:eastAsiaTheme="minorHAnsi"/>
                <w:color w:val="auto"/>
                <w:kern w:val="2"/>
                <w:lang w:val="pt-BR"/>
                <w14:ligatures w14:val="standardContextual"/>
              </w:rPr>
              <w:t>37.29</w:t>
            </w:r>
          </w:p>
        </w:tc>
        <w:tc>
          <w:tcPr>
            <w:tcW w:w="1128" w:type="dxa"/>
            <w:tcMar>
              <w:left w:w="108" w:type="dxa"/>
              <w:right w:w="108" w:type="dxa"/>
            </w:tcMar>
            <w:vAlign w:val="center"/>
          </w:tcPr>
          <w:p w14:paraId="6E4120E5" w14:textId="77777777" w:rsidR="00DB748B" w:rsidRPr="00DB748B" w:rsidRDefault="00DB748B" w:rsidP="002135B0">
            <w:pPr>
              <w:tabs>
                <w:tab w:val="clear" w:pos="0"/>
              </w:tabs>
              <w:spacing w:after="0" w:line="259" w:lineRule="auto"/>
              <w:jc w:val="center"/>
              <w:rPr>
                <w:rFonts w:eastAsiaTheme="minorHAnsi"/>
                <w:color w:val="auto"/>
                <w:kern w:val="2"/>
                <w:lang w:val="pt-BR"/>
                <w14:ligatures w14:val="standardContextual"/>
              </w:rPr>
            </w:pPr>
            <w:r w:rsidRPr="00DB748B">
              <w:rPr>
                <w:rFonts w:eastAsiaTheme="minorHAnsi"/>
                <w:color w:val="auto"/>
                <w:kern w:val="2"/>
                <w:lang w:val="pt-BR"/>
                <w14:ligatures w14:val="standardContextual"/>
              </w:rPr>
              <w:t>457.49</w:t>
            </w:r>
          </w:p>
        </w:tc>
        <w:tc>
          <w:tcPr>
            <w:tcW w:w="1128" w:type="dxa"/>
            <w:tcMar>
              <w:left w:w="108" w:type="dxa"/>
              <w:right w:w="108" w:type="dxa"/>
            </w:tcMar>
            <w:vAlign w:val="center"/>
          </w:tcPr>
          <w:p w14:paraId="5397DD77" w14:textId="77777777" w:rsidR="00DB748B" w:rsidRPr="00DB748B" w:rsidRDefault="00DB748B" w:rsidP="002135B0">
            <w:pPr>
              <w:tabs>
                <w:tab w:val="clear" w:pos="0"/>
              </w:tabs>
              <w:spacing w:after="0" w:line="259" w:lineRule="auto"/>
              <w:jc w:val="center"/>
              <w:rPr>
                <w:rFonts w:eastAsiaTheme="minorHAnsi"/>
                <w:color w:val="auto"/>
                <w:kern w:val="2"/>
                <w:lang w:val="pt-BR"/>
                <w14:ligatures w14:val="standardContextual"/>
              </w:rPr>
            </w:pPr>
            <w:r w:rsidRPr="00DB748B">
              <w:rPr>
                <w:rFonts w:eastAsiaTheme="minorHAnsi"/>
                <w:color w:val="auto"/>
                <w:kern w:val="2"/>
                <w:lang w:val="pt-BR"/>
                <w14:ligatures w14:val="standardContextual"/>
              </w:rPr>
              <w:t>50.83</w:t>
            </w:r>
          </w:p>
        </w:tc>
      </w:tr>
      <w:tr w:rsidR="00DB748B" w:rsidRPr="00DB748B" w14:paraId="13BF4878" w14:textId="77777777" w:rsidTr="002135B0">
        <w:trPr>
          <w:trHeight w:val="60"/>
        </w:trPr>
        <w:tc>
          <w:tcPr>
            <w:tcW w:w="1815" w:type="dxa"/>
            <w:shd w:val="clear" w:color="auto" w:fill="E2EFD9" w:themeFill="accent6" w:themeFillTint="33"/>
            <w:tcMar>
              <w:left w:w="108" w:type="dxa"/>
              <w:right w:w="108" w:type="dxa"/>
            </w:tcMar>
          </w:tcPr>
          <w:p w14:paraId="26FC178F" w14:textId="77777777" w:rsidR="00DB748B" w:rsidRPr="00DB748B" w:rsidRDefault="00DB748B" w:rsidP="00DB748B">
            <w:pPr>
              <w:tabs>
                <w:tab w:val="clear" w:pos="0"/>
              </w:tabs>
              <w:spacing w:after="0" w:line="259" w:lineRule="auto"/>
              <w:rPr>
                <w:rFonts w:eastAsiaTheme="minorHAnsi"/>
                <w:color w:val="auto"/>
                <w:kern w:val="2"/>
                <w:sz w:val="20"/>
                <w:szCs w:val="20"/>
                <w:lang w:val="en-US"/>
                <w14:ligatures w14:val="standardContextual"/>
              </w:rPr>
            </w:pPr>
            <w:r w:rsidRPr="00DB748B">
              <w:rPr>
                <w:rFonts w:eastAsiaTheme="minorHAnsi"/>
                <w:color w:val="auto"/>
                <w:kern w:val="2"/>
                <w:sz w:val="20"/>
                <w:szCs w:val="20"/>
                <w:lang w:val="en-US"/>
                <w14:ligatures w14:val="standardContextual"/>
              </w:rPr>
              <w:t>Estimated New Funding for re-submission of 3 cancelled HPMPs</w:t>
            </w:r>
          </w:p>
        </w:tc>
        <w:tc>
          <w:tcPr>
            <w:tcW w:w="1242" w:type="dxa"/>
            <w:shd w:val="clear" w:color="auto" w:fill="F7CAAC" w:themeFill="accent2" w:themeFillTint="66"/>
            <w:tcMar>
              <w:left w:w="108" w:type="dxa"/>
              <w:right w:w="108" w:type="dxa"/>
            </w:tcMar>
            <w:vAlign w:val="center"/>
          </w:tcPr>
          <w:p w14:paraId="30208112"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pt-BR"/>
                <w14:ligatures w14:val="standardContextual"/>
              </w:rPr>
              <w:t>10.22</w:t>
            </w:r>
          </w:p>
        </w:tc>
        <w:tc>
          <w:tcPr>
            <w:tcW w:w="1317" w:type="dxa"/>
            <w:tcMar>
              <w:left w:w="108" w:type="dxa"/>
              <w:right w:w="108" w:type="dxa"/>
            </w:tcMar>
            <w:vAlign w:val="center"/>
          </w:tcPr>
          <w:p w14:paraId="6A046B40"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pt-BR"/>
                <w14:ligatures w14:val="standardContextual"/>
              </w:rPr>
              <w:t>10.22</w:t>
            </w:r>
          </w:p>
        </w:tc>
        <w:tc>
          <w:tcPr>
            <w:tcW w:w="885" w:type="dxa"/>
            <w:shd w:val="clear" w:color="auto" w:fill="F7CAAC" w:themeFill="accent2" w:themeFillTint="66"/>
            <w:tcMar>
              <w:left w:w="108" w:type="dxa"/>
              <w:right w:w="108" w:type="dxa"/>
            </w:tcMar>
            <w:vAlign w:val="center"/>
          </w:tcPr>
          <w:p w14:paraId="46935CAD" w14:textId="77777777" w:rsidR="00DB748B" w:rsidRPr="00DB748B" w:rsidRDefault="00DB748B" w:rsidP="002135B0">
            <w:pPr>
              <w:tabs>
                <w:tab w:val="clear" w:pos="0"/>
              </w:tabs>
              <w:spacing w:after="0" w:line="259" w:lineRule="auto"/>
              <w:jc w:val="center"/>
              <w:rPr>
                <w:rFonts w:eastAsiaTheme="minorHAnsi"/>
                <w:color w:val="auto"/>
                <w:kern w:val="2"/>
                <w:lang w:val="pt-BR"/>
                <w14:ligatures w14:val="standardContextual"/>
              </w:rPr>
            </w:pPr>
            <w:r w:rsidRPr="00DB748B">
              <w:rPr>
                <w:rFonts w:eastAsiaTheme="minorHAnsi"/>
                <w:color w:val="auto"/>
                <w:kern w:val="2"/>
                <w:lang w:val="pt-BR"/>
                <w14:ligatures w14:val="standardContextual"/>
              </w:rPr>
              <w:t>9.20</w:t>
            </w:r>
          </w:p>
        </w:tc>
        <w:tc>
          <w:tcPr>
            <w:tcW w:w="783" w:type="dxa"/>
            <w:shd w:val="clear" w:color="auto" w:fill="F7CAAC" w:themeFill="accent2" w:themeFillTint="66"/>
            <w:tcMar>
              <w:left w:w="108" w:type="dxa"/>
              <w:right w:w="108" w:type="dxa"/>
            </w:tcMar>
            <w:vAlign w:val="center"/>
          </w:tcPr>
          <w:p w14:paraId="1E573E4E" w14:textId="77777777" w:rsidR="00DB748B" w:rsidRPr="00DB748B" w:rsidRDefault="00DB748B" w:rsidP="002135B0">
            <w:pPr>
              <w:tabs>
                <w:tab w:val="clear" w:pos="0"/>
              </w:tabs>
              <w:spacing w:after="0" w:line="259" w:lineRule="auto"/>
              <w:jc w:val="center"/>
              <w:rPr>
                <w:rFonts w:eastAsiaTheme="minorHAnsi"/>
                <w:color w:val="auto"/>
                <w:kern w:val="2"/>
                <w:lang w:val="pt-BR"/>
                <w14:ligatures w14:val="standardContextual"/>
              </w:rPr>
            </w:pPr>
            <w:r w:rsidRPr="00DB748B">
              <w:rPr>
                <w:rFonts w:eastAsiaTheme="minorHAnsi"/>
                <w:color w:val="auto"/>
                <w:kern w:val="2"/>
                <w:lang w:val="pt-BR"/>
                <w14:ligatures w14:val="standardContextual"/>
              </w:rPr>
              <w:t>1.02</w:t>
            </w:r>
          </w:p>
        </w:tc>
        <w:tc>
          <w:tcPr>
            <w:tcW w:w="1128" w:type="dxa"/>
            <w:tcMar>
              <w:left w:w="108" w:type="dxa"/>
              <w:right w:w="108" w:type="dxa"/>
            </w:tcMar>
            <w:vAlign w:val="center"/>
          </w:tcPr>
          <w:p w14:paraId="13FDE791" w14:textId="77777777" w:rsidR="00DB748B" w:rsidRPr="00DB748B" w:rsidRDefault="00DB748B" w:rsidP="002135B0">
            <w:pPr>
              <w:tabs>
                <w:tab w:val="clear" w:pos="0"/>
              </w:tabs>
              <w:spacing w:after="0" w:line="259" w:lineRule="auto"/>
              <w:jc w:val="center"/>
              <w:rPr>
                <w:rFonts w:eastAsiaTheme="minorHAnsi"/>
                <w:color w:val="auto"/>
                <w:kern w:val="2"/>
                <w:lang w:val="pt-BR"/>
                <w14:ligatures w14:val="standardContextual"/>
              </w:rPr>
            </w:pPr>
            <w:r w:rsidRPr="00DB748B">
              <w:rPr>
                <w:rFonts w:eastAsiaTheme="minorHAnsi"/>
                <w:color w:val="auto"/>
                <w:kern w:val="2"/>
                <w:lang w:val="pt-BR"/>
                <w14:ligatures w14:val="standardContextual"/>
              </w:rPr>
              <w:t>9.20</w:t>
            </w:r>
          </w:p>
        </w:tc>
        <w:tc>
          <w:tcPr>
            <w:tcW w:w="1128" w:type="dxa"/>
            <w:tcMar>
              <w:left w:w="108" w:type="dxa"/>
              <w:right w:w="108" w:type="dxa"/>
            </w:tcMar>
            <w:vAlign w:val="center"/>
          </w:tcPr>
          <w:p w14:paraId="0EA9661E" w14:textId="77777777" w:rsidR="00DB748B" w:rsidRPr="00DB748B" w:rsidRDefault="00DB748B" w:rsidP="002135B0">
            <w:pPr>
              <w:tabs>
                <w:tab w:val="clear" w:pos="0"/>
              </w:tabs>
              <w:spacing w:after="0" w:line="259" w:lineRule="auto"/>
              <w:jc w:val="center"/>
              <w:rPr>
                <w:rFonts w:eastAsiaTheme="minorHAnsi"/>
                <w:color w:val="auto"/>
                <w:kern w:val="2"/>
                <w:lang w:val="pt-BR"/>
                <w14:ligatures w14:val="standardContextual"/>
              </w:rPr>
            </w:pPr>
            <w:r w:rsidRPr="00DB748B">
              <w:rPr>
                <w:rFonts w:eastAsiaTheme="minorHAnsi"/>
                <w:color w:val="auto"/>
                <w:kern w:val="2"/>
                <w:lang w:val="pt-BR"/>
                <w14:ligatures w14:val="standardContextual"/>
              </w:rPr>
              <w:t>1.02</w:t>
            </w:r>
          </w:p>
        </w:tc>
      </w:tr>
      <w:tr w:rsidR="00DB748B" w:rsidRPr="00DB748B" w14:paraId="003432F8" w14:textId="77777777" w:rsidTr="002135B0">
        <w:trPr>
          <w:trHeight w:val="75"/>
        </w:trPr>
        <w:tc>
          <w:tcPr>
            <w:tcW w:w="1815" w:type="dxa"/>
            <w:shd w:val="clear" w:color="auto" w:fill="E2EFD9" w:themeFill="accent6" w:themeFillTint="33"/>
            <w:tcMar>
              <w:left w:w="108" w:type="dxa"/>
              <w:right w:w="108" w:type="dxa"/>
            </w:tcMar>
          </w:tcPr>
          <w:p w14:paraId="2C4BE695" w14:textId="77777777" w:rsidR="00DB748B" w:rsidRPr="00DB748B" w:rsidRDefault="00DB748B" w:rsidP="00DB748B">
            <w:pPr>
              <w:tabs>
                <w:tab w:val="clear" w:pos="0"/>
              </w:tabs>
              <w:spacing w:after="0" w:line="259" w:lineRule="auto"/>
              <w:rPr>
                <w:rFonts w:eastAsiaTheme="minorHAnsi"/>
                <w:color w:val="auto"/>
                <w:kern w:val="2"/>
                <w:sz w:val="20"/>
                <w:szCs w:val="20"/>
                <w:lang w:val="en-US"/>
                <w14:ligatures w14:val="standardContextual"/>
              </w:rPr>
            </w:pPr>
            <w:r w:rsidRPr="00DB748B">
              <w:rPr>
                <w:rFonts w:eastAsiaTheme="minorHAnsi"/>
                <w:color w:val="auto"/>
                <w:kern w:val="2"/>
                <w:sz w:val="20"/>
                <w:szCs w:val="20"/>
                <w:lang w:val="en-US"/>
                <w14:ligatures w14:val="standardContextual"/>
              </w:rPr>
              <w:t>HCFC Verification Funding</w:t>
            </w:r>
          </w:p>
        </w:tc>
        <w:tc>
          <w:tcPr>
            <w:tcW w:w="1242" w:type="dxa"/>
            <w:shd w:val="clear" w:color="auto" w:fill="F7CAAC" w:themeFill="accent2" w:themeFillTint="66"/>
            <w:tcMar>
              <w:left w:w="108" w:type="dxa"/>
              <w:right w:w="108" w:type="dxa"/>
            </w:tcMar>
            <w:vAlign w:val="center"/>
          </w:tcPr>
          <w:p w14:paraId="76D9A470"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1.77</w:t>
            </w:r>
          </w:p>
        </w:tc>
        <w:tc>
          <w:tcPr>
            <w:tcW w:w="1317" w:type="dxa"/>
            <w:tcMar>
              <w:left w:w="108" w:type="dxa"/>
              <w:right w:w="108" w:type="dxa"/>
            </w:tcMar>
            <w:vAlign w:val="center"/>
          </w:tcPr>
          <w:p w14:paraId="16865360"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1.77</w:t>
            </w:r>
          </w:p>
        </w:tc>
        <w:tc>
          <w:tcPr>
            <w:tcW w:w="885" w:type="dxa"/>
            <w:shd w:val="clear" w:color="auto" w:fill="F7CAAC" w:themeFill="accent2" w:themeFillTint="66"/>
            <w:tcMar>
              <w:left w:w="108" w:type="dxa"/>
              <w:right w:w="108" w:type="dxa"/>
            </w:tcMar>
            <w:vAlign w:val="center"/>
          </w:tcPr>
          <w:p w14:paraId="3A3958ED"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1.59</w:t>
            </w:r>
          </w:p>
        </w:tc>
        <w:tc>
          <w:tcPr>
            <w:tcW w:w="783" w:type="dxa"/>
            <w:shd w:val="clear" w:color="auto" w:fill="F7CAAC" w:themeFill="accent2" w:themeFillTint="66"/>
            <w:tcMar>
              <w:left w:w="108" w:type="dxa"/>
              <w:right w:w="108" w:type="dxa"/>
            </w:tcMar>
            <w:vAlign w:val="center"/>
          </w:tcPr>
          <w:p w14:paraId="451547C6"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0.18</w:t>
            </w:r>
          </w:p>
        </w:tc>
        <w:tc>
          <w:tcPr>
            <w:tcW w:w="1128" w:type="dxa"/>
            <w:tcMar>
              <w:left w:w="108" w:type="dxa"/>
              <w:right w:w="108" w:type="dxa"/>
            </w:tcMar>
            <w:vAlign w:val="center"/>
          </w:tcPr>
          <w:p w14:paraId="5C6F624D"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1.59</w:t>
            </w:r>
          </w:p>
        </w:tc>
        <w:tc>
          <w:tcPr>
            <w:tcW w:w="1128" w:type="dxa"/>
            <w:tcMar>
              <w:left w:w="108" w:type="dxa"/>
              <w:right w:w="108" w:type="dxa"/>
            </w:tcMar>
            <w:vAlign w:val="center"/>
          </w:tcPr>
          <w:p w14:paraId="381B08FA"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0.18</w:t>
            </w:r>
          </w:p>
        </w:tc>
      </w:tr>
      <w:tr w:rsidR="00DB748B" w:rsidRPr="00DB748B" w14:paraId="21FBF6C3" w14:textId="77777777" w:rsidTr="002135B0">
        <w:trPr>
          <w:trHeight w:val="480"/>
        </w:trPr>
        <w:tc>
          <w:tcPr>
            <w:tcW w:w="1815" w:type="dxa"/>
            <w:shd w:val="clear" w:color="auto" w:fill="E2EFD9" w:themeFill="accent6" w:themeFillTint="33"/>
            <w:tcMar>
              <w:left w:w="108" w:type="dxa"/>
              <w:right w:w="108" w:type="dxa"/>
            </w:tcMar>
          </w:tcPr>
          <w:p w14:paraId="6D9406E5" w14:textId="3FC5C4D4" w:rsidR="00DB748B" w:rsidRPr="00DB748B" w:rsidRDefault="00DB748B" w:rsidP="00DB748B">
            <w:pPr>
              <w:tabs>
                <w:tab w:val="clear" w:pos="0"/>
              </w:tabs>
              <w:spacing w:after="0" w:line="259" w:lineRule="auto"/>
              <w:rPr>
                <w:rFonts w:eastAsiaTheme="minorEastAsia"/>
                <w:color w:val="auto"/>
                <w:kern w:val="2"/>
                <w:sz w:val="20"/>
                <w:szCs w:val="20"/>
                <w:lang w:val="en-US"/>
                <w14:ligatures w14:val="standardContextual"/>
              </w:rPr>
            </w:pPr>
            <w:r w:rsidRPr="5AD5DB8B">
              <w:rPr>
                <w:rFonts w:eastAsiaTheme="minorEastAsia"/>
                <w:color w:val="auto"/>
                <w:kern w:val="2"/>
                <w:sz w:val="20"/>
                <w:szCs w:val="20"/>
                <w:lang w:val="en-US"/>
                <w14:ligatures w14:val="standardContextual"/>
              </w:rPr>
              <w:t xml:space="preserve">Energy Efficiency Funding for LVCs (Decision </w:t>
            </w:r>
            <w:r w:rsidRPr="5AD5DB8B">
              <w:rPr>
                <w:rFonts w:eastAsiaTheme="minorEastAsia"/>
                <w:kern w:val="2"/>
                <w:sz w:val="20"/>
                <w:szCs w:val="20"/>
                <w:lang w:val="en-US"/>
                <w14:ligatures w14:val="standardContextual"/>
              </w:rPr>
              <w:t>89/6)</w:t>
            </w:r>
          </w:p>
        </w:tc>
        <w:tc>
          <w:tcPr>
            <w:tcW w:w="1242" w:type="dxa"/>
            <w:shd w:val="clear" w:color="auto" w:fill="F7CAAC" w:themeFill="accent2" w:themeFillTint="66"/>
            <w:tcMar>
              <w:left w:w="108" w:type="dxa"/>
              <w:right w:w="108" w:type="dxa"/>
            </w:tcMar>
            <w:vAlign w:val="center"/>
          </w:tcPr>
          <w:p w14:paraId="62D95EE0"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3.4</w:t>
            </w:r>
          </w:p>
        </w:tc>
        <w:tc>
          <w:tcPr>
            <w:tcW w:w="1317" w:type="dxa"/>
            <w:tcMar>
              <w:left w:w="108" w:type="dxa"/>
              <w:right w:w="108" w:type="dxa"/>
            </w:tcMar>
            <w:vAlign w:val="center"/>
          </w:tcPr>
          <w:p w14:paraId="48199DF4"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3.4</w:t>
            </w:r>
          </w:p>
        </w:tc>
        <w:tc>
          <w:tcPr>
            <w:tcW w:w="885" w:type="dxa"/>
            <w:shd w:val="clear" w:color="auto" w:fill="F7CAAC" w:themeFill="accent2" w:themeFillTint="66"/>
            <w:tcMar>
              <w:left w:w="108" w:type="dxa"/>
              <w:right w:w="108" w:type="dxa"/>
            </w:tcMar>
            <w:vAlign w:val="center"/>
          </w:tcPr>
          <w:p w14:paraId="19CD66AB"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3.06</w:t>
            </w:r>
          </w:p>
        </w:tc>
        <w:tc>
          <w:tcPr>
            <w:tcW w:w="783" w:type="dxa"/>
            <w:shd w:val="clear" w:color="auto" w:fill="F7CAAC" w:themeFill="accent2" w:themeFillTint="66"/>
            <w:tcMar>
              <w:left w:w="108" w:type="dxa"/>
              <w:right w:w="108" w:type="dxa"/>
            </w:tcMar>
            <w:vAlign w:val="center"/>
          </w:tcPr>
          <w:p w14:paraId="77E87D78"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0.34</w:t>
            </w:r>
          </w:p>
        </w:tc>
        <w:tc>
          <w:tcPr>
            <w:tcW w:w="1128" w:type="dxa"/>
            <w:tcMar>
              <w:left w:w="108" w:type="dxa"/>
              <w:right w:w="108" w:type="dxa"/>
            </w:tcMar>
            <w:vAlign w:val="center"/>
          </w:tcPr>
          <w:p w14:paraId="2D224C25"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3.06</w:t>
            </w:r>
          </w:p>
        </w:tc>
        <w:tc>
          <w:tcPr>
            <w:tcW w:w="1128" w:type="dxa"/>
            <w:tcMar>
              <w:left w:w="108" w:type="dxa"/>
              <w:right w:w="108" w:type="dxa"/>
            </w:tcMar>
            <w:vAlign w:val="center"/>
          </w:tcPr>
          <w:p w14:paraId="17D0027B" w14:textId="77777777" w:rsidR="00DB748B" w:rsidRPr="00DB748B" w:rsidRDefault="00DB748B" w:rsidP="002135B0">
            <w:pPr>
              <w:tabs>
                <w:tab w:val="clear" w:pos="0"/>
              </w:tabs>
              <w:spacing w:after="0" w:line="259" w:lineRule="auto"/>
              <w:jc w:val="center"/>
              <w:rPr>
                <w:rFonts w:eastAsiaTheme="minorHAnsi"/>
                <w:color w:val="auto"/>
                <w:kern w:val="2"/>
                <w:lang w:val="en-US"/>
                <w14:ligatures w14:val="standardContextual"/>
              </w:rPr>
            </w:pPr>
            <w:r w:rsidRPr="00DB748B">
              <w:rPr>
                <w:rFonts w:eastAsiaTheme="minorHAnsi"/>
                <w:color w:val="auto"/>
                <w:kern w:val="2"/>
                <w:lang w:val="en-US"/>
                <w14:ligatures w14:val="standardContextual"/>
              </w:rPr>
              <w:t>0.34</w:t>
            </w:r>
          </w:p>
        </w:tc>
      </w:tr>
      <w:tr w:rsidR="00DB748B" w:rsidRPr="00DB748B" w14:paraId="1FE753CF" w14:textId="77777777" w:rsidTr="002135B0">
        <w:trPr>
          <w:trHeight w:val="480"/>
        </w:trPr>
        <w:tc>
          <w:tcPr>
            <w:tcW w:w="1815" w:type="dxa"/>
            <w:shd w:val="clear" w:color="auto" w:fill="FFFF00"/>
            <w:tcMar>
              <w:left w:w="108" w:type="dxa"/>
              <w:right w:w="108" w:type="dxa"/>
            </w:tcMar>
          </w:tcPr>
          <w:p w14:paraId="5A3654A8" w14:textId="77777777" w:rsidR="00DB748B" w:rsidRPr="00DB748B" w:rsidRDefault="00DB748B" w:rsidP="00DB748B">
            <w:pPr>
              <w:tabs>
                <w:tab w:val="clear" w:pos="0"/>
              </w:tabs>
              <w:spacing w:after="0" w:line="259" w:lineRule="auto"/>
              <w:rPr>
                <w:rFonts w:eastAsiaTheme="minorHAnsi"/>
                <w:b/>
                <w:bCs/>
                <w:color w:val="auto"/>
                <w:kern w:val="2"/>
                <w:sz w:val="20"/>
                <w:szCs w:val="20"/>
                <w:lang w:val="en-US"/>
                <w14:ligatures w14:val="standardContextual"/>
              </w:rPr>
            </w:pPr>
            <w:r w:rsidRPr="00DB748B">
              <w:rPr>
                <w:rFonts w:eastAsiaTheme="minorHAnsi"/>
                <w:b/>
                <w:bCs/>
                <w:color w:val="auto"/>
                <w:kern w:val="2"/>
                <w:sz w:val="20"/>
                <w:szCs w:val="20"/>
                <w:lang w:val="en-US"/>
                <w14:ligatures w14:val="standardContextual"/>
              </w:rPr>
              <w:t>Total for HCFC Consumption Sector</w:t>
            </w:r>
          </w:p>
        </w:tc>
        <w:tc>
          <w:tcPr>
            <w:tcW w:w="1242" w:type="dxa"/>
            <w:shd w:val="clear" w:color="auto" w:fill="FFFF00"/>
            <w:tcMar>
              <w:left w:w="108" w:type="dxa"/>
              <w:right w:w="108" w:type="dxa"/>
            </w:tcMar>
            <w:vAlign w:val="center"/>
          </w:tcPr>
          <w:p w14:paraId="715A853F" w14:textId="77777777" w:rsidR="00DB748B" w:rsidRPr="00DB748B" w:rsidRDefault="00DB748B" w:rsidP="00720371">
            <w:pPr>
              <w:tabs>
                <w:tab w:val="clear" w:pos="0"/>
              </w:tabs>
              <w:spacing w:after="0" w:line="259" w:lineRule="auto"/>
              <w:jc w:val="center"/>
              <w:rPr>
                <w:rFonts w:eastAsiaTheme="minorHAnsi"/>
                <w:b/>
                <w:bCs/>
                <w:color w:val="auto"/>
                <w:kern w:val="2"/>
                <w:highlight w:val="yellow"/>
                <w:lang w:val="en-US"/>
                <w14:ligatures w14:val="standardContextual"/>
              </w:rPr>
            </w:pPr>
            <w:r w:rsidRPr="00DB748B">
              <w:rPr>
                <w:rFonts w:eastAsiaTheme="minorHAnsi"/>
                <w:b/>
                <w:bCs/>
                <w:color w:val="auto"/>
                <w:kern w:val="2"/>
                <w:lang w:val="en-US"/>
                <w14:ligatures w14:val="standardContextual"/>
              </w:rPr>
              <w:t>486.52</w:t>
            </w:r>
          </w:p>
        </w:tc>
        <w:tc>
          <w:tcPr>
            <w:tcW w:w="1317" w:type="dxa"/>
            <w:shd w:val="clear" w:color="auto" w:fill="FFFF00"/>
            <w:tcMar>
              <w:left w:w="108" w:type="dxa"/>
              <w:right w:w="108" w:type="dxa"/>
            </w:tcMar>
            <w:vAlign w:val="center"/>
          </w:tcPr>
          <w:p w14:paraId="38B6C862" w14:textId="77777777" w:rsidR="00DB748B" w:rsidRPr="00DB748B" w:rsidRDefault="00DB748B" w:rsidP="00720371">
            <w:pPr>
              <w:tabs>
                <w:tab w:val="clear" w:pos="0"/>
              </w:tabs>
              <w:spacing w:after="0" w:line="259" w:lineRule="auto"/>
              <w:jc w:val="center"/>
              <w:rPr>
                <w:rFonts w:eastAsiaTheme="minorHAnsi"/>
                <w:b/>
                <w:bCs/>
                <w:color w:val="auto"/>
                <w:kern w:val="2"/>
                <w:lang w:val="en-US"/>
                <w14:ligatures w14:val="standardContextual"/>
              </w:rPr>
            </w:pPr>
            <w:r w:rsidRPr="00DB748B">
              <w:rPr>
                <w:rFonts w:eastAsiaTheme="minorHAnsi"/>
                <w:b/>
                <w:bCs/>
                <w:color w:val="auto"/>
                <w:kern w:val="2"/>
                <w:lang w:val="en-US"/>
                <w14:ligatures w14:val="standardContextual"/>
              </w:rPr>
              <w:t>621.94</w:t>
            </w:r>
          </w:p>
        </w:tc>
        <w:tc>
          <w:tcPr>
            <w:tcW w:w="885" w:type="dxa"/>
            <w:shd w:val="clear" w:color="auto" w:fill="FFFF00"/>
            <w:tcMar>
              <w:left w:w="108" w:type="dxa"/>
              <w:right w:w="108" w:type="dxa"/>
            </w:tcMar>
            <w:vAlign w:val="center"/>
          </w:tcPr>
          <w:p w14:paraId="5732333D" w14:textId="77777777" w:rsidR="00DB748B" w:rsidRPr="00DB748B" w:rsidRDefault="00DB748B" w:rsidP="00720371">
            <w:pPr>
              <w:tabs>
                <w:tab w:val="clear" w:pos="0"/>
              </w:tabs>
              <w:spacing w:after="0" w:line="259" w:lineRule="auto"/>
              <w:jc w:val="center"/>
              <w:rPr>
                <w:rFonts w:eastAsiaTheme="minorHAnsi"/>
                <w:b/>
                <w:bCs/>
                <w:color w:val="auto"/>
                <w:kern w:val="2"/>
                <w:lang w:val="en-US"/>
                <w14:ligatures w14:val="standardContextual"/>
              </w:rPr>
            </w:pPr>
            <w:r w:rsidRPr="00DB748B">
              <w:rPr>
                <w:rFonts w:eastAsiaTheme="minorHAnsi"/>
                <w:b/>
                <w:bCs/>
                <w:color w:val="auto"/>
                <w:kern w:val="2"/>
                <w:lang w:val="en-US"/>
                <w14:ligatures w14:val="standardContextual"/>
              </w:rPr>
              <w:t>427.56</w:t>
            </w:r>
          </w:p>
        </w:tc>
        <w:tc>
          <w:tcPr>
            <w:tcW w:w="783" w:type="dxa"/>
            <w:shd w:val="clear" w:color="auto" w:fill="FFFF00"/>
            <w:tcMar>
              <w:left w:w="108" w:type="dxa"/>
              <w:right w:w="108" w:type="dxa"/>
            </w:tcMar>
            <w:vAlign w:val="center"/>
          </w:tcPr>
          <w:p w14:paraId="3BE48A9F" w14:textId="77777777" w:rsidR="00DB748B" w:rsidRPr="00DB748B" w:rsidRDefault="00DB748B" w:rsidP="00720371">
            <w:pPr>
              <w:tabs>
                <w:tab w:val="clear" w:pos="0"/>
              </w:tabs>
              <w:spacing w:after="0" w:line="259" w:lineRule="auto"/>
              <w:jc w:val="center"/>
              <w:rPr>
                <w:rFonts w:eastAsiaTheme="minorHAnsi"/>
                <w:b/>
                <w:bCs/>
                <w:color w:val="auto"/>
                <w:kern w:val="2"/>
                <w:lang w:val="en-US"/>
                <w14:ligatures w14:val="standardContextual"/>
              </w:rPr>
            </w:pPr>
            <w:r w:rsidRPr="00DB748B">
              <w:rPr>
                <w:rFonts w:eastAsiaTheme="minorHAnsi"/>
                <w:b/>
                <w:bCs/>
                <w:color w:val="auto"/>
                <w:kern w:val="2"/>
                <w:lang w:val="en-US"/>
                <w14:ligatures w14:val="standardContextual"/>
              </w:rPr>
              <w:t>58.96</w:t>
            </w:r>
          </w:p>
        </w:tc>
        <w:tc>
          <w:tcPr>
            <w:tcW w:w="1128" w:type="dxa"/>
            <w:shd w:val="clear" w:color="auto" w:fill="FFFF00"/>
            <w:tcMar>
              <w:left w:w="108" w:type="dxa"/>
              <w:right w:w="108" w:type="dxa"/>
            </w:tcMar>
            <w:vAlign w:val="center"/>
          </w:tcPr>
          <w:p w14:paraId="49A6B8F9" w14:textId="77777777" w:rsidR="00DB748B" w:rsidRPr="00DB748B" w:rsidRDefault="00DB748B" w:rsidP="00720371">
            <w:pPr>
              <w:tabs>
                <w:tab w:val="clear" w:pos="0"/>
              </w:tabs>
              <w:spacing w:after="0" w:line="259" w:lineRule="auto"/>
              <w:jc w:val="center"/>
              <w:rPr>
                <w:rFonts w:eastAsiaTheme="minorHAnsi"/>
                <w:b/>
                <w:bCs/>
                <w:color w:val="auto"/>
                <w:kern w:val="2"/>
                <w:lang w:val="en-US"/>
                <w14:ligatures w14:val="standardContextual"/>
              </w:rPr>
            </w:pPr>
            <w:r w:rsidRPr="00DB748B">
              <w:rPr>
                <w:rFonts w:eastAsiaTheme="minorHAnsi"/>
                <w:b/>
                <w:bCs/>
                <w:color w:val="auto"/>
                <w:kern w:val="2"/>
                <w:lang w:val="en-US"/>
                <w14:ligatures w14:val="standardContextual"/>
              </w:rPr>
              <w:t>549.44</w:t>
            </w:r>
          </w:p>
        </w:tc>
        <w:tc>
          <w:tcPr>
            <w:tcW w:w="1128" w:type="dxa"/>
            <w:shd w:val="clear" w:color="auto" w:fill="FFFF00"/>
            <w:tcMar>
              <w:left w:w="108" w:type="dxa"/>
              <w:right w:w="108" w:type="dxa"/>
            </w:tcMar>
            <w:vAlign w:val="center"/>
          </w:tcPr>
          <w:p w14:paraId="1C12FFAD" w14:textId="77777777" w:rsidR="00DB748B" w:rsidRPr="00DB748B" w:rsidRDefault="00DB748B" w:rsidP="00720371">
            <w:pPr>
              <w:tabs>
                <w:tab w:val="clear" w:pos="0"/>
              </w:tabs>
              <w:spacing w:after="0" w:line="259" w:lineRule="auto"/>
              <w:jc w:val="center"/>
              <w:rPr>
                <w:rFonts w:eastAsiaTheme="minorHAnsi"/>
                <w:b/>
                <w:bCs/>
                <w:color w:val="auto"/>
                <w:kern w:val="2"/>
                <w:lang w:val="en-US"/>
                <w14:ligatures w14:val="standardContextual"/>
              </w:rPr>
            </w:pPr>
            <w:r w:rsidRPr="00DB748B">
              <w:rPr>
                <w:rFonts w:eastAsiaTheme="minorHAnsi"/>
                <w:b/>
                <w:bCs/>
                <w:color w:val="auto"/>
                <w:kern w:val="2"/>
                <w:lang w:val="en-US"/>
                <w14:ligatures w14:val="standardContextual"/>
              </w:rPr>
              <w:t>72.50</w:t>
            </w:r>
          </w:p>
        </w:tc>
      </w:tr>
    </w:tbl>
    <w:p w14:paraId="09F9E666" w14:textId="77777777" w:rsidR="00AB04E7" w:rsidRDefault="274D2446" w:rsidP="52297FA7">
      <w:pPr>
        <w:spacing w:after="0"/>
        <w:rPr>
          <w:sz w:val="20"/>
          <w:szCs w:val="20"/>
          <w:lang w:val="en-US"/>
        </w:rPr>
      </w:pPr>
      <w:r w:rsidRPr="274D2446">
        <w:rPr>
          <w:sz w:val="20"/>
          <w:szCs w:val="20"/>
          <w:lang w:val="en-US"/>
        </w:rPr>
        <w:t xml:space="preserve">*The values for committed funding follow the exact amount in tranches agreed, and the suggested 90/10% allocation by triennium does not apply. </w:t>
      </w:r>
    </w:p>
    <w:p w14:paraId="0B19FF9A" w14:textId="4FC66ABE" w:rsidR="3AB746AD" w:rsidRDefault="274D2446" w:rsidP="52297FA7">
      <w:pPr>
        <w:spacing w:after="0"/>
        <w:rPr>
          <w:sz w:val="20"/>
          <w:szCs w:val="20"/>
          <w:lang w:val="en-US"/>
        </w:rPr>
      </w:pPr>
      <w:r w:rsidRPr="274D2446">
        <w:rPr>
          <w:sz w:val="20"/>
          <w:szCs w:val="20"/>
          <w:lang w:val="en-US"/>
        </w:rPr>
        <w:t>** Project preparation all considered upfront.</w:t>
      </w:r>
    </w:p>
    <w:p w14:paraId="6F93196C" w14:textId="3F9B1F49" w:rsidR="4FE3AB85" w:rsidRDefault="4FE3AB85" w:rsidP="4FE3AB85">
      <w:pPr>
        <w:spacing w:after="0"/>
        <w:rPr>
          <w:sz w:val="20"/>
          <w:szCs w:val="20"/>
          <w:lang w:val="en-US"/>
        </w:rPr>
      </w:pPr>
    </w:p>
    <w:p w14:paraId="643CC941" w14:textId="1801AB06" w:rsidR="004D6669" w:rsidRDefault="4BCEE662" w:rsidP="00BE7D38">
      <w:pPr>
        <w:spacing w:after="0"/>
      </w:pPr>
      <w:r w:rsidRPr="4BCEE662">
        <w:rPr>
          <w:lang w:val="en-US"/>
        </w:rPr>
        <w:t xml:space="preserve">As mentioned earlier, RTF was unable to estimate and has not included PMU for remaining HPMPs (PMU is outside cost guidelines for non-LVCs). RTF, in consultation with the MLFS, </w:t>
      </w:r>
      <w:r w:rsidRPr="4BCEE662">
        <w:rPr>
          <w:lang w:val="en-US"/>
        </w:rPr>
        <w:lastRenderedPageBreak/>
        <w:t>believes the costs could be about 5, 7, or 10 per cent depending upon the party. This can be considered further in the RTF supplementary report.</w:t>
      </w:r>
    </w:p>
    <w:p w14:paraId="694D4AA5" w14:textId="77777777" w:rsidR="004D6669" w:rsidRDefault="004D6669" w:rsidP="00BE7D38">
      <w:pPr>
        <w:spacing w:after="0"/>
      </w:pPr>
    </w:p>
    <w:p w14:paraId="09217498" w14:textId="3C9D8D6E" w:rsidR="78312C0D" w:rsidRDefault="274D2446" w:rsidP="00BE7D38">
      <w:pPr>
        <w:spacing w:after="0"/>
      </w:pPr>
      <w:r>
        <w:t xml:space="preserve">In summary, </w:t>
      </w:r>
      <w:r w:rsidR="00EE2FCD">
        <w:t>Table 2.</w:t>
      </w:r>
      <w:r w:rsidR="00790CEA">
        <w:t>11</w:t>
      </w:r>
      <w:r w:rsidR="00EE2FCD">
        <w:t xml:space="preserve"> </w:t>
      </w:r>
      <w:r>
        <w:t>presents the following rounded ranges per triennium for the estimated funding requirement for the HCFC consumption sector (considering resource allocation as per Decision 62/17):</w:t>
      </w:r>
    </w:p>
    <w:p w14:paraId="44BC6DFA" w14:textId="77777777" w:rsidR="00263B57" w:rsidRDefault="00263B57" w:rsidP="00BE7D38">
      <w:pPr>
        <w:spacing w:after="0"/>
      </w:pPr>
    </w:p>
    <w:p w14:paraId="45632850" w14:textId="7776CE13" w:rsidR="00263B57" w:rsidRPr="006826D6" w:rsidRDefault="00263B57" w:rsidP="00C94690">
      <w:pPr>
        <w:tabs>
          <w:tab w:val="left" w:pos="1134"/>
        </w:tabs>
        <w:spacing w:after="120"/>
        <w:ind w:left="1418" w:hanging="1418"/>
        <w:rPr>
          <w:lang w:val="en-US"/>
        </w:rPr>
      </w:pPr>
      <w:r w:rsidRPr="274D2446">
        <w:rPr>
          <w:rFonts w:eastAsiaTheme="minorEastAsia"/>
          <w:b/>
          <w:bCs/>
        </w:rPr>
        <w:t>Table 2.</w:t>
      </w:r>
      <w:r w:rsidR="00790CEA">
        <w:rPr>
          <w:rFonts w:eastAsiaTheme="minorEastAsia"/>
          <w:b/>
          <w:bCs/>
        </w:rPr>
        <w:t>11</w:t>
      </w:r>
      <w:r w:rsidR="00720371">
        <w:rPr>
          <w:rFonts w:eastAsiaTheme="minorEastAsia"/>
          <w:b/>
          <w:bCs/>
        </w:rPr>
        <w:t>:</w:t>
      </w:r>
      <w:r>
        <w:tab/>
      </w:r>
      <w:r w:rsidR="005D4DB5">
        <w:rPr>
          <w:b/>
          <w:bCs/>
        </w:rPr>
        <w:t>Summary of r</w:t>
      </w:r>
      <w:r w:rsidRPr="274D2446">
        <w:rPr>
          <w:b/>
          <w:bCs/>
        </w:rPr>
        <w:t>ange of total estimated funding requirement for HCFC consumption sector phase-out for 2027-2029 and 2030-2032 (</w:t>
      </w:r>
      <w:r w:rsidRPr="274D2446">
        <w:rPr>
          <w:b/>
          <w:bCs/>
          <w:lang w:val="en-US"/>
        </w:rPr>
        <w:t>US$ millions)</w:t>
      </w:r>
    </w:p>
    <w:p w14:paraId="13F638B6" w14:textId="77777777" w:rsidR="009B5A19" w:rsidRDefault="009B5A19" w:rsidP="00BE7D38">
      <w:pPr>
        <w:spacing w:after="0"/>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0"/>
        <w:gridCol w:w="3033"/>
        <w:gridCol w:w="2964"/>
      </w:tblGrid>
      <w:tr w:rsidR="009B5A19" w:rsidRPr="009B5A19" w14:paraId="064731D4" w14:textId="77777777" w:rsidTr="002D2ECE">
        <w:trPr>
          <w:trHeight w:val="300"/>
        </w:trPr>
        <w:tc>
          <w:tcPr>
            <w:tcW w:w="1386" w:type="pct"/>
            <w:vMerge w:val="restart"/>
            <w:tcBorders>
              <w:top w:val="single" w:sz="6" w:space="0" w:color="auto"/>
              <w:left w:val="single" w:sz="6" w:space="0" w:color="auto"/>
              <w:bottom w:val="single" w:sz="6" w:space="0" w:color="auto"/>
              <w:right w:val="single" w:sz="6" w:space="0" w:color="auto"/>
            </w:tcBorders>
            <w:shd w:val="clear" w:color="auto" w:fill="DEEAF6"/>
            <w:vAlign w:val="center"/>
            <w:hideMark/>
          </w:tcPr>
          <w:p w14:paraId="51179182" w14:textId="77777777" w:rsidR="009B5A19" w:rsidRPr="009B5A19" w:rsidRDefault="009B5A19" w:rsidP="009B5A19">
            <w:pPr>
              <w:tabs>
                <w:tab w:val="clear" w:pos="0"/>
              </w:tabs>
              <w:spacing w:after="0"/>
              <w:jc w:val="center"/>
              <w:textAlignment w:val="baseline"/>
              <w:rPr>
                <w:rFonts w:ascii="Segoe UI" w:hAnsi="Segoe UI" w:cs="Segoe UI"/>
                <w:color w:val="000000"/>
                <w:sz w:val="18"/>
                <w:szCs w:val="18"/>
                <w:lang w:val="en-US"/>
              </w:rPr>
            </w:pPr>
            <w:r w:rsidRPr="009B5A19">
              <w:rPr>
                <w:b/>
                <w:bCs/>
                <w:color w:val="000000"/>
                <w:sz w:val="21"/>
                <w:szCs w:val="21"/>
                <w:lang w:val="en-US"/>
              </w:rPr>
              <w:t>Triennium</w:t>
            </w:r>
            <w:r w:rsidRPr="009B5A19">
              <w:rPr>
                <w:color w:val="000000"/>
                <w:sz w:val="21"/>
                <w:szCs w:val="21"/>
                <w:lang w:val="en-US"/>
              </w:rPr>
              <w:t> </w:t>
            </w:r>
          </w:p>
        </w:tc>
        <w:tc>
          <w:tcPr>
            <w:tcW w:w="3614" w:type="pct"/>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10361819" w14:textId="77777777" w:rsidR="009B5A19" w:rsidRPr="009B5A19" w:rsidRDefault="009B5A19" w:rsidP="009B5A19">
            <w:pPr>
              <w:tabs>
                <w:tab w:val="clear" w:pos="0"/>
              </w:tabs>
              <w:spacing w:after="0"/>
              <w:jc w:val="center"/>
              <w:textAlignment w:val="baseline"/>
              <w:rPr>
                <w:rFonts w:ascii="Segoe UI" w:hAnsi="Segoe UI" w:cs="Segoe UI"/>
                <w:b/>
                <w:bCs/>
                <w:color w:val="000000"/>
                <w:sz w:val="18"/>
                <w:szCs w:val="18"/>
                <w:lang w:val="en-US"/>
              </w:rPr>
            </w:pPr>
            <w:r w:rsidRPr="009B5A19">
              <w:rPr>
                <w:b/>
                <w:bCs/>
                <w:color w:val="000000"/>
                <w:sz w:val="21"/>
                <w:szCs w:val="21"/>
                <w:lang w:val="en-US"/>
              </w:rPr>
              <w:t xml:space="preserve">HCFC CONSUMPTION SECTOR ESTIMATED </w:t>
            </w:r>
            <w:r w:rsidRPr="009B5A19">
              <w:rPr>
                <w:b/>
                <w:bCs/>
                <w:color w:val="000000"/>
                <w:sz w:val="21"/>
                <w:szCs w:val="21"/>
                <w:lang w:val="en-US"/>
              </w:rPr>
              <w:br/>
              <w:t>FUNDING RANGE (US$ million)</w:t>
            </w:r>
          </w:p>
        </w:tc>
      </w:tr>
      <w:tr w:rsidR="009B5A19" w:rsidRPr="009B5A19" w14:paraId="66E4F0FA" w14:textId="77777777" w:rsidTr="002D2ECE">
        <w:trPr>
          <w:trHeight w:val="60"/>
        </w:trPr>
        <w:tc>
          <w:tcPr>
            <w:tcW w:w="1386" w:type="pct"/>
            <w:vMerge/>
            <w:tcBorders>
              <w:top w:val="single" w:sz="6" w:space="0" w:color="auto"/>
              <w:left w:val="single" w:sz="6" w:space="0" w:color="auto"/>
              <w:bottom w:val="single" w:sz="6" w:space="0" w:color="auto"/>
              <w:right w:val="single" w:sz="6" w:space="0" w:color="auto"/>
            </w:tcBorders>
            <w:vAlign w:val="center"/>
            <w:hideMark/>
          </w:tcPr>
          <w:p w14:paraId="744F5513" w14:textId="77777777" w:rsidR="009B5A19" w:rsidRPr="009B5A19" w:rsidRDefault="009B5A19" w:rsidP="009B5A19">
            <w:pPr>
              <w:tabs>
                <w:tab w:val="clear" w:pos="0"/>
              </w:tabs>
              <w:spacing w:after="0"/>
              <w:rPr>
                <w:rFonts w:ascii="Segoe UI" w:hAnsi="Segoe UI" w:cs="Segoe UI"/>
                <w:color w:val="000000"/>
                <w:sz w:val="18"/>
                <w:szCs w:val="18"/>
                <w:lang w:val="en-US"/>
              </w:rPr>
            </w:pPr>
          </w:p>
        </w:tc>
        <w:tc>
          <w:tcPr>
            <w:tcW w:w="182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227FA98C" w14:textId="5041D0A2" w:rsidR="009B5A19" w:rsidRPr="009B5A19" w:rsidRDefault="009B5A19" w:rsidP="009B5A19">
            <w:pPr>
              <w:tabs>
                <w:tab w:val="clear" w:pos="0"/>
              </w:tabs>
              <w:spacing w:after="0"/>
              <w:jc w:val="center"/>
              <w:textAlignment w:val="baseline"/>
              <w:rPr>
                <w:rFonts w:ascii="Segoe UI" w:hAnsi="Segoe UI" w:cs="Segoe UI"/>
                <w:color w:val="000000"/>
                <w:sz w:val="18"/>
                <w:szCs w:val="18"/>
                <w:lang w:val="en-US"/>
              </w:rPr>
            </w:pPr>
            <w:r w:rsidRPr="009B5A19">
              <w:rPr>
                <w:b/>
                <w:bCs/>
                <w:color w:val="000000"/>
                <w:sz w:val="21"/>
                <w:szCs w:val="21"/>
                <w:lang w:val="en-US"/>
              </w:rPr>
              <w:t xml:space="preserve">Scenario </w:t>
            </w:r>
            <w:r w:rsidR="00E42EAB">
              <w:rPr>
                <w:b/>
                <w:bCs/>
                <w:color w:val="000000"/>
                <w:sz w:val="21"/>
                <w:szCs w:val="21"/>
                <w:lang w:val="en-US"/>
              </w:rPr>
              <w:t xml:space="preserve">1 </w:t>
            </w:r>
            <w:r w:rsidRPr="009B5A19">
              <w:rPr>
                <w:b/>
                <w:bCs/>
                <w:color w:val="000000"/>
                <w:sz w:val="21"/>
                <w:szCs w:val="21"/>
                <w:lang w:val="en-US"/>
              </w:rPr>
              <w:t>with 90%/10% Allocation</w:t>
            </w:r>
          </w:p>
        </w:tc>
        <w:tc>
          <w:tcPr>
            <w:tcW w:w="1785"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16982C37" w14:textId="31640ABA" w:rsidR="009B5A19" w:rsidRPr="009B5A19" w:rsidRDefault="009B5A19" w:rsidP="009B5A19">
            <w:pPr>
              <w:tabs>
                <w:tab w:val="clear" w:pos="0"/>
              </w:tabs>
              <w:spacing w:after="0"/>
              <w:jc w:val="center"/>
              <w:textAlignment w:val="baseline"/>
              <w:rPr>
                <w:rFonts w:ascii="Segoe UI" w:hAnsi="Segoe UI" w:cs="Segoe UI"/>
                <w:color w:val="000000"/>
                <w:sz w:val="18"/>
                <w:szCs w:val="18"/>
                <w:lang w:val="en-US"/>
              </w:rPr>
            </w:pPr>
            <w:r w:rsidRPr="009B5A19">
              <w:rPr>
                <w:b/>
                <w:bCs/>
                <w:color w:val="000000"/>
                <w:sz w:val="21"/>
                <w:szCs w:val="21"/>
                <w:lang w:val="en-US"/>
              </w:rPr>
              <w:t xml:space="preserve">Scenario </w:t>
            </w:r>
            <w:r w:rsidR="00E42EAB">
              <w:rPr>
                <w:b/>
                <w:bCs/>
                <w:color w:val="000000"/>
                <w:sz w:val="21"/>
                <w:szCs w:val="21"/>
                <w:lang w:val="en-US"/>
              </w:rPr>
              <w:t xml:space="preserve">2 </w:t>
            </w:r>
            <w:r w:rsidRPr="009B5A19">
              <w:rPr>
                <w:b/>
                <w:bCs/>
                <w:color w:val="000000"/>
                <w:sz w:val="21"/>
                <w:szCs w:val="21"/>
                <w:lang w:val="en-US"/>
              </w:rPr>
              <w:t>with 90%/10% Allocation</w:t>
            </w:r>
          </w:p>
        </w:tc>
      </w:tr>
      <w:tr w:rsidR="009B5A19" w:rsidRPr="009B5A19" w14:paraId="556BC88F" w14:textId="77777777" w:rsidTr="002D2ECE">
        <w:trPr>
          <w:trHeight w:val="285"/>
        </w:trPr>
        <w:tc>
          <w:tcPr>
            <w:tcW w:w="1386" w:type="pct"/>
            <w:tcBorders>
              <w:top w:val="single" w:sz="6" w:space="0" w:color="auto"/>
              <w:left w:val="single" w:sz="6" w:space="0" w:color="auto"/>
              <w:bottom w:val="single" w:sz="6" w:space="0" w:color="auto"/>
              <w:right w:val="single" w:sz="6" w:space="0" w:color="auto"/>
            </w:tcBorders>
            <w:shd w:val="clear" w:color="auto" w:fill="FFFF00"/>
            <w:vAlign w:val="bottom"/>
            <w:hideMark/>
          </w:tcPr>
          <w:p w14:paraId="77FD8D18" w14:textId="77777777" w:rsidR="009B5A19" w:rsidRPr="009B5A19" w:rsidRDefault="009B5A19" w:rsidP="009B5A19">
            <w:pPr>
              <w:tabs>
                <w:tab w:val="clear" w:pos="0"/>
              </w:tabs>
              <w:spacing w:after="0"/>
              <w:jc w:val="center"/>
              <w:textAlignment w:val="baseline"/>
              <w:rPr>
                <w:rFonts w:ascii="Segoe UI" w:hAnsi="Segoe UI" w:cs="Segoe UI"/>
                <w:color w:val="000000"/>
                <w:sz w:val="18"/>
                <w:szCs w:val="18"/>
                <w:lang w:val="en-US"/>
              </w:rPr>
            </w:pPr>
            <w:r w:rsidRPr="009B5A19">
              <w:rPr>
                <w:b/>
                <w:bCs/>
                <w:color w:val="000000"/>
                <w:lang w:val="en-US"/>
              </w:rPr>
              <w:t>2027–2029</w:t>
            </w:r>
            <w:r w:rsidRPr="009B5A19">
              <w:rPr>
                <w:color w:val="000000"/>
                <w:lang w:val="en-US"/>
              </w:rPr>
              <w:t> </w:t>
            </w:r>
          </w:p>
        </w:tc>
        <w:tc>
          <w:tcPr>
            <w:tcW w:w="1828" w:type="pct"/>
            <w:tcBorders>
              <w:top w:val="single" w:sz="6" w:space="0" w:color="auto"/>
              <w:left w:val="nil"/>
              <w:bottom w:val="single" w:sz="6" w:space="0" w:color="auto"/>
              <w:right w:val="nil"/>
            </w:tcBorders>
            <w:shd w:val="clear" w:color="auto" w:fill="FFFF00"/>
            <w:vAlign w:val="center"/>
            <w:hideMark/>
          </w:tcPr>
          <w:p w14:paraId="551ACF99" w14:textId="77777777" w:rsidR="009B5A19" w:rsidRPr="009B5A19" w:rsidRDefault="009B5A19" w:rsidP="009B5A19">
            <w:pPr>
              <w:tabs>
                <w:tab w:val="clear" w:pos="0"/>
              </w:tabs>
              <w:spacing w:after="0"/>
              <w:jc w:val="center"/>
              <w:textAlignment w:val="baseline"/>
              <w:rPr>
                <w:rFonts w:ascii="Segoe UI" w:hAnsi="Segoe UI" w:cs="Segoe UI"/>
                <w:b/>
                <w:bCs/>
                <w:color w:val="000000"/>
                <w:sz w:val="18"/>
                <w:szCs w:val="18"/>
                <w:lang w:val="en-US"/>
              </w:rPr>
            </w:pPr>
            <w:r w:rsidRPr="009B5A19">
              <w:rPr>
                <w:b/>
                <w:bCs/>
                <w:color w:val="000000"/>
                <w:lang w:val="en-US"/>
              </w:rPr>
              <w:t>428</w:t>
            </w:r>
          </w:p>
        </w:tc>
        <w:tc>
          <w:tcPr>
            <w:tcW w:w="1785" w:type="pct"/>
            <w:tcBorders>
              <w:top w:val="single" w:sz="6" w:space="0" w:color="auto"/>
              <w:left w:val="single" w:sz="6" w:space="0" w:color="auto"/>
              <w:bottom w:val="single" w:sz="6" w:space="0" w:color="auto"/>
              <w:right w:val="single" w:sz="6" w:space="0" w:color="auto"/>
            </w:tcBorders>
            <w:shd w:val="clear" w:color="auto" w:fill="FFFF00"/>
            <w:vAlign w:val="center"/>
            <w:hideMark/>
          </w:tcPr>
          <w:p w14:paraId="009B006B" w14:textId="77777777" w:rsidR="009B5A19" w:rsidRPr="009B5A19" w:rsidRDefault="009B5A19" w:rsidP="009B5A19">
            <w:pPr>
              <w:tabs>
                <w:tab w:val="clear" w:pos="0"/>
              </w:tabs>
              <w:spacing w:after="0"/>
              <w:jc w:val="center"/>
              <w:textAlignment w:val="baseline"/>
              <w:rPr>
                <w:rFonts w:ascii="Segoe UI" w:hAnsi="Segoe UI" w:cs="Segoe UI"/>
                <w:b/>
                <w:bCs/>
                <w:color w:val="000000"/>
                <w:sz w:val="18"/>
                <w:szCs w:val="18"/>
                <w:lang w:val="en-US"/>
              </w:rPr>
            </w:pPr>
            <w:r w:rsidRPr="009B5A19">
              <w:rPr>
                <w:b/>
                <w:bCs/>
                <w:color w:val="000000"/>
                <w:lang w:val="en-US"/>
              </w:rPr>
              <w:t>549</w:t>
            </w:r>
          </w:p>
        </w:tc>
      </w:tr>
      <w:tr w:rsidR="009B5A19" w:rsidRPr="009B5A19" w14:paraId="662F4CC6" w14:textId="77777777" w:rsidTr="002D2ECE">
        <w:trPr>
          <w:trHeight w:val="285"/>
        </w:trPr>
        <w:tc>
          <w:tcPr>
            <w:tcW w:w="1386" w:type="pct"/>
            <w:tcBorders>
              <w:top w:val="single" w:sz="6" w:space="0" w:color="auto"/>
              <w:left w:val="single" w:sz="6" w:space="0" w:color="auto"/>
              <w:bottom w:val="single" w:sz="6" w:space="0" w:color="auto"/>
              <w:right w:val="single" w:sz="6" w:space="0" w:color="auto"/>
            </w:tcBorders>
            <w:shd w:val="clear" w:color="auto" w:fill="FFFF00"/>
            <w:vAlign w:val="bottom"/>
          </w:tcPr>
          <w:p w14:paraId="22F9FEED" w14:textId="77777777" w:rsidR="009B5A19" w:rsidRPr="009B5A19" w:rsidRDefault="009B5A19" w:rsidP="009B5A19">
            <w:pPr>
              <w:tabs>
                <w:tab w:val="clear" w:pos="0"/>
              </w:tabs>
              <w:spacing w:after="0"/>
              <w:jc w:val="center"/>
              <w:textAlignment w:val="baseline"/>
              <w:rPr>
                <w:b/>
                <w:bCs/>
                <w:color w:val="000000"/>
                <w:lang w:val="en-US"/>
              </w:rPr>
            </w:pPr>
            <w:r w:rsidRPr="009B5A19">
              <w:rPr>
                <w:b/>
                <w:bCs/>
                <w:color w:val="000000"/>
                <w:lang w:val="en-US"/>
              </w:rPr>
              <w:t>2030–2032</w:t>
            </w:r>
            <w:r w:rsidRPr="009B5A19">
              <w:rPr>
                <w:color w:val="000000"/>
                <w:lang w:val="en-US"/>
              </w:rPr>
              <w:t> </w:t>
            </w:r>
          </w:p>
        </w:tc>
        <w:tc>
          <w:tcPr>
            <w:tcW w:w="1828" w:type="pct"/>
            <w:tcBorders>
              <w:top w:val="single" w:sz="6" w:space="0" w:color="auto"/>
              <w:left w:val="nil"/>
              <w:bottom w:val="single" w:sz="6" w:space="0" w:color="auto"/>
              <w:right w:val="nil"/>
            </w:tcBorders>
            <w:shd w:val="clear" w:color="auto" w:fill="FFFF00"/>
            <w:vAlign w:val="center"/>
          </w:tcPr>
          <w:p w14:paraId="6BB59B64" w14:textId="77777777" w:rsidR="009B5A19" w:rsidRPr="009B5A19" w:rsidRDefault="009B5A19" w:rsidP="009B5A19">
            <w:pPr>
              <w:tabs>
                <w:tab w:val="clear" w:pos="0"/>
              </w:tabs>
              <w:spacing w:after="0"/>
              <w:jc w:val="center"/>
              <w:textAlignment w:val="baseline"/>
              <w:rPr>
                <w:b/>
                <w:bCs/>
                <w:color w:val="000000"/>
                <w:lang w:val="en-US"/>
              </w:rPr>
            </w:pPr>
            <w:r w:rsidRPr="009B5A19">
              <w:rPr>
                <w:b/>
                <w:bCs/>
                <w:color w:val="000000"/>
                <w:lang w:val="en-US"/>
              </w:rPr>
              <w:t>59</w:t>
            </w:r>
          </w:p>
        </w:tc>
        <w:tc>
          <w:tcPr>
            <w:tcW w:w="1785" w:type="pct"/>
            <w:tcBorders>
              <w:top w:val="single" w:sz="6" w:space="0" w:color="auto"/>
              <w:left w:val="single" w:sz="6" w:space="0" w:color="auto"/>
              <w:bottom w:val="single" w:sz="6" w:space="0" w:color="auto"/>
              <w:right w:val="single" w:sz="6" w:space="0" w:color="auto"/>
            </w:tcBorders>
            <w:shd w:val="clear" w:color="auto" w:fill="FFFF00"/>
            <w:vAlign w:val="center"/>
          </w:tcPr>
          <w:p w14:paraId="31174E9B" w14:textId="77777777" w:rsidR="009B5A19" w:rsidRPr="009B5A19" w:rsidRDefault="009B5A19" w:rsidP="009B5A19">
            <w:pPr>
              <w:tabs>
                <w:tab w:val="clear" w:pos="0"/>
              </w:tabs>
              <w:spacing w:after="0"/>
              <w:jc w:val="center"/>
              <w:textAlignment w:val="baseline"/>
              <w:rPr>
                <w:b/>
                <w:bCs/>
                <w:color w:val="000000"/>
                <w:lang w:val="en-US"/>
              </w:rPr>
            </w:pPr>
            <w:r w:rsidRPr="009B5A19">
              <w:rPr>
                <w:b/>
                <w:bCs/>
                <w:color w:val="000000"/>
                <w:lang w:val="en-US"/>
              </w:rPr>
              <w:t>73</w:t>
            </w:r>
          </w:p>
        </w:tc>
      </w:tr>
    </w:tbl>
    <w:p w14:paraId="6C3E27A5" w14:textId="48F93A26" w:rsidR="00247A26" w:rsidRDefault="00247A26">
      <w:pPr>
        <w:tabs>
          <w:tab w:val="clear" w:pos="0"/>
        </w:tabs>
        <w:spacing w:after="0"/>
        <w:rPr>
          <w:b/>
          <w:bCs/>
          <w:sz w:val="24"/>
          <w:szCs w:val="24"/>
        </w:rPr>
      </w:pPr>
      <w:bookmarkStart w:id="147" w:name="_Toc113319093"/>
      <w:bookmarkStart w:id="148" w:name="_Toc113319102"/>
      <w:bookmarkStart w:id="149" w:name="_Toc119436531"/>
      <w:bookmarkStart w:id="150" w:name="_Hlk120476716"/>
    </w:p>
    <w:p w14:paraId="0F341596" w14:textId="1C389EEC" w:rsidR="00C044F9" w:rsidRDefault="458DC512" w:rsidP="002D02B7">
      <w:pPr>
        <w:pStyle w:val="Heading2"/>
      </w:pPr>
      <w:bookmarkStart w:id="151" w:name="_Toc230099064"/>
      <w:r w:rsidRPr="00890758">
        <w:t>2.</w:t>
      </w:r>
      <w:r w:rsidR="00284DB4">
        <w:t>9</w:t>
      </w:r>
      <w:r w:rsidR="00C044F9">
        <w:tab/>
      </w:r>
      <w:r w:rsidRPr="779DC3C8">
        <w:t>Estimated Funding Requirement for the HCFC Production Sector</w:t>
      </w:r>
      <w:bookmarkEnd w:id="151"/>
      <w:r w:rsidR="1B816D77" w:rsidRPr="779DC3C8">
        <w:t xml:space="preserve"> </w:t>
      </w:r>
      <w:bookmarkEnd w:id="147"/>
      <w:bookmarkEnd w:id="148"/>
      <w:bookmarkEnd w:id="149"/>
      <w:bookmarkEnd w:id="150"/>
    </w:p>
    <w:p w14:paraId="2122F32B" w14:textId="4335726A" w:rsidR="00C044F9" w:rsidRDefault="00C044F9" w:rsidP="007C77CF">
      <w:pPr>
        <w:pStyle w:val="Heading3"/>
        <w:rPr>
          <w:sz w:val="24"/>
          <w:szCs w:val="24"/>
        </w:rPr>
      </w:pPr>
      <w:bookmarkStart w:id="152" w:name="_Toc230099065"/>
      <w:bookmarkStart w:id="153" w:name="_Toc113319114"/>
      <w:bookmarkStart w:id="154" w:name="_Toc119436538"/>
      <w:r>
        <w:t>2.</w:t>
      </w:r>
      <w:r w:rsidR="00284DB4">
        <w:t>9</w:t>
      </w:r>
      <w:r>
        <w:t>.</w:t>
      </w:r>
      <w:r w:rsidR="009E76D3">
        <w:t>1</w:t>
      </w:r>
      <w:r>
        <w:tab/>
      </w:r>
      <w:r w:rsidR="009E76D3">
        <w:t>Status overview of the HCFC production sector</w:t>
      </w:r>
      <w:bookmarkEnd w:id="152"/>
      <w:r w:rsidR="07D12431">
        <w:t xml:space="preserve"> </w:t>
      </w:r>
    </w:p>
    <w:p w14:paraId="4FA9F30E" w14:textId="2C6B50CE" w:rsidR="00E54FF2" w:rsidRDefault="726616E1" w:rsidP="00890758">
      <w:pPr>
        <w:pStyle w:val="TableParagraph"/>
        <w:spacing w:before="120" w:after="120"/>
        <w:jc w:val="left"/>
        <w:rPr>
          <w:rFonts w:eastAsia="SimSun"/>
          <w:lang w:val="en-GB"/>
        </w:rPr>
      </w:pPr>
      <w:bookmarkStart w:id="155" w:name="_Hlk42368059"/>
      <w:bookmarkEnd w:id="153"/>
      <w:bookmarkEnd w:id="154"/>
      <w:r w:rsidRPr="26C4EEEA">
        <w:rPr>
          <w:rFonts w:eastAsia="Times New Roman"/>
          <w:b w:val="0"/>
          <w:lang w:eastAsia="zh-CN"/>
        </w:rPr>
        <w:t xml:space="preserve">Seven (7) A5 parties produced HCFCs, with the total production reported as </w:t>
      </w:r>
      <w:r w:rsidR="00CE54A0">
        <w:rPr>
          <w:rFonts w:eastAsia="Times New Roman"/>
          <w:b w:val="0"/>
          <w:lang w:eastAsia="zh-CN"/>
        </w:rPr>
        <w:t>13,322.9</w:t>
      </w:r>
      <w:r w:rsidRPr="26C4EEEA">
        <w:rPr>
          <w:rFonts w:eastAsia="Times New Roman"/>
          <w:b w:val="0"/>
          <w:lang w:eastAsia="zh-CN"/>
        </w:rPr>
        <w:t xml:space="preserve"> ODP</w:t>
      </w:r>
      <w:r w:rsidR="00F22124">
        <w:rPr>
          <w:rFonts w:eastAsia="Times New Roman"/>
          <w:b w:val="0"/>
          <w:lang w:eastAsia="zh-CN"/>
        </w:rPr>
        <w:t>-tonnes (ODP t)</w:t>
      </w:r>
      <w:r w:rsidRPr="26C4EEEA">
        <w:rPr>
          <w:rFonts w:eastAsia="Times New Roman"/>
          <w:b w:val="0"/>
          <w:lang w:eastAsia="zh-CN"/>
        </w:rPr>
        <w:t xml:space="preserve"> in 2024, including Argentina, China, Democratic People's Republic of Korea</w:t>
      </w:r>
      <w:r w:rsidR="73C20101" w:rsidRPr="26C4EEEA">
        <w:rPr>
          <w:rFonts w:eastAsia="Times New Roman"/>
          <w:b w:val="0"/>
          <w:lang w:eastAsia="zh-CN"/>
        </w:rPr>
        <w:t xml:space="preserve"> </w:t>
      </w:r>
      <w:r w:rsidRPr="6899D804">
        <w:rPr>
          <w:rFonts w:eastAsia="Times New Roman"/>
          <w:b w:val="0"/>
          <w:lang w:eastAsia="zh-CN"/>
        </w:rPr>
        <w:t xml:space="preserve">(DPRK), </w:t>
      </w:r>
      <w:r w:rsidRPr="26C4EEEA">
        <w:rPr>
          <w:rFonts w:eastAsia="Times New Roman"/>
          <w:b w:val="0"/>
          <w:lang w:eastAsia="zh-CN"/>
        </w:rPr>
        <w:t xml:space="preserve">India, Mexico, Republic of Korea and Venezuela (Bolivarian Republic of). </w:t>
      </w:r>
      <w:r>
        <w:rPr>
          <w:b w:val="0"/>
        </w:rPr>
        <w:t xml:space="preserve">As of December 2024, completed projects had phased out 204,536 ODP t of production. </w:t>
      </w:r>
      <w:r w:rsidR="00E54FF2">
        <w:rPr>
          <w:rStyle w:val="FootnoteReference"/>
          <w:b w:val="0"/>
        </w:rPr>
        <w:footnoteReference w:id="19"/>
      </w:r>
      <w:r>
        <w:rPr>
          <w:b w:val="0"/>
        </w:rPr>
        <w:t xml:space="preserve"> </w:t>
      </w:r>
      <w:r w:rsidR="00890758">
        <w:rPr>
          <w:b w:val="0"/>
        </w:rPr>
        <w:t xml:space="preserve"> </w:t>
      </w:r>
      <w:r>
        <w:rPr>
          <w:b w:val="0"/>
        </w:rPr>
        <w:t>The total production of HCFC in 2024 was 60% below the aggregated production baseline</w:t>
      </w:r>
      <w:r w:rsidRPr="7FF52D2B">
        <w:rPr>
          <w:rFonts w:eastAsia="SimSun"/>
          <w:b w:val="0"/>
          <w:lang w:val="en-GB"/>
        </w:rPr>
        <w:t>.</w:t>
      </w:r>
      <w:r w:rsidRPr="26C4EEEA">
        <w:rPr>
          <w:rFonts w:eastAsia="Times New Roman"/>
          <w:b w:val="0"/>
          <w:lang w:val="en-CA"/>
        </w:rPr>
        <w:t xml:space="preserve"> </w:t>
      </w:r>
      <w:r w:rsidRPr="001E4FD6">
        <w:rPr>
          <w:rFonts w:eastAsia="SimSun"/>
          <w:b w:val="0"/>
          <w:lang w:val="en-CA"/>
        </w:rPr>
        <w:t>The levels of the three main HCFCs produced (i.e., HCFC-22, HCFC</w:t>
      </w:r>
      <w:r w:rsidR="00E54FF2" w:rsidRPr="001E4FD6">
        <w:rPr>
          <w:rFonts w:eastAsia="SimSun"/>
          <w:b w:val="0"/>
          <w:lang w:val="en-CA"/>
        </w:rPr>
        <w:noBreakHyphen/>
      </w:r>
      <w:r w:rsidRPr="001E4FD6">
        <w:rPr>
          <w:rFonts w:eastAsia="SimSun"/>
          <w:b w:val="0"/>
          <w:lang w:val="en-CA"/>
        </w:rPr>
        <w:t>141b, HCFC</w:t>
      </w:r>
      <w:r w:rsidR="00E54FF2" w:rsidRPr="001E4FD6">
        <w:rPr>
          <w:rFonts w:eastAsia="SimSun"/>
          <w:b w:val="0"/>
          <w:lang w:val="en-CA"/>
        </w:rPr>
        <w:noBreakHyphen/>
      </w:r>
      <w:r w:rsidRPr="001E4FD6">
        <w:rPr>
          <w:rFonts w:eastAsia="SimSun"/>
          <w:b w:val="0"/>
          <w:lang w:val="en-CA"/>
        </w:rPr>
        <w:t xml:space="preserve">142b) are shown in </w:t>
      </w:r>
      <w:r>
        <w:rPr>
          <w:rFonts w:eastAsia="SimSun"/>
          <w:b w:val="0"/>
          <w:lang w:val="en-CA"/>
        </w:rPr>
        <w:t>Ta</w:t>
      </w:r>
      <w:r w:rsidRPr="001E4FD6">
        <w:rPr>
          <w:rFonts w:eastAsia="SimSun"/>
          <w:b w:val="0"/>
          <w:lang w:val="en-CA"/>
        </w:rPr>
        <w:t>ble 2</w:t>
      </w:r>
      <w:r>
        <w:rPr>
          <w:rFonts w:eastAsia="SimSun"/>
          <w:b w:val="0"/>
          <w:lang w:val="en-CA"/>
        </w:rPr>
        <w:t>.</w:t>
      </w:r>
      <w:r w:rsidR="00790CEA">
        <w:rPr>
          <w:rFonts w:eastAsia="SimSun"/>
          <w:b w:val="0"/>
          <w:lang w:val="en-CA"/>
        </w:rPr>
        <w:t>12</w:t>
      </w:r>
      <w:r w:rsidRPr="001E4FD6">
        <w:rPr>
          <w:rFonts w:eastAsia="SimSun"/>
          <w:b w:val="0"/>
          <w:lang w:val="en-CA"/>
        </w:rPr>
        <w:t>.</w:t>
      </w:r>
    </w:p>
    <w:p w14:paraId="32C91F1D" w14:textId="77777777" w:rsidR="0004488B" w:rsidRDefault="0004488B">
      <w:pPr>
        <w:tabs>
          <w:tab w:val="clear" w:pos="0"/>
        </w:tabs>
        <w:spacing w:after="0"/>
        <w:rPr>
          <w:rFonts w:eastAsiaTheme="minorHAnsi"/>
          <w:b/>
          <w:bCs/>
        </w:rPr>
      </w:pPr>
      <w:bookmarkStart w:id="156" w:name="_Toc119436566"/>
      <w:bookmarkEnd w:id="155"/>
      <w:r>
        <w:rPr>
          <w:rFonts w:eastAsiaTheme="minorHAnsi"/>
          <w:b/>
          <w:bCs/>
        </w:rPr>
        <w:br w:type="page"/>
      </w:r>
    </w:p>
    <w:p w14:paraId="3E9CA515" w14:textId="54D16963" w:rsidR="00A77F4F" w:rsidRDefault="009E76D3" w:rsidP="002135B0">
      <w:pPr>
        <w:tabs>
          <w:tab w:val="left" w:pos="1134"/>
        </w:tabs>
        <w:spacing w:after="120"/>
        <w:ind w:left="1418" w:hanging="1418"/>
        <w:rPr>
          <w:rFonts w:eastAsiaTheme="minorHAnsi"/>
          <w:b/>
          <w:bCs/>
        </w:rPr>
      </w:pPr>
      <w:r w:rsidRPr="00E42C5E">
        <w:rPr>
          <w:rFonts w:eastAsiaTheme="minorHAnsi"/>
          <w:b/>
          <w:bCs/>
        </w:rPr>
        <w:lastRenderedPageBreak/>
        <w:t xml:space="preserve">Table </w:t>
      </w:r>
      <w:r>
        <w:rPr>
          <w:rFonts w:eastAsiaTheme="minorHAnsi"/>
          <w:b/>
          <w:bCs/>
        </w:rPr>
        <w:t>2</w:t>
      </w:r>
      <w:r w:rsidRPr="00E42C5E">
        <w:rPr>
          <w:rFonts w:eastAsiaTheme="minorHAnsi"/>
          <w:b/>
          <w:bCs/>
        </w:rPr>
        <w:t>.</w:t>
      </w:r>
      <w:r w:rsidR="00790CEA">
        <w:rPr>
          <w:rFonts w:eastAsiaTheme="minorHAnsi"/>
          <w:b/>
          <w:bCs/>
        </w:rPr>
        <w:t>12</w:t>
      </w:r>
      <w:r w:rsidR="00E95568">
        <w:rPr>
          <w:rFonts w:eastAsiaTheme="minorHAnsi"/>
          <w:b/>
          <w:bCs/>
        </w:rPr>
        <w:t>:</w:t>
      </w:r>
      <w:r w:rsidRPr="00E42C5E">
        <w:rPr>
          <w:rFonts w:eastAsiaTheme="minorHAnsi"/>
          <w:b/>
          <w:bCs/>
        </w:rPr>
        <w:tab/>
      </w:r>
      <w:r w:rsidR="00446126" w:rsidRPr="00446126">
        <w:rPr>
          <w:rFonts w:eastAsiaTheme="minorHAnsi"/>
          <w:b/>
          <w:bCs/>
        </w:rPr>
        <w:t>Production levels of three main HCFCs during 2016-2024 (A7, ODPt)</w:t>
      </w:r>
    </w:p>
    <w:tbl>
      <w:tblPr>
        <w:tblW w:w="8995" w:type="dxa"/>
        <w:tblLayout w:type="fixed"/>
        <w:tblLook w:val="04A0" w:firstRow="1" w:lastRow="0" w:firstColumn="1" w:lastColumn="0" w:noHBand="0" w:noVBand="1"/>
      </w:tblPr>
      <w:tblGrid>
        <w:gridCol w:w="1075"/>
        <w:gridCol w:w="900"/>
        <w:gridCol w:w="810"/>
        <w:gridCol w:w="810"/>
        <w:gridCol w:w="810"/>
        <w:gridCol w:w="810"/>
        <w:gridCol w:w="720"/>
        <w:gridCol w:w="810"/>
        <w:gridCol w:w="810"/>
        <w:gridCol w:w="720"/>
        <w:gridCol w:w="720"/>
      </w:tblGrid>
      <w:tr w:rsidR="00A77F4F" w:rsidRPr="00492B89" w14:paraId="39A3E8BD" w14:textId="77777777" w:rsidTr="00C94690">
        <w:trPr>
          <w:trHeight w:val="264"/>
        </w:trPr>
        <w:tc>
          <w:tcPr>
            <w:tcW w:w="107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E50DD47" w14:textId="77777777" w:rsidR="00A77F4F" w:rsidRPr="00A03FED" w:rsidRDefault="00A77F4F" w:rsidP="006233FA">
            <w:pPr>
              <w:spacing w:after="0"/>
              <w:rPr>
                <w:b/>
                <w:color w:val="000000"/>
                <w:sz w:val="16"/>
                <w:szCs w:val="16"/>
                <w:lang w:eastAsia="en-CA"/>
              </w:rPr>
            </w:pPr>
            <w:r w:rsidRPr="00A03FED">
              <w:rPr>
                <w:b/>
                <w:sz w:val="18"/>
                <w:szCs w:val="18"/>
                <w:lang w:eastAsia="en-CA"/>
              </w:rPr>
              <w:t>Party</w:t>
            </w:r>
          </w:p>
        </w:tc>
        <w:tc>
          <w:tcPr>
            <w:tcW w:w="90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F45D22B"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Baseline</w:t>
            </w:r>
          </w:p>
        </w:tc>
        <w:tc>
          <w:tcPr>
            <w:tcW w:w="81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49CB29C"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201</w:t>
            </w:r>
            <w:r>
              <w:rPr>
                <w:b/>
                <w:sz w:val="18"/>
                <w:szCs w:val="18"/>
                <w:lang w:eastAsia="en-CA"/>
              </w:rPr>
              <w:t>6</w:t>
            </w:r>
          </w:p>
        </w:tc>
        <w:tc>
          <w:tcPr>
            <w:tcW w:w="81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A7CCF3B"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201</w:t>
            </w:r>
            <w:r>
              <w:rPr>
                <w:b/>
                <w:sz w:val="18"/>
                <w:szCs w:val="18"/>
                <w:lang w:eastAsia="en-CA"/>
              </w:rPr>
              <w:t>7</w:t>
            </w:r>
          </w:p>
        </w:tc>
        <w:tc>
          <w:tcPr>
            <w:tcW w:w="81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126EBFF"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201</w:t>
            </w:r>
            <w:r>
              <w:rPr>
                <w:b/>
                <w:sz w:val="18"/>
                <w:szCs w:val="18"/>
                <w:lang w:eastAsia="en-CA"/>
              </w:rPr>
              <w:t>8</w:t>
            </w:r>
          </w:p>
        </w:tc>
        <w:tc>
          <w:tcPr>
            <w:tcW w:w="81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D3835C8"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201</w:t>
            </w:r>
            <w:r>
              <w:rPr>
                <w:b/>
                <w:sz w:val="18"/>
                <w:szCs w:val="18"/>
                <w:lang w:eastAsia="en-CA"/>
              </w:rPr>
              <w:t>9</w:t>
            </w:r>
          </w:p>
        </w:tc>
        <w:tc>
          <w:tcPr>
            <w:tcW w:w="72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0741094"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20</w:t>
            </w:r>
            <w:r>
              <w:rPr>
                <w:b/>
                <w:sz w:val="18"/>
                <w:szCs w:val="18"/>
                <w:lang w:eastAsia="en-CA"/>
              </w:rPr>
              <w:t>20</w:t>
            </w:r>
          </w:p>
        </w:tc>
        <w:tc>
          <w:tcPr>
            <w:tcW w:w="81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FACB150"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20</w:t>
            </w:r>
            <w:r>
              <w:rPr>
                <w:b/>
                <w:sz w:val="18"/>
                <w:szCs w:val="18"/>
                <w:lang w:eastAsia="en-CA"/>
              </w:rPr>
              <w:t>21</w:t>
            </w:r>
          </w:p>
        </w:tc>
        <w:tc>
          <w:tcPr>
            <w:tcW w:w="81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F1B4912"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20</w:t>
            </w:r>
            <w:r>
              <w:rPr>
                <w:b/>
                <w:sz w:val="18"/>
                <w:szCs w:val="18"/>
                <w:lang w:eastAsia="en-CA"/>
              </w:rPr>
              <w:t>22</w:t>
            </w:r>
          </w:p>
        </w:tc>
        <w:tc>
          <w:tcPr>
            <w:tcW w:w="72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4CEF20E"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20</w:t>
            </w:r>
            <w:r>
              <w:rPr>
                <w:b/>
                <w:sz w:val="18"/>
                <w:szCs w:val="18"/>
                <w:lang w:eastAsia="en-CA"/>
              </w:rPr>
              <w:t>23</w:t>
            </w:r>
          </w:p>
        </w:tc>
        <w:tc>
          <w:tcPr>
            <w:tcW w:w="72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4228FDF8" w14:textId="77777777" w:rsidR="00A77F4F" w:rsidRPr="00A03FED" w:rsidRDefault="00A77F4F" w:rsidP="00790CEA">
            <w:pPr>
              <w:spacing w:after="0"/>
              <w:ind w:left="-126"/>
              <w:jc w:val="center"/>
              <w:rPr>
                <w:b/>
                <w:color w:val="000000"/>
                <w:sz w:val="16"/>
                <w:szCs w:val="16"/>
                <w:lang w:eastAsia="en-CA"/>
              </w:rPr>
            </w:pPr>
            <w:r w:rsidRPr="00A03FED">
              <w:rPr>
                <w:b/>
                <w:sz w:val="18"/>
                <w:szCs w:val="18"/>
                <w:lang w:eastAsia="en-CA"/>
              </w:rPr>
              <w:t>20</w:t>
            </w:r>
            <w:r>
              <w:rPr>
                <w:b/>
                <w:sz w:val="18"/>
                <w:szCs w:val="18"/>
                <w:lang w:eastAsia="en-CA"/>
              </w:rPr>
              <w:t>24</w:t>
            </w:r>
          </w:p>
        </w:tc>
      </w:tr>
      <w:tr w:rsidR="00A77F4F" w:rsidRPr="00492B89" w14:paraId="13490326" w14:textId="77777777" w:rsidTr="00FA4FD9">
        <w:trPr>
          <w:trHeight w:val="264"/>
        </w:trPr>
        <w:tc>
          <w:tcPr>
            <w:tcW w:w="1075"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02465BD" w14:textId="77777777" w:rsidR="00A77F4F" w:rsidRPr="00A03FED" w:rsidRDefault="00A77F4F" w:rsidP="006233FA">
            <w:pPr>
              <w:spacing w:after="0"/>
              <w:rPr>
                <w:b/>
                <w:color w:val="000000"/>
                <w:sz w:val="16"/>
                <w:szCs w:val="16"/>
                <w:lang w:eastAsia="en-CA"/>
              </w:rPr>
            </w:pPr>
            <w:r w:rsidRPr="00A03FED">
              <w:rPr>
                <w:b/>
                <w:sz w:val="18"/>
                <w:szCs w:val="18"/>
                <w:lang w:eastAsia="en-CA"/>
              </w:rPr>
              <w:t>HCFC-22</w:t>
            </w:r>
          </w:p>
        </w:tc>
        <w:tc>
          <w:tcPr>
            <w:tcW w:w="900" w:type="dxa"/>
            <w:tcBorders>
              <w:top w:val="nil"/>
              <w:left w:val="nil"/>
              <w:bottom w:val="single" w:sz="4" w:space="0" w:color="auto"/>
              <w:right w:val="single" w:sz="4" w:space="0" w:color="auto"/>
            </w:tcBorders>
            <w:shd w:val="clear" w:color="auto" w:fill="D9E2F3" w:themeFill="accent1" w:themeFillTint="33"/>
            <w:noWrap/>
            <w:vAlign w:val="center"/>
            <w:hideMark/>
          </w:tcPr>
          <w:p w14:paraId="6F5FDDA5" w14:textId="77777777" w:rsidR="00A77F4F" w:rsidRPr="00A03FED" w:rsidRDefault="00A77F4F" w:rsidP="006233FA">
            <w:pPr>
              <w:spacing w:after="0"/>
              <w:ind w:left="-126"/>
              <w:rPr>
                <w:color w:val="000000"/>
                <w:sz w:val="16"/>
                <w:szCs w:val="16"/>
                <w:lang w:eastAsia="en-CA"/>
              </w:rPr>
            </w:pPr>
            <w:r w:rsidRPr="00A03FED">
              <w:rPr>
                <w:sz w:val="18"/>
                <w:szCs w:val="18"/>
                <w:lang w:eastAsia="en-CA"/>
              </w:rPr>
              <w:t> </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4BC708EA" w14:textId="77777777" w:rsidR="00A77F4F" w:rsidRPr="00A03FED" w:rsidRDefault="00A77F4F" w:rsidP="006233FA">
            <w:pPr>
              <w:spacing w:after="0"/>
              <w:ind w:left="-126"/>
              <w:rPr>
                <w:color w:val="000000"/>
                <w:sz w:val="16"/>
                <w:szCs w:val="16"/>
                <w:lang w:eastAsia="en-CA"/>
              </w:rPr>
            </w:pPr>
            <w:r w:rsidRPr="00A03FED">
              <w:rPr>
                <w:sz w:val="18"/>
                <w:szCs w:val="18"/>
                <w:lang w:eastAsia="en-CA"/>
              </w:rPr>
              <w:t> </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2DADCA28" w14:textId="77777777" w:rsidR="00A77F4F" w:rsidRPr="00A03FED" w:rsidRDefault="00A77F4F" w:rsidP="006233FA">
            <w:pPr>
              <w:spacing w:after="0"/>
              <w:ind w:left="-126"/>
              <w:rPr>
                <w:color w:val="000000"/>
                <w:sz w:val="16"/>
                <w:szCs w:val="16"/>
                <w:lang w:eastAsia="en-CA"/>
              </w:rPr>
            </w:pPr>
            <w:r w:rsidRPr="00A03FED">
              <w:rPr>
                <w:sz w:val="18"/>
                <w:szCs w:val="18"/>
                <w:lang w:eastAsia="en-CA"/>
              </w:rPr>
              <w:t> </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7F312F81" w14:textId="77777777" w:rsidR="00A77F4F" w:rsidRPr="00A03FED" w:rsidRDefault="00A77F4F" w:rsidP="006233FA">
            <w:pPr>
              <w:spacing w:after="0"/>
              <w:ind w:left="-126"/>
              <w:rPr>
                <w:color w:val="000000"/>
                <w:sz w:val="16"/>
                <w:szCs w:val="16"/>
                <w:lang w:eastAsia="en-CA"/>
              </w:rPr>
            </w:pPr>
            <w:r w:rsidRPr="00A03FED">
              <w:rPr>
                <w:sz w:val="18"/>
                <w:szCs w:val="18"/>
                <w:lang w:eastAsia="en-CA"/>
              </w:rPr>
              <w:t> </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1CF852F0" w14:textId="77777777" w:rsidR="00A77F4F" w:rsidRPr="00A03FED" w:rsidRDefault="00A77F4F" w:rsidP="006233FA">
            <w:pPr>
              <w:spacing w:after="0"/>
              <w:ind w:left="-126"/>
              <w:rPr>
                <w:color w:val="000000"/>
                <w:sz w:val="16"/>
                <w:szCs w:val="16"/>
                <w:lang w:eastAsia="en-CA"/>
              </w:rPr>
            </w:pPr>
            <w:r w:rsidRPr="00A03FED">
              <w:rPr>
                <w:sz w:val="18"/>
                <w:szCs w:val="18"/>
                <w:lang w:eastAsia="en-CA"/>
              </w:rPr>
              <w:t> </w:t>
            </w:r>
          </w:p>
        </w:tc>
        <w:tc>
          <w:tcPr>
            <w:tcW w:w="720" w:type="dxa"/>
            <w:tcBorders>
              <w:top w:val="nil"/>
              <w:left w:val="nil"/>
              <w:bottom w:val="single" w:sz="4" w:space="0" w:color="auto"/>
              <w:right w:val="single" w:sz="4" w:space="0" w:color="auto"/>
            </w:tcBorders>
            <w:shd w:val="clear" w:color="auto" w:fill="D9E2F3" w:themeFill="accent1" w:themeFillTint="33"/>
            <w:noWrap/>
            <w:vAlign w:val="center"/>
            <w:hideMark/>
          </w:tcPr>
          <w:p w14:paraId="7D928A64" w14:textId="77777777" w:rsidR="00A77F4F" w:rsidRPr="00A03FED" w:rsidRDefault="00A77F4F" w:rsidP="006233FA">
            <w:pPr>
              <w:spacing w:after="0"/>
              <w:ind w:left="-126"/>
              <w:rPr>
                <w:color w:val="000000"/>
                <w:sz w:val="16"/>
                <w:szCs w:val="16"/>
                <w:lang w:eastAsia="en-CA"/>
              </w:rPr>
            </w:pPr>
            <w:r w:rsidRPr="00A03FED">
              <w:rPr>
                <w:sz w:val="18"/>
                <w:szCs w:val="18"/>
                <w:lang w:eastAsia="en-CA"/>
              </w:rPr>
              <w:t> </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79D409EC" w14:textId="77777777" w:rsidR="00A77F4F" w:rsidRPr="00A03FED" w:rsidRDefault="00A77F4F" w:rsidP="006233FA">
            <w:pPr>
              <w:spacing w:after="0"/>
              <w:ind w:left="-126"/>
              <w:rPr>
                <w:color w:val="000000"/>
                <w:sz w:val="16"/>
                <w:szCs w:val="16"/>
                <w:lang w:eastAsia="en-CA"/>
              </w:rPr>
            </w:pPr>
            <w:r w:rsidRPr="00A03FED">
              <w:rPr>
                <w:sz w:val="18"/>
                <w:szCs w:val="18"/>
                <w:lang w:eastAsia="en-CA"/>
              </w:rPr>
              <w:t> </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568D9CA4" w14:textId="77777777" w:rsidR="00A77F4F" w:rsidRPr="00A03FED" w:rsidRDefault="00A77F4F" w:rsidP="006233FA">
            <w:pPr>
              <w:spacing w:after="0"/>
              <w:ind w:left="-126"/>
              <w:rPr>
                <w:color w:val="000000"/>
                <w:sz w:val="16"/>
                <w:szCs w:val="16"/>
                <w:lang w:eastAsia="en-CA"/>
              </w:rPr>
            </w:pPr>
            <w:r w:rsidRPr="00A03FED">
              <w:rPr>
                <w:sz w:val="18"/>
                <w:szCs w:val="18"/>
                <w:lang w:eastAsia="en-CA"/>
              </w:rPr>
              <w:t> </w:t>
            </w:r>
          </w:p>
        </w:tc>
        <w:tc>
          <w:tcPr>
            <w:tcW w:w="720" w:type="dxa"/>
            <w:tcBorders>
              <w:top w:val="nil"/>
              <w:left w:val="nil"/>
              <w:bottom w:val="single" w:sz="4" w:space="0" w:color="auto"/>
              <w:right w:val="single" w:sz="4" w:space="0" w:color="auto"/>
            </w:tcBorders>
            <w:shd w:val="clear" w:color="auto" w:fill="D9E2F3" w:themeFill="accent1" w:themeFillTint="33"/>
          </w:tcPr>
          <w:p w14:paraId="11BF2DCD" w14:textId="77777777" w:rsidR="00A77F4F" w:rsidRPr="00A03FED" w:rsidRDefault="00A77F4F" w:rsidP="006233FA">
            <w:pPr>
              <w:spacing w:after="0"/>
              <w:ind w:left="-126"/>
              <w:rPr>
                <w:color w:val="000000"/>
                <w:sz w:val="16"/>
                <w:szCs w:val="16"/>
                <w:lang w:eastAsia="en-CA"/>
              </w:rPr>
            </w:pPr>
          </w:p>
        </w:tc>
        <w:tc>
          <w:tcPr>
            <w:tcW w:w="720" w:type="dxa"/>
            <w:tcBorders>
              <w:top w:val="nil"/>
              <w:left w:val="nil"/>
              <w:bottom w:val="single" w:sz="4" w:space="0" w:color="auto"/>
              <w:right w:val="single" w:sz="4" w:space="0" w:color="auto"/>
            </w:tcBorders>
            <w:shd w:val="clear" w:color="auto" w:fill="D9E2F3" w:themeFill="accent1" w:themeFillTint="33"/>
          </w:tcPr>
          <w:p w14:paraId="6E4CCC5D" w14:textId="77777777" w:rsidR="00A77F4F" w:rsidRPr="00A03FED" w:rsidRDefault="00A77F4F" w:rsidP="006233FA">
            <w:pPr>
              <w:spacing w:after="0"/>
              <w:ind w:left="-126"/>
              <w:rPr>
                <w:color w:val="000000"/>
                <w:sz w:val="16"/>
                <w:szCs w:val="16"/>
                <w:lang w:eastAsia="en-CA"/>
              </w:rPr>
            </w:pPr>
          </w:p>
        </w:tc>
      </w:tr>
      <w:tr w:rsidR="00A77F4F" w:rsidRPr="00492B89" w14:paraId="3D8A4487"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730A89EA" w14:textId="77777777" w:rsidR="00A77F4F" w:rsidRPr="00A03FED" w:rsidRDefault="00A77F4F" w:rsidP="006233FA">
            <w:pPr>
              <w:spacing w:after="0"/>
              <w:rPr>
                <w:color w:val="000000"/>
                <w:sz w:val="16"/>
                <w:szCs w:val="16"/>
                <w:lang w:eastAsia="en-CA"/>
              </w:rPr>
            </w:pPr>
            <w:r w:rsidRPr="00A03FED">
              <w:rPr>
                <w:sz w:val="18"/>
                <w:szCs w:val="18"/>
                <w:lang w:eastAsia="en-CA"/>
              </w:rPr>
              <w:t>Argentina</w:t>
            </w:r>
          </w:p>
        </w:tc>
        <w:tc>
          <w:tcPr>
            <w:tcW w:w="900" w:type="dxa"/>
            <w:tcBorders>
              <w:top w:val="nil"/>
              <w:left w:val="nil"/>
              <w:bottom w:val="single" w:sz="4" w:space="0" w:color="auto"/>
              <w:right w:val="single" w:sz="4" w:space="0" w:color="auto"/>
            </w:tcBorders>
            <w:noWrap/>
            <w:vAlign w:val="center"/>
            <w:hideMark/>
          </w:tcPr>
          <w:p w14:paraId="7659D04A" w14:textId="77777777" w:rsidR="00A77F4F" w:rsidRPr="00A03FED" w:rsidRDefault="00A77F4F" w:rsidP="00790CEA">
            <w:pPr>
              <w:spacing w:after="0"/>
              <w:ind w:left="-126"/>
              <w:jc w:val="right"/>
              <w:rPr>
                <w:color w:val="000000"/>
                <w:sz w:val="16"/>
                <w:szCs w:val="16"/>
                <w:lang w:eastAsia="en-CA"/>
              </w:rPr>
            </w:pPr>
            <w:r w:rsidRPr="00A03FED">
              <w:rPr>
                <w:sz w:val="18"/>
                <w:szCs w:val="18"/>
                <w:lang w:eastAsia="en-CA"/>
              </w:rPr>
              <w:t>224.6</w:t>
            </w:r>
          </w:p>
        </w:tc>
        <w:tc>
          <w:tcPr>
            <w:tcW w:w="810" w:type="dxa"/>
            <w:tcBorders>
              <w:top w:val="nil"/>
              <w:left w:val="nil"/>
              <w:bottom w:val="single" w:sz="4" w:space="0" w:color="auto"/>
              <w:right w:val="single" w:sz="4" w:space="0" w:color="auto"/>
            </w:tcBorders>
            <w:noWrap/>
            <w:vAlign w:val="center"/>
            <w:hideMark/>
          </w:tcPr>
          <w:p w14:paraId="6E989181" w14:textId="77777777" w:rsidR="00A77F4F" w:rsidRPr="00FE54E2" w:rsidRDefault="00A77F4F" w:rsidP="00790CEA">
            <w:pPr>
              <w:spacing w:after="0"/>
              <w:ind w:left="-126"/>
              <w:jc w:val="right"/>
              <w:rPr>
                <w:color w:val="000000"/>
                <w:sz w:val="18"/>
                <w:szCs w:val="18"/>
                <w:lang w:eastAsia="en-CA"/>
              </w:rPr>
            </w:pPr>
            <w:r w:rsidRPr="00FE54E2">
              <w:rPr>
                <w:sz w:val="18"/>
                <w:szCs w:val="18"/>
              </w:rPr>
              <w:t>95.8</w:t>
            </w:r>
          </w:p>
        </w:tc>
        <w:tc>
          <w:tcPr>
            <w:tcW w:w="810" w:type="dxa"/>
            <w:tcBorders>
              <w:top w:val="nil"/>
              <w:left w:val="nil"/>
              <w:bottom w:val="single" w:sz="4" w:space="0" w:color="auto"/>
              <w:right w:val="single" w:sz="4" w:space="0" w:color="auto"/>
            </w:tcBorders>
            <w:noWrap/>
            <w:vAlign w:val="center"/>
            <w:hideMark/>
          </w:tcPr>
          <w:p w14:paraId="6E12EDFB" w14:textId="77777777" w:rsidR="00A77F4F" w:rsidRPr="00FE54E2" w:rsidRDefault="00A77F4F" w:rsidP="00790CEA">
            <w:pPr>
              <w:spacing w:after="0"/>
              <w:ind w:left="-126"/>
              <w:jc w:val="right"/>
              <w:rPr>
                <w:color w:val="000000"/>
                <w:sz w:val="18"/>
                <w:szCs w:val="18"/>
                <w:lang w:eastAsia="en-CA"/>
              </w:rPr>
            </w:pPr>
            <w:r w:rsidRPr="00FE54E2">
              <w:rPr>
                <w:sz w:val="18"/>
                <w:szCs w:val="18"/>
              </w:rPr>
              <w:t>100.3</w:t>
            </w:r>
          </w:p>
        </w:tc>
        <w:tc>
          <w:tcPr>
            <w:tcW w:w="810" w:type="dxa"/>
            <w:tcBorders>
              <w:top w:val="nil"/>
              <w:left w:val="nil"/>
              <w:bottom w:val="single" w:sz="4" w:space="0" w:color="auto"/>
              <w:right w:val="single" w:sz="4" w:space="0" w:color="auto"/>
            </w:tcBorders>
            <w:noWrap/>
            <w:vAlign w:val="center"/>
            <w:hideMark/>
          </w:tcPr>
          <w:p w14:paraId="6740BA94" w14:textId="77777777" w:rsidR="00A77F4F" w:rsidRPr="00FE54E2" w:rsidRDefault="00A77F4F" w:rsidP="00790CEA">
            <w:pPr>
              <w:spacing w:after="0"/>
              <w:ind w:left="-126"/>
              <w:jc w:val="right"/>
              <w:rPr>
                <w:color w:val="000000"/>
                <w:sz w:val="18"/>
                <w:szCs w:val="18"/>
                <w:lang w:eastAsia="en-CA"/>
              </w:rPr>
            </w:pPr>
            <w:r w:rsidRPr="00FE54E2">
              <w:rPr>
                <w:sz w:val="18"/>
                <w:szCs w:val="18"/>
              </w:rPr>
              <w:t>65.6</w:t>
            </w:r>
          </w:p>
        </w:tc>
        <w:tc>
          <w:tcPr>
            <w:tcW w:w="810" w:type="dxa"/>
            <w:tcBorders>
              <w:top w:val="nil"/>
              <w:left w:val="nil"/>
              <w:bottom w:val="single" w:sz="4" w:space="0" w:color="auto"/>
              <w:right w:val="single" w:sz="4" w:space="0" w:color="auto"/>
            </w:tcBorders>
            <w:noWrap/>
            <w:vAlign w:val="center"/>
            <w:hideMark/>
          </w:tcPr>
          <w:p w14:paraId="3942BE78" w14:textId="77777777" w:rsidR="00A77F4F" w:rsidRPr="00FE54E2" w:rsidRDefault="00A77F4F" w:rsidP="00790CEA">
            <w:pPr>
              <w:spacing w:after="0"/>
              <w:ind w:left="-126"/>
              <w:jc w:val="right"/>
              <w:rPr>
                <w:color w:val="000000"/>
                <w:sz w:val="18"/>
                <w:szCs w:val="18"/>
                <w:lang w:eastAsia="en-CA"/>
              </w:rPr>
            </w:pPr>
            <w:r w:rsidRPr="00FE54E2">
              <w:rPr>
                <w:sz w:val="18"/>
                <w:szCs w:val="18"/>
              </w:rPr>
              <w:t>88.3</w:t>
            </w:r>
          </w:p>
        </w:tc>
        <w:tc>
          <w:tcPr>
            <w:tcW w:w="720" w:type="dxa"/>
            <w:tcBorders>
              <w:top w:val="nil"/>
              <w:left w:val="nil"/>
              <w:bottom w:val="single" w:sz="4" w:space="0" w:color="auto"/>
              <w:right w:val="single" w:sz="4" w:space="0" w:color="auto"/>
            </w:tcBorders>
            <w:noWrap/>
            <w:vAlign w:val="center"/>
            <w:hideMark/>
          </w:tcPr>
          <w:p w14:paraId="5091E15A" w14:textId="77777777" w:rsidR="00A77F4F" w:rsidRPr="00FE54E2" w:rsidRDefault="00A77F4F" w:rsidP="00790CEA">
            <w:pPr>
              <w:spacing w:after="0"/>
              <w:ind w:left="-126"/>
              <w:jc w:val="right"/>
              <w:rPr>
                <w:color w:val="000000"/>
                <w:sz w:val="18"/>
                <w:szCs w:val="18"/>
                <w:lang w:eastAsia="en-CA"/>
              </w:rPr>
            </w:pPr>
            <w:r w:rsidRPr="00FE54E2">
              <w:rPr>
                <w:sz w:val="18"/>
                <w:szCs w:val="18"/>
              </w:rPr>
              <w:t>66.3</w:t>
            </w:r>
          </w:p>
        </w:tc>
        <w:tc>
          <w:tcPr>
            <w:tcW w:w="810" w:type="dxa"/>
            <w:tcBorders>
              <w:top w:val="nil"/>
              <w:left w:val="nil"/>
              <w:bottom w:val="single" w:sz="4" w:space="0" w:color="auto"/>
              <w:right w:val="single" w:sz="4" w:space="0" w:color="auto"/>
            </w:tcBorders>
            <w:vAlign w:val="center"/>
            <w:hideMark/>
          </w:tcPr>
          <w:p w14:paraId="077F18C8" w14:textId="77777777" w:rsidR="00A77F4F" w:rsidRPr="00FE54E2" w:rsidRDefault="00A77F4F" w:rsidP="00790CEA">
            <w:pPr>
              <w:spacing w:after="0"/>
              <w:ind w:left="-126"/>
              <w:jc w:val="right"/>
              <w:rPr>
                <w:color w:val="000000"/>
                <w:sz w:val="18"/>
                <w:szCs w:val="18"/>
                <w:lang w:eastAsia="en-CA"/>
              </w:rPr>
            </w:pPr>
            <w:r w:rsidRPr="00FE54E2">
              <w:rPr>
                <w:sz w:val="18"/>
                <w:szCs w:val="18"/>
              </w:rPr>
              <w:t>56.6</w:t>
            </w:r>
          </w:p>
        </w:tc>
        <w:tc>
          <w:tcPr>
            <w:tcW w:w="810" w:type="dxa"/>
            <w:tcBorders>
              <w:top w:val="nil"/>
              <w:left w:val="nil"/>
              <w:bottom w:val="single" w:sz="4" w:space="0" w:color="auto"/>
              <w:right w:val="single" w:sz="4" w:space="0" w:color="auto"/>
            </w:tcBorders>
            <w:vAlign w:val="center"/>
            <w:hideMark/>
          </w:tcPr>
          <w:p w14:paraId="31E67764" w14:textId="77777777" w:rsidR="00A77F4F" w:rsidRPr="00FE54E2" w:rsidRDefault="00A77F4F" w:rsidP="00790CEA">
            <w:pPr>
              <w:spacing w:after="0"/>
              <w:ind w:left="-126"/>
              <w:jc w:val="right"/>
              <w:rPr>
                <w:color w:val="000000"/>
                <w:sz w:val="18"/>
                <w:szCs w:val="18"/>
                <w:lang w:eastAsia="en-CA"/>
              </w:rPr>
            </w:pPr>
            <w:r w:rsidRPr="00FE54E2">
              <w:rPr>
                <w:sz w:val="18"/>
                <w:szCs w:val="18"/>
              </w:rPr>
              <w:t>72.1</w:t>
            </w:r>
          </w:p>
        </w:tc>
        <w:tc>
          <w:tcPr>
            <w:tcW w:w="720" w:type="dxa"/>
            <w:tcBorders>
              <w:top w:val="nil"/>
              <w:left w:val="nil"/>
              <w:bottom w:val="single" w:sz="4" w:space="0" w:color="auto"/>
              <w:right w:val="single" w:sz="4" w:space="0" w:color="auto"/>
            </w:tcBorders>
            <w:vAlign w:val="center"/>
          </w:tcPr>
          <w:p w14:paraId="717EFCC9" w14:textId="77777777" w:rsidR="00A77F4F" w:rsidRPr="00FE54E2" w:rsidRDefault="00A77F4F" w:rsidP="00790CEA">
            <w:pPr>
              <w:spacing w:after="0"/>
              <w:ind w:left="-126"/>
              <w:jc w:val="right"/>
              <w:rPr>
                <w:color w:val="000000"/>
                <w:sz w:val="18"/>
                <w:szCs w:val="18"/>
                <w:lang w:eastAsia="en-CA"/>
              </w:rPr>
            </w:pPr>
            <w:r w:rsidRPr="00FE54E2">
              <w:rPr>
                <w:sz w:val="18"/>
                <w:szCs w:val="18"/>
              </w:rPr>
              <w:t>91.8</w:t>
            </w:r>
          </w:p>
        </w:tc>
        <w:tc>
          <w:tcPr>
            <w:tcW w:w="720" w:type="dxa"/>
            <w:tcBorders>
              <w:top w:val="nil"/>
              <w:left w:val="nil"/>
              <w:bottom w:val="single" w:sz="4" w:space="0" w:color="auto"/>
              <w:right w:val="single" w:sz="4" w:space="0" w:color="auto"/>
            </w:tcBorders>
            <w:vAlign w:val="center"/>
          </w:tcPr>
          <w:p w14:paraId="2FB49379" w14:textId="77777777" w:rsidR="00A77F4F" w:rsidRPr="00FE54E2" w:rsidRDefault="00A77F4F" w:rsidP="00790CEA">
            <w:pPr>
              <w:spacing w:after="0"/>
              <w:ind w:left="-126"/>
              <w:jc w:val="right"/>
              <w:rPr>
                <w:color w:val="000000"/>
                <w:sz w:val="18"/>
                <w:szCs w:val="18"/>
                <w:lang w:eastAsia="en-CA"/>
              </w:rPr>
            </w:pPr>
            <w:r w:rsidRPr="00FE54E2">
              <w:rPr>
                <w:sz w:val="18"/>
                <w:szCs w:val="18"/>
              </w:rPr>
              <w:t>100.0</w:t>
            </w:r>
          </w:p>
        </w:tc>
      </w:tr>
      <w:tr w:rsidR="00A77F4F" w:rsidRPr="00492B89" w14:paraId="6F187F99"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7C73B207" w14:textId="77777777" w:rsidR="00A77F4F" w:rsidRPr="00A03FED" w:rsidRDefault="00A77F4F" w:rsidP="006233FA">
            <w:pPr>
              <w:spacing w:after="0"/>
              <w:rPr>
                <w:color w:val="000000"/>
                <w:sz w:val="16"/>
                <w:szCs w:val="16"/>
                <w:lang w:eastAsia="en-CA"/>
              </w:rPr>
            </w:pPr>
            <w:r w:rsidRPr="00A03FED">
              <w:rPr>
                <w:sz w:val="18"/>
                <w:szCs w:val="18"/>
                <w:lang w:eastAsia="en-CA"/>
              </w:rPr>
              <w:t>China</w:t>
            </w:r>
          </w:p>
        </w:tc>
        <w:tc>
          <w:tcPr>
            <w:tcW w:w="900" w:type="dxa"/>
            <w:tcBorders>
              <w:top w:val="nil"/>
              <w:left w:val="nil"/>
              <w:bottom w:val="single" w:sz="4" w:space="0" w:color="auto"/>
              <w:right w:val="single" w:sz="4" w:space="0" w:color="auto"/>
            </w:tcBorders>
            <w:noWrap/>
            <w:vAlign w:val="center"/>
            <w:hideMark/>
          </w:tcPr>
          <w:p w14:paraId="7D819F37" w14:textId="77777777" w:rsidR="00A77F4F" w:rsidRPr="00A03FED" w:rsidRDefault="00A77F4F" w:rsidP="00790CEA">
            <w:pPr>
              <w:spacing w:after="0"/>
              <w:ind w:left="-126"/>
              <w:jc w:val="right"/>
              <w:rPr>
                <w:color w:val="000000"/>
                <w:sz w:val="16"/>
                <w:szCs w:val="16"/>
                <w:lang w:eastAsia="en-CA"/>
              </w:rPr>
            </w:pPr>
            <w:r w:rsidRPr="00A03FED">
              <w:rPr>
                <w:sz w:val="18"/>
                <w:szCs w:val="18"/>
                <w:lang w:eastAsia="en-CA"/>
              </w:rPr>
              <w:t>29,122.0*</w:t>
            </w:r>
          </w:p>
        </w:tc>
        <w:tc>
          <w:tcPr>
            <w:tcW w:w="810" w:type="dxa"/>
            <w:tcBorders>
              <w:top w:val="nil"/>
              <w:left w:val="nil"/>
              <w:bottom w:val="single" w:sz="4" w:space="0" w:color="auto"/>
              <w:right w:val="single" w:sz="4" w:space="0" w:color="auto"/>
            </w:tcBorders>
            <w:noWrap/>
            <w:vAlign w:val="center"/>
            <w:hideMark/>
          </w:tcPr>
          <w:p w14:paraId="70C5F7BD" w14:textId="77777777" w:rsidR="00A77F4F" w:rsidRPr="00FE54E2" w:rsidRDefault="00A77F4F" w:rsidP="00790CEA">
            <w:pPr>
              <w:spacing w:after="0"/>
              <w:ind w:left="-126"/>
              <w:jc w:val="right"/>
              <w:rPr>
                <w:color w:val="000000"/>
                <w:sz w:val="18"/>
                <w:szCs w:val="18"/>
                <w:lang w:eastAsia="en-CA"/>
              </w:rPr>
            </w:pPr>
            <w:r w:rsidRPr="00FE54E2">
              <w:rPr>
                <w:sz w:val="18"/>
                <w:szCs w:val="18"/>
              </w:rPr>
              <w:t>14,086.3</w:t>
            </w:r>
          </w:p>
        </w:tc>
        <w:tc>
          <w:tcPr>
            <w:tcW w:w="810" w:type="dxa"/>
            <w:tcBorders>
              <w:top w:val="nil"/>
              <w:left w:val="nil"/>
              <w:bottom w:val="single" w:sz="4" w:space="0" w:color="auto"/>
              <w:right w:val="single" w:sz="4" w:space="0" w:color="auto"/>
            </w:tcBorders>
            <w:noWrap/>
            <w:vAlign w:val="center"/>
            <w:hideMark/>
          </w:tcPr>
          <w:p w14:paraId="75BE0A1D" w14:textId="77777777" w:rsidR="00A77F4F" w:rsidRPr="00FE54E2" w:rsidRDefault="00A77F4F" w:rsidP="00790CEA">
            <w:pPr>
              <w:spacing w:after="0"/>
              <w:ind w:left="-126"/>
              <w:jc w:val="right"/>
              <w:rPr>
                <w:color w:val="000000"/>
                <w:sz w:val="18"/>
                <w:szCs w:val="18"/>
                <w:lang w:eastAsia="en-CA"/>
              </w:rPr>
            </w:pPr>
            <w:r w:rsidRPr="00FE54E2">
              <w:rPr>
                <w:sz w:val="18"/>
                <w:szCs w:val="18"/>
              </w:rPr>
              <w:t>13,445.7</w:t>
            </w:r>
          </w:p>
        </w:tc>
        <w:tc>
          <w:tcPr>
            <w:tcW w:w="810" w:type="dxa"/>
            <w:tcBorders>
              <w:top w:val="nil"/>
              <w:left w:val="nil"/>
              <w:bottom w:val="single" w:sz="4" w:space="0" w:color="auto"/>
              <w:right w:val="single" w:sz="4" w:space="0" w:color="auto"/>
            </w:tcBorders>
            <w:noWrap/>
            <w:vAlign w:val="center"/>
            <w:hideMark/>
          </w:tcPr>
          <w:p w14:paraId="1696EF80" w14:textId="77777777" w:rsidR="00A77F4F" w:rsidRPr="00FE54E2" w:rsidRDefault="00A77F4F" w:rsidP="00790CEA">
            <w:pPr>
              <w:spacing w:after="0"/>
              <w:ind w:left="-126"/>
              <w:jc w:val="right"/>
              <w:rPr>
                <w:color w:val="000000"/>
                <w:sz w:val="18"/>
                <w:szCs w:val="18"/>
                <w:lang w:eastAsia="en-CA"/>
              </w:rPr>
            </w:pPr>
            <w:r w:rsidRPr="00FE54E2">
              <w:rPr>
                <w:sz w:val="18"/>
                <w:szCs w:val="18"/>
              </w:rPr>
              <w:t>13,636.4</w:t>
            </w:r>
          </w:p>
        </w:tc>
        <w:tc>
          <w:tcPr>
            <w:tcW w:w="810" w:type="dxa"/>
            <w:tcBorders>
              <w:top w:val="nil"/>
              <w:left w:val="nil"/>
              <w:bottom w:val="single" w:sz="4" w:space="0" w:color="auto"/>
              <w:right w:val="single" w:sz="4" w:space="0" w:color="auto"/>
            </w:tcBorders>
            <w:noWrap/>
            <w:vAlign w:val="center"/>
            <w:hideMark/>
          </w:tcPr>
          <w:p w14:paraId="376EC9CF" w14:textId="77777777" w:rsidR="00A77F4F" w:rsidRPr="00FE54E2" w:rsidRDefault="00A77F4F" w:rsidP="00790CEA">
            <w:pPr>
              <w:spacing w:after="0"/>
              <w:ind w:left="-126"/>
              <w:jc w:val="right"/>
              <w:rPr>
                <w:color w:val="000000"/>
                <w:sz w:val="18"/>
                <w:szCs w:val="18"/>
                <w:lang w:eastAsia="en-CA"/>
              </w:rPr>
            </w:pPr>
            <w:r w:rsidRPr="00FE54E2">
              <w:rPr>
                <w:sz w:val="18"/>
                <w:szCs w:val="18"/>
              </w:rPr>
              <w:t>13,598.2</w:t>
            </w:r>
          </w:p>
        </w:tc>
        <w:tc>
          <w:tcPr>
            <w:tcW w:w="720" w:type="dxa"/>
            <w:tcBorders>
              <w:top w:val="nil"/>
              <w:left w:val="nil"/>
              <w:bottom w:val="single" w:sz="4" w:space="0" w:color="auto"/>
              <w:right w:val="single" w:sz="4" w:space="0" w:color="auto"/>
            </w:tcBorders>
            <w:noWrap/>
            <w:vAlign w:val="center"/>
            <w:hideMark/>
          </w:tcPr>
          <w:p w14:paraId="3040C88A" w14:textId="77777777" w:rsidR="00A77F4F" w:rsidRPr="00FE54E2" w:rsidRDefault="00A77F4F" w:rsidP="00790CEA">
            <w:pPr>
              <w:spacing w:after="0"/>
              <w:ind w:left="-126"/>
              <w:jc w:val="right"/>
              <w:rPr>
                <w:color w:val="000000"/>
                <w:sz w:val="18"/>
                <w:szCs w:val="18"/>
                <w:lang w:eastAsia="en-CA"/>
              </w:rPr>
            </w:pPr>
            <w:r w:rsidRPr="00FE54E2">
              <w:rPr>
                <w:sz w:val="18"/>
                <w:szCs w:val="18"/>
              </w:rPr>
              <w:t>11,042.2</w:t>
            </w:r>
          </w:p>
        </w:tc>
        <w:tc>
          <w:tcPr>
            <w:tcW w:w="810" w:type="dxa"/>
            <w:tcBorders>
              <w:top w:val="nil"/>
              <w:left w:val="nil"/>
              <w:bottom w:val="single" w:sz="4" w:space="0" w:color="auto"/>
              <w:right w:val="single" w:sz="4" w:space="0" w:color="auto"/>
            </w:tcBorders>
            <w:vAlign w:val="center"/>
            <w:hideMark/>
          </w:tcPr>
          <w:p w14:paraId="405A34C4" w14:textId="77777777" w:rsidR="00A77F4F" w:rsidRPr="00FE54E2" w:rsidRDefault="00A77F4F" w:rsidP="00790CEA">
            <w:pPr>
              <w:spacing w:after="0"/>
              <w:ind w:left="-126"/>
              <w:jc w:val="right"/>
              <w:rPr>
                <w:color w:val="000000"/>
                <w:sz w:val="18"/>
                <w:szCs w:val="18"/>
                <w:lang w:eastAsia="en-CA"/>
              </w:rPr>
            </w:pPr>
            <w:r w:rsidRPr="00FE54E2">
              <w:rPr>
                <w:sz w:val="18"/>
                <w:szCs w:val="18"/>
              </w:rPr>
              <w:t>10,011.8</w:t>
            </w:r>
          </w:p>
        </w:tc>
        <w:tc>
          <w:tcPr>
            <w:tcW w:w="810" w:type="dxa"/>
            <w:tcBorders>
              <w:top w:val="nil"/>
              <w:left w:val="nil"/>
              <w:bottom w:val="single" w:sz="4" w:space="0" w:color="auto"/>
              <w:right w:val="single" w:sz="4" w:space="0" w:color="auto"/>
            </w:tcBorders>
            <w:vAlign w:val="center"/>
            <w:hideMark/>
          </w:tcPr>
          <w:p w14:paraId="5FA72CDA" w14:textId="77777777" w:rsidR="00A77F4F" w:rsidRPr="00FE54E2" w:rsidRDefault="00A77F4F" w:rsidP="00790CEA">
            <w:pPr>
              <w:spacing w:after="0"/>
              <w:ind w:left="-126"/>
              <w:jc w:val="right"/>
              <w:rPr>
                <w:color w:val="000000"/>
                <w:sz w:val="18"/>
                <w:szCs w:val="18"/>
                <w:lang w:eastAsia="en-CA"/>
              </w:rPr>
            </w:pPr>
            <w:r w:rsidRPr="00FE54E2">
              <w:rPr>
                <w:sz w:val="18"/>
                <w:szCs w:val="18"/>
              </w:rPr>
              <w:t>11,155.9</w:t>
            </w:r>
          </w:p>
        </w:tc>
        <w:tc>
          <w:tcPr>
            <w:tcW w:w="720" w:type="dxa"/>
            <w:tcBorders>
              <w:top w:val="nil"/>
              <w:left w:val="nil"/>
              <w:bottom w:val="single" w:sz="4" w:space="0" w:color="auto"/>
              <w:right w:val="single" w:sz="4" w:space="0" w:color="auto"/>
            </w:tcBorders>
            <w:vAlign w:val="center"/>
          </w:tcPr>
          <w:p w14:paraId="2B708562" w14:textId="77777777" w:rsidR="00A77F4F" w:rsidRPr="00FE54E2" w:rsidRDefault="00A77F4F" w:rsidP="00790CEA">
            <w:pPr>
              <w:spacing w:after="0"/>
              <w:ind w:left="-126"/>
              <w:jc w:val="right"/>
              <w:rPr>
                <w:color w:val="000000"/>
                <w:sz w:val="18"/>
                <w:szCs w:val="18"/>
                <w:lang w:eastAsia="en-CA"/>
              </w:rPr>
            </w:pPr>
            <w:r w:rsidRPr="00FE54E2">
              <w:rPr>
                <w:sz w:val="18"/>
                <w:szCs w:val="18"/>
              </w:rPr>
              <w:t>9,730.6</w:t>
            </w:r>
          </w:p>
        </w:tc>
        <w:tc>
          <w:tcPr>
            <w:tcW w:w="720" w:type="dxa"/>
            <w:tcBorders>
              <w:top w:val="nil"/>
              <w:left w:val="nil"/>
              <w:bottom w:val="single" w:sz="4" w:space="0" w:color="auto"/>
              <w:right w:val="single" w:sz="4" w:space="0" w:color="auto"/>
            </w:tcBorders>
            <w:vAlign w:val="center"/>
          </w:tcPr>
          <w:p w14:paraId="16B9C071" w14:textId="77777777" w:rsidR="00A77F4F" w:rsidRPr="00FE54E2" w:rsidRDefault="00A77F4F" w:rsidP="00790CEA">
            <w:pPr>
              <w:spacing w:after="0"/>
              <w:ind w:left="-126"/>
              <w:jc w:val="right"/>
              <w:rPr>
                <w:sz w:val="18"/>
                <w:szCs w:val="18"/>
                <w:lang w:eastAsia="en-CA"/>
              </w:rPr>
            </w:pPr>
            <w:r w:rsidRPr="00FE54E2">
              <w:rPr>
                <w:sz w:val="18"/>
                <w:szCs w:val="18"/>
              </w:rPr>
              <w:t>9,477.5</w:t>
            </w:r>
          </w:p>
        </w:tc>
      </w:tr>
      <w:tr w:rsidR="00A77F4F" w:rsidRPr="00492B89" w14:paraId="37814CCE"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19E3F48A" w14:textId="77777777" w:rsidR="00A77F4F" w:rsidRPr="00A03FED" w:rsidRDefault="00A77F4F" w:rsidP="006233FA">
            <w:pPr>
              <w:spacing w:after="0"/>
              <w:rPr>
                <w:color w:val="000000"/>
                <w:sz w:val="16"/>
                <w:szCs w:val="16"/>
                <w:lang w:eastAsia="en-CA"/>
              </w:rPr>
            </w:pPr>
            <w:r>
              <w:rPr>
                <w:sz w:val="18"/>
                <w:szCs w:val="18"/>
                <w:lang w:eastAsia="en-CA"/>
              </w:rPr>
              <w:t>DPRK</w:t>
            </w:r>
          </w:p>
        </w:tc>
        <w:tc>
          <w:tcPr>
            <w:tcW w:w="900" w:type="dxa"/>
            <w:tcBorders>
              <w:top w:val="nil"/>
              <w:left w:val="nil"/>
              <w:bottom w:val="single" w:sz="4" w:space="0" w:color="auto"/>
              <w:right w:val="single" w:sz="4" w:space="0" w:color="auto"/>
            </w:tcBorders>
            <w:noWrap/>
            <w:vAlign w:val="center"/>
            <w:hideMark/>
          </w:tcPr>
          <w:p w14:paraId="59291199" w14:textId="77777777" w:rsidR="00A77F4F" w:rsidRPr="00A03FED" w:rsidRDefault="00A77F4F" w:rsidP="00790CEA">
            <w:pPr>
              <w:spacing w:after="0"/>
              <w:ind w:left="-126"/>
              <w:jc w:val="right"/>
              <w:rPr>
                <w:color w:val="000000"/>
                <w:sz w:val="16"/>
                <w:szCs w:val="16"/>
                <w:lang w:eastAsia="en-CA"/>
              </w:rPr>
            </w:pPr>
            <w:r w:rsidRPr="00A03FED">
              <w:rPr>
                <w:sz w:val="18"/>
                <w:szCs w:val="18"/>
                <w:lang w:eastAsia="en-CA"/>
              </w:rPr>
              <w:t>27.6</w:t>
            </w:r>
          </w:p>
        </w:tc>
        <w:tc>
          <w:tcPr>
            <w:tcW w:w="810" w:type="dxa"/>
            <w:tcBorders>
              <w:top w:val="nil"/>
              <w:left w:val="nil"/>
              <w:bottom w:val="single" w:sz="4" w:space="0" w:color="auto"/>
              <w:right w:val="single" w:sz="4" w:space="0" w:color="auto"/>
            </w:tcBorders>
            <w:noWrap/>
            <w:vAlign w:val="center"/>
            <w:hideMark/>
          </w:tcPr>
          <w:p w14:paraId="1794EEA8" w14:textId="77777777" w:rsidR="00A77F4F" w:rsidRPr="00FE54E2" w:rsidRDefault="00A77F4F" w:rsidP="00790CEA">
            <w:pPr>
              <w:spacing w:after="0"/>
              <w:ind w:left="-126"/>
              <w:jc w:val="right"/>
              <w:rPr>
                <w:color w:val="000000"/>
                <w:sz w:val="18"/>
                <w:szCs w:val="18"/>
                <w:lang w:eastAsia="en-CA"/>
              </w:rPr>
            </w:pPr>
            <w:r w:rsidRPr="00FE54E2">
              <w:rPr>
                <w:sz w:val="18"/>
                <w:szCs w:val="18"/>
              </w:rPr>
              <w:t>24.8</w:t>
            </w:r>
          </w:p>
        </w:tc>
        <w:tc>
          <w:tcPr>
            <w:tcW w:w="810" w:type="dxa"/>
            <w:tcBorders>
              <w:top w:val="nil"/>
              <w:left w:val="nil"/>
              <w:bottom w:val="single" w:sz="4" w:space="0" w:color="auto"/>
              <w:right w:val="single" w:sz="4" w:space="0" w:color="auto"/>
            </w:tcBorders>
            <w:noWrap/>
            <w:vAlign w:val="center"/>
            <w:hideMark/>
          </w:tcPr>
          <w:p w14:paraId="47944EDD" w14:textId="77777777" w:rsidR="00A77F4F" w:rsidRPr="00FE54E2" w:rsidRDefault="00A77F4F" w:rsidP="00790CEA">
            <w:pPr>
              <w:spacing w:after="0"/>
              <w:ind w:left="-126"/>
              <w:jc w:val="right"/>
              <w:rPr>
                <w:color w:val="000000"/>
                <w:sz w:val="18"/>
                <w:szCs w:val="18"/>
                <w:lang w:eastAsia="en-CA"/>
              </w:rPr>
            </w:pPr>
            <w:r w:rsidRPr="00FE54E2">
              <w:rPr>
                <w:sz w:val="18"/>
                <w:szCs w:val="18"/>
              </w:rPr>
              <w:t>24.8</w:t>
            </w:r>
          </w:p>
        </w:tc>
        <w:tc>
          <w:tcPr>
            <w:tcW w:w="810" w:type="dxa"/>
            <w:tcBorders>
              <w:top w:val="nil"/>
              <w:left w:val="nil"/>
              <w:bottom w:val="single" w:sz="4" w:space="0" w:color="auto"/>
              <w:right w:val="single" w:sz="4" w:space="0" w:color="auto"/>
            </w:tcBorders>
            <w:noWrap/>
            <w:vAlign w:val="center"/>
            <w:hideMark/>
          </w:tcPr>
          <w:p w14:paraId="1FA25818" w14:textId="77777777" w:rsidR="00A77F4F" w:rsidRPr="00FE54E2" w:rsidRDefault="00A77F4F" w:rsidP="00790CEA">
            <w:pPr>
              <w:spacing w:after="0"/>
              <w:ind w:left="-126"/>
              <w:jc w:val="right"/>
              <w:rPr>
                <w:color w:val="000000"/>
                <w:sz w:val="18"/>
                <w:szCs w:val="18"/>
                <w:lang w:eastAsia="en-CA"/>
              </w:rPr>
            </w:pPr>
            <w:r w:rsidRPr="00FE54E2">
              <w:rPr>
                <w:sz w:val="18"/>
                <w:szCs w:val="18"/>
              </w:rPr>
              <w:t>24.8</w:t>
            </w:r>
          </w:p>
        </w:tc>
        <w:tc>
          <w:tcPr>
            <w:tcW w:w="810" w:type="dxa"/>
            <w:tcBorders>
              <w:top w:val="nil"/>
              <w:left w:val="nil"/>
              <w:bottom w:val="single" w:sz="4" w:space="0" w:color="auto"/>
              <w:right w:val="single" w:sz="4" w:space="0" w:color="auto"/>
            </w:tcBorders>
            <w:noWrap/>
            <w:vAlign w:val="center"/>
            <w:hideMark/>
          </w:tcPr>
          <w:p w14:paraId="321A4219" w14:textId="77777777" w:rsidR="00A77F4F" w:rsidRPr="00FE54E2" w:rsidRDefault="00A77F4F" w:rsidP="00790CEA">
            <w:pPr>
              <w:spacing w:after="0"/>
              <w:ind w:left="-126"/>
              <w:jc w:val="right"/>
              <w:rPr>
                <w:color w:val="000000"/>
                <w:sz w:val="18"/>
                <w:szCs w:val="18"/>
                <w:lang w:eastAsia="en-CA"/>
              </w:rPr>
            </w:pPr>
            <w:r w:rsidRPr="00FE54E2">
              <w:rPr>
                <w:sz w:val="18"/>
                <w:szCs w:val="18"/>
              </w:rPr>
              <w:t>27.0</w:t>
            </w:r>
          </w:p>
        </w:tc>
        <w:tc>
          <w:tcPr>
            <w:tcW w:w="720" w:type="dxa"/>
            <w:tcBorders>
              <w:top w:val="nil"/>
              <w:left w:val="nil"/>
              <w:bottom w:val="single" w:sz="4" w:space="0" w:color="auto"/>
              <w:right w:val="single" w:sz="4" w:space="0" w:color="auto"/>
            </w:tcBorders>
            <w:noWrap/>
            <w:vAlign w:val="center"/>
            <w:hideMark/>
          </w:tcPr>
          <w:p w14:paraId="34668775" w14:textId="77777777" w:rsidR="00A77F4F" w:rsidRPr="00FE54E2" w:rsidRDefault="00A77F4F" w:rsidP="00790CEA">
            <w:pPr>
              <w:spacing w:after="0"/>
              <w:ind w:left="-126"/>
              <w:jc w:val="right"/>
              <w:rPr>
                <w:color w:val="000000"/>
                <w:sz w:val="18"/>
                <w:szCs w:val="18"/>
                <w:lang w:eastAsia="en-CA"/>
              </w:rPr>
            </w:pPr>
            <w:r w:rsidRPr="00FE54E2">
              <w:rPr>
                <w:sz w:val="18"/>
                <w:szCs w:val="18"/>
              </w:rPr>
              <w:t>27.0</w:t>
            </w:r>
          </w:p>
        </w:tc>
        <w:tc>
          <w:tcPr>
            <w:tcW w:w="810" w:type="dxa"/>
            <w:tcBorders>
              <w:top w:val="nil"/>
              <w:left w:val="nil"/>
              <w:bottom w:val="single" w:sz="4" w:space="0" w:color="auto"/>
              <w:right w:val="single" w:sz="4" w:space="0" w:color="auto"/>
            </w:tcBorders>
            <w:vAlign w:val="center"/>
            <w:hideMark/>
          </w:tcPr>
          <w:p w14:paraId="5C676D31" w14:textId="77777777" w:rsidR="00A77F4F" w:rsidRPr="00FE54E2" w:rsidRDefault="00A77F4F" w:rsidP="00790CEA">
            <w:pPr>
              <w:spacing w:after="0"/>
              <w:ind w:left="-126"/>
              <w:jc w:val="right"/>
              <w:rPr>
                <w:color w:val="000000"/>
                <w:sz w:val="18"/>
                <w:szCs w:val="18"/>
                <w:lang w:eastAsia="en-CA"/>
              </w:rPr>
            </w:pPr>
            <w:r w:rsidRPr="00FE54E2">
              <w:rPr>
                <w:sz w:val="18"/>
                <w:szCs w:val="18"/>
              </w:rPr>
              <w:t>24.8</w:t>
            </w:r>
          </w:p>
        </w:tc>
        <w:tc>
          <w:tcPr>
            <w:tcW w:w="810" w:type="dxa"/>
            <w:tcBorders>
              <w:top w:val="nil"/>
              <w:left w:val="nil"/>
              <w:bottom w:val="single" w:sz="4" w:space="0" w:color="auto"/>
              <w:right w:val="single" w:sz="4" w:space="0" w:color="auto"/>
            </w:tcBorders>
            <w:vAlign w:val="center"/>
            <w:hideMark/>
          </w:tcPr>
          <w:p w14:paraId="06D4DAE7" w14:textId="77777777" w:rsidR="00A77F4F" w:rsidRPr="00FE54E2" w:rsidRDefault="00A77F4F" w:rsidP="00790CEA">
            <w:pPr>
              <w:spacing w:after="0"/>
              <w:ind w:left="-126"/>
              <w:jc w:val="right"/>
              <w:rPr>
                <w:color w:val="000000"/>
                <w:sz w:val="18"/>
                <w:szCs w:val="18"/>
                <w:lang w:eastAsia="en-CA"/>
              </w:rPr>
            </w:pPr>
            <w:r w:rsidRPr="00FE54E2">
              <w:rPr>
                <w:sz w:val="18"/>
                <w:szCs w:val="18"/>
              </w:rPr>
              <w:t>24.8</w:t>
            </w:r>
          </w:p>
        </w:tc>
        <w:tc>
          <w:tcPr>
            <w:tcW w:w="720" w:type="dxa"/>
            <w:tcBorders>
              <w:top w:val="nil"/>
              <w:left w:val="nil"/>
              <w:bottom w:val="single" w:sz="4" w:space="0" w:color="auto"/>
              <w:right w:val="single" w:sz="4" w:space="0" w:color="auto"/>
            </w:tcBorders>
            <w:vAlign w:val="center"/>
          </w:tcPr>
          <w:p w14:paraId="2EDE8B30" w14:textId="77777777" w:rsidR="00A77F4F" w:rsidRPr="00FE54E2" w:rsidRDefault="00A77F4F" w:rsidP="00790CEA">
            <w:pPr>
              <w:spacing w:after="0"/>
              <w:ind w:left="-126"/>
              <w:jc w:val="right"/>
              <w:rPr>
                <w:color w:val="000000"/>
                <w:sz w:val="18"/>
                <w:szCs w:val="18"/>
                <w:lang w:eastAsia="en-CA"/>
              </w:rPr>
            </w:pPr>
            <w:r w:rsidRPr="00FE54E2">
              <w:rPr>
                <w:sz w:val="18"/>
                <w:szCs w:val="18"/>
              </w:rPr>
              <w:t>24.8</w:t>
            </w:r>
          </w:p>
        </w:tc>
        <w:tc>
          <w:tcPr>
            <w:tcW w:w="720" w:type="dxa"/>
            <w:tcBorders>
              <w:top w:val="nil"/>
              <w:left w:val="nil"/>
              <w:bottom w:val="single" w:sz="4" w:space="0" w:color="auto"/>
              <w:right w:val="single" w:sz="4" w:space="0" w:color="auto"/>
            </w:tcBorders>
            <w:vAlign w:val="center"/>
          </w:tcPr>
          <w:p w14:paraId="2A8E7DEA" w14:textId="77777777" w:rsidR="00A77F4F" w:rsidRPr="00FE54E2" w:rsidRDefault="00A77F4F" w:rsidP="00790CEA">
            <w:pPr>
              <w:spacing w:after="0"/>
              <w:ind w:left="-126"/>
              <w:jc w:val="right"/>
              <w:rPr>
                <w:color w:val="000000"/>
                <w:sz w:val="18"/>
                <w:szCs w:val="18"/>
                <w:lang w:eastAsia="en-CA"/>
              </w:rPr>
            </w:pPr>
            <w:r w:rsidRPr="00FE54E2">
              <w:rPr>
                <w:sz w:val="18"/>
                <w:szCs w:val="18"/>
              </w:rPr>
              <w:t>21.6</w:t>
            </w:r>
          </w:p>
        </w:tc>
      </w:tr>
      <w:tr w:rsidR="00A77F4F" w:rsidRPr="00492B89" w14:paraId="0AF999C4"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766C49A8" w14:textId="77777777" w:rsidR="00A77F4F" w:rsidRPr="00A03FED" w:rsidRDefault="00A77F4F" w:rsidP="006233FA">
            <w:pPr>
              <w:spacing w:after="0"/>
              <w:rPr>
                <w:color w:val="000000"/>
                <w:sz w:val="16"/>
                <w:szCs w:val="16"/>
                <w:lang w:eastAsia="en-CA"/>
              </w:rPr>
            </w:pPr>
            <w:r w:rsidRPr="00A03FED">
              <w:rPr>
                <w:sz w:val="18"/>
                <w:szCs w:val="18"/>
                <w:lang w:eastAsia="en-CA"/>
              </w:rPr>
              <w:t>India</w:t>
            </w:r>
          </w:p>
        </w:tc>
        <w:tc>
          <w:tcPr>
            <w:tcW w:w="900" w:type="dxa"/>
            <w:tcBorders>
              <w:top w:val="nil"/>
              <w:left w:val="nil"/>
              <w:bottom w:val="single" w:sz="4" w:space="0" w:color="auto"/>
              <w:right w:val="single" w:sz="4" w:space="0" w:color="auto"/>
            </w:tcBorders>
            <w:noWrap/>
            <w:vAlign w:val="center"/>
            <w:hideMark/>
          </w:tcPr>
          <w:p w14:paraId="3352B588" w14:textId="77777777" w:rsidR="00A77F4F" w:rsidRPr="00A03FED" w:rsidRDefault="00A77F4F" w:rsidP="00790CEA">
            <w:pPr>
              <w:spacing w:after="0"/>
              <w:ind w:left="-126"/>
              <w:jc w:val="right"/>
              <w:rPr>
                <w:color w:val="000000"/>
                <w:sz w:val="16"/>
                <w:szCs w:val="16"/>
                <w:lang w:eastAsia="en-CA"/>
              </w:rPr>
            </w:pPr>
            <w:r w:rsidRPr="00A03FED">
              <w:rPr>
                <w:sz w:val="18"/>
                <w:szCs w:val="18"/>
                <w:lang w:eastAsia="en-CA"/>
              </w:rPr>
              <w:t>2,399.5</w:t>
            </w:r>
          </w:p>
        </w:tc>
        <w:tc>
          <w:tcPr>
            <w:tcW w:w="810" w:type="dxa"/>
            <w:tcBorders>
              <w:top w:val="nil"/>
              <w:left w:val="nil"/>
              <w:bottom w:val="single" w:sz="4" w:space="0" w:color="auto"/>
              <w:right w:val="single" w:sz="4" w:space="0" w:color="auto"/>
            </w:tcBorders>
            <w:noWrap/>
            <w:vAlign w:val="center"/>
            <w:hideMark/>
          </w:tcPr>
          <w:p w14:paraId="070AF3DB" w14:textId="77777777" w:rsidR="00A77F4F" w:rsidRPr="00FE54E2" w:rsidRDefault="00A77F4F" w:rsidP="00790CEA">
            <w:pPr>
              <w:spacing w:after="0"/>
              <w:ind w:left="-126"/>
              <w:jc w:val="right"/>
              <w:rPr>
                <w:color w:val="000000"/>
                <w:sz w:val="18"/>
                <w:szCs w:val="18"/>
                <w:lang w:eastAsia="en-CA"/>
              </w:rPr>
            </w:pPr>
            <w:r w:rsidRPr="00FE54E2">
              <w:rPr>
                <w:sz w:val="18"/>
                <w:szCs w:val="18"/>
              </w:rPr>
              <w:t>1,665.5</w:t>
            </w:r>
          </w:p>
        </w:tc>
        <w:tc>
          <w:tcPr>
            <w:tcW w:w="810" w:type="dxa"/>
            <w:tcBorders>
              <w:top w:val="nil"/>
              <w:left w:val="nil"/>
              <w:bottom w:val="single" w:sz="4" w:space="0" w:color="auto"/>
              <w:right w:val="single" w:sz="4" w:space="0" w:color="auto"/>
            </w:tcBorders>
            <w:noWrap/>
            <w:vAlign w:val="center"/>
            <w:hideMark/>
          </w:tcPr>
          <w:p w14:paraId="4A39DD0B" w14:textId="77777777" w:rsidR="00A77F4F" w:rsidRPr="00FE54E2" w:rsidRDefault="00A77F4F" w:rsidP="00790CEA">
            <w:pPr>
              <w:spacing w:after="0"/>
              <w:ind w:left="-126"/>
              <w:jc w:val="right"/>
              <w:rPr>
                <w:color w:val="000000"/>
                <w:sz w:val="18"/>
                <w:szCs w:val="18"/>
                <w:lang w:eastAsia="en-CA"/>
              </w:rPr>
            </w:pPr>
            <w:r w:rsidRPr="00FE54E2">
              <w:rPr>
                <w:sz w:val="18"/>
                <w:szCs w:val="18"/>
              </w:rPr>
              <w:t>1,789.5</w:t>
            </w:r>
          </w:p>
        </w:tc>
        <w:tc>
          <w:tcPr>
            <w:tcW w:w="810" w:type="dxa"/>
            <w:tcBorders>
              <w:top w:val="nil"/>
              <w:left w:val="nil"/>
              <w:bottom w:val="single" w:sz="4" w:space="0" w:color="auto"/>
              <w:right w:val="single" w:sz="4" w:space="0" w:color="auto"/>
            </w:tcBorders>
            <w:noWrap/>
            <w:vAlign w:val="center"/>
            <w:hideMark/>
          </w:tcPr>
          <w:p w14:paraId="28E1C996" w14:textId="77777777" w:rsidR="00A77F4F" w:rsidRPr="00FE54E2" w:rsidRDefault="00A77F4F" w:rsidP="00790CEA">
            <w:pPr>
              <w:spacing w:after="0"/>
              <w:ind w:left="-126"/>
              <w:jc w:val="right"/>
              <w:rPr>
                <w:color w:val="000000"/>
                <w:sz w:val="18"/>
                <w:szCs w:val="18"/>
                <w:lang w:eastAsia="en-CA"/>
              </w:rPr>
            </w:pPr>
            <w:r w:rsidRPr="00FE54E2">
              <w:rPr>
                <w:sz w:val="18"/>
                <w:szCs w:val="18"/>
              </w:rPr>
              <w:t>1,936.4</w:t>
            </w:r>
          </w:p>
        </w:tc>
        <w:tc>
          <w:tcPr>
            <w:tcW w:w="810" w:type="dxa"/>
            <w:tcBorders>
              <w:top w:val="nil"/>
              <w:left w:val="nil"/>
              <w:bottom w:val="single" w:sz="4" w:space="0" w:color="auto"/>
              <w:right w:val="single" w:sz="4" w:space="0" w:color="auto"/>
            </w:tcBorders>
            <w:noWrap/>
            <w:vAlign w:val="center"/>
            <w:hideMark/>
          </w:tcPr>
          <w:p w14:paraId="78FF4A1E" w14:textId="77777777" w:rsidR="00A77F4F" w:rsidRPr="00FE54E2" w:rsidRDefault="00A77F4F" w:rsidP="00790CEA">
            <w:pPr>
              <w:spacing w:after="0"/>
              <w:ind w:left="-126"/>
              <w:jc w:val="right"/>
              <w:rPr>
                <w:color w:val="000000"/>
                <w:sz w:val="18"/>
                <w:szCs w:val="18"/>
                <w:lang w:eastAsia="en-CA"/>
              </w:rPr>
            </w:pPr>
            <w:r w:rsidRPr="00FE54E2">
              <w:rPr>
                <w:sz w:val="18"/>
                <w:szCs w:val="18"/>
              </w:rPr>
              <w:t>1,937.0</w:t>
            </w:r>
          </w:p>
        </w:tc>
        <w:tc>
          <w:tcPr>
            <w:tcW w:w="720" w:type="dxa"/>
            <w:tcBorders>
              <w:top w:val="nil"/>
              <w:left w:val="nil"/>
              <w:bottom w:val="single" w:sz="4" w:space="0" w:color="auto"/>
              <w:right w:val="single" w:sz="4" w:space="0" w:color="auto"/>
            </w:tcBorders>
            <w:noWrap/>
            <w:vAlign w:val="center"/>
            <w:hideMark/>
          </w:tcPr>
          <w:p w14:paraId="74CB5DCD" w14:textId="77777777" w:rsidR="00A77F4F" w:rsidRPr="00FE54E2" w:rsidRDefault="00A77F4F" w:rsidP="00790CEA">
            <w:pPr>
              <w:spacing w:after="0"/>
              <w:ind w:left="-126"/>
              <w:jc w:val="right"/>
              <w:rPr>
                <w:color w:val="000000"/>
                <w:sz w:val="18"/>
                <w:szCs w:val="18"/>
                <w:lang w:eastAsia="en-CA"/>
              </w:rPr>
            </w:pPr>
            <w:r w:rsidRPr="00FE54E2">
              <w:rPr>
                <w:sz w:val="18"/>
                <w:szCs w:val="18"/>
              </w:rPr>
              <w:t>1,354.8</w:t>
            </w:r>
          </w:p>
        </w:tc>
        <w:tc>
          <w:tcPr>
            <w:tcW w:w="810" w:type="dxa"/>
            <w:tcBorders>
              <w:top w:val="nil"/>
              <w:left w:val="nil"/>
              <w:bottom w:val="single" w:sz="4" w:space="0" w:color="auto"/>
              <w:right w:val="single" w:sz="4" w:space="0" w:color="auto"/>
            </w:tcBorders>
            <w:vAlign w:val="center"/>
            <w:hideMark/>
          </w:tcPr>
          <w:p w14:paraId="38DA79E2" w14:textId="77777777" w:rsidR="00A77F4F" w:rsidRPr="00FE54E2" w:rsidRDefault="00A77F4F" w:rsidP="00790CEA">
            <w:pPr>
              <w:spacing w:after="0"/>
              <w:ind w:left="-126"/>
              <w:jc w:val="right"/>
              <w:rPr>
                <w:color w:val="000000"/>
                <w:sz w:val="18"/>
                <w:szCs w:val="18"/>
                <w:lang w:eastAsia="en-CA"/>
              </w:rPr>
            </w:pPr>
            <w:r w:rsidRPr="00FE54E2">
              <w:rPr>
                <w:sz w:val="18"/>
                <w:szCs w:val="18"/>
              </w:rPr>
              <w:t>1,156.2</w:t>
            </w:r>
          </w:p>
        </w:tc>
        <w:tc>
          <w:tcPr>
            <w:tcW w:w="810" w:type="dxa"/>
            <w:tcBorders>
              <w:top w:val="nil"/>
              <w:left w:val="nil"/>
              <w:bottom w:val="single" w:sz="4" w:space="0" w:color="auto"/>
              <w:right w:val="single" w:sz="4" w:space="0" w:color="auto"/>
            </w:tcBorders>
            <w:vAlign w:val="center"/>
            <w:hideMark/>
          </w:tcPr>
          <w:p w14:paraId="3082A90C" w14:textId="77777777" w:rsidR="00A77F4F" w:rsidRPr="00FE54E2" w:rsidRDefault="00A77F4F" w:rsidP="00790CEA">
            <w:pPr>
              <w:spacing w:after="0"/>
              <w:ind w:left="-126"/>
              <w:jc w:val="right"/>
              <w:rPr>
                <w:color w:val="000000"/>
                <w:sz w:val="18"/>
                <w:szCs w:val="18"/>
                <w:lang w:eastAsia="en-CA"/>
              </w:rPr>
            </w:pPr>
            <w:r w:rsidRPr="00FE54E2">
              <w:rPr>
                <w:sz w:val="18"/>
                <w:szCs w:val="18"/>
              </w:rPr>
              <w:t>942.0</w:t>
            </w:r>
          </w:p>
        </w:tc>
        <w:tc>
          <w:tcPr>
            <w:tcW w:w="720" w:type="dxa"/>
            <w:tcBorders>
              <w:top w:val="nil"/>
              <w:left w:val="nil"/>
              <w:bottom w:val="single" w:sz="4" w:space="0" w:color="auto"/>
              <w:right w:val="single" w:sz="4" w:space="0" w:color="auto"/>
            </w:tcBorders>
            <w:vAlign w:val="center"/>
          </w:tcPr>
          <w:p w14:paraId="1F9BF1F3" w14:textId="77777777" w:rsidR="00A77F4F" w:rsidRPr="00FE54E2" w:rsidRDefault="00A77F4F" w:rsidP="00790CEA">
            <w:pPr>
              <w:spacing w:after="0"/>
              <w:ind w:left="-126"/>
              <w:jc w:val="right"/>
              <w:rPr>
                <w:color w:val="000000"/>
                <w:sz w:val="18"/>
                <w:szCs w:val="18"/>
                <w:lang w:eastAsia="en-CA"/>
              </w:rPr>
            </w:pPr>
            <w:r w:rsidRPr="00FE54E2">
              <w:rPr>
                <w:sz w:val="18"/>
                <w:szCs w:val="18"/>
              </w:rPr>
              <w:t>1,218.3</w:t>
            </w:r>
          </w:p>
        </w:tc>
        <w:tc>
          <w:tcPr>
            <w:tcW w:w="720" w:type="dxa"/>
            <w:tcBorders>
              <w:top w:val="nil"/>
              <w:left w:val="nil"/>
              <w:bottom w:val="single" w:sz="4" w:space="0" w:color="auto"/>
              <w:right w:val="single" w:sz="4" w:space="0" w:color="auto"/>
            </w:tcBorders>
            <w:vAlign w:val="center"/>
          </w:tcPr>
          <w:p w14:paraId="3C9DC0C8" w14:textId="77777777" w:rsidR="00A77F4F" w:rsidRPr="00FE54E2" w:rsidRDefault="00A77F4F" w:rsidP="00790CEA">
            <w:pPr>
              <w:spacing w:after="0"/>
              <w:ind w:left="-126"/>
              <w:jc w:val="right"/>
              <w:rPr>
                <w:color w:val="000000"/>
                <w:sz w:val="18"/>
                <w:szCs w:val="18"/>
                <w:lang w:eastAsia="en-CA"/>
              </w:rPr>
            </w:pPr>
            <w:r w:rsidRPr="00FE54E2">
              <w:rPr>
                <w:sz w:val="18"/>
                <w:szCs w:val="18"/>
              </w:rPr>
              <w:t>1,362.0</w:t>
            </w:r>
          </w:p>
        </w:tc>
      </w:tr>
      <w:tr w:rsidR="00A77F4F" w:rsidRPr="00492B89" w14:paraId="551E9A62"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248CB744" w14:textId="77777777" w:rsidR="00A77F4F" w:rsidRPr="00A03FED" w:rsidRDefault="00A77F4F" w:rsidP="006233FA">
            <w:pPr>
              <w:spacing w:after="0"/>
              <w:rPr>
                <w:color w:val="000000"/>
                <w:sz w:val="16"/>
                <w:szCs w:val="16"/>
                <w:lang w:eastAsia="en-CA"/>
              </w:rPr>
            </w:pPr>
            <w:r w:rsidRPr="00A03FED">
              <w:rPr>
                <w:sz w:val="18"/>
                <w:szCs w:val="18"/>
                <w:lang w:eastAsia="en-CA"/>
              </w:rPr>
              <w:t>Mexico</w:t>
            </w:r>
          </w:p>
        </w:tc>
        <w:tc>
          <w:tcPr>
            <w:tcW w:w="900" w:type="dxa"/>
            <w:tcBorders>
              <w:top w:val="nil"/>
              <w:left w:val="nil"/>
              <w:bottom w:val="single" w:sz="4" w:space="0" w:color="auto"/>
              <w:right w:val="single" w:sz="4" w:space="0" w:color="auto"/>
            </w:tcBorders>
            <w:noWrap/>
            <w:vAlign w:val="center"/>
            <w:hideMark/>
          </w:tcPr>
          <w:p w14:paraId="455F74FC" w14:textId="77777777" w:rsidR="00A77F4F" w:rsidRPr="00A03FED" w:rsidRDefault="00A77F4F" w:rsidP="00790CEA">
            <w:pPr>
              <w:spacing w:after="0"/>
              <w:ind w:left="-126"/>
              <w:jc w:val="right"/>
              <w:rPr>
                <w:color w:val="000000"/>
                <w:sz w:val="16"/>
                <w:szCs w:val="16"/>
                <w:lang w:eastAsia="en-CA"/>
              </w:rPr>
            </w:pPr>
            <w:r w:rsidRPr="00A03FED">
              <w:rPr>
                <w:sz w:val="18"/>
                <w:szCs w:val="18"/>
                <w:lang w:eastAsia="en-CA"/>
              </w:rPr>
              <w:t>697.0</w:t>
            </w:r>
          </w:p>
        </w:tc>
        <w:tc>
          <w:tcPr>
            <w:tcW w:w="810" w:type="dxa"/>
            <w:tcBorders>
              <w:top w:val="nil"/>
              <w:left w:val="nil"/>
              <w:bottom w:val="single" w:sz="4" w:space="0" w:color="auto"/>
              <w:right w:val="single" w:sz="4" w:space="0" w:color="auto"/>
            </w:tcBorders>
            <w:noWrap/>
            <w:vAlign w:val="center"/>
            <w:hideMark/>
          </w:tcPr>
          <w:p w14:paraId="7A17B3BF" w14:textId="77777777" w:rsidR="00A77F4F" w:rsidRPr="00FE54E2" w:rsidRDefault="00A77F4F" w:rsidP="00790CEA">
            <w:pPr>
              <w:spacing w:after="0"/>
              <w:ind w:left="-126"/>
              <w:jc w:val="right"/>
              <w:rPr>
                <w:color w:val="000000"/>
                <w:sz w:val="18"/>
                <w:szCs w:val="18"/>
                <w:lang w:eastAsia="en-CA"/>
              </w:rPr>
            </w:pPr>
            <w:r w:rsidRPr="00FE54E2">
              <w:rPr>
                <w:sz w:val="18"/>
                <w:szCs w:val="18"/>
              </w:rPr>
              <w:t>166.8</w:t>
            </w:r>
          </w:p>
        </w:tc>
        <w:tc>
          <w:tcPr>
            <w:tcW w:w="810" w:type="dxa"/>
            <w:tcBorders>
              <w:top w:val="nil"/>
              <w:left w:val="nil"/>
              <w:bottom w:val="single" w:sz="4" w:space="0" w:color="auto"/>
              <w:right w:val="single" w:sz="4" w:space="0" w:color="auto"/>
            </w:tcBorders>
            <w:noWrap/>
            <w:vAlign w:val="center"/>
            <w:hideMark/>
          </w:tcPr>
          <w:p w14:paraId="7A579C2C" w14:textId="77777777" w:rsidR="00A77F4F" w:rsidRPr="00FE54E2" w:rsidRDefault="00A77F4F" w:rsidP="00790CEA">
            <w:pPr>
              <w:spacing w:after="0"/>
              <w:ind w:left="-126"/>
              <w:jc w:val="right"/>
              <w:rPr>
                <w:color w:val="000000"/>
                <w:sz w:val="18"/>
                <w:szCs w:val="18"/>
                <w:lang w:eastAsia="en-CA"/>
              </w:rPr>
            </w:pPr>
            <w:r w:rsidRPr="00FE54E2">
              <w:rPr>
                <w:sz w:val="18"/>
                <w:szCs w:val="18"/>
              </w:rPr>
              <w:t>190.1</w:t>
            </w:r>
          </w:p>
        </w:tc>
        <w:tc>
          <w:tcPr>
            <w:tcW w:w="810" w:type="dxa"/>
            <w:tcBorders>
              <w:top w:val="nil"/>
              <w:left w:val="nil"/>
              <w:bottom w:val="single" w:sz="4" w:space="0" w:color="auto"/>
              <w:right w:val="single" w:sz="4" w:space="0" w:color="auto"/>
            </w:tcBorders>
            <w:noWrap/>
            <w:vAlign w:val="center"/>
            <w:hideMark/>
          </w:tcPr>
          <w:p w14:paraId="0E0F3282" w14:textId="77777777" w:rsidR="00A77F4F" w:rsidRPr="00FE54E2" w:rsidRDefault="00A77F4F" w:rsidP="00790CEA">
            <w:pPr>
              <w:spacing w:after="0"/>
              <w:ind w:left="-126"/>
              <w:jc w:val="right"/>
              <w:rPr>
                <w:color w:val="000000"/>
                <w:sz w:val="18"/>
                <w:szCs w:val="18"/>
                <w:lang w:eastAsia="en-CA"/>
              </w:rPr>
            </w:pPr>
            <w:r w:rsidRPr="00FE54E2">
              <w:rPr>
                <w:sz w:val="18"/>
                <w:szCs w:val="18"/>
              </w:rPr>
              <w:t>183.8</w:t>
            </w:r>
          </w:p>
        </w:tc>
        <w:tc>
          <w:tcPr>
            <w:tcW w:w="810" w:type="dxa"/>
            <w:tcBorders>
              <w:top w:val="nil"/>
              <w:left w:val="nil"/>
              <w:bottom w:val="single" w:sz="4" w:space="0" w:color="auto"/>
              <w:right w:val="single" w:sz="4" w:space="0" w:color="auto"/>
            </w:tcBorders>
            <w:noWrap/>
            <w:vAlign w:val="center"/>
            <w:hideMark/>
          </w:tcPr>
          <w:p w14:paraId="781155B4" w14:textId="77777777" w:rsidR="00A77F4F" w:rsidRPr="00FE54E2" w:rsidRDefault="00A77F4F" w:rsidP="00790CEA">
            <w:pPr>
              <w:spacing w:after="0"/>
              <w:ind w:left="-126"/>
              <w:jc w:val="right"/>
              <w:rPr>
                <w:color w:val="000000"/>
                <w:sz w:val="18"/>
                <w:szCs w:val="18"/>
                <w:lang w:eastAsia="en-CA"/>
              </w:rPr>
            </w:pPr>
            <w:r w:rsidRPr="00FE54E2">
              <w:rPr>
                <w:sz w:val="18"/>
                <w:szCs w:val="18"/>
              </w:rPr>
              <w:t>134.8</w:t>
            </w:r>
          </w:p>
        </w:tc>
        <w:tc>
          <w:tcPr>
            <w:tcW w:w="720" w:type="dxa"/>
            <w:tcBorders>
              <w:top w:val="nil"/>
              <w:left w:val="nil"/>
              <w:bottom w:val="single" w:sz="4" w:space="0" w:color="auto"/>
              <w:right w:val="single" w:sz="4" w:space="0" w:color="auto"/>
            </w:tcBorders>
            <w:noWrap/>
            <w:vAlign w:val="center"/>
            <w:hideMark/>
          </w:tcPr>
          <w:p w14:paraId="4C11C83C" w14:textId="77777777" w:rsidR="00A77F4F" w:rsidRPr="00FE54E2" w:rsidRDefault="00A77F4F" w:rsidP="00790CEA">
            <w:pPr>
              <w:spacing w:after="0"/>
              <w:ind w:left="-126"/>
              <w:jc w:val="right"/>
              <w:rPr>
                <w:color w:val="000000"/>
                <w:sz w:val="18"/>
                <w:szCs w:val="18"/>
                <w:lang w:eastAsia="en-CA"/>
              </w:rPr>
            </w:pPr>
            <w:r w:rsidRPr="00FE54E2">
              <w:rPr>
                <w:sz w:val="18"/>
                <w:szCs w:val="18"/>
              </w:rPr>
              <w:t>56.7</w:t>
            </w:r>
          </w:p>
        </w:tc>
        <w:tc>
          <w:tcPr>
            <w:tcW w:w="810" w:type="dxa"/>
            <w:tcBorders>
              <w:top w:val="nil"/>
              <w:left w:val="nil"/>
              <w:bottom w:val="single" w:sz="4" w:space="0" w:color="auto"/>
              <w:right w:val="single" w:sz="4" w:space="0" w:color="auto"/>
            </w:tcBorders>
            <w:vAlign w:val="center"/>
            <w:hideMark/>
          </w:tcPr>
          <w:p w14:paraId="613B8AB9" w14:textId="77777777" w:rsidR="00A77F4F" w:rsidRPr="00FE54E2" w:rsidRDefault="00A77F4F" w:rsidP="00790CEA">
            <w:pPr>
              <w:spacing w:after="0"/>
              <w:ind w:left="-126"/>
              <w:jc w:val="right"/>
              <w:rPr>
                <w:color w:val="000000"/>
                <w:sz w:val="18"/>
                <w:szCs w:val="18"/>
                <w:lang w:eastAsia="en-CA"/>
              </w:rPr>
            </w:pPr>
            <w:r w:rsidRPr="00FE54E2">
              <w:rPr>
                <w:sz w:val="18"/>
                <w:szCs w:val="18"/>
              </w:rPr>
              <w:t>138.4</w:t>
            </w:r>
          </w:p>
        </w:tc>
        <w:tc>
          <w:tcPr>
            <w:tcW w:w="810" w:type="dxa"/>
            <w:tcBorders>
              <w:top w:val="nil"/>
              <w:left w:val="nil"/>
              <w:bottom w:val="single" w:sz="4" w:space="0" w:color="auto"/>
              <w:right w:val="single" w:sz="4" w:space="0" w:color="auto"/>
            </w:tcBorders>
            <w:vAlign w:val="center"/>
            <w:hideMark/>
          </w:tcPr>
          <w:p w14:paraId="4445CEBF" w14:textId="77777777" w:rsidR="00A77F4F" w:rsidRPr="00FE54E2" w:rsidRDefault="00A77F4F" w:rsidP="00790CEA">
            <w:pPr>
              <w:spacing w:after="0"/>
              <w:ind w:left="-126"/>
              <w:jc w:val="right"/>
              <w:rPr>
                <w:color w:val="000000"/>
                <w:sz w:val="18"/>
                <w:szCs w:val="18"/>
                <w:lang w:eastAsia="en-CA"/>
              </w:rPr>
            </w:pPr>
            <w:r w:rsidRPr="00FE54E2">
              <w:rPr>
                <w:sz w:val="18"/>
                <w:szCs w:val="18"/>
              </w:rPr>
              <w:t>217.4</w:t>
            </w:r>
          </w:p>
        </w:tc>
        <w:tc>
          <w:tcPr>
            <w:tcW w:w="720" w:type="dxa"/>
            <w:tcBorders>
              <w:top w:val="nil"/>
              <w:left w:val="nil"/>
              <w:bottom w:val="single" w:sz="4" w:space="0" w:color="auto"/>
              <w:right w:val="single" w:sz="4" w:space="0" w:color="auto"/>
            </w:tcBorders>
            <w:vAlign w:val="center"/>
          </w:tcPr>
          <w:p w14:paraId="451952AC" w14:textId="77777777" w:rsidR="00A77F4F" w:rsidRPr="00FE54E2" w:rsidRDefault="00A77F4F" w:rsidP="00790CEA">
            <w:pPr>
              <w:spacing w:after="0" w:line="259" w:lineRule="auto"/>
              <w:ind w:left="-126"/>
              <w:jc w:val="right"/>
              <w:rPr>
                <w:sz w:val="18"/>
                <w:szCs w:val="18"/>
              </w:rPr>
            </w:pPr>
            <w:r w:rsidRPr="00FE54E2">
              <w:rPr>
                <w:sz w:val="18"/>
                <w:szCs w:val="18"/>
              </w:rPr>
              <w:t>147.2</w:t>
            </w:r>
          </w:p>
        </w:tc>
        <w:tc>
          <w:tcPr>
            <w:tcW w:w="720" w:type="dxa"/>
            <w:tcBorders>
              <w:top w:val="nil"/>
              <w:left w:val="nil"/>
              <w:bottom w:val="single" w:sz="4" w:space="0" w:color="auto"/>
              <w:right w:val="single" w:sz="4" w:space="0" w:color="auto"/>
            </w:tcBorders>
            <w:vAlign w:val="center"/>
          </w:tcPr>
          <w:p w14:paraId="77856FCA" w14:textId="77777777" w:rsidR="00A77F4F" w:rsidRPr="00FE54E2" w:rsidRDefault="00A77F4F" w:rsidP="00790CEA">
            <w:pPr>
              <w:spacing w:after="0"/>
              <w:ind w:left="-126"/>
              <w:jc w:val="right"/>
              <w:rPr>
                <w:sz w:val="18"/>
                <w:szCs w:val="18"/>
                <w:lang w:eastAsia="en-CA"/>
              </w:rPr>
            </w:pPr>
            <w:r w:rsidRPr="00FE54E2">
              <w:rPr>
                <w:sz w:val="18"/>
                <w:szCs w:val="18"/>
              </w:rPr>
              <w:t>176.3</w:t>
            </w:r>
          </w:p>
        </w:tc>
      </w:tr>
      <w:tr w:rsidR="00A77F4F" w:rsidRPr="00492B89" w14:paraId="2E446478"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12158123" w14:textId="77777777" w:rsidR="00A77F4F" w:rsidRPr="00A03FED" w:rsidRDefault="00A77F4F" w:rsidP="006233FA">
            <w:pPr>
              <w:spacing w:after="0"/>
              <w:rPr>
                <w:color w:val="000000"/>
                <w:sz w:val="16"/>
                <w:szCs w:val="16"/>
                <w:lang w:eastAsia="en-CA"/>
              </w:rPr>
            </w:pPr>
            <w:r w:rsidRPr="00A03FED">
              <w:rPr>
                <w:sz w:val="18"/>
                <w:szCs w:val="18"/>
                <w:lang w:eastAsia="en-CA"/>
              </w:rPr>
              <w:t>Republic of Korea</w:t>
            </w:r>
          </w:p>
        </w:tc>
        <w:tc>
          <w:tcPr>
            <w:tcW w:w="900" w:type="dxa"/>
            <w:tcBorders>
              <w:top w:val="nil"/>
              <w:left w:val="nil"/>
              <w:bottom w:val="single" w:sz="4" w:space="0" w:color="auto"/>
              <w:right w:val="single" w:sz="4" w:space="0" w:color="auto"/>
            </w:tcBorders>
            <w:noWrap/>
            <w:vAlign w:val="center"/>
            <w:hideMark/>
          </w:tcPr>
          <w:p w14:paraId="5E07E5E4" w14:textId="77777777" w:rsidR="00A77F4F" w:rsidRPr="00A03FED" w:rsidRDefault="00A77F4F" w:rsidP="00790CEA">
            <w:pPr>
              <w:spacing w:after="0"/>
              <w:ind w:left="-126"/>
              <w:jc w:val="right"/>
              <w:rPr>
                <w:color w:val="000000"/>
                <w:sz w:val="16"/>
                <w:szCs w:val="16"/>
                <w:lang w:eastAsia="en-CA"/>
              </w:rPr>
            </w:pPr>
            <w:r w:rsidRPr="00A03FED">
              <w:rPr>
                <w:sz w:val="18"/>
                <w:szCs w:val="18"/>
                <w:lang w:eastAsia="en-CA"/>
              </w:rPr>
              <w:t>395.1</w:t>
            </w:r>
          </w:p>
        </w:tc>
        <w:tc>
          <w:tcPr>
            <w:tcW w:w="810" w:type="dxa"/>
            <w:tcBorders>
              <w:top w:val="nil"/>
              <w:left w:val="nil"/>
              <w:bottom w:val="single" w:sz="4" w:space="0" w:color="auto"/>
              <w:right w:val="single" w:sz="4" w:space="0" w:color="auto"/>
            </w:tcBorders>
            <w:noWrap/>
            <w:vAlign w:val="center"/>
            <w:hideMark/>
          </w:tcPr>
          <w:p w14:paraId="700B5549" w14:textId="77777777" w:rsidR="00A77F4F" w:rsidRPr="00FE54E2" w:rsidRDefault="00A77F4F" w:rsidP="00790CEA">
            <w:pPr>
              <w:spacing w:after="0"/>
              <w:ind w:left="-126"/>
              <w:jc w:val="right"/>
              <w:rPr>
                <w:color w:val="000000"/>
                <w:sz w:val="18"/>
                <w:szCs w:val="18"/>
                <w:lang w:eastAsia="en-CA"/>
              </w:rPr>
            </w:pPr>
            <w:r w:rsidRPr="00FE54E2">
              <w:rPr>
                <w:sz w:val="18"/>
                <w:szCs w:val="18"/>
              </w:rPr>
              <w:t>240.3</w:t>
            </w:r>
          </w:p>
        </w:tc>
        <w:tc>
          <w:tcPr>
            <w:tcW w:w="810" w:type="dxa"/>
            <w:tcBorders>
              <w:top w:val="nil"/>
              <w:left w:val="nil"/>
              <w:bottom w:val="single" w:sz="4" w:space="0" w:color="auto"/>
              <w:right w:val="single" w:sz="4" w:space="0" w:color="auto"/>
            </w:tcBorders>
            <w:noWrap/>
            <w:vAlign w:val="center"/>
            <w:hideMark/>
          </w:tcPr>
          <w:p w14:paraId="7DD3BC37" w14:textId="77777777" w:rsidR="00A77F4F" w:rsidRPr="00FE54E2" w:rsidRDefault="00A77F4F" w:rsidP="00790CEA">
            <w:pPr>
              <w:spacing w:after="0"/>
              <w:ind w:left="-126"/>
              <w:jc w:val="right"/>
              <w:rPr>
                <w:color w:val="000000"/>
                <w:sz w:val="18"/>
                <w:szCs w:val="18"/>
                <w:lang w:eastAsia="en-CA"/>
              </w:rPr>
            </w:pPr>
            <w:r w:rsidRPr="00FE54E2">
              <w:rPr>
                <w:sz w:val="18"/>
                <w:szCs w:val="18"/>
              </w:rPr>
              <w:t>305.6</w:t>
            </w:r>
          </w:p>
        </w:tc>
        <w:tc>
          <w:tcPr>
            <w:tcW w:w="810" w:type="dxa"/>
            <w:tcBorders>
              <w:top w:val="nil"/>
              <w:left w:val="nil"/>
              <w:bottom w:val="single" w:sz="4" w:space="0" w:color="auto"/>
              <w:right w:val="single" w:sz="4" w:space="0" w:color="auto"/>
            </w:tcBorders>
            <w:noWrap/>
            <w:vAlign w:val="center"/>
            <w:hideMark/>
          </w:tcPr>
          <w:p w14:paraId="3EE87CFF" w14:textId="77777777" w:rsidR="00A77F4F" w:rsidRPr="00FE54E2" w:rsidRDefault="00A77F4F" w:rsidP="00790CEA">
            <w:pPr>
              <w:spacing w:after="0"/>
              <w:ind w:left="-126"/>
              <w:jc w:val="right"/>
              <w:rPr>
                <w:color w:val="000000"/>
                <w:sz w:val="18"/>
                <w:szCs w:val="18"/>
                <w:lang w:eastAsia="en-CA"/>
              </w:rPr>
            </w:pPr>
            <w:r w:rsidRPr="00FE54E2">
              <w:rPr>
                <w:sz w:val="18"/>
                <w:szCs w:val="18"/>
              </w:rPr>
              <w:t>289.9</w:t>
            </w:r>
          </w:p>
        </w:tc>
        <w:tc>
          <w:tcPr>
            <w:tcW w:w="810" w:type="dxa"/>
            <w:tcBorders>
              <w:top w:val="nil"/>
              <w:left w:val="nil"/>
              <w:bottom w:val="single" w:sz="4" w:space="0" w:color="auto"/>
              <w:right w:val="single" w:sz="4" w:space="0" w:color="auto"/>
            </w:tcBorders>
            <w:noWrap/>
            <w:vAlign w:val="center"/>
            <w:hideMark/>
          </w:tcPr>
          <w:p w14:paraId="78101594" w14:textId="77777777" w:rsidR="00A77F4F" w:rsidRPr="00FE54E2" w:rsidRDefault="00A77F4F" w:rsidP="00790CEA">
            <w:pPr>
              <w:spacing w:after="0"/>
              <w:ind w:left="-126"/>
              <w:jc w:val="right"/>
              <w:rPr>
                <w:color w:val="000000"/>
                <w:sz w:val="18"/>
                <w:szCs w:val="18"/>
                <w:lang w:eastAsia="en-CA"/>
              </w:rPr>
            </w:pPr>
            <w:r w:rsidRPr="00FE54E2">
              <w:rPr>
                <w:sz w:val="18"/>
                <w:szCs w:val="18"/>
              </w:rPr>
              <w:t>271.5</w:t>
            </w:r>
          </w:p>
        </w:tc>
        <w:tc>
          <w:tcPr>
            <w:tcW w:w="720" w:type="dxa"/>
            <w:tcBorders>
              <w:top w:val="nil"/>
              <w:left w:val="nil"/>
              <w:bottom w:val="single" w:sz="4" w:space="0" w:color="auto"/>
              <w:right w:val="single" w:sz="4" w:space="0" w:color="auto"/>
            </w:tcBorders>
            <w:noWrap/>
            <w:vAlign w:val="center"/>
            <w:hideMark/>
          </w:tcPr>
          <w:p w14:paraId="1C18D1E5" w14:textId="77777777" w:rsidR="00A77F4F" w:rsidRPr="00FE54E2" w:rsidRDefault="00A77F4F" w:rsidP="00790CEA">
            <w:pPr>
              <w:spacing w:after="0"/>
              <w:ind w:left="-126"/>
              <w:jc w:val="right"/>
              <w:rPr>
                <w:color w:val="000000"/>
                <w:sz w:val="18"/>
                <w:szCs w:val="18"/>
                <w:lang w:eastAsia="en-CA"/>
              </w:rPr>
            </w:pPr>
            <w:r w:rsidRPr="00FE54E2">
              <w:rPr>
                <w:sz w:val="18"/>
                <w:szCs w:val="18"/>
              </w:rPr>
              <w:t>254.3</w:t>
            </w:r>
          </w:p>
        </w:tc>
        <w:tc>
          <w:tcPr>
            <w:tcW w:w="810" w:type="dxa"/>
            <w:tcBorders>
              <w:top w:val="nil"/>
              <w:left w:val="nil"/>
              <w:bottom w:val="single" w:sz="4" w:space="0" w:color="auto"/>
              <w:right w:val="single" w:sz="4" w:space="0" w:color="auto"/>
            </w:tcBorders>
            <w:vAlign w:val="center"/>
            <w:hideMark/>
          </w:tcPr>
          <w:p w14:paraId="7F38ECDE" w14:textId="77777777" w:rsidR="00A77F4F" w:rsidRPr="00FE54E2" w:rsidRDefault="00A77F4F" w:rsidP="00790CEA">
            <w:pPr>
              <w:spacing w:after="0"/>
              <w:ind w:left="-126"/>
              <w:jc w:val="right"/>
              <w:rPr>
                <w:color w:val="000000"/>
                <w:sz w:val="18"/>
                <w:szCs w:val="18"/>
                <w:lang w:eastAsia="en-CA"/>
              </w:rPr>
            </w:pPr>
            <w:r w:rsidRPr="00FE54E2">
              <w:rPr>
                <w:sz w:val="18"/>
                <w:szCs w:val="18"/>
              </w:rPr>
              <w:t>221.0</w:t>
            </w:r>
          </w:p>
        </w:tc>
        <w:tc>
          <w:tcPr>
            <w:tcW w:w="810" w:type="dxa"/>
            <w:tcBorders>
              <w:top w:val="nil"/>
              <w:left w:val="nil"/>
              <w:bottom w:val="single" w:sz="4" w:space="0" w:color="auto"/>
              <w:right w:val="single" w:sz="4" w:space="0" w:color="auto"/>
            </w:tcBorders>
            <w:vAlign w:val="center"/>
            <w:hideMark/>
          </w:tcPr>
          <w:p w14:paraId="45E40712" w14:textId="77777777" w:rsidR="00A77F4F" w:rsidRPr="00FE54E2" w:rsidRDefault="00A77F4F" w:rsidP="00790CEA">
            <w:pPr>
              <w:spacing w:after="0"/>
              <w:ind w:left="-126"/>
              <w:jc w:val="right"/>
              <w:rPr>
                <w:color w:val="000000"/>
                <w:sz w:val="18"/>
                <w:szCs w:val="18"/>
                <w:lang w:eastAsia="en-CA"/>
              </w:rPr>
            </w:pPr>
            <w:r w:rsidRPr="00FE54E2">
              <w:rPr>
                <w:sz w:val="18"/>
                <w:szCs w:val="18"/>
              </w:rPr>
              <w:t>199.6</w:t>
            </w:r>
          </w:p>
        </w:tc>
        <w:tc>
          <w:tcPr>
            <w:tcW w:w="720" w:type="dxa"/>
            <w:tcBorders>
              <w:top w:val="nil"/>
              <w:left w:val="nil"/>
              <w:bottom w:val="single" w:sz="4" w:space="0" w:color="auto"/>
              <w:right w:val="single" w:sz="4" w:space="0" w:color="auto"/>
            </w:tcBorders>
            <w:vAlign w:val="center"/>
          </w:tcPr>
          <w:p w14:paraId="57F01248" w14:textId="77777777" w:rsidR="00A77F4F" w:rsidRPr="00FE54E2" w:rsidRDefault="00A77F4F" w:rsidP="00790CEA">
            <w:pPr>
              <w:spacing w:after="0"/>
              <w:ind w:left="-126"/>
              <w:jc w:val="right"/>
              <w:rPr>
                <w:color w:val="000000"/>
                <w:sz w:val="18"/>
                <w:szCs w:val="18"/>
                <w:lang w:eastAsia="en-CA"/>
              </w:rPr>
            </w:pPr>
            <w:r w:rsidRPr="00FE54E2">
              <w:rPr>
                <w:sz w:val="18"/>
                <w:szCs w:val="18"/>
              </w:rPr>
              <w:t>167.2</w:t>
            </w:r>
          </w:p>
        </w:tc>
        <w:tc>
          <w:tcPr>
            <w:tcW w:w="720" w:type="dxa"/>
            <w:tcBorders>
              <w:top w:val="nil"/>
              <w:left w:val="nil"/>
              <w:bottom w:val="single" w:sz="4" w:space="0" w:color="auto"/>
              <w:right w:val="single" w:sz="4" w:space="0" w:color="auto"/>
            </w:tcBorders>
            <w:vAlign w:val="center"/>
          </w:tcPr>
          <w:p w14:paraId="2FFA3EB5" w14:textId="77777777" w:rsidR="00A77F4F" w:rsidRPr="00FE54E2" w:rsidRDefault="00A77F4F" w:rsidP="00790CEA">
            <w:pPr>
              <w:spacing w:after="0"/>
              <w:ind w:left="-126"/>
              <w:jc w:val="right"/>
              <w:rPr>
                <w:color w:val="000000"/>
                <w:sz w:val="18"/>
                <w:szCs w:val="18"/>
                <w:lang w:eastAsia="en-CA"/>
              </w:rPr>
            </w:pPr>
            <w:r w:rsidRPr="00FE54E2">
              <w:rPr>
                <w:sz w:val="18"/>
                <w:szCs w:val="18"/>
              </w:rPr>
              <w:t>230.8</w:t>
            </w:r>
          </w:p>
        </w:tc>
      </w:tr>
      <w:tr w:rsidR="00A77F4F" w:rsidRPr="00492B89" w14:paraId="07ECD24B"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10CF2AB6" w14:textId="77777777" w:rsidR="00A77F4F" w:rsidRPr="00A03FED" w:rsidRDefault="00A77F4F" w:rsidP="006233FA">
            <w:pPr>
              <w:spacing w:after="0"/>
              <w:rPr>
                <w:color w:val="000000"/>
                <w:sz w:val="16"/>
                <w:szCs w:val="16"/>
                <w:lang w:eastAsia="en-CA"/>
              </w:rPr>
            </w:pPr>
            <w:r w:rsidRPr="00A03FED">
              <w:rPr>
                <w:sz w:val="18"/>
                <w:szCs w:val="18"/>
                <w:lang w:eastAsia="en-CA"/>
              </w:rPr>
              <w:t>Venezuela (Bolivarian Republic of)</w:t>
            </w:r>
          </w:p>
        </w:tc>
        <w:tc>
          <w:tcPr>
            <w:tcW w:w="900" w:type="dxa"/>
            <w:tcBorders>
              <w:top w:val="nil"/>
              <w:left w:val="nil"/>
              <w:bottom w:val="single" w:sz="4" w:space="0" w:color="auto"/>
              <w:right w:val="single" w:sz="4" w:space="0" w:color="auto"/>
            </w:tcBorders>
            <w:noWrap/>
            <w:vAlign w:val="center"/>
            <w:hideMark/>
          </w:tcPr>
          <w:p w14:paraId="76A636CB" w14:textId="77777777" w:rsidR="00A77F4F" w:rsidRPr="00A03FED" w:rsidRDefault="00A77F4F" w:rsidP="00790CEA">
            <w:pPr>
              <w:spacing w:after="0"/>
              <w:ind w:left="-126"/>
              <w:jc w:val="right"/>
              <w:rPr>
                <w:color w:val="000000"/>
                <w:sz w:val="16"/>
                <w:szCs w:val="16"/>
                <w:lang w:eastAsia="en-CA"/>
              </w:rPr>
            </w:pPr>
            <w:r w:rsidRPr="00A03FED">
              <w:rPr>
                <w:sz w:val="18"/>
                <w:szCs w:val="18"/>
                <w:lang w:eastAsia="en-CA"/>
              </w:rPr>
              <w:t>123.1</w:t>
            </w:r>
          </w:p>
        </w:tc>
        <w:tc>
          <w:tcPr>
            <w:tcW w:w="810" w:type="dxa"/>
            <w:tcBorders>
              <w:top w:val="nil"/>
              <w:left w:val="nil"/>
              <w:bottom w:val="single" w:sz="4" w:space="0" w:color="auto"/>
              <w:right w:val="single" w:sz="4" w:space="0" w:color="auto"/>
            </w:tcBorders>
            <w:noWrap/>
            <w:vAlign w:val="center"/>
            <w:hideMark/>
          </w:tcPr>
          <w:p w14:paraId="6191102A" w14:textId="77777777" w:rsidR="00A77F4F" w:rsidRPr="00FE54E2" w:rsidRDefault="00A77F4F" w:rsidP="00790CEA">
            <w:pPr>
              <w:spacing w:after="0"/>
              <w:ind w:left="-126"/>
              <w:jc w:val="right"/>
              <w:rPr>
                <w:color w:val="000000"/>
                <w:sz w:val="18"/>
                <w:szCs w:val="18"/>
                <w:lang w:eastAsia="en-CA"/>
              </w:rPr>
            </w:pPr>
            <w:r w:rsidRPr="00FE54E2">
              <w:rPr>
                <w:sz w:val="18"/>
                <w:szCs w:val="18"/>
              </w:rPr>
              <w:t>14.3</w:t>
            </w:r>
          </w:p>
        </w:tc>
        <w:tc>
          <w:tcPr>
            <w:tcW w:w="810" w:type="dxa"/>
            <w:tcBorders>
              <w:top w:val="nil"/>
              <w:left w:val="nil"/>
              <w:bottom w:val="single" w:sz="4" w:space="0" w:color="auto"/>
              <w:right w:val="single" w:sz="4" w:space="0" w:color="auto"/>
            </w:tcBorders>
            <w:noWrap/>
            <w:vAlign w:val="center"/>
            <w:hideMark/>
          </w:tcPr>
          <w:p w14:paraId="1526165E" w14:textId="77777777" w:rsidR="00A77F4F" w:rsidRPr="00FE54E2" w:rsidRDefault="00A77F4F" w:rsidP="00790CEA">
            <w:pPr>
              <w:spacing w:after="0"/>
              <w:ind w:left="-126"/>
              <w:jc w:val="right"/>
              <w:rPr>
                <w:color w:val="000000"/>
                <w:sz w:val="18"/>
                <w:szCs w:val="18"/>
                <w:lang w:eastAsia="en-CA"/>
              </w:rPr>
            </w:pPr>
            <w:r w:rsidRPr="00FE54E2">
              <w:rPr>
                <w:sz w:val="18"/>
                <w:szCs w:val="18"/>
              </w:rPr>
              <w:t>15.0</w:t>
            </w:r>
          </w:p>
        </w:tc>
        <w:tc>
          <w:tcPr>
            <w:tcW w:w="810" w:type="dxa"/>
            <w:tcBorders>
              <w:top w:val="nil"/>
              <w:left w:val="nil"/>
              <w:bottom w:val="single" w:sz="4" w:space="0" w:color="auto"/>
              <w:right w:val="single" w:sz="4" w:space="0" w:color="auto"/>
            </w:tcBorders>
            <w:noWrap/>
            <w:vAlign w:val="center"/>
            <w:hideMark/>
          </w:tcPr>
          <w:p w14:paraId="7134D855" w14:textId="77777777" w:rsidR="00A77F4F" w:rsidRPr="00FE54E2" w:rsidRDefault="00A77F4F" w:rsidP="00790CEA">
            <w:pPr>
              <w:spacing w:after="0"/>
              <w:ind w:left="-126"/>
              <w:jc w:val="right"/>
              <w:rPr>
                <w:color w:val="000000"/>
                <w:sz w:val="18"/>
                <w:szCs w:val="18"/>
                <w:lang w:eastAsia="en-CA"/>
              </w:rPr>
            </w:pPr>
            <w:r w:rsidRPr="00FE54E2">
              <w:rPr>
                <w:sz w:val="18"/>
                <w:szCs w:val="18"/>
              </w:rPr>
              <w:t>1.9</w:t>
            </w:r>
          </w:p>
        </w:tc>
        <w:tc>
          <w:tcPr>
            <w:tcW w:w="810" w:type="dxa"/>
            <w:tcBorders>
              <w:top w:val="nil"/>
              <w:left w:val="nil"/>
              <w:bottom w:val="single" w:sz="4" w:space="0" w:color="auto"/>
              <w:right w:val="single" w:sz="4" w:space="0" w:color="auto"/>
            </w:tcBorders>
            <w:noWrap/>
            <w:vAlign w:val="center"/>
            <w:hideMark/>
          </w:tcPr>
          <w:p w14:paraId="135C19F6" w14:textId="77777777" w:rsidR="00A77F4F" w:rsidRPr="00FE54E2" w:rsidRDefault="00A77F4F" w:rsidP="00790CEA">
            <w:pPr>
              <w:spacing w:after="0"/>
              <w:ind w:left="-126"/>
              <w:jc w:val="right"/>
              <w:rPr>
                <w:color w:val="000000"/>
                <w:sz w:val="18"/>
                <w:szCs w:val="18"/>
                <w:lang w:eastAsia="en-CA"/>
              </w:rPr>
            </w:pPr>
            <w:r w:rsidRPr="00FE54E2">
              <w:rPr>
                <w:sz w:val="18"/>
                <w:szCs w:val="18"/>
              </w:rPr>
              <w:t>0.0</w:t>
            </w:r>
          </w:p>
        </w:tc>
        <w:tc>
          <w:tcPr>
            <w:tcW w:w="720" w:type="dxa"/>
            <w:tcBorders>
              <w:top w:val="nil"/>
              <w:left w:val="nil"/>
              <w:bottom w:val="single" w:sz="4" w:space="0" w:color="auto"/>
              <w:right w:val="single" w:sz="4" w:space="0" w:color="auto"/>
            </w:tcBorders>
            <w:noWrap/>
            <w:vAlign w:val="center"/>
            <w:hideMark/>
          </w:tcPr>
          <w:p w14:paraId="4F5CA731" w14:textId="77777777" w:rsidR="00A77F4F" w:rsidRPr="00FE54E2" w:rsidRDefault="00A77F4F" w:rsidP="00790CEA">
            <w:pPr>
              <w:spacing w:after="0"/>
              <w:ind w:left="-126"/>
              <w:jc w:val="right"/>
              <w:rPr>
                <w:color w:val="000000"/>
                <w:sz w:val="18"/>
                <w:szCs w:val="18"/>
                <w:lang w:eastAsia="en-CA"/>
              </w:rPr>
            </w:pPr>
            <w:r w:rsidRPr="00FE54E2">
              <w:rPr>
                <w:sz w:val="18"/>
                <w:szCs w:val="18"/>
              </w:rPr>
              <w:t>0.0</w:t>
            </w:r>
          </w:p>
        </w:tc>
        <w:tc>
          <w:tcPr>
            <w:tcW w:w="810" w:type="dxa"/>
            <w:tcBorders>
              <w:top w:val="nil"/>
              <w:left w:val="nil"/>
              <w:bottom w:val="single" w:sz="4" w:space="0" w:color="auto"/>
              <w:right w:val="single" w:sz="4" w:space="0" w:color="auto"/>
            </w:tcBorders>
            <w:vAlign w:val="center"/>
            <w:hideMark/>
          </w:tcPr>
          <w:p w14:paraId="3086DED0" w14:textId="77777777" w:rsidR="00A77F4F" w:rsidRPr="00FE54E2" w:rsidRDefault="00A77F4F" w:rsidP="00790CEA">
            <w:pPr>
              <w:spacing w:after="0"/>
              <w:ind w:left="-126"/>
              <w:jc w:val="right"/>
              <w:rPr>
                <w:color w:val="000000"/>
                <w:sz w:val="18"/>
                <w:szCs w:val="18"/>
                <w:lang w:eastAsia="en-CA"/>
              </w:rPr>
            </w:pPr>
            <w:r w:rsidRPr="00FE54E2">
              <w:rPr>
                <w:sz w:val="18"/>
                <w:szCs w:val="18"/>
              </w:rPr>
              <w:t>0.0</w:t>
            </w:r>
          </w:p>
        </w:tc>
        <w:tc>
          <w:tcPr>
            <w:tcW w:w="810" w:type="dxa"/>
            <w:tcBorders>
              <w:top w:val="nil"/>
              <w:left w:val="nil"/>
              <w:bottom w:val="single" w:sz="4" w:space="0" w:color="auto"/>
              <w:right w:val="single" w:sz="4" w:space="0" w:color="auto"/>
            </w:tcBorders>
            <w:vAlign w:val="center"/>
            <w:hideMark/>
          </w:tcPr>
          <w:p w14:paraId="411EAD80" w14:textId="77777777" w:rsidR="00A77F4F" w:rsidRPr="00FE54E2" w:rsidRDefault="00A77F4F" w:rsidP="00790CEA">
            <w:pPr>
              <w:spacing w:after="0"/>
              <w:ind w:left="-126"/>
              <w:jc w:val="right"/>
              <w:rPr>
                <w:color w:val="000000"/>
                <w:sz w:val="18"/>
                <w:szCs w:val="18"/>
                <w:lang w:eastAsia="en-CA"/>
              </w:rPr>
            </w:pPr>
            <w:r w:rsidRPr="00FE54E2">
              <w:rPr>
                <w:sz w:val="18"/>
                <w:szCs w:val="18"/>
              </w:rPr>
              <w:t>0.0</w:t>
            </w:r>
          </w:p>
        </w:tc>
        <w:tc>
          <w:tcPr>
            <w:tcW w:w="720" w:type="dxa"/>
            <w:tcBorders>
              <w:top w:val="nil"/>
              <w:left w:val="nil"/>
              <w:bottom w:val="single" w:sz="4" w:space="0" w:color="auto"/>
              <w:right w:val="single" w:sz="4" w:space="0" w:color="auto"/>
            </w:tcBorders>
            <w:vAlign w:val="center"/>
          </w:tcPr>
          <w:p w14:paraId="50F2DC78" w14:textId="77777777" w:rsidR="00A77F4F" w:rsidRPr="00FE54E2" w:rsidRDefault="00A77F4F" w:rsidP="00790CEA">
            <w:pPr>
              <w:spacing w:after="0"/>
              <w:ind w:left="-126"/>
              <w:jc w:val="right"/>
              <w:rPr>
                <w:color w:val="000000"/>
                <w:sz w:val="18"/>
                <w:szCs w:val="18"/>
                <w:lang w:eastAsia="en-CA"/>
              </w:rPr>
            </w:pPr>
            <w:r w:rsidRPr="00FE54E2">
              <w:rPr>
                <w:sz w:val="18"/>
                <w:szCs w:val="18"/>
              </w:rPr>
              <w:t>0.0</w:t>
            </w:r>
          </w:p>
        </w:tc>
        <w:tc>
          <w:tcPr>
            <w:tcW w:w="720" w:type="dxa"/>
            <w:tcBorders>
              <w:top w:val="nil"/>
              <w:left w:val="nil"/>
              <w:bottom w:val="single" w:sz="4" w:space="0" w:color="auto"/>
              <w:right w:val="single" w:sz="4" w:space="0" w:color="auto"/>
            </w:tcBorders>
            <w:vAlign w:val="center"/>
          </w:tcPr>
          <w:p w14:paraId="1000C0B0" w14:textId="77777777" w:rsidR="00A77F4F" w:rsidRPr="00FE54E2" w:rsidRDefault="00A77F4F" w:rsidP="00790CEA">
            <w:pPr>
              <w:spacing w:after="0"/>
              <w:ind w:left="-126"/>
              <w:jc w:val="right"/>
              <w:rPr>
                <w:color w:val="000000"/>
                <w:sz w:val="18"/>
                <w:szCs w:val="18"/>
                <w:lang w:eastAsia="en-CA"/>
              </w:rPr>
            </w:pPr>
            <w:r w:rsidRPr="00FE54E2">
              <w:rPr>
                <w:sz w:val="18"/>
                <w:szCs w:val="18"/>
              </w:rPr>
              <w:t>0.0</w:t>
            </w:r>
          </w:p>
        </w:tc>
      </w:tr>
      <w:tr w:rsidR="00A77F4F" w:rsidRPr="00492B89" w14:paraId="3BF1026D"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234C3D1F" w14:textId="77777777" w:rsidR="00A77F4F" w:rsidRPr="00A03FED" w:rsidRDefault="00A77F4F" w:rsidP="006233FA">
            <w:pPr>
              <w:spacing w:after="0"/>
              <w:rPr>
                <w:b/>
                <w:color w:val="000000"/>
                <w:sz w:val="16"/>
                <w:szCs w:val="16"/>
                <w:lang w:eastAsia="en-CA"/>
              </w:rPr>
            </w:pPr>
            <w:r w:rsidRPr="00A03FED">
              <w:rPr>
                <w:b/>
                <w:sz w:val="18"/>
                <w:szCs w:val="18"/>
                <w:lang w:eastAsia="en-CA"/>
              </w:rPr>
              <w:t>Subtotal HCFC-22</w:t>
            </w:r>
          </w:p>
        </w:tc>
        <w:tc>
          <w:tcPr>
            <w:tcW w:w="900" w:type="dxa"/>
            <w:tcBorders>
              <w:top w:val="nil"/>
              <w:left w:val="nil"/>
              <w:bottom w:val="single" w:sz="4" w:space="0" w:color="auto"/>
              <w:right w:val="single" w:sz="4" w:space="0" w:color="auto"/>
            </w:tcBorders>
            <w:noWrap/>
            <w:vAlign w:val="center"/>
            <w:hideMark/>
          </w:tcPr>
          <w:p w14:paraId="3ED198BE" w14:textId="77777777" w:rsidR="00A77F4F" w:rsidRPr="00A03FED" w:rsidRDefault="00A77F4F" w:rsidP="00790CEA">
            <w:pPr>
              <w:spacing w:after="0"/>
              <w:ind w:left="-126"/>
              <w:jc w:val="right"/>
              <w:rPr>
                <w:b/>
                <w:color w:val="000000"/>
                <w:sz w:val="16"/>
                <w:szCs w:val="16"/>
                <w:lang w:eastAsia="en-CA"/>
              </w:rPr>
            </w:pPr>
            <w:r w:rsidRPr="00A03FED">
              <w:rPr>
                <w:b/>
                <w:sz w:val="18"/>
                <w:szCs w:val="18"/>
                <w:lang w:eastAsia="en-CA"/>
              </w:rPr>
              <w:t>32,988.9</w:t>
            </w:r>
          </w:p>
        </w:tc>
        <w:tc>
          <w:tcPr>
            <w:tcW w:w="810" w:type="dxa"/>
            <w:tcBorders>
              <w:top w:val="nil"/>
              <w:left w:val="nil"/>
              <w:bottom w:val="single" w:sz="4" w:space="0" w:color="auto"/>
              <w:right w:val="single" w:sz="4" w:space="0" w:color="auto"/>
            </w:tcBorders>
            <w:noWrap/>
            <w:vAlign w:val="center"/>
            <w:hideMark/>
          </w:tcPr>
          <w:p w14:paraId="09DD79A2" w14:textId="77777777" w:rsidR="00A77F4F" w:rsidRPr="00FE54E2" w:rsidRDefault="00A77F4F" w:rsidP="00790CEA">
            <w:pPr>
              <w:spacing w:after="0"/>
              <w:ind w:left="-126"/>
              <w:jc w:val="right"/>
              <w:rPr>
                <w:b/>
                <w:color w:val="000000"/>
                <w:sz w:val="18"/>
                <w:szCs w:val="18"/>
                <w:lang w:eastAsia="en-CA"/>
              </w:rPr>
            </w:pPr>
            <w:r w:rsidRPr="00FE54E2">
              <w:rPr>
                <w:sz w:val="18"/>
                <w:szCs w:val="18"/>
              </w:rPr>
              <w:t>16,293.8</w:t>
            </w:r>
          </w:p>
        </w:tc>
        <w:tc>
          <w:tcPr>
            <w:tcW w:w="810" w:type="dxa"/>
            <w:tcBorders>
              <w:top w:val="nil"/>
              <w:left w:val="nil"/>
              <w:bottom w:val="single" w:sz="4" w:space="0" w:color="auto"/>
              <w:right w:val="single" w:sz="4" w:space="0" w:color="auto"/>
            </w:tcBorders>
            <w:noWrap/>
            <w:vAlign w:val="center"/>
            <w:hideMark/>
          </w:tcPr>
          <w:p w14:paraId="108FEFB5" w14:textId="77777777" w:rsidR="00A77F4F" w:rsidRPr="00FE54E2" w:rsidRDefault="00A77F4F" w:rsidP="00790CEA">
            <w:pPr>
              <w:spacing w:after="0"/>
              <w:ind w:left="-126"/>
              <w:jc w:val="right"/>
              <w:rPr>
                <w:b/>
                <w:color w:val="000000"/>
                <w:sz w:val="18"/>
                <w:szCs w:val="18"/>
                <w:lang w:eastAsia="en-CA"/>
              </w:rPr>
            </w:pPr>
            <w:r w:rsidRPr="00FE54E2">
              <w:rPr>
                <w:sz w:val="18"/>
                <w:szCs w:val="18"/>
              </w:rPr>
              <w:t>15,871.0</w:t>
            </w:r>
          </w:p>
        </w:tc>
        <w:tc>
          <w:tcPr>
            <w:tcW w:w="810" w:type="dxa"/>
            <w:tcBorders>
              <w:top w:val="nil"/>
              <w:left w:val="nil"/>
              <w:bottom w:val="single" w:sz="4" w:space="0" w:color="auto"/>
              <w:right w:val="single" w:sz="4" w:space="0" w:color="auto"/>
            </w:tcBorders>
            <w:noWrap/>
            <w:vAlign w:val="center"/>
            <w:hideMark/>
          </w:tcPr>
          <w:p w14:paraId="7CEB9A8A" w14:textId="77777777" w:rsidR="00A77F4F" w:rsidRPr="00FE54E2" w:rsidRDefault="00A77F4F" w:rsidP="00790CEA">
            <w:pPr>
              <w:spacing w:after="0"/>
              <w:ind w:left="-126"/>
              <w:jc w:val="right"/>
              <w:rPr>
                <w:b/>
                <w:color w:val="000000"/>
                <w:sz w:val="18"/>
                <w:szCs w:val="18"/>
                <w:lang w:eastAsia="en-CA"/>
              </w:rPr>
            </w:pPr>
            <w:r w:rsidRPr="00FE54E2">
              <w:rPr>
                <w:sz w:val="18"/>
                <w:szCs w:val="18"/>
              </w:rPr>
              <w:t>16,138.7</w:t>
            </w:r>
          </w:p>
        </w:tc>
        <w:tc>
          <w:tcPr>
            <w:tcW w:w="810" w:type="dxa"/>
            <w:tcBorders>
              <w:top w:val="nil"/>
              <w:left w:val="nil"/>
              <w:bottom w:val="single" w:sz="4" w:space="0" w:color="auto"/>
              <w:right w:val="single" w:sz="4" w:space="0" w:color="auto"/>
            </w:tcBorders>
            <w:noWrap/>
            <w:vAlign w:val="center"/>
            <w:hideMark/>
          </w:tcPr>
          <w:p w14:paraId="75948B47" w14:textId="77777777" w:rsidR="00A77F4F" w:rsidRPr="00FE54E2" w:rsidRDefault="00A77F4F" w:rsidP="00790CEA">
            <w:pPr>
              <w:spacing w:after="0"/>
              <w:ind w:left="-126"/>
              <w:jc w:val="right"/>
              <w:rPr>
                <w:b/>
                <w:color w:val="000000"/>
                <w:sz w:val="18"/>
                <w:szCs w:val="18"/>
                <w:lang w:eastAsia="en-CA"/>
              </w:rPr>
            </w:pPr>
            <w:r w:rsidRPr="00FE54E2">
              <w:rPr>
                <w:sz w:val="18"/>
                <w:szCs w:val="18"/>
              </w:rPr>
              <w:t>16,056.7</w:t>
            </w:r>
          </w:p>
        </w:tc>
        <w:tc>
          <w:tcPr>
            <w:tcW w:w="720" w:type="dxa"/>
            <w:tcBorders>
              <w:top w:val="nil"/>
              <w:left w:val="nil"/>
              <w:bottom w:val="single" w:sz="4" w:space="0" w:color="auto"/>
              <w:right w:val="single" w:sz="4" w:space="0" w:color="auto"/>
            </w:tcBorders>
            <w:noWrap/>
            <w:vAlign w:val="center"/>
            <w:hideMark/>
          </w:tcPr>
          <w:p w14:paraId="5EB01967" w14:textId="77777777" w:rsidR="00A77F4F" w:rsidRPr="00FE54E2" w:rsidRDefault="00A77F4F" w:rsidP="00790CEA">
            <w:pPr>
              <w:spacing w:after="0"/>
              <w:ind w:left="-126"/>
              <w:jc w:val="right"/>
              <w:rPr>
                <w:b/>
                <w:color w:val="000000"/>
                <w:sz w:val="18"/>
                <w:szCs w:val="18"/>
                <w:lang w:eastAsia="en-CA"/>
              </w:rPr>
            </w:pPr>
            <w:r w:rsidRPr="00FE54E2">
              <w:rPr>
                <w:sz w:val="18"/>
                <w:szCs w:val="18"/>
              </w:rPr>
              <w:t>12,801.3</w:t>
            </w:r>
          </w:p>
        </w:tc>
        <w:tc>
          <w:tcPr>
            <w:tcW w:w="810" w:type="dxa"/>
            <w:tcBorders>
              <w:top w:val="nil"/>
              <w:left w:val="nil"/>
              <w:bottom w:val="single" w:sz="4" w:space="0" w:color="auto"/>
              <w:right w:val="single" w:sz="4" w:space="0" w:color="auto"/>
            </w:tcBorders>
            <w:noWrap/>
            <w:vAlign w:val="center"/>
            <w:hideMark/>
          </w:tcPr>
          <w:p w14:paraId="24CB72F0" w14:textId="77777777" w:rsidR="00A77F4F" w:rsidRPr="00FE54E2" w:rsidRDefault="00A77F4F" w:rsidP="00790CEA">
            <w:pPr>
              <w:spacing w:after="0"/>
              <w:ind w:left="-126"/>
              <w:jc w:val="right"/>
              <w:rPr>
                <w:b/>
                <w:color w:val="000000"/>
                <w:sz w:val="18"/>
                <w:szCs w:val="18"/>
                <w:lang w:eastAsia="en-CA"/>
              </w:rPr>
            </w:pPr>
            <w:r w:rsidRPr="00FE54E2">
              <w:rPr>
                <w:sz w:val="18"/>
                <w:szCs w:val="18"/>
              </w:rPr>
              <w:t>11,608.7</w:t>
            </w:r>
          </w:p>
        </w:tc>
        <w:tc>
          <w:tcPr>
            <w:tcW w:w="810" w:type="dxa"/>
            <w:tcBorders>
              <w:top w:val="nil"/>
              <w:left w:val="nil"/>
              <w:bottom w:val="single" w:sz="4" w:space="0" w:color="auto"/>
              <w:right w:val="single" w:sz="4" w:space="0" w:color="auto"/>
            </w:tcBorders>
            <w:noWrap/>
            <w:vAlign w:val="center"/>
            <w:hideMark/>
          </w:tcPr>
          <w:p w14:paraId="2C0537F5" w14:textId="77777777" w:rsidR="00A77F4F" w:rsidRPr="00FE54E2" w:rsidRDefault="00A77F4F" w:rsidP="00790CEA">
            <w:pPr>
              <w:spacing w:after="0"/>
              <w:ind w:left="-126"/>
              <w:jc w:val="right"/>
              <w:rPr>
                <w:b/>
                <w:color w:val="000000"/>
                <w:sz w:val="18"/>
                <w:szCs w:val="18"/>
                <w:lang w:eastAsia="en-CA"/>
              </w:rPr>
            </w:pPr>
            <w:r w:rsidRPr="00FE54E2">
              <w:rPr>
                <w:sz w:val="18"/>
                <w:szCs w:val="18"/>
              </w:rPr>
              <w:t>12,611.8</w:t>
            </w:r>
          </w:p>
        </w:tc>
        <w:tc>
          <w:tcPr>
            <w:tcW w:w="720" w:type="dxa"/>
            <w:tcBorders>
              <w:top w:val="nil"/>
              <w:left w:val="nil"/>
              <w:bottom w:val="single" w:sz="4" w:space="0" w:color="auto"/>
              <w:right w:val="single" w:sz="4" w:space="0" w:color="auto"/>
            </w:tcBorders>
            <w:vAlign w:val="center"/>
          </w:tcPr>
          <w:p w14:paraId="5F407284" w14:textId="77777777" w:rsidR="00A77F4F" w:rsidRPr="00FE54E2" w:rsidRDefault="00A77F4F" w:rsidP="00790CEA">
            <w:pPr>
              <w:spacing w:after="0"/>
              <w:ind w:left="-126"/>
              <w:jc w:val="right"/>
              <w:rPr>
                <w:b/>
                <w:sz w:val="18"/>
                <w:szCs w:val="18"/>
                <w:lang w:eastAsia="en-CA"/>
              </w:rPr>
            </w:pPr>
            <w:r w:rsidRPr="00FE54E2">
              <w:rPr>
                <w:sz w:val="18"/>
                <w:szCs w:val="18"/>
              </w:rPr>
              <w:t>11,379.9</w:t>
            </w:r>
          </w:p>
        </w:tc>
        <w:tc>
          <w:tcPr>
            <w:tcW w:w="720" w:type="dxa"/>
            <w:tcBorders>
              <w:top w:val="nil"/>
              <w:left w:val="nil"/>
              <w:bottom w:val="single" w:sz="4" w:space="0" w:color="auto"/>
              <w:right w:val="single" w:sz="4" w:space="0" w:color="auto"/>
            </w:tcBorders>
            <w:vAlign w:val="center"/>
          </w:tcPr>
          <w:p w14:paraId="46761ADA" w14:textId="77777777" w:rsidR="00A77F4F" w:rsidRPr="00FE54E2" w:rsidRDefault="00A77F4F" w:rsidP="00790CEA">
            <w:pPr>
              <w:spacing w:after="0"/>
              <w:ind w:left="-126"/>
              <w:jc w:val="right"/>
              <w:rPr>
                <w:b/>
                <w:sz w:val="18"/>
                <w:szCs w:val="18"/>
                <w:lang w:eastAsia="en-CA"/>
              </w:rPr>
            </w:pPr>
            <w:r w:rsidRPr="00FE54E2">
              <w:rPr>
                <w:sz w:val="18"/>
                <w:szCs w:val="18"/>
              </w:rPr>
              <w:t>11,368.2</w:t>
            </w:r>
          </w:p>
        </w:tc>
      </w:tr>
      <w:tr w:rsidR="00A77F4F" w:rsidRPr="00492B89" w14:paraId="4BBCBC69"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27F6D249" w14:textId="77777777" w:rsidR="00A77F4F" w:rsidRPr="00A03FED" w:rsidRDefault="00A77F4F" w:rsidP="006233FA">
            <w:pPr>
              <w:spacing w:after="0"/>
              <w:rPr>
                <w:color w:val="000000"/>
                <w:sz w:val="16"/>
                <w:szCs w:val="16"/>
                <w:lang w:eastAsia="en-CA"/>
              </w:rPr>
            </w:pPr>
            <w:r w:rsidRPr="00A03FED">
              <w:rPr>
                <w:sz w:val="18"/>
                <w:szCs w:val="18"/>
                <w:lang w:eastAsia="en-CA"/>
              </w:rPr>
              <w:t>China - HCFC-141b</w:t>
            </w:r>
          </w:p>
        </w:tc>
        <w:tc>
          <w:tcPr>
            <w:tcW w:w="900" w:type="dxa"/>
            <w:tcBorders>
              <w:top w:val="nil"/>
              <w:left w:val="nil"/>
              <w:bottom w:val="single" w:sz="4" w:space="0" w:color="auto"/>
              <w:right w:val="single" w:sz="4" w:space="0" w:color="auto"/>
            </w:tcBorders>
            <w:noWrap/>
            <w:vAlign w:val="center"/>
            <w:hideMark/>
          </w:tcPr>
          <w:p w14:paraId="42EE0752" w14:textId="77777777" w:rsidR="00A77F4F" w:rsidRPr="00A03FED" w:rsidRDefault="00A77F4F" w:rsidP="00790CEA">
            <w:pPr>
              <w:spacing w:after="0"/>
              <w:ind w:left="-126"/>
              <w:jc w:val="right"/>
              <w:rPr>
                <w:color w:val="000000"/>
                <w:sz w:val="16"/>
                <w:szCs w:val="16"/>
                <w:lang w:eastAsia="en-CA"/>
              </w:rPr>
            </w:pPr>
            <w:r w:rsidRPr="00A03FED">
              <w:rPr>
                <w:sz w:val="18"/>
                <w:szCs w:val="18"/>
                <w:lang w:eastAsia="en-CA"/>
              </w:rPr>
              <w:t>*</w:t>
            </w:r>
          </w:p>
        </w:tc>
        <w:tc>
          <w:tcPr>
            <w:tcW w:w="810" w:type="dxa"/>
            <w:tcBorders>
              <w:top w:val="nil"/>
              <w:left w:val="nil"/>
              <w:bottom w:val="single" w:sz="4" w:space="0" w:color="auto"/>
              <w:right w:val="single" w:sz="4" w:space="0" w:color="auto"/>
            </w:tcBorders>
            <w:noWrap/>
            <w:vAlign w:val="center"/>
            <w:hideMark/>
          </w:tcPr>
          <w:p w14:paraId="409BB599" w14:textId="77777777" w:rsidR="00A77F4F" w:rsidRPr="002604FD" w:rsidRDefault="00A77F4F" w:rsidP="00790CEA">
            <w:pPr>
              <w:spacing w:after="0"/>
              <w:ind w:left="-126"/>
              <w:jc w:val="right"/>
              <w:rPr>
                <w:color w:val="000000"/>
                <w:sz w:val="18"/>
                <w:szCs w:val="18"/>
                <w:lang w:eastAsia="en-CA"/>
              </w:rPr>
            </w:pPr>
            <w:r w:rsidRPr="002604FD">
              <w:rPr>
                <w:sz w:val="18"/>
                <w:szCs w:val="18"/>
              </w:rPr>
              <w:t>7,278.2</w:t>
            </w:r>
          </w:p>
        </w:tc>
        <w:tc>
          <w:tcPr>
            <w:tcW w:w="810" w:type="dxa"/>
            <w:tcBorders>
              <w:top w:val="nil"/>
              <w:left w:val="nil"/>
              <w:bottom w:val="single" w:sz="4" w:space="0" w:color="auto"/>
              <w:right w:val="single" w:sz="4" w:space="0" w:color="auto"/>
            </w:tcBorders>
            <w:noWrap/>
            <w:vAlign w:val="center"/>
            <w:hideMark/>
          </w:tcPr>
          <w:p w14:paraId="30927C22" w14:textId="77777777" w:rsidR="00A77F4F" w:rsidRPr="002604FD" w:rsidRDefault="00A77F4F" w:rsidP="00790CEA">
            <w:pPr>
              <w:spacing w:after="0"/>
              <w:ind w:left="-126"/>
              <w:jc w:val="right"/>
              <w:rPr>
                <w:color w:val="000000"/>
                <w:sz w:val="18"/>
                <w:szCs w:val="18"/>
                <w:lang w:eastAsia="en-CA"/>
              </w:rPr>
            </w:pPr>
            <w:r w:rsidRPr="002604FD">
              <w:rPr>
                <w:sz w:val="18"/>
                <w:szCs w:val="18"/>
              </w:rPr>
              <w:t>7,076.8</w:t>
            </w:r>
          </w:p>
        </w:tc>
        <w:tc>
          <w:tcPr>
            <w:tcW w:w="810" w:type="dxa"/>
            <w:tcBorders>
              <w:top w:val="nil"/>
              <w:left w:val="nil"/>
              <w:bottom w:val="single" w:sz="4" w:space="0" w:color="auto"/>
              <w:right w:val="single" w:sz="4" w:space="0" w:color="auto"/>
            </w:tcBorders>
            <w:noWrap/>
            <w:vAlign w:val="center"/>
            <w:hideMark/>
          </w:tcPr>
          <w:p w14:paraId="7EB0FE1D" w14:textId="77777777" w:rsidR="00A77F4F" w:rsidRPr="002604FD" w:rsidRDefault="00A77F4F" w:rsidP="00790CEA">
            <w:pPr>
              <w:spacing w:after="0"/>
              <w:ind w:left="-126"/>
              <w:jc w:val="right"/>
              <w:rPr>
                <w:color w:val="000000"/>
                <w:sz w:val="18"/>
                <w:szCs w:val="18"/>
                <w:lang w:eastAsia="en-CA"/>
              </w:rPr>
            </w:pPr>
            <w:r w:rsidRPr="002604FD">
              <w:rPr>
                <w:sz w:val="18"/>
                <w:szCs w:val="18"/>
              </w:rPr>
              <w:t>6,321.1</w:t>
            </w:r>
          </w:p>
        </w:tc>
        <w:tc>
          <w:tcPr>
            <w:tcW w:w="810" w:type="dxa"/>
            <w:tcBorders>
              <w:top w:val="nil"/>
              <w:left w:val="nil"/>
              <w:bottom w:val="single" w:sz="4" w:space="0" w:color="auto"/>
              <w:right w:val="single" w:sz="4" w:space="0" w:color="auto"/>
            </w:tcBorders>
            <w:noWrap/>
            <w:vAlign w:val="center"/>
            <w:hideMark/>
          </w:tcPr>
          <w:p w14:paraId="67118F9A" w14:textId="77777777" w:rsidR="00A77F4F" w:rsidRPr="002604FD" w:rsidRDefault="00A77F4F" w:rsidP="00790CEA">
            <w:pPr>
              <w:spacing w:after="0"/>
              <w:ind w:left="-126"/>
              <w:jc w:val="right"/>
              <w:rPr>
                <w:color w:val="000000"/>
                <w:sz w:val="18"/>
                <w:szCs w:val="18"/>
                <w:lang w:eastAsia="en-CA"/>
              </w:rPr>
            </w:pPr>
            <w:r w:rsidRPr="002604FD">
              <w:rPr>
                <w:sz w:val="18"/>
                <w:szCs w:val="18"/>
              </w:rPr>
              <w:t>6,101.6</w:t>
            </w:r>
          </w:p>
        </w:tc>
        <w:tc>
          <w:tcPr>
            <w:tcW w:w="720" w:type="dxa"/>
            <w:tcBorders>
              <w:top w:val="nil"/>
              <w:left w:val="nil"/>
              <w:bottom w:val="single" w:sz="4" w:space="0" w:color="auto"/>
              <w:right w:val="single" w:sz="4" w:space="0" w:color="auto"/>
            </w:tcBorders>
            <w:noWrap/>
            <w:vAlign w:val="center"/>
            <w:hideMark/>
          </w:tcPr>
          <w:p w14:paraId="27BEE488" w14:textId="77777777" w:rsidR="00A77F4F" w:rsidRPr="002604FD" w:rsidRDefault="00A77F4F" w:rsidP="00790CEA">
            <w:pPr>
              <w:spacing w:after="0"/>
              <w:ind w:left="-126"/>
              <w:jc w:val="right"/>
              <w:rPr>
                <w:color w:val="000000"/>
                <w:sz w:val="18"/>
                <w:szCs w:val="18"/>
                <w:lang w:eastAsia="en-CA"/>
              </w:rPr>
            </w:pPr>
            <w:r w:rsidRPr="002604FD">
              <w:rPr>
                <w:sz w:val="18"/>
                <w:szCs w:val="18"/>
              </w:rPr>
              <w:t>4,623.3</w:t>
            </w:r>
          </w:p>
        </w:tc>
        <w:tc>
          <w:tcPr>
            <w:tcW w:w="810" w:type="dxa"/>
            <w:tcBorders>
              <w:top w:val="nil"/>
              <w:left w:val="nil"/>
              <w:bottom w:val="single" w:sz="4" w:space="0" w:color="auto"/>
              <w:right w:val="single" w:sz="4" w:space="0" w:color="auto"/>
            </w:tcBorders>
            <w:vAlign w:val="center"/>
            <w:hideMark/>
          </w:tcPr>
          <w:p w14:paraId="61520A39" w14:textId="77777777" w:rsidR="00A77F4F" w:rsidRPr="002604FD" w:rsidRDefault="00A77F4F" w:rsidP="00790CEA">
            <w:pPr>
              <w:spacing w:after="0"/>
              <w:ind w:left="-126"/>
              <w:jc w:val="right"/>
              <w:rPr>
                <w:color w:val="000000"/>
                <w:sz w:val="18"/>
                <w:szCs w:val="18"/>
                <w:lang w:eastAsia="en-CA"/>
              </w:rPr>
            </w:pPr>
            <w:r w:rsidRPr="002604FD">
              <w:rPr>
                <w:sz w:val="18"/>
                <w:szCs w:val="18"/>
              </w:rPr>
              <w:t>3,545.1</w:t>
            </w:r>
          </w:p>
        </w:tc>
        <w:tc>
          <w:tcPr>
            <w:tcW w:w="810" w:type="dxa"/>
            <w:tcBorders>
              <w:top w:val="nil"/>
              <w:left w:val="nil"/>
              <w:bottom w:val="single" w:sz="4" w:space="0" w:color="auto"/>
              <w:right w:val="single" w:sz="4" w:space="0" w:color="auto"/>
            </w:tcBorders>
            <w:vAlign w:val="center"/>
            <w:hideMark/>
          </w:tcPr>
          <w:p w14:paraId="235F1E3A" w14:textId="77777777" w:rsidR="00A77F4F" w:rsidRPr="002604FD" w:rsidRDefault="00A77F4F" w:rsidP="00790CEA">
            <w:pPr>
              <w:spacing w:after="0"/>
              <w:ind w:left="-126"/>
              <w:jc w:val="right"/>
              <w:rPr>
                <w:color w:val="000000"/>
                <w:sz w:val="18"/>
                <w:szCs w:val="18"/>
                <w:lang w:eastAsia="en-CA"/>
              </w:rPr>
            </w:pPr>
            <w:r w:rsidRPr="002604FD">
              <w:rPr>
                <w:sz w:val="18"/>
                <w:szCs w:val="18"/>
              </w:rPr>
              <w:t>3,850.4</w:t>
            </w:r>
          </w:p>
        </w:tc>
        <w:tc>
          <w:tcPr>
            <w:tcW w:w="720" w:type="dxa"/>
            <w:tcBorders>
              <w:top w:val="nil"/>
              <w:left w:val="nil"/>
              <w:bottom w:val="single" w:sz="4" w:space="0" w:color="auto"/>
              <w:right w:val="single" w:sz="4" w:space="0" w:color="auto"/>
            </w:tcBorders>
            <w:vAlign w:val="center"/>
          </w:tcPr>
          <w:p w14:paraId="131751AB" w14:textId="77777777" w:rsidR="00A77F4F" w:rsidRPr="002604FD" w:rsidRDefault="00A77F4F" w:rsidP="00790CEA">
            <w:pPr>
              <w:spacing w:after="0"/>
              <w:ind w:left="-126"/>
              <w:jc w:val="right"/>
              <w:rPr>
                <w:color w:val="000000"/>
                <w:sz w:val="18"/>
                <w:szCs w:val="18"/>
                <w:lang w:eastAsia="en-CA"/>
              </w:rPr>
            </w:pPr>
            <w:r w:rsidRPr="002604FD">
              <w:rPr>
                <w:sz w:val="18"/>
                <w:szCs w:val="18"/>
              </w:rPr>
              <w:t>1,770.8</w:t>
            </w:r>
          </w:p>
        </w:tc>
        <w:tc>
          <w:tcPr>
            <w:tcW w:w="720" w:type="dxa"/>
            <w:tcBorders>
              <w:top w:val="nil"/>
              <w:left w:val="nil"/>
              <w:bottom w:val="single" w:sz="4" w:space="0" w:color="auto"/>
              <w:right w:val="single" w:sz="4" w:space="0" w:color="auto"/>
            </w:tcBorders>
            <w:vAlign w:val="center"/>
          </w:tcPr>
          <w:p w14:paraId="00A4C240" w14:textId="77777777" w:rsidR="00A77F4F" w:rsidRPr="002604FD" w:rsidRDefault="00A77F4F" w:rsidP="00790CEA">
            <w:pPr>
              <w:spacing w:after="0"/>
              <w:ind w:left="-126"/>
              <w:jc w:val="right"/>
              <w:rPr>
                <w:color w:val="000000"/>
                <w:sz w:val="18"/>
                <w:szCs w:val="18"/>
                <w:lang w:eastAsia="en-CA"/>
              </w:rPr>
            </w:pPr>
            <w:r w:rsidRPr="002604FD">
              <w:rPr>
                <w:sz w:val="18"/>
                <w:szCs w:val="18"/>
              </w:rPr>
              <w:t>1,686.9</w:t>
            </w:r>
          </w:p>
        </w:tc>
      </w:tr>
      <w:tr w:rsidR="00A77F4F" w:rsidRPr="00492B89" w14:paraId="1BA53468" w14:textId="77777777" w:rsidTr="00C94690">
        <w:trPr>
          <w:trHeight w:val="264"/>
        </w:trPr>
        <w:tc>
          <w:tcPr>
            <w:tcW w:w="1075" w:type="dxa"/>
            <w:tcBorders>
              <w:top w:val="nil"/>
              <w:left w:val="single" w:sz="4" w:space="0" w:color="auto"/>
              <w:bottom w:val="single" w:sz="4" w:space="0" w:color="auto"/>
              <w:right w:val="single" w:sz="4" w:space="0" w:color="auto"/>
            </w:tcBorders>
            <w:noWrap/>
            <w:vAlign w:val="center"/>
            <w:hideMark/>
          </w:tcPr>
          <w:p w14:paraId="2294D39A" w14:textId="77777777" w:rsidR="00A77F4F" w:rsidRPr="00A03FED" w:rsidRDefault="00A77F4F" w:rsidP="006233FA">
            <w:pPr>
              <w:spacing w:after="0"/>
              <w:rPr>
                <w:color w:val="000000"/>
                <w:sz w:val="16"/>
                <w:szCs w:val="16"/>
                <w:lang w:eastAsia="en-CA"/>
              </w:rPr>
            </w:pPr>
            <w:r w:rsidRPr="00A03FED">
              <w:rPr>
                <w:sz w:val="18"/>
                <w:szCs w:val="18"/>
                <w:lang w:eastAsia="en-CA"/>
              </w:rPr>
              <w:t>China - HCFC-142b</w:t>
            </w:r>
          </w:p>
        </w:tc>
        <w:tc>
          <w:tcPr>
            <w:tcW w:w="900" w:type="dxa"/>
            <w:tcBorders>
              <w:top w:val="nil"/>
              <w:left w:val="nil"/>
              <w:bottom w:val="single" w:sz="4" w:space="0" w:color="auto"/>
              <w:right w:val="single" w:sz="4" w:space="0" w:color="auto"/>
            </w:tcBorders>
            <w:noWrap/>
            <w:vAlign w:val="center"/>
            <w:hideMark/>
          </w:tcPr>
          <w:p w14:paraId="42867683" w14:textId="77777777" w:rsidR="00A77F4F" w:rsidRPr="00A03FED" w:rsidRDefault="00A77F4F" w:rsidP="00790CEA">
            <w:pPr>
              <w:spacing w:after="0"/>
              <w:ind w:left="-126"/>
              <w:jc w:val="right"/>
              <w:rPr>
                <w:color w:val="000000"/>
                <w:sz w:val="16"/>
                <w:szCs w:val="16"/>
                <w:lang w:eastAsia="en-CA"/>
              </w:rPr>
            </w:pPr>
            <w:r w:rsidRPr="00A03FED">
              <w:rPr>
                <w:sz w:val="18"/>
                <w:szCs w:val="18"/>
                <w:lang w:eastAsia="en-CA"/>
              </w:rPr>
              <w:t>*</w:t>
            </w:r>
          </w:p>
        </w:tc>
        <w:tc>
          <w:tcPr>
            <w:tcW w:w="810" w:type="dxa"/>
            <w:tcBorders>
              <w:top w:val="nil"/>
              <w:left w:val="nil"/>
              <w:bottom w:val="single" w:sz="4" w:space="0" w:color="auto"/>
              <w:right w:val="single" w:sz="4" w:space="0" w:color="auto"/>
            </w:tcBorders>
            <w:noWrap/>
            <w:vAlign w:val="center"/>
            <w:hideMark/>
          </w:tcPr>
          <w:p w14:paraId="3B7D68F1" w14:textId="77777777" w:rsidR="00A77F4F" w:rsidRPr="002604FD" w:rsidRDefault="00A77F4F" w:rsidP="00790CEA">
            <w:pPr>
              <w:spacing w:after="0"/>
              <w:ind w:left="-126"/>
              <w:jc w:val="right"/>
              <w:rPr>
                <w:color w:val="000000"/>
                <w:sz w:val="18"/>
                <w:szCs w:val="18"/>
                <w:lang w:eastAsia="en-CA"/>
              </w:rPr>
            </w:pPr>
            <w:r w:rsidRPr="002604FD">
              <w:rPr>
                <w:sz w:val="18"/>
                <w:szCs w:val="18"/>
              </w:rPr>
              <w:t>1,110.5</w:t>
            </w:r>
          </w:p>
        </w:tc>
        <w:tc>
          <w:tcPr>
            <w:tcW w:w="810" w:type="dxa"/>
            <w:tcBorders>
              <w:top w:val="nil"/>
              <w:left w:val="nil"/>
              <w:bottom w:val="single" w:sz="4" w:space="0" w:color="auto"/>
              <w:right w:val="single" w:sz="4" w:space="0" w:color="auto"/>
            </w:tcBorders>
            <w:noWrap/>
            <w:vAlign w:val="center"/>
            <w:hideMark/>
          </w:tcPr>
          <w:p w14:paraId="552FA7DD" w14:textId="77777777" w:rsidR="00A77F4F" w:rsidRPr="002604FD" w:rsidRDefault="00A77F4F" w:rsidP="00790CEA">
            <w:pPr>
              <w:spacing w:after="0"/>
              <w:ind w:left="-126"/>
              <w:jc w:val="right"/>
              <w:rPr>
                <w:color w:val="000000"/>
                <w:sz w:val="18"/>
                <w:szCs w:val="18"/>
                <w:lang w:eastAsia="en-CA"/>
              </w:rPr>
            </w:pPr>
            <w:r w:rsidRPr="002604FD">
              <w:rPr>
                <w:sz w:val="18"/>
                <w:szCs w:val="18"/>
              </w:rPr>
              <w:t>1,115.5</w:t>
            </w:r>
          </w:p>
        </w:tc>
        <w:tc>
          <w:tcPr>
            <w:tcW w:w="810" w:type="dxa"/>
            <w:tcBorders>
              <w:top w:val="nil"/>
              <w:left w:val="nil"/>
              <w:bottom w:val="single" w:sz="4" w:space="0" w:color="auto"/>
              <w:right w:val="single" w:sz="4" w:space="0" w:color="auto"/>
            </w:tcBorders>
            <w:noWrap/>
            <w:vAlign w:val="center"/>
            <w:hideMark/>
          </w:tcPr>
          <w:p w14:paraId="2047999C" w14:textId="77777777" w:rsidR="00A77F4F" w:rsidRPr="002604FD" w:rsidRDefault="00A77F4F" w:rsidP="00790CEA">
            <w:pPr>
              <w:spacing w:after="0"/>
              <w:ind w:left="-126"/>
              <w:jc w:val="right"/>
              <w:rPr>
                <w:color w:val="000000"/>
                <w:sz w:val="18"/>
                <w:szCs w:val="18"/>
                <w:lang w:eastAsia="en-CA"/>
              </w:rPr>
            </w:pPr>
            <w:r w:rsidRPr="002604FD">
              <w:rPr>
                <w:sz w:val="18"/>
                <w:szCs w:val="18"/>
              </w:rPr>
              <w:t>756.3</w:t>
            </w:r>
          </w:p>
        </w:tc>
        <w:tc>
          <w:tcPr>
            <w:tcW w:w="810" w:type="dxa"/>
            <w:tcBorders>
              <w:top w:val="nil"/>
              <w:left w:val="nil"/>
              <w:bottom w:val="single" w:sz="4" w:space="0" w:color="auto"/>
              <w:right w:val="single" w:sz="4" w:space="0" w:color="auto"/>
            </w:tcBorders>
            <w:noWrap/>
            <w:vAlign w:val="center"/>
            <w:hideMark/>
          </w:tcPr>
          <w:p w14:paraId="75DCC4B8" w14:textId="77777777" w:rsidR="00A77F4F" w:rsidRPr="002604FD" w:rsidRDefault="00A77F4F" w:rsidP="00790CEA">
            <w:pPr>
              <w:spacing w:after="0"/>
              <w:ind w:left="-126"/>
              <w:jc w:val="right"/>
              <w:rPr>
                <w:color w:val="000000"/>
                <w:sz w:val="18"/>
                <w:szCs w:val="18"/>
                <w:lang w:eastAsia="en-CA"/>
              </w:rPr>
            </w:pPr>
            <w:r w:rsidRPr="002604FD">
              <w:rPr>
                <w:sz w:val="18"/>
                <w:szCs w:val="18"/>
              </w:rPr>
              <w:t>816.0</w:t>
            </w:r>
          </w:p>
        </w:tc>
        <w:tc>
          <w:tcPr>
            <w:tcW w:w="720" w:type="dxa"/>
            <w:tcBorders>
              <w:top w:val="nil"/>
              <w:left w:val="nil"/>
              <w:bottom w:val="single" w:sz="4" w:space="0" w:color="auto"/>
              <w:right w:val="single" w:sz="4" w:space="0" w:color="auto"/>
            </w:tcBorders>
            <w:noWrap/>
            <w:vAlign w:val="center"/>
            <w:hideMark/>
          </w:tcPr>
          <w:p w14:paraId="3173B8E3" w14:textId="77777777" w:rsidR="00A77F4F" w:rsidRPr="002604FD" w:rsidRDefault="00A77F4F" w:rsidP="00790CEA">
            <w:pPr>
              <w:spacing w:after="0"/>
              <w:ind w:left="-126"/>
              <w:jc w:val="right"/>
              <w:rPr>
                <w:color w:val="000000"/>
                <w:sz w:val="18"/>
                <w:szCs w:val="18"/>
                <w:lang w:eastAsia="en-CA"/>
              </w:rPr>
            </w:pPr>
            <w:r w:rsidRPr="002604FD">
              <w:rPr>
                <w:sz w:val="18"/>
                <w:szCs w:val="18"/>
              </w:rPr>
              <w:t>418.3</w:t>
            </w:r>
          </w:p>
        </w:tc>
        <w:tc>
          <w:tcPr>
            <w:tcW w:w="810" w:type="dxa"/>
            <w:tcBorders>
              <w:top w:val="nil"/>
              <w:left w:val="nil"/>
              <w:bottom w:val="single" w:sz="4" w:space="0" w:color="auto"/>
              <w:right w:val="single" w:sz="4" w:space="0" w:color="auto"/>
            </w:tcBorders>
            <w:vAlign w:val="center"/>
            <w:hideMark/>
          </w:tcPr>
          <w:p w14:paraId="3F88A1A0" w14:textId="77777777" w:rsidR="00A77F4F" w:rsidRPr="002604FD" w:rsidRDefault="00A77F4F" w:rsidP="00790CEA">
            <w:pPr>
              <w:spacing w:after="0"/>
              <w:ind w:left="-126"/>
              <w:jc w:val="right"/>
              <w:rPr>
                <w:color w:val="000000"/>
                <w:sz w:val="18"/>
                <w:szCs w:val="18"/>
                <w:lang w:eastAsia="en-CA"/>
              </w:rPr>
            </w:pPr>
            <w:r w:rsidRPr="002604FD">
              <w:rPr>
                <w:sz w:val="18"/>
                <w:szCs w:val="18"/>
              </w:rPr>
              <w:t>472.3</w:t>
            </w:r>
          </w:p>
        </w:tc>
        <w:tc>
          <w:tcPr>
            <w:tcW w:w="810" w:type="dxa"/>
            <w:tcBorders>
              <w:top w:val="nil"/>
              <w:left w:val="nil"/>
              <w:bottom w:val="single" w:sz="4" w:space="0" w:color="auto"/>
              <w:right w:val="single" w:sz="4" w:space="0" w:color="auto"/>
            </w:tcBorders>
            <w:vAlign w:val="center"/>
            <w:hideMark/>
          </w:tcPr>
          <w:p w14:paraId="77AD43B3" w14:textId="77777777" w:rsidR="00A77F4F" w:rsidRPr="002604FD" w:rsidRDefault="00A77F4F" w:rsidP="00790CEA">
            <w:pPr>
              <w:spacing w:after="0"/>
              <w:ind w:left="-126"/>
              <w:jc w:val="right"/>
              <w:rPr>
                <w:color w:val="000000"/>
                <w:sz w:val="18"/>
                <w:szCs w:val="18"/>
                <w:lang w:eastAsia="en-CA"/>
              </w:rPr>
            </w:pPr>
            <w:r w:rsidRPr="002604FD">
              <w:rPr>
                <w:sz w:val="18"/>
                <w:szCs w:val="18"/>
              </w:rPr>
              <w:t>126.7</w:t>
            </w:r>
          </w:p>
        </w:tc>
        <w:tc>
          <w:tcPr>
            <w:tcW w:w="720" w:type="dxa"/>
            <w:tcBorders>
              <w:top w:val="nil"/>
              <w:left w:val="nil"/>
              <w:bottom w:val="single" w:sz="4" w:space="0" w:color="auto"/>
              <w:right w:val="single" w:sz="4" w:space="0" w:color="auto"/>
            </w:tcBorders>
            <w:vAlign w:val="center"/>
          </w:tcPr>
          <w:p w14:paraId="4D0B1C4B" w14:textId="77777777" w:rsidR="00A77F4F" w:rsidRPr="002604FD" w:rsidRDefault="00A77F4F" w:rsidP="00790CEA">
            <w:pPr>
              <w:spacing w:after="0"/>
              <w:ind w:left="-126"/>
              <w:jc w:val="right"/>
              <w:rPr>
                <w:color w:val="000000"/>
                <w:sz w:val="18"/>
                <w:szCs w:val="18"/>
                <w:lang w:eastAsia="en-CA"/>
              </w:rPr>
            </w:pPr>
            <w:r w:rsidRPr="002604FD">
              <w:rPr>
                <w:sz w:val="18"/>
                <w:szCs w:val="18"/>
              </w:rPr>
              <w:t>185.5</w:t>
            </w:r>
          </w:p>
        </w:tc>
        <w:tc>
          <w:tcPr>
            <w:tcW w:w="720" w:type="dxa"/>
            <w:tcBorders>
              <w:top w:val="nil"/>
              <w:left w:val="nil"/>
              <w:bottom w:val="single" w:sz="4" w:space="0" w:color="auto"/>
              <w:right w:val="single" w:sz="4" w:space="0" w:color="auto"/>
            </w:tcBorders>
            <w:vAlign w:val="center"/>
          </w:tcPr>
          <w:p w14:paraId="3E49433C" w14:textId="77777777" w:rsidR="00A77F4F" w:rsidRPr="002604FD" w:rsidRDefault="00A77F4F" w:rsidP="00790CEA">
            <w:pPr>
              <w:spacing w:after="0" w:line="259" w:lineRule="auto"/>
              <w:ind w:left="-126"/>
              <w:jc w:val="right"/>
              <w:rPr>
                <w:sz w:val="18"/>
                <w:szCs w:val="18"/>
              </w:rPr>
            </w:pPr>
            <w:r w:rsidRPr="002604FD">
              <w:rPr>
                <w:sz w:val="18"/>
                <w:szCs w:val="18"/>
              </w:rPr>
              <w:t>267.8</w:t>
            </w:r>
          </w:p>
        </w:tc>
      </w:tr>
      <w:tr w:rsidR="00A77F4F" w:rsidRPr="00492B89" w14:paraId="37285792" w14:textId="77777777" w:rsidTr="002135B0">
        <w:trPr>
          <w:trHeight w:val="264"/>
        </w:trPr>
        <w:tc>
          <w:tcPr>
            <w:tcW w:w="1075" w:type="dxa"/>
            <w:tcBorders>
              <w:top w:val="nil"/>
              <w:left w:val="single" w:sz="4" w:space="0" w:color="auto"/>
              <w:bottom w:val="single" w:sz="4" w:space="0" w:color="auto"/>
              <w:right w:val="single" w:sz="4" w:space="0" w:color="auto"/>
            </w:tcBorders>
            <w:noWrap/>
            <w:vAlign w:val="center"/>
            <w:hideMark/>
          </w:tcPr>
          <w:p w14:paraId="2BD84AEE" w14:textId="77777777" w:rsidR="00A77F4F" w:rsidRPr="00A03FED" w:rsidRDefault="00A77F4F" w:rsidP="006233FA">
            <w:pPr>
              <w:spacing w:after="0"/>
              <w:rPr>
                <w:b/>
                <w:color w:val="000000"/>
                <w:sz w:val="16"/>
                <w:szCs w:val="16"/>
                <w:lang w:eastAsia="en-CA"/>
              </w:rPr>
            </w:pPr>
            <w:r w:rsidRPr="00A03FED">
              <w:rPr>
                <w:b/>
                <w:sz w:val="18"/>
                <w:szCs w:val="18"/>
                <w:lang w:eastAsia="en-CA"/>
              </w:rPr>
              <w:t>Total</w:t>
            </w:r>
          </w:p>
        </w:tc>
        <w:tc>
          <w:tcPr>
            <w:tcW w:w="900" w:type="dxa"/>
            <w:tcBorders>
              <w:top w:val="nil"/>
              <w:left w:val="nil"/>
              <w:bottom w:val="single" w:sz="4" w:space="0" w:color="auto"/>
              <w:right w:val="single" w:sz="4" w:space="0" w:color="auto"/>
            </w:tcBorders>
            <w:noWrap/>
            <w:hideMark/>
          </w:tcPr>
          <w:p w14:paraId="23BF5B70" w14:textId="77777777" w:rsidR="00A77F4F" w:rsidRPr="00A03FED" w:rsidRDefault="00A77F4F" w:rsidP="0006015A">
            <w:pPr>
              <w:spacing w:after="0"/>
              <w:ind w:left="-126"/>
              <w:jc w:val="right"/>
              <w:rPr>
                <w:b/>
                <w:color w:val="000000"/>
                <w:sz w:val="16"/>
                <w:szCs w:val="16"/>
                <w:lang w:eastAsia="en-CA"/>
              </w:rPr>
            </w:pPr>
            <w:r w:rsidRPr="00A03FED">
              <w:rPr>
                <w:b/>
                <w:sz w:val="18"/>
                <w:szCs w:val="18"/>
                <w:lang w:eastAsia="en-CA"/>
              </w:rPr>
              <w:t>32,988.9</w:t>
            </w:r>
          </w:p>
        </w:tc>
        <w:tc>
          <w:tcPr>
            <w:tcW w:w="810" w:type="dxa"/>
            <w:tcBorders>
              <w:top w:val="nil"/>
              <w:left w:val="nil"/>
              <w:bottom w:val="single" w:sz="4" w:space="0" w:color="auto"/>
              <w:right w:val="single" w:sz="4" w:space="0" w:color="auto"/>
            </w:tcBorders>
            <w:noWrap/>
            <w:hideMark/>
          </w:tcPr>
          <w:p w14:paraId="7F239C65" w14:textId="77777777" w:rsidR="00A77F4F" w:rsidRPr="00D31F4A" w:rsidRDefault="00A77F4F" w:rsidP="0006015A">
            <w:pPr>
              <w:spacing w:after="0"/>
              <w:ind w:left="-126"/>
              <w:jc w:val="right"/>
              <w:rPr>
                <w:b/>
                <w:color w:val="000000"/>
                <w:sz w:val="18"/>
                <w:szCs w:val="18"/>
                <w:lang w:eastAsia="en-CA"/>
              </w:rPr>
            </w:pPr>
            <w:r w:rsidRPr="00D31F4A">
              <w:rPr>
                <w:sz w:val="18"/>
                <w:szCs w:val="18"/>
              </w:rPr>
              <w:t>24,682.6</w:t>
            </w:r>
          </w:p>
        </w:tc>
        <w:tc>
          <w:tcPr>
            <w:tcW w:w="810" w:type="dxa"/>
            <w:tcBorders>
              <w:top w:val="nil"/>
              <w:left w:val="nil"/>
              <w:bottom w:val="single" w:sz="4" w:space="0" w:color="auto"/>
              <w:right w:val="single" w:sz="4" w:space="0" w:color="auto"/>
            </w:tcBorders>
            <w:noWrap/>
            <w:hideMark/>
          </w:tcPr>
          <w:p w14:paraId="1433BE30" w14:textId="77777777" w:rsidR="00A77F4F" w:rsidRPr="00D31F4A" w:rsidRDefault="00A77F4F" w:rsidP="0006015A">
            <w:pPr>
              <w:spacing w:after="0"/>
              <w:ind w:left="-126"/>
              <w:jc w:val="right"/>
              <w:rPr>
                <w:b/>
                <w:color w:val="000000"/>
                <w:sz w:val="18"/>
                <w:szCs w:val="18"/>
                <w:lang w:eastAsia="en-CA"/>
              </w:rPr>
            </w:pPr>
            <w:r w:rsidRPr="00D31F4A">
              <w:rPr>
                <w:sz w:val="18"/>
                <w:szCs w:val="18"/>
              </w:rPr>
              <w:t>24,063.3</w:t>
            </w:r>
          </w:p>
        </w:tc>
        <w:tc>
          <w:tcPr>
            <w:tcW w:w="810" w:type="dxa"/>
            <w:tcBorders>
              <w:top w:val="nil"/>
              <w:left w:val="nil"/>
              <w:bottom w:val="single" w:sz="4" w:space="0" w:color="auto"/>
              <w:right w:val="single" w:sz="4" w:space="0" w:color="auto"/>
            </w:tcBorders>
            <w:noWrap/>
            <w:hideMark/>
          </w:tcPr>
          <w:p w14:paraId="2013F5B5" w14:textId="77777777" w:rsidR="00A77F4F" w:rsidRPr="00D31F4A" w:rsidRDefault="00A77F4F" w:rsidP="0006015A">
            <w:pPr>
              <w:spacing w:after="0"/>
              <w:ind w:left="-126"/>
              <w:jc w:val="right"/>
              <w:rPr>
                <w:b/>
                <w:color w:val="000000"/>
                <w:sz w:val="18"/>
                <w:szCs w:val="18"/>
                <w:lang w:eastAsia="en-CA"/>
              </w:rPr>
            </w:pPr>
            <w:r w:rsidRPr="00D31F4A">
              <w:rPr>
                <w:sz w:val="18"/>
                <w:szCs w:val="18"/>
              </w:rPr>
              <w:t>23,216.1</w:t>
            </w:r>
          </w:p>
        </w:tc>
        <w:tc>
          <w:tcPr>
            <w:tcW w:w="810" w:type="dxa"/>
            <w:tcBorders>
              <w:top w:val="nil"/>
              <w:left w:val="nil"/>
              <w:bottom w:val="single" w:sz="4" w:space="0" w:color="auto"/>
              <w:right w:val="single" w:sz="4" w:space="0" w:color="auto"/>
            </w:tcBorders>
            <w:noWrap/>
            <w:hideMark/>
          </w:tcPr>
          <w:p w14:paraId="38C5D20F" w14:textId="77777777" w:rsidR="00A77F4F" w:rsidRPr="00D31F4A" w:rsidRDefault="00A77F4F" w:rsidP="0006015A">
            <w:pPr>
              <w:spacing w:after="0"/>
              <w:ind w:left="-126"/>
              <w:jc w:val="right"/>
              <w:rPr>
                <w:b/>
                <w:color w:val="000000"/>
                <w:sz w:val="18"/>
                <w:szCs w:val="18"/>
                <w:lang w:eastAsia="en-CA"/>
              </w:rPr>
            </w:pPr>
            <w:r w:rsidRPr="00D31F4A">
              <w:rPr>
                <w:sz w:val="18"/>
                <w:szCs w:val="18"/>
              </w:rPr>
              <w:t>22,974.3</w:t>
            </w:r>
          </w:p>
        </w:tc>
        <w:tc>
          <w:tcPr>
            <w:tcW w:w="720" w:type="dxa"/>
            <w:tcBorders>
              <w:top w:val="nil"/>
              <w:left w:val="nil"/>
              <w:bottom w:val="single" w:sz="4" w:space="0" w:color="auto"/>
              <w:right w:val="single" w:sz="4" w:space="0" w:color="auto"/>
            </w:tcBorders>
            <w:noWrap/>
            <w:hideMark/>
          </w:tcPr>
          <w:p w14:paraId="181850DC" w14:textId="77777777" w:rsidR="00A77F4F" w:rsidRPr="00D31F4A" w:rsidRDefault="00A77F4F" w:rsidP="0006015A">
            <w:pPr>
              <w:spacing w:after="0"/>
              <w:ind w:left="-126"/>
              <w:jc w:val="right"/>
              <w:rPr>
                <w:b/>
                <w:color w:val="000000"/>
                <w:sz w:val="18"/>
                <w:szCs w:val="18"/>
                <w:lang w:eastAsia="en-CA"/>
              </w:rPr>
            </w:pPr>
            <w:r w:rsidRPr="00D31F4A">
              <w:rPr>
                <w:sz w:val="18"/>
                <w:szCs w:val="18"/>
              </w:rPr>
              <w:t>17,842.9</w:t>
            </w:r>
          </w:p>
        </w:tc>
        <w:tc>
          <w:tcPr>
            <w:tcW w:w="810" w:type="dxa"/>
            <w:tcBorders>
              <w:top w:val="nil"/>
              <w:left w:val="nil"/>
              <w:bottom w:val="single" w:sz="4" w:space="0" w:color="auto"/>
              <w:right w:val="single" w:sz="4" w:space="0" w:color="auto"/>
            </w:tcBorders>
            <w:noWrap/>
            <w:hideMark/>
          </w:tcPr>
          <w:p w14:paraId="77E2BF5E" w14:textId="77777777" w:rsidR="00A77F4F" w:rsidRPr="00D31F4A" w:rsidRDefault="00A77F4F" w:rsidP="0006015A">
            <w:pPr>
              <w:spacing w:after="0"/>
              <w:ind w:left="-126"/>
              <w:jc w:val="right"/>
              <w:rPr>
                <w:b/>
                <w:color w:val="000000"/>
                <w:sz w:val="18"/>
                <w:szCs w:val="18"/>
                <w:lang w:eastAsia="en-CA"/>
              </w:rPr>
            </w:pPr>
            <w:r w:rsidRPr="00D31F4A">
              <w:rPr>
                <w:sz w:val="18"/>
                <w:szCs w:val="18"/>
              </w:rPr>
              <w:t>15,626.2</w:t>
            </w:r>
          </w:p>
        </w:tc>
        <w:tc>
          <w:tcPr>
            <w:tcW w:w="810" w:type="dxa"/>
            <w:tcBorders>
              <w:top w:val="nil"/>
              <w:left w:val="nil"/>
              <w:bottom w:val="single" w:sz="4" w:space="0" w:color="auto"/>
              <w:right w:val="single" w:sz="4" w:space="0" w:color="auto"/>
            </w:tcBorders>
            <w:noWrap/>
            <w:hideMark/>
          </w:tcPr>
          <w:p w14:paraId="50D462DF" w14:textId="77777777" w:rsidR="00A77F4F" w:rsidRPr="00D31F4A" w:rsidRDefault="00A77F4F" w:rsidP="0006015A">
            <w:pPr>
              <w:spacing w:after="0"/>
              <w:ind w:left="-126"/>
              <w:jc w:val="right"/>
              <w:rPr>
                <w:b/>
                <w:color w:val="000000"/>
                <w:sz w:val="18"/>
                <w:szCs w:val="18"/>
                <w:lang w:eastAsia="en-CA"/>
              </w:rPr>
            </w:pPr>
            <w:r w:rsidRPr="00D31F4A">
              <w:rPr>
                <w:sz w:val="18"/>
                <w:szCs w:val="18"/>
              </w:rPr>
              <w:t>16,588.9</w:t>
            </w:r>
          </w:p>
        </w:tc>
        <w:tc>
          <w:tcPr>
            <w:tcW w:w="720" w:type="dxa"/>
            <w:tcBorders>
              <w:top w:val="nil"/>
              <w:left w:val="nil"/>
              <w:bottom w:val="single" w:sz="4" w:space="0" w:color="auto"/>
              <w:right w:val="single" w:sz="4" w:space="0" w:color="auto"/>
            </w:tcBorders>
          </w:tcPr>
          <w:p w14:paraId="7EE1EA3C" w14:textId="77777777" w:rsidR="00A77F4F" w:rsidRPr="00D31F4A" w:rsidRDefault="00A77F4F" w:rsidP="0006015A">
            <w:pPr>
              <w:spacing w:after="0"/>
              <w:ind w:left="-126"/>
              <w:jc w:val="right"/>
              <w:rPr>
                <w:b/>
                <w:sz w:val="18"/>
                <w:szCs w:val="18"/>
                <w:lang w:eastAsia="en-CA"/>
              </w:rPr>
            </w:pPr>
            <w:r w:rsidRPr="00D31F4A">
              <w:rPr>
                <w:sz w:val="18"/>
                <w:szCs w:val="18"/>
              </w:rPr>
              <w:t>13,336.2</w:t>
            </w:r>
          </w:p>
        </w:tc>
        <w:tc>
          <w:tcPr>
            <w:tcW w:w="720" w:type="dxa"/>
            <w:tcBorders>
              <w:top w:val="nil"/>
              <w:left w:val="nil"/>
              <w:bottom w:val="single" w:sz="4" w:space="0" w:color="auto"/>
              <w:right w:val="single" w:sz="4" w:space="0" w:color="auto"/>
            </w:tcBorders>
          </w:tcPr>
          <w:p w14:paraId="3BE40F36" w14:textId="77777777" w:rsidR="00A77F4F" w:rsidRPr="00D31F4A" w:rsidRDefault="00A77F4F" w:rsidP="0006015A">
            <w:pPr>
              <w:spacing w:after="0"/>
              <w:ind w:left="-126"/>
              <w:jc w:val="right"/>
              <w:rPr>
                <w:b/>
                <w:sz w:val="18"/>
                <w:szCs w:val="18"/>
                <w:lang w:eastAsia="en-CA"/>
              </w:rPr>
            </w:pPr>
            <w:r w:rsidRPr="00D31F4A">
              <w:rPr>
                <w:sz w:val="18"/>
                <w:szCs w:val="18"/>
              </w:rPr>
              <w:t>13,322.9</w:t>
            </w:r>
          </w:p>
        </w:tc>
      </w:tr>
    </w:tbl>
    <w:p w14:paraId="7EA61A91" w14:textId="2AFAEF67" w:rsidR="00A77F4F" w:rsidRDefault="004A4265" w:rsidP="000610CE">
      <w:pPr>
        <w:spacing w:before="40"/>
        <w:contextualSpacing/>
        <w:rPr>
          <w:lang w:eastAsia="zh-CN"/>
        </w:rPr>
      </w:pPr>
      <w:r w:rsidRPr="00A27F13">
        <w:rPr>
          <w:sz w:val="18"/>
          <w:szCs w:val="18"/>
        </w:rPr>
        <w:t>* The HCFC production baseline is 29,122 ODP tonnes and includes all HCFCs produced by China, mainly HCFC 22, HCFC 141b and HCFC 142b, and to a lesser extent HCFC-123 and HCFC-124.</w:t>
      </w:r>
    </w:p>
    <w:p w14:paraId="39FD1083" w14:textId="77777777" w:rsidR="000610CE" w:rsidRDefault="000610CE" w:rsidP="000610CE">
      <w:pPr>
        <w:rPr>
          <w:color w:val="000000"/>
        </w:rPr>
      </w:pPr>
    </w:p>
    <w:p w14:paraId="3660577A" w14:textId="795EB02C" w:rsidR="000610CE" w:rsidRPr="00CB432E" w:rsidRDefault="274D2446" w:rsidP="000610CE">
      <w:pPr>
        <w:rPr>
          <w:color w:val="000000"/>
        </w:rPr>
      </w:pPr>
      <w:r>
        <w:t xml:space="preserve">The ExCom decided to consider HCFC-22 production in Mexico and Argentina in the context of its discussions on by-product controls for HFC-23 arising from the </w:t>
      </w:r>
      <w:r w:rsidR="00AF291D">
        <w:t>KA</w:t>
      </w:r>
      <w:r>
        <w:t xml:space="preserve">. The issues and estimated funding for HFC-23 mitigation are discussed in Chapter 4 of this report. </w:t>
      </w:r>
    </w:p>
    <w:p w14:paraId="2B337AA8" w14:textId="68C5BF09" w:rsidR="000610CE" w:rsidRPr="0017253C" w:rsidRDefault="0BD0A8F8" w:rsidP="7911E321">
      <w:pPr>
        <w:rPr>
          <w:rFonts w:eastAsia="DengXian"/>
          <w:vertAlign w:val="superscript"/>
          <w:lang w:eastAsia="zh-CN"/>
        </w:rPr>
      </w:pPr>
      <w:r w:rsidRPr="00CB432E">
        <w:rPr>
          <w:color w:val="000000"/>
        </w:rPr>
        <w:t xml:space="preserve">Based on the current guidelines and the </w:t>
      </w:r>
      <w:r>
        <w:rPr>
          <w:color w:val="000000"/>
        </w:rPr>
        <w:t>a</w:t>
      </w:r>
      <w:r w:rsidRPr="00CB432E">
        <w:rPr>
          <w:color w:val="000000"/>
        </w:rPr>
        <w:t xml:space="preserve">greements between A5 parties that produced HCFCs and the ExCom, the Republic of Korea produces HCFC-22 with production of </w:t>
      </w:r>
      <w:r w:rsidRPr="00CB432E">
        <w:rPr>
          <w:rFonts w:eastAsia="DengXian"/>
          <w:color w:val="000000"/>
          <w:lang w:eastAsia="zh-CN"/>
        </w:rPr>
        <w:t>230.8</w:t>
      </w:r>
      <w:r w:rsidRPr="00CB432E">
        <w:rPr>
          <w:color w:val="000000"/>
        </w:rPr>
        <w:t xml:space="preserve"> ODP </w:t>
      </w:r>
      <w:r w:rsidR="00CE7379">
        <w:rPr>
          <w:color w:val="000000"/>
        </w:rPr>
        <w:t>t</w:t>
      </w:r>
      <w:r w:rsidRPr="00CB432E">
        <w:rPr>
          <w:color w:val="000000"/>
        </w:rPr>
        <w:t xml:space="preserve"> and has been urged not to request funding from the MLF</w:t>
      </w:r>
      <w:r w:rsidRPr="00CB432E">
        <w:rPr>
          <w:rFonts w:eastAsia="DengXian"/>
          <w:color w:val="000000"/>
          <w:lang w:eastAsia="zh-CN"/>
        </w:rPr>
        <w:t xml:space="preserve">. </w:t>
      </w:r>
      <w:r w:rsidR="000610CE" w:rsidRPr="00CB432E">
        <w:rPr>
          <w:color w:val="000000"/>
          <w:vertAlign w:val="superscript"/>
        </w:rPr>
        <w:footnoteReference w:id="20"/>
      </w:r>
      <w:r w:rsidRPr="00CB432E">
        <w:rPr>
          <w:color w:val="000000"/>
          <w:vertAlign w:val="superscript"/>
        </w:rPr>
        <w:t xml:space="preserve"> </w:t>
      </w:r>
    </w:p>
    <w:p w14:paraId="23D88A58" w14:textId="67006F92" w:rsidR="000610CE" w:rsidRPr="0017253C" w:rsidRDefault="008C3C5D" w:rsidP="7911E321">
      <w:pPr>
        <w:rPr>
          <w:rFonts w:eastAsia="DengXian"/>
          <w:vertAlign w:val="superscript"/>
          <w:lang w:eastAsia="zh-CN"/>
        </w:rPr>
      </w:pPr>
      <w:r>
        <w:rPr>
          <w:color w:val="000000"/>
        </w:rPr>
        <w:t>T</w:t>
      </w:r>
      <w:r w:rsidR="0BD0A8F8" w:rsidRPr="00CB432E">
        <w:rPr>
          <w:color w:val="000000"/>
        </w:rPr>
        <w:t>he DPRK has reported 2</w:t>
      </w:r>
      <w:r w:rsidR="0BD0A8F8" w:rsidRPr="00CB432E">
        <w:rPr>
          <w:rFonts w:eastAsia="DengXian"/>
          <w:color w:val="000000"/>
          <w:lang w:eastAsia="zh-CN"/>
        </w:rPr>
        <w:t>1</w:t>
      </w:r>
      <w:r w:rsidR="0BD0A8F8" w:rsidRPr="00CB432E">
        <w:rPr>
          <w:color w:val="000000"/>
        </w:rPr>
        <w:t>.</w:t>
      </w:r>
      <w:r w:rsidR="0BD0A8F8" w:rsidRPr="00CB432E">
        <w:rPr>
          <w:rFonts w:eastAsia="DengXian"/>
          <w:color w:val="000000"/>
          <w:lang w:eastAsia="zh-CN"/>
        </w:rPr>
        <w:t>6</w:t>
      </w:r>
      <w:r w:rsidR="0BD0A8F8" w:rsidRPr="00CB432E">
        <w:rPr>
          <w:color w:val="000000"/>
        </w:rPr>
        <w:t xml:space="preserve"> ODP </w:t>
      </w:r>
      <w:r w:rsidR="00CE7379">
        <w:rPr>
          <w:color w:val="000000"/>
        </w:rPr>
        <w:t>t</w:t>
      </w:r>
      <w:r w:rsidR="2B17833F">
        <w:rPr>
          <w:color w:val="000000"/>
        </w:rPr>
        <w:t xml:space="preserve"> </w:t>
      </w:r>
      <w:r w:rsidR="0BD0A8F8" w:rsidRPr="00CB432E">
        <w:rPr>
          <w:color w:val="000000"/>
        </w:rPr>
        <w:t>of HCFC production for the year 202</w:t>
      </w:r>
      <w:r w:rsidR="0BD0A8F8" w:rsidRPr="00CB432E">
        <w:rPr>
          <w:rFonts w:eastAsia="DengXian"/>
          <w:color w:val="000000"/>
          <w:lang w:eastAsia="zh-CN"/>
        </w:rPr>
        <w:t>4</w:t>
      </w:r>
      <w:r w:rsidR="0BD0A8F8" w:rsidRPr="00CB432E">
        <w:rPr>
          <w:color w:val="000000"/>
        </w:rPr>
        <w:t xml:space="preserve">, which is above the production target set in the plan of action in </w:t>
      </w:r>
      <w:r w:rsidR="0BD0A8F8">
        <w:rPr>
          <w:color w:val="000000"/>
        </w:rPr>
        <w:t>D</w:t>
      </w:r>
      <w:r w:rsidR="0BD0A8F8" w:rsidRPr="00CB432E">
        <w:rPr>
          <w:color w:val="000000"/>
        </w:rPr>
        <w:t>ecision XXXII/6. The 69</w:t>
      </w:r>
      <w:r w:rsidR="0BD0A8F8" w:rsidRPr="00CB432E">
        <w:rPr>
          <w:color w:val="000000"/>
          <w:vertAlign w:val="superscript"/>
        </w:rPr>
        <w:t>th</w:t>
      </w:r>
      <w:r w:rsidR="0BD0A8F8" w:rsidRPr="00CB432E">
        <w:rPr>
          <w:color w:val="000000"/>
        </w:rPr>
        <w:t xml:space="preserve"> meeting of the Implementation Committee </w:t>
      </w:r>
      <w:r w:rsidR="009C6724">
        <w:rPr>
          <w:color w:val="000000"/>
        </w:rPr>
        <w:t xml:space="preserve">(ImpCom-69) </w:t>
      </w:r>
      <w:r w:rsidR="0BD0A8F8" w:rsidRPr="00CB432E">
        <w:rPr>
          <w:color w:val="000000"/>
        </w:rPr>
        <w:t xml:space="preserve">requested the country to provide an explanation for the deviations as a matter of urgency and no later than 15 March 2023, and, if appropriate, to submit a revised plan of action to ensure its return to compliance with the control measures of the </w:t>
      </w:r>
      <w:r w:rsidR="00FB7C66">
        <w:rPr>
          <w:color w:val="000000"/>
        </w:rPr>
        <w:t>MP</w:t>
      </w:r>
      <w:r w:rsidR="0BD0A8F8" w:rsidRPr="00CB432E">
        <w:rPr>
          <w:color w:val="000000"/>
        </w:rPr>
        <w:t xml:space="preserve"> for HCFCs in 2023, for consideration by </w:t>
      </w:r>
      <w:r w:rsidR="009C6724">
        <w:rPr>
          <w:color w:val="000000"/>
        </w:rPr>
        <w:t>ImpCom-70</w:t>
      </w:r>
      <w:r w:rsidR="0BD0A8F8">
        <w:rPr>
          <w:color w:val="000000"/>
        </w:rPr>
        <w:t>.</w:t>
      </w:r>
      <w:r w:rsidR="000610CE" w:rsidRPr="00CB432E">
        <w:rPr>
          <w:color w:val="000000"/>
          <w:vertAlign w:val="superscript"/>
        </w:rPr>
        <w:footnoteReference w:id="21"/>
      </w:r>
      <w:r w:rsidR="0BD0A8F8">
        <w:rPr>
          <w:color w:val="000000"/>
        </w:rPr>
        <w:t xml:space="preserve"> </w:t>
      </w:r>
    </w:p>
    <w:p w14:paraId="4D3417C0" w14:textId="14D71EE1" w:rsidR="000610CE" w:rsidRPr="0017253C" w:rsidRDefault="000610CE" w:rsidP="000610CE">
      <w:pPr>
        <w:rPr>
          <w:rFonts w:eastAsia="DengXian"/>
          <w:color w:val="000000"/>
          <w:vertAlign w:val="superscript"/>
          <w:lang w:eastAsia="zh-CN"/>
        </w:rPr>
      </w:pPr>
      <w:r w:rsidRPr="0017253C">
        <w:rPr>
          <w:rFonts w:eastAsia="DengXian"/>
          <w:color w:val="000000"/>
          <w:lang w:eastAsia="zh-CN"/>
        </w:rPr>
        <w:t xml:space="preserve">ExCom-91 addressed the implementation of the first tranche of </w:t>
      </w:r>
      <w:r w:rsidR="00CE7379">
        <w:rPr>
          <w:rFonts w:eastAsia="DengXian"/>
          <w:color w:val="000000"/>
          <w:lang w:eastAsia="zh-CN"/>
        </w:rPr>
        <w:t>S</w:t>
      </w:r>
      <w:r w:rsidRPr="0017253C">
        <w:rPr>
          <w:rFonts w:eastAsia="DengXian"/>
          <w:color w:val="000000"/>
          <w:lang w:eastAsia="zh-CN"/>
        </w:rPr>
        <w:t>tage II of the HPMP for the Bolivarian Republic of Venezuela and the revised plan of action for the period from 2022 to 2026, on the understanding that no additional funding from the M</w:t>
      </w:r>
      <w:r>
        <w:rPr>
          <w:rFonts w:eastAsia="DengXian"/>
          <w:color w:val="000000"/>
          <w:lang w:eastAsia="zh-CN"/>
        </w:rPr>
        <w:t>LF</w:t>
      </w:r>
      <w:r w:rsidRPr="0017253C">
        <w:rPr>
          <w:rFonts w:eastAsia="DengXian"/>
          <w:color w:val="000000"/>
          <w:lang w:eastAsia="zh-CN"/>
        </w:rPr>
        <w:t xml:space="preserve"> would be provided for the phase-out of production and consumption of HCFCs</w:t>
      </w:r>
      <w:r>
        <w:rPr>
          <w:rFonts w:eastAsia="DengXian"/>
          <w:color w:val="000000"/>
          <w:lang w:eastAsia="zh-CN"/>
        </w:rPr>
        <w:t>:</w:t>
      </w:r>
      <w:r w:rsidRPr="0017253C">
        <w:rPr>
          <w:rFonts w:eastAsia="DengXian"/>
          <w:color w:val="000000"/>
          <w:lang w:eastAsia="zh-CN"/>
        </w:rPr>
        <w:t xml:space="preserve"> “The Government of the Bolivarian Republic of Venezuela commits to issue a ban on the production of HCFC-22 by 1 January 2027.</w:t>
      </w:r>
      <w:r>
        <w:rPr>
          <w:rFonts w:eastAsia="DengXian"/>
          <w:color w:val="000000"/>
          <w:lang w:eastAsia="zh-CN"/>
        </w:rPr>
        <w:t>”</w:t>
      </w:r>
      <w:r w:rsidRPr="0017253C">
        <w:rPr>
          <w:rFonts w:eastAsia="DengXian"/>
          <w:color w:val="000000"/>
          <w:vertAlign w:val="superscript"/>
          <w:lang w:eastAsia="zh-CN"/>
        </w:rPr>
        <w:footnoteReference w:id="22"/>
      </w:r>
      <w:r w:rsidRPr="0017253C">
        <w:rPr>
          <w:rFonts w:eastAsia="DengXian"/>
          <w:color w:val="000000"/>
          <w:vertAlign w:val="superscript"/>
          <w:lang w:eastAsia="zh-CN"/>
        </w:rPr>
        <w:t xml:space="preserve"> </w:t>
      </w:r>
    </w:p>
    <w:p w14:paraId="627FFD82" w14:textId="2C47F201" w:rsidR="000610CE" w:rsidRPr="0017253C" w:rsidRDefault="7911E321" w:rsidP="000610CE">
      <w:pPr>
        <w:rPr>
          <w:rFonts w:eastAsia="DengXian"/>
          <w:color w:val="000000"/>
          <w:lang w:eastAsia="zh-CN"/>
        </w:rPr>
      </w:pPr>
      <w:r w:rsidRPr="7911E321">
        <w:rPr>
          <w:rFonts w:eastAsia="DengXian"/>
          <w:lang w:eastAsia="zh-CN"/>
        </w:rPr>
        <w:lastRenderedPageBreak/>
        <w:t>India submitted</w:t>
      </w:r>
      <w:r w:rsidR="000610CE" w:rsidRPr="6899D804">
        <w:rPr>
          <w:rFonts w:eastAsia="DengXian"/>
          <w:color w:val="000000"/>
          <w:lang w:eastAsia="zh-CN"/>
        </w:rPr>
        <w:t xml:space="preserve"> </w:t>
      </w:r>
      <w:r w:rsidR="0000659E" w:rsidRPr="6899D804">
        <w:rPr>
          <w:rFonts w:eastAsia="DengXian"/>
          <w:color w:val="000000"/>
          <w:lang w:eastAsia="zh-CN"/>
        </w:rPr>
        <w:t>a request</w:t>
      </w:r>
      <w:r w:rsidR="000610CE" w:rsidRPr="6899D804">
        <w:rPr>
          <w:rFonts w:eastAsia="DengXian"/>
          <w:color w:val="000000"/>
          <w:lang w:eastAsia="zh-CN"/>
        </w:rPr>
        <w:t xml:space="preserve"> for a technical audit of the production sector to be considered by the Sub</w:t>
      </w:r>
      <w:r w:rsidR="00CE7379">
        <w:rPr>
          <w:rFonts w:eastAsia="DengXian"/>
          <w:color w:val="000000"/>
          <w:lang w:eastAsia="zh-CN"/>
        </w:rPr>
        <w:t>-</w:t>
      </w:r>
      <w:r w:rsidR="000610CE" w:rsidRPr="6899D804">
        <w:rPr>
          <w:rFonts w:eastAsia="DengXian"/>
          <w:color w:val="000000"/>
          <w:lang w:eastAsia="zh-CN"/>
        </w:rPr>
        <w:t xml:space="preserve">group on the Production Sector in the margins of </w:t>
      </w:r>
      <w:r w:rsidR="005D6E59">
        <w:rPr>
          <w:rFonts w:eastAsia="DengXian"/>
          <w:color w:val="000000"/>
          <w:lang w:eastAsia="zh-CN"/>
        </w:rPr>
        <w:t>ExCom-86</w:t>
      </w:r>
      <w:r w:rsidR="000610CE" w:rsidRPr="6899D804">
        <w:rPr>
          <w:rFonts w:eastAsia="DengXian"/>
          <w:color w:val="000000"/>
          <w:lang w:eastAsia="zh-CN"/>
        </w:rPr>
        <w:t xml:space="preserve">, but there </w:t>
      </w:r>
      <w:r w:rsidR="000610CE" w:rsidRPr="6899D804">
        <w:rPr>
          <w:rFonts w:eastAsia="DengXian"/>
          <w:lang w:eastAsia="zh-CN"/>
        </w:rPr>
        <w:t>were</w:t>
      </w:r>
      <w:r w:rsidR="000610CE" w:rsidRPr="6899D804">
        <w:rPr>
          <w:rFonts w:eastAsia="DengXian"/>
          <w:color w:val="000000"/>
          <w:lang w:eastAsia="zh-CN"/>
        </w:rPr>
        <w:t xml:space="preserve"> no further discussions and agreement on approving the request until ExCom-97</w:t>
      </w:r>
      <w:r w:rsidR="000610CE" w:rsidRPr="0017253C">
        <w:rPr>
          <w:rFonts w:eastAsia="DengXian"/>
          <w:color w:val="000000"/>
          <w:lang w:eastAsia="zh-CN"/>
        </w:rPr>
        <w:t xml:space="preserve">. In </w:t>
      </w:r>
      <w:r w:rsidR="005D6E59">
        <w:rPr>
          <w:rFonts w:eastAsia="DengXian"/>
          <w:color w:val="000000"/>
          <w:lang w:eastAsia="zh-CN"/>
        </w:rPr>
        <w:t>the</w:t>
      </w:r>
      <w:r w:rsidR="000610CE" w:rsidRPr="0017253C">
        <w:rPr>
          <w:rFonts w:eastAsia="DengXian"/>
          <w:color w:val="000000"/>
          <w:lang w:eastAsia="zh-CN"/>
        </w:rPr>
        <w:t xml:space="preserve"> ExCom</w:t>
      </w:r>
      <w:r w:rsidR="005D6E59">
        <w:rPr>
          <w:rFonts w:eastAsia="DengXian"/>
          <w:color w:val="000000"/>
          <w:lang w:eastAsia="zh-CN"/>
        </w:rPr>
        <w:t>-86</w:t>
      </w:r>
      <w:r w:rsidR="000610CE" w:rsidRPr="0017253C">
        <w:rPr>
          <w:rFonts w:eastAsia="DengXian"/>
          <w:color w:val="000000"/>
          <w:lang w:eastAsia="zh-CN"/>
        </w:rPr>
        <w:t xml:space="preserve"> report, members requested that the activities relating to the HPPMP for India be removed from the consolidated business plan</w:t>
      </w:r>
      <w:r w:rsidR="000610CE">
        <w:rPr>
          <w:rFonts w:eastAsia="DengXian"/>
          <w:color w:val="000000"/>
          <w:lang w:eastAsia="zh-CN"/>
        </w:rPr>
        <w:t xml:space="preserve">, </w:t>
      </w:r>
      <w:r w:rsidR="000610CE" w:rsidRPr="0017253C">
        <w:rPr>
          <w:rFonts w:eastAsia="DengXian"/>
          <w:color w:val="000000"/>
          <w:vertAlign w:val="superscript"/>
          <w:lang w:eastAsia="zh-CN"/>
        </w:rPr>
        <w:footnoteReference w:id="23"/>
      </w:r>
      <w:r w:rsidR="000610CE" w:rsidRPr="0017253C">
        <w:rPr>
          <w:rFonts w:eastAsia="DengXian"/>
          <w:color w:val="000000"/>
          <w:lang w:eastAsia="zh-CN"/>
        </w:rPr>
        <w:t xml:space="preserve"> and </w:t>
      </w:r>
      <w:r w:rsidR="000610CE">
        <w:rPr>
          <w:rFonts w:eastAsia="DengXian"/>
          <w:color w:val="000000"/>
          <w:lang w:eastAsia="zh-CN"/>
        </w:rPr>
        <w:t xml:space="preserve">this was reflected in the TEAP </w:t>
      </w:r>
      <w:r w:rsidR="000610CE" w:rsidRPr="0017253C">
        <w:rPr>
          <w:rFonts w:eastAsia="DengXian"/>
          <w:color w:val="000000"/>
          <w:lang w:eastAsia="zh-CN"/>
        </w:rPr>
        <w:t xml:space="preserve">RTF </w:t>
      </w:r>
      <w:r w:rsidR="000610CE">
        <w:rPr>
          <w:rFonts w:eastAsia="DengXian"/>
          <w:color w:val="000000"/>
          <w:lang w:eastAsia="zh-CN"/>
        </w:rPr>
        <w:t xml:space="preserve">September </w:t>
      </w:r>
      <w:r w:rsidR="000610CE" w:rsidRPr="0017253C">
        <w:rPr>
          <w:rFonts w:eastAsia="DengXian"/>
          <w:color w:val="000000"/>
          <w:lang w:eastAsia="zh-CN"/>
        </w:rPr>
        <w:t>2023 report</w:t>
      </w:r>
      <w:r w:rsidR="000610CE">
        <w:rPr>
          <w:rFonts w:eastAsia="DengXian"/>
          <w:color w:val="000000"/>
          <w:lang w:eastAsia="zh-CN"/>
        </w:rPr>
        <w:t xml:space="preserve">. </w:t>
      </w:r>
      <w:r w:rsidR="000610CE" w:rsidRPr="0017253C">
        <w:rPr>
          <w:rFonts w:eastAsia="DengXian"/>
          <w:color w:val="000000"/>
          <w:vertAlign w:val="superscript"/>
          <w:lang w:eastAsia="zh-CN"/>
        </w:rPr>
        <w:footnoteReference w:id="24"/>
      </w:r>
    </w:p>
    <w:p w14:paraId="632D5F7B" w14:textId="7C0562FD" w:rsidR="000610CE" w:rsidRPr="0017253C" w:rsidRDefault="000610CE" w:rsidP="000610CE">
      <w:pPr>
        <w:rPr>
          <w:rFonts w:eastAsia="DengXian"/>
          <w:lang w:eastAsia="zh-CN"/>
        </w:rPr>
      </w:pPr>
      <w:r w:rsidRPr="6899D804">
        <w:rPr>
          <w:rFonts w:eastAsia="DengXian"/>
          <w:lang w:eastAsia="zh-CN"/>
        </w:rPr>
        <w:t xml:space="preserve">China was in compliance with the </w:t>
      </w:r>
      <w:r w:rsidR="00FB7C66">
        <w:rPr>
          <w:rFonts w:eastAsia="DengXian"/>
          <w:lang w:eastAsia="zh-CN"/>
        </w:rPr>
        <w:t>MP</w:t>
      </w:r>
      <w:r w:rsidRPr="6899D804">
        <w:rPr>
          <w:rFonts w:eastAsia="DengXian"/>
          <w:lang w:eastAsia="zh-CN"/>
        </w:rPr>
        <w:t xml:space="preserve"> targets for HCFC production and </w:t>
      </w:r>
      <w:r w:rsidR="0000659E" w:rsidRPr="6899D804">
        <w:rPr>
          <w:rFonts w:eastAsia="DengXian"/>
          <w:lang w:eastAsia="zh-CN"/>
        </w:rPr>
        <w:t>consumption according</w:t>
      </w:r>
      <w:r w:rsidRPr="6899D804">
        <w:rPr>
          <w:rFonts w:eastAsia="DengXian"/>
          <w:lang w:eastAsia="zh-CN"/>
        </w:rPr>
        <w:t xml:space="preserve"> to </w:t>
      </w:r>
      <w:r w:rsidR="0000659E" w:rsidRPr="6899D804">
        <w:rPr>
          <w:rFonts w:eastAsia="DengXian"/>
          <w:lang w:eastAsia="zh-CN"/>
        </w:rPr>
        <w:t>the</w:t>
      </w:r>
      <w:r w:rsidRPr="6899D804">
        <w:rPr>
          <w:rFonts w:eastAsia="DengXian"/>
          <w:lang w:eastAsia="zh-CN"/>
        </w:rPr>
        <w:t xml:space="preserve"> 2024 verification report (report </w:t>
      </w:r>
      <w:r w:rsidR="7911E321" w:rsidRPr="7911E321">
        <w:rPr>
          <w:rFonts w:eastAsia="DengXian"/>
          <w:lang w:eastAsia="zh-CN"/>
        </w:rPr>
        <w:t>of the Sub-group on the Production Sector at ExCom-97</w:t>
      </w:r>
      <w:r w:rsidR="00080A0A">
        <w:rPr>
          <w:rFonts w:eastAsia="DengXian"/>
          <w:lang w:eastAsia="zh-CN"/>
        </w:rPr>
        <w:t>)</w:t>
      </w:r>
      <w:r w:rsidRPr="6899D804">
        <w:rPr>
          <w:rFonts w:eastAsia="DengXian"/>
          <w:lang w:eastAsia="zh-CN"/>
        </w:rPr>
        <w:t xml:space="preserve">. </w:t>
      </w:r>
      <w:r w:rsidRPr="0801BFFE">
        <w:rPr>
          <w:rFonts w:eastAsia="DengXian"/>
          <w:vertAlign w:val="superscript"/>
          <w:lang w:eastAsia="zh-CN"/>
        </w:rPr>
        <w:footnoteReference w:id="25"/>
      </w:r>
    </w:p>
    <w:p w14:paraId="5EB4EA2B" w14:textId="18582B11" w:rsidR="000610CE" w:rsidRPr="0017253C" w:rsidRDefault="000610CE" w:rsidP="000610CE">
      <w:pPr>
        <w:rPr>
          <w:rFonts w:eastAsia="DengXian"/>
          <w:color w:val="000000"/>
          <w:lang w:eastAsia="zh-CN"/>
        </w:rPr>
      </w:pPr>
      <w:r w:rsidRPr="0017253C" w:rsidDel="55021CAC">
        <w:rPr>
          <w:rFonts w:eastAsia="DengXian"/>
          <w:color w:val="000000"/>
          <w:lang w:eastAsia="zh-CN"/>
        </w:rPr>
        <w:t>O</w:t>
      </w:r>
      <w:r w:rsidRPr="0017253C">
        <w:rPr>
          <w:rFonts w:eastAsia="DengXian"/>
          <w:color w:val="000000"/>
          <w:lang w:eastAsia="zh-CN"/>
        </w:rPr>
        <w:t xml:space="preserve">nly one HCFC </w:t>
      </w:r>
      <w:r>
        <w:rPr>
          <w:rFonts w:eastAsia="DengXian"/>
          <w:color w:val="000000"/>
          <w:lang w:eastAsia="zh-CN"/>
        </w:rPr>
        <w:t>p</w:t>
      </w:r>
      <w:r w:rsidRPr="0017253C">
        <w:rPr>
          <w:rFonts w:eastAsia="DengXian"/>
          <w:color w:val="000000"/>
          <w:lang w:eastAsia="zh-CN"/>
        </w:rPr>
        <w:t xml:space="preserve">roduction </w:t>
      </w:r>
      <w:r>
        <w:rPr>
          <w:rFonts w:eastAsia="DengXian"/>
          <w:color w:val="000000"/>
          <w:lang w:eastAsia="zh-CN"/>
        </w:rPr>
        <w:t>s</w:t>
      </w:r>
      <w:r w:rsidRPr="0017253C">
        <w:rPr>
          <w:rFonts w:eastAsia="DengXian"/>
          <w:color w:val="000000"/>
          <w:lang w:eastAsia="zh-CN"/>
        </w:rPr>
        <w:t xml:space="preserve">ector project (China’s HPPMP) had been submitted and discussed and </w:t>
      </w:r>
      <w:r>
        <w:rPr>
          <w:rFonts w:eastAsia="DengXian"/>
          <w:color w:val="000000"/>
          <w:lang w:eastAsia="zh-CN"/>
        </w:rPr>
        <w:t>i</w:t>
      </w:r>
      <w:r w:rsidRPr="0017253C">
        <w:rPr>
          <w:rFonts w:eastAsia="DengXian"/>
          <w:color w:val="000000"/>
          <w:lang w:eastAsia="zh-CN"/>
        </w:rPr>
        <w:t xml:space="preserve">ncluded in the </w:t>
      </w:r>
      <w:r w:rsidR="00BC3889">
        <w:rPr>
          <w:rFonts w:eastAsia="DengXian"/>
          <w:color w:val="000000"/>
          <w:lang w:eastAsia="zh-CN"/>
        </w:rPr>
        <w:t>BP.</w:t>
      </w:r>
    </w:p>
    <w:p w14:paraId="490BE75C" w14:textId="74732C90" w:rsidR="00CD0639" w:rsidRDefault="274D2446" w:rsidP="007C77CF">
      <w:pPr>
        <w:pStyle w:val="Heading3"/>
      </w:pPr>
      <w:bookmarkStart w:id="157" w:name="_Toc230099066"/>
      <w:r>
        <w:t>2.</w:t>
      </w:r>
      <w:r w:rsidR="00BF3ACB">
        <w:t>9</w:t>
      </w:r>
      <w:r>
        <w:t>.2</w:t>
      </w:r>
      <w:r w:rsidR="00CD0639">
        <w:tab/>
      </w:r>
      <w:r>
        <w:t>HCFC Production Phase-out Management Plans (HPPMPs)</w:t>
      </w:r>
      <w:bookmarkEnd w:id="157"/>
    </w:p>
    <w:p w14:paraId="054E6B82" w14:textId="2079300D" w:rsidR="00415BA0" w:rsidRPr="001E6535" w:rsidRDefault="7911E321" w:rsidP="00415BA0">
      <w:r>
        <w:t>One</w:t>
      </w:r>
      <w:r w:rsidR="00415BA0" w:rsidRPr="001E6535">
        <w:t xml:space="preserve"> part</w:t>
      </w:r>
      <w:r w:rsidR="00415BA0" w:rsidRPr="001E6535">
        <w:rPr>
          <w:rFonts w:hint="eastAsia"/>
        </w:rPr>
        <w:t>y</w:t>
      </w:r>
      <w:r w:rsidR="00415BA0" w:rsidRPr="001E6535">
        <w:t xml:space="preserve"> (China) need</w:t>
      </w:r>
      <w:r w:rsidR="003750BD">
        <w:t>s</w:t>
      </w:r>
      <w:r w:rsidR="00415BA0" w:rsidRPr="001E6535">
        <w:t xml:space="preserve"> to </w:t>
      </w:r>
      <w:r w:rsidR="003750BD">
        <w:t xml:space="preserve">be </w:t>
      </w:r>
      <w:r>
        <w:t xml:space="preserve">considered for </w:t>
      </w:r>
      <w:r w:rsidR="00415BA0" w:rsidRPr="001E6535">
        <w:t xml:space="preserve">funding for HCFC production phase-out during </w:t>
      </w:r>
      <w:r w:rsidR="003750BD">
        <w:t xml:space="preserve">the </w:t>
      </w:r>
      <w:r w:rsidR="00415BA0" w:rsidRPr="001E6535">
        <w:t>202</w:t>
      </w:r>
      <w:r w:rsidR="00415BA0" w:rsidRPr="001E6535">
        <w:rPr>
          <w:rFonts w:hint="eastAsia"/>
        </w:rPr>
        <w:t>7</w:t>
      </w:r>
      <w:r w:rsidR="00415BA0" w:rsidRPr="001E6535">
        <w:t>-202</w:t>
      </w:r>
      <w:r w:rsidR="00415BA0" w:rsidRPr="001E6535">
        <w:rPr>
          <w:rFonts w:hint="eastAsia"/>
        </w:rPr>
        <w:t>9</w:t>
      </w:r>
      <w:r w:rsidR="003750BD">
        <w:t xml:space="preserve"> triennium</w:t>
      </w:r>
      <w:r w:rsidR="00415BA0" w:rsidRPr="001E6535">
        <w:t>.</w:t>
      </w:r>
      <w:r>
        <w:t xml:space="preserve"> </w:t>
      </w:r>
    </w:p>
    <w:p w14:paraId="019D0D37" w14:textId="28A70E8B" w:rsidR="00E80917" w:rsidRDefault="00E80917" w:rsidP="00415BA0">
      <w:r>
        <w:t>The Agreement between China and the ExCom species the maximum funding envelope for the entire phase-out of production for controlled uses of $385 million (para 2 of Agreement). To date, the ExCom has approved a total of $95 million (</w:t>
      </w:r>
      <w:r w:rsidR="002743BF">
        <w:t>Stage</w:t>
      </w:r>
      <w:r>
        <w:t xml:space="preserve"> I) and $67 million. The HPPMP agreement specifies agency support costs of 5.6% for the duration of the HPPMP.</w:t>
      </w:r>
    </w:p>
    <w:p w14:paraId="2C7F0B02" w14:textId="34A6FB85" w:rsidR="00415BA0" w:rsidRPr="001E6535" w:rsidRDefault="00415BA0" w:rsidP="00415BA0">
      <w:pPr>
        <w:rPr>
          <w:vertAlign w:val="superscript"/>
        </w:rPr>
      </w:pPr>
      <w:r w:rsidRPr="6899D804">
        <w:t>A total of US$</w:t>
      </w:r>
      <w:r>
        <w:t xml:space="preserve"> </w:t>
      </w:r>
      <w:r w:rsidRPr="6899D804">
        <w:t xml:space="preserve">47.08 million is planned for </w:t>
      </w:r>
      <w:r w:rsidR="00546850">
        <w:t>S</w:t>
      </w:r>
      <w:r w:rsidRPr="6899D804">
        <w:t>tage III of the HPPMP for China, including US$</w:t>
      </w:r>
      <w:r>
        <w:t xml:space="preserve"> </w:t>
      </w:r>
      <w:r w:rsidRPr="6899D804">
        <w:t>23.54 million for 2026</w:t>
      </w:r>
      <w:r>
        <w:t>-</w:t>
      </w:r>
      <w:r w:rsidRPr="6899D804">
        <w:t xml:space="preserve">2028 </w:t>
      </w:r>
      <w:r>
        <w:t>which</w:t>
      </w:r>
      <w:r w:rsidRPr="6899D804">
        <w:t xml:space="preserve"> was listed </w:t>
      </w:r>
      <w:r>
        <w:t xml:space="preserve">in the </w:t>
      </w:r>
      <w:r w:rsidR="00F830E8">
        <w:t>BP</w:t>
      </w:r>
      <w:r w:rsidRPr="001E6535">
        <w:t xml:space="preserve"> </w:t>
      </w:r>
      <w:r w:rsidRPr="6899D804">
        <w:t>to address 4,146.00 ODP</w:t>
      </w:r>
      <w:r w:rsidR="001F2A6D">
        <w:t>t.</w:t>
      </w:r>
      <w:r w:rsidRPr="6899D804">
        <w:t xml:space="preserve"> </w:t>
      </w:r>
      <w:r w:rsidR="006D7286">
        <w:t xml:space="preserve">RTF assumed </w:t>
      </w:r>
      <w:r w:rsidR="001F2A6D" w:rsidRPr="001F2A6D">
        <w:t xml:space="preserve">the funding for 2027-2029 is equivalent to the funding in the business plan of 2026-2028 because the </w:t>
      </w:r>
      <w:r w:rsidR="00546850">
        <w:t>US</w:t>
      </w:r>
      <w:r w:rsidR="001F2A6D" w:rsidRPr="001F2A6D">
        <w:t>$</w:t>
      </w:r>
      <w:r w:rsidR="00546850">
        <w:t xml:space="preserve"> </w:t>
      </w:r>
      <w:r w:rsidR="001F2A6D" w:rsidRPr="001F2A6D">
        <w:t xml:space="preserve">47.08 </w:t>
      </w:r>
      <w:r w:rsidR="00546850">
        <w:t xml:space="preserve">million </w:t>
      </w:r>
      <w:r w:rsidR="001F2A6D" w:rsidRPr="001F2A6D">
        <w:t xml:space="preserve">was divided equally over the six years of </w:t>
      </w:r>
      <w:r w:rsidR="00546850">
        <w:t>HPPMP Stage I</w:t>
      </w:r>
      <w:r w:rsidR="001F2A6D" w:rsidRPr="001F2A6D">
        <w:t xml:space="preserve">II. </w:t>
      </w:r>
      <w:r w:rsidRPr="001E6535">
        <w:rPr>
          <w:vertAlign w:val="superscript"/>
        </w:rPr>
        <w:t xml:space="preserve"> </w:t>
      </w:r>
    </w:p>
    <w:p w14:paraId="064A70F1" w14:textId="01818B46" w:rsidR="00CD0639" w:rsidRDefault="00CD0639" w:rsidP="007C77CF">
      <w:pPr>
        <w:pStyle w:val="Heading3"/>
      </w:pPr>
      <w:bookmarkStart w:id="158" w:name="_Toc230099067"/>
      <w:r w:rsidRPr="00E42C5E">
        <w:t>2.</w:t>
      </w:r>
      <w:r w:rsidR="008B5D37">
        <w:t>9</w:t>
      </w:r>
      <w:r w:rsidRPr="00E42C5E">
        <w:t>.</w:t>
      </w:r>
      <w:r w:rsidR="00415BA0">
        <w:t>3</w:t>
      </w:r>
      <w:r w:rsidRPr="00E42C5E">
        <w:tab/>
      </w:r>
      <w:r w:rsidR="00415BA0">
        <w:t>Total estimated funding requirement for the HCFC production sector</w:t>
      </w:r>
      <w:r w:rsidR="00862E4E">
        <w:t xml:space="preserve"> (2027-2029)</w:t>
      </w:r>
      <w:bookmarkEnd w:id="158"/>
    </w:p>
    <w:p w14:paraId="1A17B1FE" w14:textId="5EC72904" w:rsidR="00802D8C" w:rsidRDefault="00802D8C" w:rsidP="00802D8C">
      <w:pPr>
        <w:rPr>
          <w:rFonts w:eastAsia="DengXian"/>
          <w:lang w:val="en-US" w:eastAsia="zh-CN"/>
        </w:rPr>
      </w:pPr>
      <w:r w:rsidRPr="002E367B">
        <w:rPr>
          <w:rFonts w:eastAsia="DengXian"/>
          <w:lang w:val="en-US" w:eastAsia="zh-CN"/>
        </w:rPr>
        <w:t>The total funding requirement for the 202</w:t>
      </w:r>
      <w:r>
        <w:rPr>
          <w:rFonts w:eastAsia="DengXian"/>
          <w:lang w:val="en-US" w:eastAsia="zh-CN"/>
        </w:rPr>
        <w:t>7</w:t>
      </w:r>
      <w:r w:rsidRPr="002E367B">
        <w:rPr>
          <w:rFonts w:eastAsia="DengXian"/>
          <w:lang w:val="en-US" w:eastAsia="zh-CN"/>
        </w:rPr>
        <w:t>-202</w:t>
      </w:r>
      <w:r>
        <w:rPr>
          <w:rFonts w:eastAsia="DengXian"/>
          <w:lang w:val="en-US" w:eastAsia="zh-CN"/>
        </w:rPr>
        <w:t>9</w:t>
      </w:r>
      <w:r w:rsidRPr="002E367B">
        <w:rPr>
          <w:rFonts w:eastAsia="DengXian"/>
          <w:lang w:val="en-US" w:eastAsia="zh-CN"/>
        </w:rPr>
        <w:t xml:space="preserve"> triennium for the production sector is estimated at </w:t>
      </w:r>
      <w:r w:rsidRPr="00121E3C">
        <w:rPr>
          <w:rFonts w:eastAsia="DengXian"/>
          <w:b/>
          <w:bCs/>
          <w:lang w:val="en-US" w:eastAsia="zh-CN"/>
        </w:rPr>
        <w:t>US$ 23.54 million</w:t>
      </w:r>
      <w:r>
        <w:rPr>
          <w:rFonts w:eastAsia="DengXian"/>
          <w:lang w:val="en-US" w:eastAsia="zh-CN"/>
        </w:rPr>
        <w:t>, including agency support costs of 5.6%</w:t>
      </w:r>
      <w:r w:rsidRPr="002E367B">
        <w:rPr>
          <w:rFonts w:eastAsia="DengXian"/>
          <w:lang w:val="en-US" w:eastAsia="zh-CN"/>
        </w:rPr>
        <w:t xml:space="preserve"> (Table 2-</w:t>
      </w:r>
      <w:r w:rsidR="00DC3321">
        <w:rPr>
          <w:rFonts w:eastAsia="DengXian"/>
          <w:lang w:val="en-US" w:eastAsia="zh-CN"/>
        </w:rPr>
        <w:t>1</w:t>
      </w:r>
      <w:r w:rsidR="00790CEA">
        <w:rPr>
          <w:rFonts w:eastAsia="DengXian"/>
          <w:lang w:val="en-US" w:eastAsia="zh-CN"/>
        </w:rPr>
        <w:t>3</w:t>
      </w:r>
      <w:r w:rsidRPr="002E367B">
        <w:rPr>
          <w:rFonts w:eastAsia="DengXian"/>
          <w:lang w:val="en-US" w:eastAsia="zh-CN"/>
        </w:rPr>
        <w:t>). RTF notes that the verification costs are included in the agency’s support cost</w:t>
      </w:r>
      <w:r>
        <w:rPr>
          <w:rFonts w:eastAsia="DengXian"/>
          <w:lang w:val="en-US" w:eastAsia="zh-CN"/>
        </w:rPr>
        <w:t>s</w:t>
      </w:r>
      <w:r w:rsidRPr="002E367B">
        <w:rPr>
          <w:rFonts w:eastAsia="DengXian"/>
          <w:lang w:val="en-US" w:eastAsia="zh-CN"/>
        </w:rPr>
        <w:t xml:space="preserve"> and are not a separate item for the production sector. </w:t>
      </w:r>
    </w:p>
    <w:p w14:paraId="751C5889" w14:textId="63EDDD97" w:rsidR="00DC56D7" w:rsidRDefault="67290FB9" w:rsidP="002135B0">
      <w:pPr>
        <w:tabs>
          <w:tab w:val="left" w:pos="1276"/>
        </w:tabs>
        <w:ind w:left="1276" w:hanging="1276"/>
        <w:rPr>
          <w:rFonts w:eastAsiaTheme="minorEastAsia"/>
          <w:b/>
          <w:highlight w:val="yellow"/>
        </w:rPr>
      </w:pPr>
      <w:r w:rsidRPr="222ABFFA">
        <w:rPr>
          <w:rFonts w:eastAsiaTheme="minorEastAsia"/>
          <w:b/>
          <w:bCs/>
        </w:rPr>
        <w:t>Table 2.</w:t>
      </w:r>
      <w:r w:rsidR="00DC3321">
        <w:rPr>
          <w:rFonts w:eastAsiaTheme="minorEastAsia"/>
          <w:b/>
          <w:bCs/>
        </w:rPr>
        <w:t>1</w:t>
      </w:r>
      <w:r w:rsidR="00790CEA">
        <w:rPr>
          <w:rFonts w:eastAsiaTheme="minorEastAsia"/>
          <w:b/>
          <w:bCs/>
        </w:rPr>
        <w:t>3</w:t>
      </w:r>
      <w:r w:rsidR="0004488B">
        <w:rPr>
          <w:rFonts w:eastAsiaTheme="minorEastAsia"/>
          <w:b/>
          <w:bCs/>
        </w:rPr>
        <w:t>:</w:t>
      </w:r>
      <w:r w:rsidR="00DC56D7">
        <w:tab/>
      </w:r>
      <w:r w:rsidR="09503B50" w:rsidRPr="222ABFFA">
        <w:rPr>
          <w:rFonts w:eastAsiaTheme="minorEastAsia"/>
          <w:b/>
          <w:bCs/>
        </w:rPr>
        <w:t>Estimated funding requirement for HCFC production sector (US</w:t>
      </w:r>
      <w:r w:rsidR="537D6309" w:rsidRPr="531ECB33">
        <w:rPr>
          <w:rFonts w:eastAsiaTheme="minorEastAsia"/>
          <w:b/>
          <w:bCs/>
        </w:rPr>
        <w:t>$</w:t>
      </w:r>
      <w:r w:rsidR="0AAFE135" w:rsidRPr="531ECB33">
        <w:rPr>
          <w:rFonts w:eastAsiaTheme="minorEastAsia"/>
          <w:b/>
          <w:bCs/>
        </w:rPr>
        <w:t xml:space="preserve"> million</w:t>
      </w:r>
      <w:r w:rsidR="6AB2F2CF" w:rsidRPr="531ECB33">
        <w:rPr>
          <w:rFonts w:eastAsiaTheme="minorEastAsia"/>
          <w:b/>
          <w:bCs/>
        </w:rPr>
        <w:t>)</w:t>
      </w:r>
      <w:r w:rsidR="7629E82E" w:rsidRPr="222ABFFA">
        <w:rPr>
          <w:rFonts w:eastAsiaTheme="minorEastAsia"/>
          <w:b/>
          <w:bCs/>
        </w:rPr>
        <w:t xml:space="preserve"> </w:t>
      </w:r>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3"/>
        <w:gridCol w:w="2216"/>
      </w:tblGrid>
      <w:tr w:rsidR="00DC56D7" w:rsidRPr="0007276D" w14:paraId="277FC7EA" w14:textId="77777777" w:rsidTr="00BE32EF">
        <w:trPr>
          <w:trHeight w:val="63"/>
          <w:jc w:val="center"/>
        </w:trPr>
        <w:tc>
          <w:tcPr>
            <w:tcW w:w="5000" w:type="pct"/>
            <w:gridSpan w:val="2"/>
            <w:shd w:val="clear" w:color="auto" w:fill="FFFFFF" w:themeFill="background1"/>
            <w:noWrap/>
            <w:vAlign w:val="center"/>
            <w:hideMark/>
          </w:tcPr>
          <w:p w14:paraId="3C050439" w14:textId="76BFFA8C" w:rsidR="00DC56D7" w:rsidRPr="0007276D" w:rsidRDefault="00DC56D7" w:rsidP="007C640B">
            <w:pPr>
              <w:spacing w:after="0"/>
              <w:jc w:val="center"/>
              <w:rPr>
                <w:b/>
                <w:bCs/>
                <w:color w:val="000000"/>
                <w:lang w:val="en-US"/>
              </w:rPr>
            </w:pPr>
            <w:r w:rsidRPr="0007276D">
              <w:rPr>
                <w:b/>
                <w:bCs/>
                <w:color w:val="000000"/>
                <w:lang w:val="en-US"/>
              </w:rPr>
              <w:t>202</w:t>
            </w:r>
            <w:r>
              <w:rPr>
                <w:b/>
                <w:bCs/>
                <w:color w:val="000000"/>
                <w:lang w:val="en-US"/>
              </w:rPr>
              <w:t>7</w:t>
            </w:r>
            <w:r w:rsidRPr="0007276D">
              <w:rPr>
                <w:b/>
                <w:bCs/>
                <w:color w:val="000000"/>
                <w:lang w:val="en-US"/>
              </w:rPr>
              <w:t>-202</w:t>
            </w:r>
            <w:r>
              <w:rPr>
                <w:b/>
                <w:bCs/>
                <w:color w:val="000000"/>
                <w:lang w:val="en-US"/>
              </w:rPr>
              <w:t>9</w:t>
            </w:r>
            <w:r w:rsidRPr="0007276D">
              <w:rPr>
                <w:b/>
                <w:bCs/>
                <w:color w:val="000000"/>
                <w:lang w:val="en-US"/>
              </w:rPr>
              <w:t xml:space="preserve"> Triennium Estimated Funding</w:t>
            </w:r>
          </w:p>
        </w:tc>
      </w:tr>
      <w:tr w:rsidR="00DC56D7" w:rsidRPr="0007276D" w14:paraId="67791B11" w14:textId="77777777" w:rsidTr="00BE32EF">
        <w:trPr>
          <w:trHeight w:val="46"/>
          <w:jc w:val="center"/>
        </w:trPr>
        <w:tc>
          <w:tcPr>
            <w:tcW w:w="5000" w:type="pct"/>
            <w:gridSpan w:val="2"/>
            <w:shd w:val="clear" w:color="auto" w:fill="D9E2F3" w:themeFill="accent1" w:themeFillTint="33"/>
            <w:noWrap/>
            <w:hideMark/>
          </w:tcPr>
          <w:p w14:paraId="6C25213D" w14:textId="77777777" w:rsidR="00DC56D7" w:rsidRPr="0007276D" w:rsidRDefault="00DC56D7" w:rsidP="006233FA">
            <w:pPr>
              <w:spacing w:after="0"/>
              <w:jc w:val="center"/>
              <w:rPr>
                <w:b/>
                <w:bCs/>
                <w:color w:val="000000"/>
                <w:lang w:val="en-US"/>
              </w:rPr>
            </w:pPr>
            <w:r w:rsidRPr="0007276D">
              <w:rPr>
                <w:b/>
                <w:bCs/>
                <w:color w:val="000000"/>
                <w:lang w:val="en-US"/>
              </w:rPr>
              <w:t>HCFC Production Sector</w:t>
            </w:r>
          </w:p>
        </w:tc>
      </w:tr>
      <w:tr w:rsidR="00DC56D7" w:rsidRPr="0007276D" w14:paraId="327EA347" w14:textId="77777777" w:rsidTr="00BE32EF">
        <w:trPr>
          <w:trHeight w:val="73"/>
          <w:jc w:val="center"/>
        </w:trPr>
        <w:tc>
          <w:tcPr>
            <w:tcW w:w="3681" w:type="pct"/>
            <w:noWrap/>
            <w:hideMark/>
          </w:tcPr>
          <w:p w14:paraId="2C104966" w14:textId="77777777" w:rsidR="00DC56D7" w:rsidRPr="004F6182" w:rsidRDefault="00DC56D7" w:rsidP="006233FA">
            <w:pPr>
              <w:spacing w:after="0"/>
              <w:rPr>
                <w:color w:val="000000"/>
                <w:sz w:val="20"/>
                <w:szCs w:val="20"/>
                <w:lang w:val="en-US"/>
              </w:rPr>
            </w:pPr>
            <w:r w:rsidRPr="004F6182">
              <w:rPr>
                <w:sz w:val="20"/>
                <w:szCs w:val="20"/>
              </w:rPr>
              <w:t>HCFC Production Sector Stage II</w:t>
            </w:r>
            <w:r>
              <w:rPr>
                <w:sz w:val="20"/>
                <w:szCs w:val="20"/>
              </w:rPr>
              <w:t>I</w:t>
            </w:r>
            <w:r w:rsidRPr="004F6182">
              <w:rPr>
                <w:sz w:val="20"/>
                <w:szCs w:val="20"/>
              </w:rPr>
              <w:t xml:space="preserve"> HPPMP</w:t>
            </w:r>
            <w:r>
              <w:rPr>
                <w:sz w:val="20"/>
                <w:szCs w:val="20"/>
              </w:rPr>
              <w:t xml:space="preserve"> (China)</w:t>
            </w:r>
          </w:p>
        </w:tc>
        <w:tc>
          <w:tcPr>
            <w:tcW w:w="1319" w:type="pct"/>
            <w:noWrap/>
          </w:tcPr>
          <w:p w14:paraId="07DC88F4" w14:textId="65EA2381" w:rsidR="00DC56D7" w:rsidRPr="004F6182" w:rsidRDefault="00DC56D7" w:rsidP="006233FA">
            <w:pPr>
              <w:spacing w:after="0"/>
              <w:jc w:val="right"/>
              <w:rPr>
                <w:b/>
                <w:bCs/>
                <w:sz w:val="20"/>
                <w:szCs w:val="20"/>
                <w:lang w:val="en-US"/>
              </w:rPr>
            </w:pPr>
            <w:r w:rsidRPr="004F6182">
              <w:rPr>
                <w:b/>
                <w:bCs/>
                <w:sz w:val="20"/>
                <w:szCs w:val="20"/>
                <w:lang w:val="en-US"/>
              </w:rPr>
              <w:t>$ 23</w:t>
            </w:r>
            <w:r w:rsidR="4B482903" w:rsidRPr="65F02253">
              <w:rPr>
                <w:b/>
                <w:bCs/>
                <w:sz w:val="20"/>
                <w:szCs w:val="20"/>
                <w:lang w:val="en-US"/>
              </w:rPr>
              <w:t>.</w:t>
            </w:r>
            <w:r w:rsidR="6AB2F2CF" w:rsidRPr="65F02253">
              <w:rPr>
                <w:b/>
                <w:bCs/>
                <w:sz w:val="20"/>
                <w:szCs w:val="20"/>
                <w:lang w:val="en-US"/>
              </w:rPr>
              <w:t>54</w:t>
            </w:r>
          </w:p>
        </w:tc>
      </w:tr>
      <w:tr w:rsidR="00DC56D7" w:rsidRPr="0007276D" w14:paraId="08AB1043" w14:textId="77777777" w:rsidTr="00BE32EF">
        <w:trPr>
          <w:trHeight w:val="352"/>
          <w:jc w:val="center"/>
        </w:trPr>
        <w:tc>
          <w:tcPr>
            <w:tcW w:w="3681" w:type="pct"/>
            <w:shd w:val="clear" w:color="auto" w:fill="B4C6E7" w:themeFill="accent1" w:themeFillTint="66"/>
            <w:noWrap/>
            <w:vAlign w:val="center"/>
            <w:hideMark/>
          </w:tcPr>
          <w:p w14:paraId="3F4A9BD5" w14:textId="77777777" w:rsidR="00DC56D7" w:rsidRPr="004F6182" w:rsidRDefault="00DC56D7" w:rsidP="006233FA">
            <w:pPr>
              <w:spacing w:after="0"/>
              <w:rPr>
                <w:b/>
                <w:bCs/>
                <w:color w:val="000000"/>
                <w:sz w:val="20"/>
                <w:szCs w:val="20"/>
                <w:lang w:val="en-US"/>
              </w:rPr>
            </w:pPr>
            <w:r w:rsidRPr="004F6182">
              <w:rPr>
                <w:b/>
                <w:sz w:val="20"/>
                <w:szCs w:val="20"/>
                <w:lang w:val="en-US"/>
              </w:rPr>
              <w:t>Subtotal – HCFC Production Sector</w:t>
            </w:r>
            <w:r>
              <w:rPr>
                <w:b/>
                <w:sz w:val="20"/>
                <w:szCs w:val="20"/>
                <w:lang w:val="en-US"/>
              </w:rPr>
              <w:t xml:space="preserve"> (including support costs of 5.6%)</w:t>
            </w:r>
          </w:p>
        </w:tc>
        <w:tc>
          <w:tcPr>
            <w:tcW w:w="1319" w:type="pct"/>
            <w:shd w:val="clear" w:color="auto" w:fill="B4C6E7" w:themeFill="accent1" w:themeFillTint="66"/>
            <w:noWrap/>
            <w:vAlign w:val="center"/>
          </w:tcPr>
          <w:p w14:paraId="2C490755" w14:textId="18A564BC" w:rsidR="00DC56D7" w:rsidRPr="004F6182" w:rsidRDefault="00DC56D7" w:rsidP="006233FA">
            <w:pPr>
              <w:spacing w:after="0"/>
              <w:jc w:val="right"/>
              <w:rPr>
                <w:b/>
                <w:bCs/>
                <w:sz w:val="20"/>
                <w:szCs w:val="20"/>
                <w:lang w:val="en-US"/>
              </w:rPr>
            </w:pPr>
            <w:r w:rsidRPr="004F6182">
              <w:rPr>
                <w:b/>
                <w:bCs/>
                <w:sz w:val="20"/>
                <w:szCs w:val="20"/>
                <w:lang w:val="en-US"/>
              </w:rPr>
              <w:t xml:space="preserve">  $ 2</w:t>
            </w:r>
            <w:r>
              <w:rPr>
                <w:b/>
                <w:bCs/>
                <w:sz w:val="20"/>
                <w:szCs w:val="20"/>
                <w:lang w:val="en-US"/>
              </w:rPr>
              <w:t>3</w:t>
            </w:r>
            <w:r w:rsidR="7D3822ED" w:rsidRPr="65F02253">
              <w:rPr>
                <w:b/>
                <w:bCs/>
                <w:sz w:val="20"/>
                <w:szCs w:val="20"/>
                <w:lang w:val="en-US"/>
              </w:rPr>
              <w:t>.</w:t>
            </w:r>
            <w:r w:rsidR="6AB2F2CF" w:rsidRPr="65F02253">
              <w:rPr>
                <w:b/>
                <w:bCs/>
                <w:sz w:val="20"/>
                <w:szCs w:val="20"/>
                <w:lang w:val="en-US"/>
              </w:rPr>
              <w:t>54</w:t>
            </w:r>
          </w:p>
        </w:tc>
      </w:tr>
    </w:tbl>
    <w:p w14:paraId="0456425D" w14:textId="77777777" w:rsidR="00CD0639" w:rsidRDefault="00CD0639" w:rsidP="00446126">
      <w:pPr>
        <w:tabs>
          <w:tab w:val="left" w:pos="1418"/>
        </w:tabs>
        <w:ind w:left="1418" w:hanging="1418"/>
        <w:rPr>
          <w:lang w:eastAsia="zh-CN"/>
        </w:rPr>
      </w:pPr>
    </w:p>
    <w:p w14:paraId="0EC99EEB" w14:textId="61C8B2C0" w:rsidR="002D64F6" w:rsidRDefault="002D64F6" w:rsidP="002D02B7">
      <w:pPr>
        <w:pStyle w:val="Heading2"/>
      </w:pPr>
      <w:bookmarkStart w:id="159" w:name="_Toc230099068"/>
      <w:r w:rsidRPr="00E42C5E">
        <w:lastRenderedPageBreak/>
        <w:t>2.</w:t>
      </w:r>
      <w:r w:rsidR="008B5D37">
        <w:t>10</w:t>
      </w:r>
      <w:r w:rsidRPr="00E42C5E">
        <w:tab/>
      </w:r>
      <w:r>
        <w:t>S</w:t>
      </w:r>
      <w:r w:rsidR="009527F1">
        <w:t xml:space="preserve">ummary of </w:t>
      </w:r>
      <w:r w:rsidR="00813EA5">
        <w:t xml:space="preserve">estimated </w:t>
      </w:r>
      <w:r w:rsidR="00440384">
        <w:t>total HCFC funding requirement for the 2027-2029 triennium</w:t>
      </w:r>
      <w:r w:rsidR="00813EA5">
        <w:t xml:space="preserve"> and future triennia </w:t>
      </w:r>
      <w:r w:rsidR="00996F96" w:rsidRPr="3AECA5C7">
        <w:rPr>
          <w:vertAlign w:val="superscript"/>
        </w:rPr>
        <w:footnoteReference w:id="26"/>
      </w:r>
      <w:bookmarkEnd w:id="159"/>
    </w:p>
    <w:p w14:paraId="3CEE843A" w14:textId="620C109F" w:rsidR="00970E34" w:rsidRDefault="00B855B1" w:rsidP="73EDB2AF">
      <w:pPr>
        <w:keepNext/>
        <w:keepLines/>
      </w:pPr>
      <w:r>
        <w:t>Adding the range of estimated total funding requirement for the HCFC consumption sector as presented in section 2.7 with the above section 2.8 estimate for the production sector, t</w:t>
      </w:r>
      <w:r w:rsidR="008C650A">
        <w:t xml:space="preserve">he </w:t>
      </w:r>
      <w:r w:rsidR="00970E34">
        <w:t xml:space="preserve">estimated </w:t>
      </w:r>
      <w:r w:rsidR="008C650A">
        <w:t>total funding requirement for 2027-2029 triennium</w:t>
      </w:r>
      <w:r w:rsidR="00CE5DD4">
        <w:t xml:space="preserve"> and future triennia </w:t>
      </w:r>
      <w:r w:rsidR="00627C01">
        <w:t xml:space="preserve">for the </w:t>
      </w:r>
      <w:r w:rsidR="001D59E6">
        <w:t xml:space="preserve">HCFC </w:t>
      </w:r>
      <w:r w:rsidR="00627C01">
        <w:t>consumption and production sectors</w:t>
      </w:r>
      <w:r w:rsidR="001D59E6">
        <w:t xml:space="preserve"> are</w:t>
      </w:r>
      <w:r w:rsidR="00975453">
        <w:t xml:space="preserve"> </w:t>
      </w:r>
      <w:r w:rsidR="009403E9">
        <w:t>summarised</w:t>
      </w:r>
      <w:r w:rsidR="008A6145">
        <w:t xml:space="preserve"> below and in Table 2.1</w:t>
      </w:r>
      <w:r w:rsidR="00790CEA">
        <w:t>4</w:t>
      </w:r>
      <w:r w:rsidR="00970E34">
        <w:t>:</w:t>
      </w:r>
    </w:p>
    <w:p w14:paraId="073261EA" w14:textId="77777777" w:rsidR="00EA6EED" w:rsidRPr="006264FD" w:rsidRDefault="00EA6EED" w:rsidP="00EA6EED">
      <w:pPr>
        <w:pStyle w:val="ListParagraph"/>
        <w:keepNext/>
        <w:keepLines/>
        <w:numPr>
          <w:ilvl w:val="0"/>
          <w:numId w:val="72"/>
        </w:numPr>
        <w:spacing w:after="120"/>
        <w:rPr>
          <w:b/>
          <w:bCs/>
        </w:rPr>
      </w:pPr>
      <w:r w:rsidRPr="009E4856">
        <w:rPr>
          <w:b/>
          <w:bCs/>
        </w:rPr>
        <w:t>2027-2029: US$ 4</w:t>
      </w:r>
      <w:r>
        <w:rPr>
          <w:b/>
          <w:bCs/>
        </w:rPr>
        <w:t>51 m</w:t>
      </w:r>
      <w:r w:rsidRPr="009E4856">
        <w:rPr>
          <w:b/>
          <w:bCs/>
        </w:rPr>
        <w:t>illion to US$ 5</w:t>
      </w:r>
      <w:r>
        <w:rPr>
          <w:b/>
          <w:bCs/>
        </w:rPr>
        <w:t>73</w:t>
      </w:r>
      <w:r w:rsidRPr="009E4856">
        <w:rPr>
          <w:b/>
          <w:bCs/>
        </w:rPr>
        <w:t xml:space="preserve"> million</w:t>
      </w:r>
    </w:p>
    <w:p w14:paraId="32E311E5" w14:textId="0C20B0CE" w:rsidR="00EA6EED" w:rsidRPr="006264FD" w:rsidRDefault="00EA6EED" w:rsidP="00AB5CA0">
      <w:pPr>
        <w:pStyle w:val="ListParagraph"/>
        <w:keepNext/>
        <w:keepLines/>
        <w:numPr>
          <w:ilvl w:val="0"/>
          <w:numId w:val="72"/>
        </w:numPr>
        <w:rPr>
          <w:b/>
          <w:bCs/>
        </w:rPr>
      </w:pPr>
      <w:r w:rsidRPr="009E4856">
        <w:rPr>
          <w:b/>
          <w:bCs/>
        </w:rPr>
        <w:t xml:space="preserve">2030-2032: US$ </w:t>
      </w:r>
      <w:r w:rsidR="00B45F31">
        <w:rPr>
          <w:b/>
          <w:bCs/>
        </w:rPr>
        <w:t>8</w:t>
      </w:r>
      <w:r w:rsidR="0087163D">
        <w:rPr>
          <w:b/>
          <w:bCs/>
        </w:rPr>
        <w:t>3</w:t>
      </w:r>
      <w:r w:rsidR="00B45F31" w:rsidRPr="009E4856">
        <w:rPr>
          <w:b/>
          <w:bCs/>
        </w:rPr>
        <w:t xml:space="preserve"> </w:t>
      </w:r>
      <w:r w:rsidRPr="009E4856">
        <w:rPr>
          <w:b/>
          <w:bCs/>
        </w:rPr>
        <w:t xml:space="preserve">million to US$ </w:t>
      </w:r>
      <w:r w:rsidR="00B45F31">
        <w:rPr>
          <w:b/>
          <w:bCs/>
        </w:rPr>
        <w:t>96</w:t>
      </w:r>
      <w:r w:rsidR="00B45F31" w:rsidRPr="009E4856">
        <w:rPr>
          <w:b/>
          <w:bCs/>
        </w:rPr>
        <w:t xml:space="preserve"> </w:t>
      </w:r>
      <w:r w:rsidRPr="009E4856">
        <w:rPr>
          <w:b/>
          <w:bCs/>
        </w:rPr>
        <w:t>million</w:t>
      </w:r>
    </w:p>
    <w:p w14:paraId="0DF74ABD" w14:textId="65182F87" w:rsidR="008A6145" w:rsidRDefault="008A6145" w:rsidP="002135B0">
      <w:pPr>
        <w:tabs>
          <w:tab w:val="left" w:pos="1276"/>
        </w:tabs>
        <w:spacing w:after="120"/>
        <w:ind w:left="1276" w:hanging="1276"/>
        <w:rPr>
          <w:rFonts w:eastAsiaTheme="minorEastAsia"/>
          <w:b/>
          <w:highlight w:val="yellow"/>
        </w:rPr>
      </w:pPr>
      <w:r w:rsidRPr="222ABFFA">
        <w:rPr>
          <w:rFonts w:eastAsiaTheme="minorEastAsia"/>
          <w:b/>
          <w:bCs/>
        </w:rPr>
        <w:t>Table 2.</w:t>
      </w:r>
      <w:r>
        <w:rPr>
          <w:rFonts w:eastAsiaTheme="minorEastAsia"/>
          <w:b/>
          <w:bCs/>
        </w:rPr>
        <w:t>1</w:t>
      </w:r>
      <w:r w:rsidR="00790CEA">
        <w:rPr>
          <w:rFonts w:eastAsiaTheme="minorEastAsia"/>
          <w:b/>
          <w:bCs/>
        </w:rPr>
        <w:t>4</w:t>
      </w:r>
      <w:r w:rsidR="0004488B">
        <w:rPr>
          <w:rFonts w:eastAsiaTheme="minorEastAsia"/>
          <w:b/>
          <w:bCs/>
        </w:rPr>
        <w:t>:</w:t>
      </w:r>
      <w:r>
        <w:tab/>
      </w:r>
      <w:r w:rsidRPr="222ABFFA">
        <w:rPr>
          <w:rFonts w:eastAsiaTheme="minorEastAsia"/>
          <w:b/>
          <w:bCs/>
        </w:rPr>
        <w:t xml:space="preserve">Estimated </w:t>
      </w:r>
      <w:r w:rsidR="00CE5D08">
        <w:rPr>
          <w:rFonts w:eastAsiaTheme="minorEastAsia"/>
          <w:b/>
          <w:bCs/>
        </w:rPr>
        <w:t xml:space="preserve">total </w:t>
      </w:r>
      <w:r w:rsidRPr="222ABFFA">
        <w:rPr>
          <w:rFonts w:eastAsiaTheme="minorEastAsia"/>
          <w:b/>
          <w:bCs/>
        </w:rPr>
        <w:t xml:space="preserve">funding requirement for HCFC </w:t>
      </w:r>
      <w:r w:rsidR="003A1120">
        <w:rPr>
          <w:rFonts w:eastAsiaTheme="minorEastAsia"/>
          <w:b/>
          <w:bCs/>
        </w:rPr>
        <w:t>phase-out for 2027-2029 and future triennia</w:t>
      </w:r>
      <w:r w:rsidRPr="222ABFFA">
        <w:rPr>
          <w:rFonts w:eastAsiaTheme="minorEastAsia"/>
          <w:b/>
          <w:bCs/>
        </w:rPr>
        <w:t xml:space="preserve"> (US</w:t>
      </w:r>
      <w:r w:rsidRPr="531ECB33">
        <w:rPr>
          <w:rFonts w:eastAsiaTheme="minorEastAsia"/>
          <w:b/>
          <w:bCs/>
        </w:rPr>
        <w:t>$ million)</w:t>
      </w:r>
      <w:r w:rsidRPr="222ABFFA">
        <w:rPr>
          <w:rFonts w:eastAsiaTheme="minorEastAsia"/>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3"/>
        <w:gridCol w:w="2370"/>
        <w:gridCol w:w="2378"/>
        <w:gridCol w:w="2322"/>
      </w:tblGrid>
      <w:tr w:rsidR="004D3A25" w:rsidRPr="00E537F3" w14:paraId="0421C4F4" w14:textId="77777777" w:rsidTr="002135B0">
        <w:trPr>
          <w:trHeight w:val="300"/>
        </w:trPr>
        <w:tc>
          <w:tcPr>
            <w:tcW w:w="743" w:type="pct"/>
            <w:vMerge w:val="restart"/>
            <w:shd w:val="clear" w:color="auto" w:fill="DEEAF6" w:themeFill="accent5" w:themeFillTint="33"/>
            <w:vAlign w:val="center"/>
          </w:tcPr>
          <w:p w14:paraId="5A072AD3" w14:textId="27B33B04" w:rsidR="004D3A25" w:rsidRPr="00E537F3" w:rsidRDefault="004D3A25" w:rsidP="001F0332">
            <w:pPr>
              <w:tabs>
                <w:tab w:val="clear" w:pos="0"/>
              </w:tabs>
              <w:spacing w:after="0"/>
              <w:jc w:val="center"/>
              <w:textAlignment w:val="baseline"/>
              <w:rPr>
                <w:b/>
                <w:bCs/>
                <w:color w:val="000000"/>
                <w:sz w:val="21"/>
                <w:szCs w:val="21"/>
                <w:lang w:val="en-US"/>
              </w:rPr>
            </w:pPr>
            <w:r>
              <w:rPr>
                <w:b/>
                <w:bCs/>
                <w:color w:val="000000"/>
                <w:sz w:val="21"/>
                <w:szCs w:val="21"/>
                <w:lang w:val="en-US"/>
              </w:rPr>
              <w:t>Triennium</w:t>
            </w:r>
          </w:p>
        </w:tc>
        <w:tc>
          <w:tcPr>
            <w:tcW w:w="1427" w:type="pct"/>
            <w:vMerge w:val="restart"/>
            <w:shd w:val="clear" w:color="auto" w:fill="DEEAF6" w:themeFill="accent5" w:themeFillTint="33"/>
            <w:vAlign w:val="center"/>
            <w:hideMark/>
          </w:tcPr>
          <w:p w14:paraId="1C1EC08D" w14:textId="4F5D22C6" w:rsidR="004D3A25" w:rsidRPr="00E537F3" w:rsidRDefault="001F0332" w:rsidP="00E537F3">
            <w:pPr>
              <w:tabs>
                <w:tab w:val="clear" w:pos="0"/>
              </w:tabs>
              <w:spacing w:after="0"/>
              <w:jc w:val="center"/>
              <w:textAlignment w:val="baseline"/>
              <w:rPr>
                <w:rFonts w:ascii="Segoe UI" w:hAnsi="Segoe UI" w:cs="Segoe UI"/>
                <w:color w:val="000000"/>
                <w:sz w:val="18"/>
                <w:szCs w:val="18"/>
                <w:lang w:val="en-US"/>
              </w:rPr>
            </w:pPr>
            <w:r>
              <w:rPr>
                <w:b/>
                <w:bCs/>
                <w:color w:val="000000"/>
                <w:sz w:val="21"/>
                <w:szCs w:val="21"/>
                <w:lang w:val="en-US"/>
              </w:rPr>
              <w:t>Sector</w:t>
            </w:r>
            <w:r w:rsidR="004D3A25" w:rsidRPr="00E537F3">
              <w:rPr>
                <w:color w:val="000000"/>
                <w:sz w:val="21"/>
                <w:szCs w:val="21"/>
                <w:lang w:val="en-US"/>
              </w:rPr>
              <w:t> </w:t>
            </w:r>
          </w:p>
        </w:tc>
        <w:tc>
          <w:tcPr>
            <w:tcW w:w="2830" w:type="pct"/>
            <w:gridSpan w:val="2"/>
            <w:shd w:val="clear" w:color="auto" w:fill="DEEAF6" w:themeFill="accent5" w:themeFillTint="33"/>
            <w:vAlign w:val="center"/>
            <w:hideMark/>
          </w:tcPr>
          <w:p w14:paraId="62CD96DF" w14:textId="0ECABD90" w:rsidR="004D3A25" w:rsidRPr="00E537F3" w:rsidRDefault="004D3A25" w:rsidP="00E537F3">
            <w:pPr>
              <w:tabs>
                <w:tab w:val="clear" w:pos="0"/>
              </w:tabs>
              <w:spacing w:after="0"/>
              <w:jc w:val="center"/>
              <w:textAlignment w:val="baseline"/>
              <w:rPr>
                <w:rFonts w:ascii="Segoe UI" w:hAnsi="Segoe UI" w:cs="Segoe UI"/>
                <w:b/>
                <w:bCs/>
                <w:color w:val="000000"/>
                <w:sz w:val="18"/>
                <w:szCs w:val="18"/>
                <w:lang w:val="en-US"/>
              </w:rPr>
            </w:pPr>
            <w:r w:rsidRPr="00E537F3">
              <w:rPr>
                <w:b/>
                <w:bCs/>
                <w:color w:val="000000"/>
                <w:sz w:val="21"/>
                <w:szCs w:val="21"/>
                <w:lang w:val="en-US"/>
              </w:rPr>
              <w:t xml:space="preserve">HCFC ESTIMATED </w:t>
            </w:r>
            <w:r w:rsidRPr="00E537F3">
              <w:rPr>
                <w:b/>
                <w:bCs/>
                <w:color w:val="000000"/>
                <w:sz w:val="21"/>
                <w:szCs w:val="21"/>
                <w:lang w:val="en-US"/>
              </w:rPr>
              <w:br/>
              <w:t>FUNDING RANGE (US$ million)</w:t>
            </w:r>
          </w:p>
        </w:tc>
      </w:tr>
      <w:tr w:rsidR="004D3A25" w:rsidRPr="00E537F3" w14:paraId="0721A703" w14:textId="77777777" w:rsidTr="002135B0">
        <w:trPr>
          <w:trHeight w:val="60"/>
        </w:trPr>
        <w:tc>
          <w:tcPr>
            <w:tcW w:w="743" w:type="pct"/>
            <w:vMerge/>
          </w:tcPr>
          <w:p w14:paraId="5B0E5D1C" w14:textId="77777777" w:rsidR="004D3A25" w:rsidRPr="00E537F3" w:rsidRDefault="004D3A25" w:rsidP="00E537F3">
            <w:pPr>
              <w:tabs>
                <w:tab w:val="clear" w:pos="0"/>
              </w:tabs>
              <w:spacing w:after="0"/>
              <w:rPr>
                <w:rFonts w:ascii="Segoe UI" w:hAnsi="Segoe UI" w:cs="Segoe UI"/>
                <w:color w:val="000000"/>
                <w:sz w:val="18"/>
                <w:szCs w:val="18"/>
                <w:lang w:val="en-US"/>
              </w:rPr>
            </w:pPr>
          </w:p>
        </w:tc>
        <w:tc>
          <w:tcPr>
            <w:tcW w:w="1427" w:type="pct"/>
            <w:vMerge/>
            <w:vAlign w:val="center"/>
            <w:hideMark/>
          </w:tcPr>
          <w:p w14:paraId="1E8D7340" w14:textId="062F2E42" w:rsidR="004D3A25" w:rsidRPr="00E537F3" w:rsidRDefault="004D3A25" w:rsidP="00E537F3">
            <w:pPr>
              <w:tabs>
                <w:tab w:val="clear" w:pos="0"/>
              </w:tabs>
              <w:spacing w:after="0"/>
              <w:rPr>
                <w:rFonts w:ascii="Segoe UI" w:hAnsi="Segoe UI" w:cs="Segoe UI"/>
                <w:color w:val="000000"/>
                <w:sz w:val="18"/>
                <w:szCs w:val="18"/>
                <w:lang w:val="en-US"/>
              </w:rPr>
            </w:pPr>
          </w:p>
        </w:tc>
        <w:tc>
          <w:tcPr>
            <w:tcW w:w="1432" w:type="pct"/>
            <w:shd w:val="clear" w:color="auto" w:fill="DEEAF6" w:themeFill="accent5" w:themeFillTint="33"/>
            <w:vAlign w:val="center"/>
            <w:hideMark/>
          </w:tcPr>
          <w:p w14:paraId="338B10FA" w14:textId="30623E0C" w:rsidR="004D3A25" w:rsidRPr="00E537F3" w:rsidRDefault="004D3A25" w:rsidP="00E537F3">
            <w:pPr>
              <w:tabs>
                <w:tab w:val="clear" w:pos="0"/>
              </w:tabs>
              <w:spacing w:after="0"/>
              <w:jc w:val="center"/>
              <w:textAlignment w:val="baseline"/>
              <w:rPr>
                <w:rFonts w:ascii="Segoe UI" w:hAnsi="Segoe UI" w:cs="Segoe UI"/>
                <w:color w:val="000000"/>
                <w:sz w:val="18"/>
                <w:szCs w:val="18"/>
                <w:lang w:val="en-US"/>
              </w:rPr>
            </w:pPr>
            <w:r w:rsidRPr="39750979">
              <w:rPr>
                <w:b/>
                <w:sz w:val="21"/>
                <w:szCs w:val="21"/>
                <w:lang w:val="en-US"/>
              </w:rPr>
              <w:t xml:space="preserve">Scenario </w:t>
            </w:r>
            <w:r w:rsidR="145F0769" w:rsidRPr="145F0769">
              <w:rPr>
                <w:b/>
                <w:bCs/>
                <w:sz w:val="21"/>
                <w:szCs w:val="21"/>
                <w:lang w:val="en-US"/>
              </w:rPr>
              <w:t xml:space="preserve">1 </w:t>
            </w:r>
            <w:r w:rsidRPr="39750979">
              <w:rPr>
                <w:b/>
                <w:sz w:val="21"/>
                <w:szCs w:val="21"/>
                <w:lang w:val="en-US"/>
              </w:rPr>
              <w:t>with 90%/10% Allocation</w:t>
            </w:r>
          </w:p>
        </w:tc>
        <w:tc>
          <w:tcPr>
            <w:tcW w:w="1398" w:type="pct"/>
            <w:shd w:val="clear" w:color="auto" w:fill="DEEAF6" w:themeFill="accent5" w:themeFillTint="33"/>
            <w:vAlign w:val="center"/>
            <w:hideMark/>
          </w:tcPr>
          <w:p w14:paraId="79171F88" w14:textId="7A330E10" w:rsidR="004D3A25" w:rsidRPr="00E537F3" w:rsidRDefault="004D3A25" w:rsidP="00E537F3">
            <w:pPr>
              <w:tabs>
                <w:tab w:val="clear" w:pos="0"/>
              </w:tabs>
              <w:spacing w:after="0"/>
              <w:jc w:val="center"/>
              <w:textAlignment w:val="baseline"/>
              <w:rPr>
                <w:rFonts w:ascii="Segoe UI" w:hAnsi="Segoe UI" w:cs="Segoe UI"/>
                <w:color w:val="000000"/>
                <w:sz w:val="18"/>
                <w:szCs w:val="18"/>
                <w:lang w:val="en-US"/>
              </w:rPr>
            </w:pPr>
            <w:r w:rsidRPr="145F0769">
              <w:rPr>
                <w:b/>
                <w:sz w:val="21"/>
                <w:szCs w:val="21"/>
                <w:lang w:val="en-US"/>
              </w:rPr>
              <w:t xml:space="preserve">Scenario </w:t>
            </w:r>
            <w:r w:rsidR="145F0769" w:rsidRPr="145F0769">
              <w:rPr>
                <w:b/>
                <w:bCs/>
                <w:sz w:val="21"/>
                <w:szCs w:val="21"/>
                <w:lang w:val="en-US"/>
              </w:rPr>
              <w:t xml:space="preserve">2 </w:t>
            </w:r>
            <w:r w:rsidRPr="145F0769">
              <w:rPr>
                <w:b/>
                <w:sz w:val="21"/>
                <w:szCs w:val="21"/>
                <w:lang w:val="en-US"/>
              </w:rPr>
              <w:t>with 90%/10% Allocation</w:t>
            </w:r>
          </w:p>
        </w:tc>
      </w:tr>
      <w:tr w:rsidR="006232AC" w:rsidRPr="00E537F3" w14:paraId="54EDB224" w14:textId="77777777" w:rsidTr="0006403F">
        <w:trPr>
          <w:trHeight w:val="285"/>
        </w:trPr>
        <w:tc>
          <w:tcPr>
            <w:tcW w:w="743" w:type="pct"/>
            <w:vMerge w:val="restart"/>
            <w:shd w:val="clear" w:color="auto" w:fill="E2EFD9" w:themeFill="accent6" w:themeFillTint="33"/>
            <w:vAlign w:val="center"/>
          </w:tcPr>
          <w:p w14:paraId="69FB0A98" w14:textId="77FF94D8" w:rsidR="006232AC" w:rsidRPr="00E537F3" w:rsidRDefault="006232AC" w:rsidP="00A557DB">
            <w:pPr>
              <w:tabs>
                <w:tab w:val="clear" w:pos="0"/>
              </w:tabs>
              <w:spacing w:after="0"/>
              <w:jc w:val="center"/>
              <w:textAlignment w:val="baseline"/>
              <w:rPr>
                <w:b/>
                <w:bCs/>
                <w:color w:val="000000"/>
                <w:lang w:val="en-US"/>
              </w:rPr>
            </w:pPr>
            <w:r>
              <w:rPr>
                <w:b/>
                <w:bCs/>
                <w:color w:val="000000"/>
                <w:lang w:val="en-US"/>
              </w:rPr>
              <w:t>2027-2029</w:t>
            </w:r>
          </w:p>
        </w:tc>
        <w:tc>
          <w:tcPr>
            <w:tcW w:w="1427" w:type="pct"/>
            <w:shd w:val="clear" w:color="auto" w:fill="FFFFFF" w:themeFill="background1"/>
            <w:vAlign w:val="bottom"/>
            <w:hideMark/>
          </w:tcPr>
          <w:p w14:paraId="3110C248" w14:textId="4EE397D3" w:rsidR="006232AC" w:rsidRPr="00E537F3" w:rsidRDefault="006232AC" w:rsidP="00EB6C94">
            <w:pPr>
              <w:tabs>
                <w:tab w:val="clear" w:pos="0"/>
              </w:tabs>
              <w:spacing w:after="0"/>
              <w:textAlignment w:val="baseline"/>
              <w:rPr>
                <w:rFonts w:ascii="Segoe UI" w:hAnsi="Segoe UI" w:cs="Segoe UI"/>
                <w:color w:val="000000"/>
                <w:sz w:val="18"/>
                <w:szCs w:val="18"/>
                <w:lang w:val="en-US"/>
              </w:rPr>
            </w:pPr>
            <w:r>
              <w:rPr>
                <w:b/>
                <w:bCs/>
                <w:color w:val="000000"/>
                <w:lang w:val="en-US"/>
              </w:rPr>
              <w:t>HCFC Consumption secto</w:t>
            </w:r>
            <w:r w:rsidR="009333BA">
              <w:rPr>
                <w:b/>
                <w:bCs/>
                <w:color w:val="000000"/>
                <w:lang w:val="en-US"/>
              </w:rPr>
              <w:t>r with scenarios</w:t>
            </w:r>
            <w:r w:rsidR="00FF29EE">
              <w:rPr>
                <w:b/>
                <w:bCs/>
                <w:color w:val="000000"/>
                <w:lang w:val="en-US"/>
              </w:rPr>
              <w:t xml:space="preserve"> and </w:t>
            </w:r>
            <w:r w:rsidR="005657EA">
              <w:rPr>
                <w:b/>
                <w:bCs/>
                <w:color w:val="000000"/>
                <w:lang w:val="en-US"/>
              </w:rPr>
              <w:t xml:space="preserve">resource </w:t>
            </w:r>
            <w:r w:rsidR="00FF29EE">
              <w:rPr>
                <w:b/>
                <w:bCs/>
                <w:color w:val="000000"/>
                <w:lang w:val="en-US"/>
              </w:rPr>
              <w:t>allocations</w:t>
            </w:r>
          </w:p>
        </w:tc>
        <w:tc>
          <w:tcPr>
            <w:tcW w:w="1432" w:type="pct"/>
            <w:shd w:val="clear" w:color="auto" w:fill="FFFFFF" w:themeFill="background1"/>
            <w:vAlign w:val="center"/>
            <w:hideMark/>
          </w:tcPr>
          <w:p w14:paraId="6AFA13BA" w14:textId="3F18E4BE" w:rsidR="006232AC" w:rsidRPr="00E537F3" w:rsidRDefault="006232AC" w:rsidP="00E537F3">
            <w:pPr>
              <w:tabs>
                <w:tab w:val="clear" w:pos="0"/>
              </w:tabs>
              <w:spacing w:after="0"/>
              <w:jc w:val="center"/>
              <w:textAlignment w:val="baseline"/>
              <w:rPr>
                <w:rFonts w:ascii="Segoe UI" w:hAnsi="Segoe UI" w:cs="Segoe UI"/>
                <w:b/>
                <w:bCs/>
                <w:color w:val="000000"/>
                <w:sz w:val="18"/>
                <w:szCs w:val="18"/>
                <w:lang w:val="en-US"/>
              </w:rPr>
            </w:pPr>
            <w:r w:rsidRPr="00E537F3">
              <w:rPr>
                <w:b/>
                <w:bCs/>
                <w:color w:val="000000"/>
                <w:lang w:val="en-US"/>
              </w:rPr>
              <w:t>42</w:t>
            </w:r>
            <w:r>
              <w:rPr>
                <w:b/>
                <w:bCs/>
                <w:color w:val="000000"/>
                <w:lang w:val="en-US"/>
              </w:rPr>
              <w:t>7.56</w:t>
            </w:r>
          </w:p>
        </w:tc>
        <w:tc>
          <w:tcPr>
            <w:tcW w:w="1398" w:type="pct"/>
            <w:shd w:val="clear" w:color="auto" w:fill="FFFFFF" w:themeFill="background1"/>
            <w:vAlign w:val="center"/>
            <w:hideMark/>
          </w:tcPr>
          <w:p w14:paraId="16D3C307" w14:textId="45800D2D" w:rsidR="006232AC" w:rsidRPr="00E537F3" w:rsidRDefault="006232AC" w:rsidP="00E537F3">
            <w:pPr>
              <w:tabs>
                <w:tab w:val="clear" w:pos="0"/>
              </w:tabs>
              <w:spacing w:after="0"/>
              <w:jc w:val="center"/>
              <w:textAlignment w:val="baseline"/>
              <w:rPr>
                <w:rFonts w:ascii="Segoe UI" w:hAnsi="Segoe UI" w:cs="Segoe UI"/>
                <w:b/>
                <w:bCs/>
                <w:color w:val="000000"/>
                <w:sz w:val="18"/>
                <w:szCs w:val="18"/>
                <w:lang w:val="en-US"/>
              </w:rPr>
            </w:pPr>
            <w:r w:rsidRPr="00E537F3">
              <w:rPr>
                <w:b/>
                <w:bCs/>
                <w:color w:val="000000"/>
                <w:lang w:val="en-US"/>
              </w:rPr>
              <w:t>549</w:t>
            </w:r>
            <w:r>
              <w:rPr>
                <w:b/>
                <w:bCs/>
                <w:color w:val="000000"/>
                <w:lang w:val="en-US"/>
              </w:rPr>
              <w:t>.44</w:t>
            </w:r>
          </w:p>
        </w:tc>
      </w:tr>
      <w:tr w:rsidR="006232AC" w:rsidRPr="00E537F3" w14:paraId="69170969" w14:textId="77777777" w:rsidTr="0006403F">
        <w:trPr>
          <w:trHeight w:val="285"/>
        </w:trPr>
        <w:tc>
          <w:tcPr>
            <w:tcW w:w="743" w:type="pct"/>
            <w:vMerge/>
            <w:vAlign w:val="center"/>
          </w:tcPr>
          <w:p w14:paraId="272FCD7F" w14:textId="77777777" w:rsidR="006232AC" w:rsidRPr="00E537F3" w:rsidRDefault="006232AC" w:rsidP="00A557DB">
            <w:pPr>
              <w:tabs>
                <w:tab w:val="clear" w:pos="0"/>
              </w:tabs>
              <w:spacing w:after="0"/>
              <w:jc w:val="center"/>
              <w:textAlignment w:val="baseline"/>
              <w:rPr>
                <w:b/>
                <w:bCs/>
                <w:color w:val="000000"/>
                <w:lang w:val="en-US"/>
              </w:rPr>
            </w:pPr>
          </w:p>
        </w:tc>
        <w:tc>
          <w:tcPr>
            <w:tcW w:w="1427" w:type="pct"/>
            <w:shd w:val="clear" w:color="auto" w:fill="FFFFFF" w:themeFill="background1"/>
            <w:vAlign w:val="bottom"/>
          </w:tcPr>
          <w:p w14:paraId="0CB89F8E" w14:textId="2EF56F5B" w:rsidR="006232AC" w:rsidRPr="00E537F3" w:rsidRDefault="006232AC" w:rsidP="00EB6C94">
            <w:pPr>
              <w:tabs>
                <w:tab w:val="clear" w:pos="0"/>
              </w:tabs>
              <w:spacing w:after="0"/>
              <w:textAlignment w:val="baseline"/>
              <w:rPr>
                <w:b/>
                <w:bCs/>
                <w:color w:val="000000"/>
                <w:lang w:val="en-US"/>
              </w:rPr>
            </w:pPr>
            <w:r>
              <w:rPr>
                <w:b/>
                <w:bCs/>
                <w:color w:val="000000"/>
                <w:lang w:val="en-US"/>
              </w:rPr>
              <w:t>HCFC Production sector</w:t>
            </w:r>
          </w:p>
        </w:tc>
        <w:tc>
          <w:tcPr>
            <w:tcW w:w="1432" w:type="pct"/>
            <w:shd w:val="clear" w:color="auto" w:fill="FFFFFF" w:themeFill="background1"/>
            <w:vAlign w:val="center"/>
          </w:tcPr>
          <w:p w14:paraId="21CDCFE6" w14:textId="318CEA62" w:rsidR="006232AC" w:rsidRPr="00E537F3" w:rsidRDefault="006232AC" w:rsidP="00E537F3">
            <w:pPr>
              <w:tabs>
                <w:tab w:val="clear" w:pos="0"/>
              </w:tabs>
              <w:spacing w:after="0"/>
              <w:jc w:val="center"/>
              <w:textAlignment w:val="baseline"/>
              <w:rPr>
                <w:b/>
                <w:bCs/>
                <w:color w:val="000000"/>
                <w:lang w:val="en-US"/>
              </w:rPr>
            </w:pPr>
            <w:r>
              <w:rPr>
                <w:b/>
                <w:bCs/>
                <w:color w:val="000000"/>
                <w:lang w:val="en-US"/>
              </w:rPr>
              <w:t>23.54</w:t>
            </w:r>
          </w:p>
        </w:tc>
        <w:tc>
          <w:tcPr>
            <w:tcW w:w="1398" w:type="pct"/>
            <w:shd w:val="clear" w:color="auto" w:fill="FFFFFF" w:themeFill="background1"/>
            <w:vAlign w:val="center"/>
          </w:tcPr>
          <w:p w14:paraId="6FAD5EB4" w14:textId="5D79A82D" w:rsidR="006232AC" w:rsidRPr="00E537F3" w:rsidRDefault="006232AC" w:rsidP="00E537F3">
            <w:pPr>
              <w:tabs>
                <w:tab w:val="clear" w:pos="0"/>
              </w:tabs>
              <w:spacing w:after="0"/>
              <w:jc w:val="center"/>
              <w:textAlignment w:val="baseline"/>
              <w:rPr>
                <w:b/>
                <w:bCs/>
                <w:color w:val="000000"/>
                <w:lang w:val="en-US"/>
              </w:rPr>
            </w:pPr>
            <w:r>
              <w:rPr>
                <w:b/>
                <w:bCs/>
                <w:color w:val="000000"/>
                <w:lang w:val="en-US"/>
              </w:rPr>
              <w:t>23.54</w:t>
            </w:r>
          </w:p>
        </w:tc>
      </w:tr>
      <w:tr w:rsidR="006232AC" w:rsidRPr="00E537F3" w14:paraId="2F404EB9" w14:textId="77777777" w:rsidTr="0006403F">
        <w:trPr>
          <w:trHeight w:val="285"/>
        </w:trPr>
        <w:tc>
          <w:tcPr>
            <w:tcW w:w="743" w:type="pct"/>
            <w:vMerge/>
            <w:vAlign w:val="center"/>
          </w:tcPr>
          <w:p w14:paraId="6174370B" w14:textId="77777777" w:rsidR="006232AC" w:rsidRPr="00E537F3" w:rsidRDefault="006232AC" w:rsidP="00A557DB">
            <w:pPr>
              <w:tabs>
                <w:tab w:val="clear" w:pos="0"/>
              </w:tabs>
              <w:spacing w:after="0"/>
              <w:jc w:val="center"/>
              <w:textAlignment w:val="baseline"/>
              <w:rPr>
                <w:b/>
                <w:bCs/>
                <w:color w:val="000000"/>
                <w:lang w:val="en-US"/>
              </w:rPr>
            </w:pPr>
          </w:p>
        </w:tc>
        <w:tc>
          <w:tcPr>
            <w:tcW w:w="1427" w:type="pct"/>
            <w:shd w:val="clear" w:color="auto" w:fill="FFFF00"/>
            <w:vAlign w:val="bottom"/>
          </w:tcPr>
          <w:p w14:paraId="42709D27" w14:textId="5C45C8D9" w:rsidR="006232AC" w:rsidRDefault="006232AC" w:rsidP="00EB6C94">
            <w:pPr>
              <w:tabs>
                <w:tab w:val="clear" w:pos="0"/>
              </w:tabs>
              <w:spacing w:after="0"/>
              <w:textAlignment w:val="baseline"/>
              <w:rPr>
                <w:b/>
                <w:bCs/>
                <w:color w:val="000000"/>
                <w:lang w:val="en-US"/>
              </w:rPr>
            </w:pPr>
            <w:r>
              <w:rPr>
                <w:b/>
                <w:bCs/>
                <w:color w:val="000000"/>
                <w:lang w:val="en-US"/>
              </w:rPr>
              <w:t>TOTAL RANGE</w:t>
            </w:r>
          </w:p>
        </w:tc>
        <w:tc>
          <w:tcPr>
            <w:tcW w:w="1432" w:type="pct"/>
            <w:shd w:val="clear" w:color="auto" w:fill="FFFF00"/>
            <w:vAlign w:val="center"/>
          </w:tcPr>
          <w:p w14:paraId="7549BA2E" w14:textId="2C6F745D" w:rsidR="006232AC" w:rsidRDefault="006232AC" w:rsidP="00E537F3">
            <w:pPr>
              <w:tabs>
                <w:tab w:val="clear" w:pos="0"/>
              </w:tabs>
              <w:spacing w:after="0"/>
              <w:jc w:val="center"/>
              <w:textAlignment w:val="baseline"/>
              <w:rPr>
                <w:b/>
                <w:bCs/>
                <w:color w:val="000000"/>
                <w:lang w:val="en-US"/>
              </w:rPr>
            </w:pPr>
            <w:r>
              <w:rPr>
                <w:b/>
                <w:bCs/>
                <w:color w:val="000000"/>
                <w:lang w:val="en-US"/>
              </w:rPr>
              <w:t>451.10</w:t>
            </w:r>
          </w:p>
        </w:tc>
        <w:tc>
          <w:tcPr>
            <w:tcW w:w="1398" w:type="pct"/>
            <w:shd w:val="clear" w:color="auto" w:fill="FFFF00"/>
            <w:vAlign w:val="center"/>
          </w:tcPr>
          <w:p w14:paraId="28786ED3" w14:textId="419ADF18" w:rsidR="006232AC" w:rsidRDefault="006232AC" w:rsidP="00E537F3">
            <w:pPr>
              <w:tabs>
                <w:tab w:val="clear" w:pos="0"/>
              </w:tabs>
              <w:spacing w:after="0"/>
              <w:jc w:val="center"/>
              <w:textAlignment w:val="baseline"/>
              <w:rPr>
                <w:b/>
                <w:bCs/>
                <w:color w:val="000000"/>
                <w:lang w:val="en-US"/>
              </w:rPr>
            </w:pPr>
            <w:r>
              <w:rPr>
                <w:b/>
                <w:bCs/>
                <w:color w:val="000000"/>
                <w:lang w:val="en-US"/>
              </w:rPr>
              <w:t>572.98</w:t>
            </w:r>
          </w:p>
        </w:tc>
      </w:tr>
      <w:tr w:rsidR="006232AC" w:rsidRPr="00E537F3" w14:paraId="48A0285B" w14:textId="77777777" w:rsidTr="0006403F">
        <w:trPr>
          <w:trHeight w:val="285"/>
        </w:trPr>
        <w:tc>
          <w:tcPr>
            <w:tcW w:w="743" w:type="pct"/>
            <w:vMerge w:val="restart"/>
            <w:shd w:val="clear" w:color="auto" w:fill="E2EFD9" w:themeFill="accent6" w:themeFillTint="33"/>
            <w:vAlign w:val="center"/>
          </w:tcPr>
          <w:p w14:paraId="2F166549" w14:textId="4D0861E3" w:rsidR="006232AC" w:rsidRPr="00E537F3" w:rsidRDefault="006232AC" w:rsidP="00A557DB">
            <w:pPr>
              <w:tabs>
                <w:tab w:val="clear" w:pos="0"/>
              </w:tabs>
              <w:spacing w:after="0"/>
              <w:jc w:val="center"/>
              <w:textAlignment w:val="baseline"/>
              <w:rPr>
                <w:b/>
                <w:bCs/>
                <w:color w:val="000000"/>
                <w:lang w:val="en-US"/>
              </w:rPr>
            </w:pPr>
            <w:r>
              <w:rPr>
                <w:b/>
                <w:bCs/>
                <w:color w:val="000000"/>
                <w:lang w:val="en-US"/>
              </w:rPr>
              <w:t>2030-2032</w:t>
            </w:r>
          </w:p>
        </w:tc>
        <w:tc>
          <w:tcPr>
            <w:tcW w:w="1427" w:type="pct"/>
            <w:shd w:val="clear" w:color="auto" w:fill="FFFFFF" w:themeFill="background1"/>
            <w:vAlign w:val="bottom"/>
          </w:tcPr>
          <w:p w14:paraId="3DD7FDAC" w14:textId="7475B31C" w:rsidR="006232AC" w:rsidRPr="00E537F3" w:rsidRDefault="006232AC" w:rsidP="00EB6C94">
            <w:pPr>
              <w:tabs>
                <w:tab w:val="clear" w:pos="0"/>
              </w:tabs>
              <w:spacing w:after="0"/>
              <w:textAlignment w:val="baseline"/>
              <w:rPr>
                <w:b/>
                <w:bCs/>
                <w:color w:val="000000"/>
                <w:lang w:val="en-US"/>
              </w:rPr>
            </w:pPr>
            <w:r>
              <w:rPr>
                <w:b/>
                <w:bCs/>
                <w:color w:val="000000"/>
                <w:lang w:val="en-US"/>
              </w:rPr>
              <w:t>HCFC Consumption sector</w:t>
            </w:r>
            <w:r w:rsidR="00FF29EE">
              <w:rPr>
                <w:b/>
                <w:bCs/>
                <w:color w:val="000000"/>
                <w:lang w:val="en-US"/>
              </w:rPr>
              <w:t xml:space="preserve"> with scenarios and</w:t>
            </w:r>
            <w:r w:rsidR="005657EA">
              <w:rPr>
                <w:b/>
                <w:bCs/>
                <w:color w:val="000000"/>
                <w:lang w:val="en-US"/>
              </w:rPr>
              <w:t xml:space="preserve"> resource</w:t>
            </w:r>
            <w:r w:rsidR="00FF29EE">
              <w:rPr>
                <w:b/>
                <w:bCs/>
                <w:color w:val="000000"/>
                <w:lang w:val="en-US"/>
              </w:rPr>
              <w:t xml:space="preserve"> allocations</w:t>
            </w:r>
            <w:r w:rsidRPr="00E537F3">
              <w:rPr>
                <w:color w:val="000000"/>
                <w:lang w:val="en-US"/>
              </w:rPr>
              <w:t> </w:t>
            </w:r>
          </w:p>
        </w:tc>
        <w:tc>
          <w:tcPr>
            <w:tcW w:w="1432" w:type="pct"/>
            <w:shd w:val="clear" w:color="auto" w:fill="FFFFFF" w:themeFill="background1"/>
            <w:vAlign w:val="center"/>
          </w:tcPr>
          <w:p w14:paraId="222B8D39" w14:textId="4112C17B" w:rsidR="006232AC" w:rsidRPr="00E537F3" w:rsidRDefault="006232AC" w:rsidP="00E537F3">
            <w:pPr>
              <w:tabs>
                <w:tab w:val="clear" w:pos="0"/>
              </w:tabs>
              <w:spacing w:after="0"/>
              <w:jc w:val="center"/>
              <w:textAlignment w:val="baseline"/>
              <w:rPr>
                <w:b/>
                <w:bCs/>
                <w:color w:val="000000"/>
                <w:lang w:val="en-US"/>
              </w:rPr>
            </w:pPr>
            <w:r w:rsidRPr="00E537F3">
              <w:rPr>
                <w:b/>
                <w:bCs/>
                <w:color w:val="000000"/>
                <w:lang w:val="en-US"/>
              </w:rPr>
              <w:t>5</w:t>
            </w:r>
            <w:r>
              <w:rPr>
                <w:b/>
                <w:bCs/>
                <w:color w:val="000000"/>
                <w:lang w:val="en-US"/>
              </w:rPr>
              <w:t>8.96</w:t>
            </w:r>
          </w:p>
        </w:tc>
        <w:tc>
          <w:tcPr>
            <w:tcW w:w="1398" w:type="pct"/>
            <w:shd w:val="clear" w:color="auto" w:fill="FFFFFF" w:themeFill="background1"/>
            <w:vAlign w:val="center"/>
          </w:tcPr>
          <w:p w14:paraId="7BD58019" w14:textId="4EDF4F72" w:rsidR="006232AC" w:rsidRPr="00E537F3" w:rsidRDefault="006232AC" w:rsidP="00E537F3">
            <w:pPr>
              <w:tabs>
                <w:tab w:val="clear" w:pos="0"/>
              </w:tabs>
              <w:spacing w:after="0"/>
              <w:jc w:val="center"/>
              <w:textAlignment w:val="baseline"/>
              <w:rPr>
                <w:b/>
                <w:bCs/>
                <w:color w:val="000000"/>
                <w:lang w:val="en-US"/>
              </w:rPr>
            </w:pPr>
            <w:r w:rsidRPr="00E537F3">
              <w:rPr>
                <w:b/>
                <w:bCs/>
                <w:color w:val="000000"/>
                <w:lang w:val="en-US"/>
              </w:rPr>
              <w:t>7</w:t>
            </w:r>
            <w:r>
              <w:rPr>
                <w:b/>
                <w:bCs/>
                <w:color w:val="000000"/>
                <w:lang w:val="en-US"/>
              </w:rPr>
              <w:t>2.50</w:t>
            </w:r>
          </w:p>
        </w:tc>
      </w:tr>
      <w:tr w:rsidR="006232AC" w:rsidRPr="00E537F3" w14:paraId="471B2AA2" w14:textId="77777777" w:rsidTr="002135B0">
        <w:trPr>
          <w:trHeight w:val="285"/>
        </w:trPr>
        <w:tc>
          <w:tcPr>
            <w:tcW w:w="743" w:type="pct"/>
            <w:vMerge/>
          </w:tcPr>
          <w:p w14:paraId="5FCF05E8" w14:textId="77777777" w:rsidR="006232AC" w:rsidRDefault="006232AC" w:rsidP="00E537F3">
            <w:pPr>
              <w:tabs>
                <w:tab w:val="clear" w:pos="0"/>
              </w:tabs>
              <w:spacing w:after="0"/>
              <w:jc w:val="center"/>
              <w:textAlignment w:val="baseline"/>
              <w:rPr>
                <w:b/>
                <w:bCs/>
                <w:color w:val="000000"/>
                <w:lang w:val="en-US"/>
              </w:rPr>
            </w:pPr>
          </w:p>
        </w:tc>
        <w:tc>
          <w:tcPr>
            <w:tcW w:w="1427" w:type="pct"/>
            <w:shd w:val="clear" w:color="auto" w:fill="FFFFFF" w:themeFill="background1"/>
            <w:vAlign w:val="bottom"/>
          </w:tcPr>
          <w:p w14:paraId="24228AFF" w14:textId="49852D3C" w:rsidR="006232AC" w:rsidRDefault="006232AC" w:rsidP="00EB6C94">
            <w:pPr>
              <w:tabs>
                <w:tab w:val="clear" w:pos="0"/>
              </w:tabs>
              <w:spacing w:after="0"/>
              <w:textAlignment w:val="baseline"/>
              <w:rPr>
                <w:b/>
                <w:bCs/>
                <w:color w:val="000000"/>
                <w:lang w:val="en-US"/>
              </w:rPr>
            </w:pPr>
            <w:r>
              <w:rPr>
                <w:b/>
                <w:bCs/>
                <w:color w:val="000000"/>
                <w:lang w:val="en-US"/>
              </w:rPr>
              <w:t>HCFC Production sector</w:t>
            </w:r>
          </w:p>
        </w:tc>
        <w:tc>
          <w:tcPr>
            <w:tcW w:w="1432" w:type="pct"/>
            <w:shd w:val="clear" w:color="auto" w:fill="FFFFFF" w:themeFill="background1"/>
            <w:vAlign w:val="center"/>
          </w:tcPr>
          <w:p w14:paraId="5C3B19D3" w14:textId="7934922A" w:rsidR="006232AC" w:rsidRPr="00E537F3" w:rsidRDefault="00B45F31" w:rsidP="00E537F3">
            <w:pPr>
              <w:tabs>
                <w:tab w:val="clear" w:pos="0"/>
              </w:tabs>
              <w:spacing w:after="0"/>
              <w:jc w:val="center"/>
              <w:textAlignment w:val="baseline"/>
              <w:rPr>
                <w:b/>
                <w:bCs/>
                <w:color w:val="000000"/>
                <w:lang w:val="en-US"/>
              </w:rPr>
            </w:pPr>
            <w:r>
              <w:rPr>
                <w:b/>
                <w:bCs/>
                <w:color w:val="000000"/>
                <w:lang w:val="en-US"/>
              </w:rPr>
              <w:t>23.54</w:t>
            </w:r>
          </w:p>
        </w:tc>
        <w:tc>
          <w:tcPr>
            <w:tcW w:w="1398" w:type="pct"/>
            <w:shd w:val="clear" w:color="auto" w:fill="FFFFFF" w:themeFill="background1"/>
            <w:vAlign w:val="center"/>
          </w:tcPr>
          <w:p w14:paraId="625A8E8A" w14:textId="6D596CBE" w:rsidR="006232AC" w:rsidRPr="00E537F3" w:rsidRDefault="00B45F31" w:rsidP="00E537F3">
            <w:pPr>
              <w:tabs>
                <w:tab w:val="clear" w:pos="0"/>
              </w:tabs>
              <w:spacing w:after="0"/>
              <w:jc w:val="center"/>
              <w:textAlignment w:val="baseline"/>
              <w:rPr>
                <w:b/>
                <w:bCs/>
                <w:color w:val="000000"/>
                <w:lang w:val="en-US"/>
              </w:rPr>
            </w:pPr>
            <w:r>
              <w:rPr>
                <w:b/>
                <w:bCs/>
                <w:color w:val="000000"/>
                <w:lang w:val="en-US"/>
              </w:rPr>
              <w:t>23.54</w:t>
            </w:r>
          </w:p>
        </w:tc>
      </w:tr>
      <w:tr w:rsidR="006232AC" w:rsidRPr="00E537F3" w14:paraId="701C2F82" w14:textId="77777777" w:rsidTr="002135B0">
        <w:trPr>
          <w:trHeight w:val="285"/>
        </w:trPr>
        <w:tc>
          <w:tcPr>
            <w:tcW w:w="743" w:type="pct"/>
            <w:vMerge/>
          </w:tcPr>
          <w:p w14:paraId="35930384" w14:textId="77777777" w:rsidR="006232AC" w:rsidRDefault="006232AC" w:rsidP="00E537F3">
            <w:pPr>
              <w:tabs>
                <w:tab w:val="clear" w:pos="0"/>
              </w:tabs>
              <w:spacing w:after="0"/>
              <w:jc w:val="center"/>
              <w:textAlignment w:val="baseline"/>
              <w:rPr>
                <w:b/>
                <w:bCs/>
                <w:color w:val="000000"/>
                <w:lang w:val="en-US"/>
              </w:rPr>
            </w:pPr>
          </w:p>
        </w:tc>
        <w:tc>
          <w:tcPr>
            <w:tcW w:w="1427" w:type="pct"/>
            <w:shd w:val="clear" w:color="auto" w:fill="FFFF00"/>
            <w:vAlign w:val="bottom"/>
          </w:tcPr>
          <w:p w14:paraId="63FAA708" w14:textId="63F60778" w:rsidR="006232AC" w:rsidRDefault="006232AC" w:rsidP="00EB6C94">
            <w:pPr>
              <w:tabs>
                <w:tab w:val="clear" w:pos="0"/>
              </w:tabs>
              <w:spacing w:after="0"/>
              <w:textAlignment w:val="baseline"/>
              <w:rPr>
                <w:b/>
                <w:bCs/>
                <w:color w:val="000000"/>
                <w:lang w:val="en-US"/>
              </w:rPr>
            </w:pPr>
            <w:r>
              <w:rPr>
                <w:b/>
                <w:bCs/>
                <w:color w:val="000000"/>
                <w:lang w:val="en-US"/>
              </w:rPr>
              <w:t>TOTAL RANGE</w:t>
            </w:r>
          </w:p>
        </w:tc>
        <w:tc>
          <w:tcPr>
            <w:tcW w:w="1432" w:type="pct"/>
            <w:shd w:val="clear" w:color="auto" w:fill="FFFF00"/>
            <w:vAlign w:val="center"/>
          </w:tcPr>
          <w:p w14:paraId="21E6D412" w14:textId="1CA44ABD" w:rsidR="006232AC" w:rsidRDefault="0087163D" w:rsidP="00E537F3">
            <w:pPr>
              <w:tabs>
                <w:tab w:val="clear" w:pos="0"/>
              </w:tabs>
              <w:spacing w:after="0"/>
              <w:jc w:val="center"/>
              <w:textAlignment w:val="baseline"/>
              <w:rPr>
                <w:b/>
                <w:bCs/>
                <w:color w:val="000000"/>
                <w:lang w:val="en-US"/>
              </w:rPr>
            </w:pPr>
            <w:r>
              <w:rPr>
                <w:b/>
                <w:bCs/>
                <w:color w:val="000000"/>
                <w:lang w:val="en-US"/>
              </w:rPr>
              <w:t>8</w:t>
            </w:r>
            <w:r w:rsidR="00BB485B">
              <w:rPr>
                <w:b/>
                <w:bCs/>
                <w:color w:val="000000"/>
                <w:lang w:val="en-US"/>
              </w:rPr>
              <w:t>2.5</w:t>
            </w:r>
          </w:p>
        </w:tc>
        <w:tc>
          <w:tcPr>
            <w:tcW w:w="1398" w:type="pct"/>
            <w:shd w:val="clear" w:color="auto" w:fill="FFFF00"/>
            <w:vAlign w:val="center"/>
          </w:tcPr>
          <w:p w14:paraId="2F627B2D" w14:textId="04007872" w:rsidR="006232AC" w:rsidRDefault="0087163D" w:rsidP="00E537F3">
            <w:pPr>
              <w:tabs>
                <w:tab w:val="clear" w:pos="0"/>
              </w:tabs>
              <w:spacing w:after="0"/>
              <w:jc w:val="center"/>
              <w:textAlignment w:val="baseline"/>
              <w:rPr>
                <w:b/>
                <w:bCs/>
                <w:color w:val="000000"/>
                <w:lang w:val="en-US"/>
              </w:rPr>
            </w:pPr>
            <w:r>
              <w:rPr>
                <w:b/>
                <w:bCs/>
                <w:color w:val="000000"/>
                <w:lang w:val="en-US"/>
              </w:rPr>
              <w:t>96</w:t>
            </w:r>
            <w:r w:rsidR="00BB485B">
              <w:rPr>
                <w:b/>
                <w:bCs/>
                <w:color w:val="000000"/>
                <w:lang w:val="en-US"/>
              </w:rPr>
              <w:t>.04</w:t>
            </w:r>
          </w:p>
        </w:tc>
      </w:tr>
    </w:tbl>
    <w:p w14:paraId="16977D34" w14:textId="77777777" w:rsidR="006D27C7" w:rsidRDefault="006D27C7" w:rsidP="73EDB2AF">
      <w:pPr>
        <w:keepNext/>
        <w:keepLines/>
      </w:pPr>
    </w:p>
    <w:p w14:paraId="208566A0" w14:textId="4ECD81AD" w:rsidR="002D64F6" w:rsidRPr="009E76D3" w:rsidRDefault="002D64F6" w:rsidP="006278DB">
      <w:pPr>
        <w:spacing w:before="120" w:after="120"/>
        <w:rPr>
          <w:b/>
          <w:highlight w:val="yellow"/>
          <w:lang w:val="en-US"/>
        </w:rPr>
        <w:sectPr w:rsidR="002D64F6" w:rsidRPr="009E76D3" w:rsidSect="00CF4B2D">
          <w:headerReference w:type="even" r:id="rId28"/>
          <w:headerReference w:type="default" r:id="rId29"/>
          <w:headerReference w:type="first" r:id="rId30"/>
          <w:pgSz w:w="11907" w:h="16839" w:code="9"/>
          <w:pgMar w:top="1440" w:right="1797" w:bottom="1525" w:left="1797" w:header="720" w:footer="794" w:gutter="0"/>
          <w:cols w:space="720"/>
          <w:docGrid w:linePitch="299"/>
        </w:sectPr>
      </w:pPr>
    </w:p>
    <w:p w14:paraId="5BBB04CF" w14:textId="04D2ACC8" w:rsidR="00296C6F" w:rsidRPr="004B4F42" w:rsidRDefault="2BFAB1FE" w:rsidP="005D31A7">
      <w:pPr>
        <w:pStyle w:val="Heading1"/>
        <w:rPr>
          <w:rFonts w:eastAsia="SimSun"/>
          <w:noProof/>
        </w:rPr>
      </w:pPr>
      <w:bookmarkStart w:id="160" w:name="_Toc230099069"/>
      <w:bookmarkStart w:id="161" w:name="_Toc41495026"/>
      <w:bookmarkStart w:id="162" w:name="_Toc41839985"/>
      <w:bookmarkStart w:id="163" w:name="_Toc41841075"/>
      <w:bookmarkStart w:id="164" w:name="_Toc227477916"/>
      <w:bookmarkEnd w:id="156"/>
      <w:r w:rsidRPr="2374FBE6">
        <w:rPr>
          <w:rFonts w:eastAsia="SimSun"/>
          <w:noProof/>
        </w:rPr>
        <w:lastRenderedPageBreak/>
        <w:t>3.</w:t>
      </w:r>
      <w:r w:rsidR="00296C6F">
        <w:tab/>
      </w:r>
      <w:r w:rsidRPr="2374FBE6">
        <w:rPr>
          <w:rFonts w:eastAsia="SimSun"/>
          <w:noProof/>
        </w:rPr>
        <w:t>Estimated Funding Requirement for HFC P</w:t>
      </w:r>
      <w:r w:rsidR="238D7171" w:rsidRPr="2374FBE6">
        <w:rPr>
          <w:rFonts w:eastAsia="SimSun"/>
          <w:noProof/>
        </w:rPr>
        <w:t>h</w:t>
      </w:r>
      <w:r w:rsidRPr="2374FBE6">
        <w:rPr>
          <w:rFonts w:eastAsia="SimSun"/>
          <w:noProof/>
        </w:rPr>
        <w:t>asedown</w:t>
      </w:r>
      <w:bookmarkEnd w:id="160"/>
      <w:r w:rsidRPr="2374FBE6">
        <w:rPr>
          <w:rFonts w:eastAsia="SimSun"/>
          <w:noProof/>
        </w:rPr>
        <w:t xml:space="preserve"> </w:t>
      </w:r>
    </w:p>
    <w:p w14:paraId="5B1BA972" w14:textId="1BF87C0B" w:rsidR="00296C6F" w:rsidRPr="004B4F42" w:rsidRDefault="2FF8CD83" w:rsidP="005D31A7">
      <w:pPr>
        <w:pStyle w:val="Heading1"/>
      </w:pPr>
      <w:r w:rsidRPr="2374FBE6">
        <w:rPr>
          <w:rFonts w:eastAsia="SimSun"/>
          <w:noProof/>
        </w:rPr>
        <w:t xml:space="preserve"> </w:t>
      </w:r>
      <w:bookmarkStart w:id="165" w:name="_Toc41495027"/>
      <w:bookmarkStart w:id="166" w:name="_Toc41839986"/>
      <w:bookmarkStart w:id="167" w:name="_Toc41841076"/>
      <w:bookmarkStart w:id="168" w:name="_Toc227477917"/>
      <w:bookmarkStart w:id="169" w:name="_Toc230099070"/>
      <w:bookmarkStart w:id="170" w:name="_Toc484367012"/>
      <w:bookmarkStart w:id="171" w:name="_Toc40367025"/>
      <w:bookmarkStart w:id="172" w:name="_Toc40367333"/>
      <w:bookmarkEnd w:id="161"/>
      <w:bookmarkEnd w:id="162"/>
      <w:bookmarkEnd w:id="163"/>
      <w:bookmarkEnd w:id="164"/>
      <w:r w:rsidR="2F67A9C5" w:rsidRPr="31740E73">
        <w:t>3.1</w:t>
      </w:r>
      <w:r w:rsidR="00296C6F">
        <w:tab/>
      </w:r>
      <w:bookmarkEnd w:id="165"/>
      <w:bookmarkEnd w:id="166"/>
      <w:bookmarkEnd w:id="167"/>
      <w:r w:rsidR="2F67A9C5" w:rsidRPr="31740E73">
        <w:t>B</w:t>
      </w:r>
      <w:r w:rsidR="429D0578" w:rsidRPr="31740E73">
        <w:t>ackground</w:t>
      </w:r>
      <w:r w:rsidR="2F67A9C5" w:rsidRPr="31740E73">
        <w:t>: HFC phase-down</w:t>
      </w:r>
      <w:bookmarkEnd w:id="168"/>
      <w:bookmarkEnd w:id="169"/>
    </w:p>
    <w:p w14:paraId="4F405ED1" w14:textId="5AB765E1" w:rsidR="00296C6F" w:rsidRDefault="2F67A9C5" w:rsidP="00296C6F">
      <w:pPr>
        <w:rPr>
          <w:noProof/>
        </w:rPr>
      </w:pPr>
      <w:r w:rsidRPr="222ABFFA">
        <w:rPr>
          <w:noProof/>
        </w:rPr>
        <w:t xml:space="preserve">Nearly ten years ago at </w:t>
      </w:r>
      <w:r w:rsidR="00161601">
        <w:rPr>
          <w:noProof/>
        </w:rPr>
        <w:t>MOP-28</w:t>
      </w:r>
      <w:r w:rsidRPr="222ABFFA">
        <w:rPr>
          <w:noProof/>
        </w:rPr>
        <w:t xml:space="preserve"> in </w:t>
      </w:r>
      <w:r w:rsidR="00AF291D">
        <w:rPr>
          <w:noProof/>
        </w:rPr>
        <w:t>KA</w:t>
      </w:r>
      <w:r w:rsidRPr="222ABFFA">
        <w:rPr>
          <w:noProof/>
        </w:rPr>
        <w:t>, parties adopted Decision XXVIII/2 establishing a compliance schedule for the phasedown of HFCs in A5 parties as in Table 3</w:t>
      </w:r>
      <w:r w:rsidR="00100021">
        <w:rPr>
          <w:noProof/>
        </w:rPr>
        <w:t>.</w:t>
      </w:r>
      <w:r w:rsidRPr="222ABFFA">
        <w:rPr>
          <w:noProof/>
        </w:rPr>
        <w:t xml:space="preserve">1. For A5 Group 1 </w:t>
      </w:r>
      <w:r w:rsidR="00100021">
        <w:rPr>
          <w:noProof/>
        </w:rPr>
        <w:t xml:space="preserve">(G1) </w:t>
      </w:r>
      <w:r w:rsidRPr="222ABFFA">
        <w:rPr>
          <w:noProof/>
        </w:rPr>
        <w:t>parties, this represents an 80% reduction from the baseline by January 1, 2045. For A5 Group 2</w:t>
      </w:r>
      <w:r w:rsidR="00100021">
        <w:rPr>
          <w:noProof/>
        </w:rPr>
        <w:t xml:space="preserve"> (G2)</w:t>
      </w:r>
      <w:r w:rsidRPr="222ABFFA">
        <w:rPr>
          <w:noProof/>
        </w:rPr>
        <w:t xml:space="preserve"> parties, this represents an 85% reduction from the baseline by January 1, 2047. </w:t>
      </w:r>
    </w:p>
    <w:p w14:paraId="4BEA0618" w14:textId="0D539809" w:rsidR="00D732A0" w:rsidRPr="008F710E" w:rsidRDefault="005D7087" w:rsidP="002135B0">
      <w:pPr>
        <w:tabs>
          <w:tab w:val="left" w:pos="1134"/>
        </w:tabs>
        <w:spacing w:after="120"/>
        <w:ind w:left="1418" w:hanging="1418"/>
        <w:rPr>
          <w:rFonts w:eastAsiaTheme="minorEastAsia"/>
          <w:b/>
          <w:highlight w:val="yellow"/>
        </w:rPr>
      </w:pPr>
      <w:r w:rsidRPr="222ABFFA">
        <w:rPr>
          <w:rFonts w:eastAsiaTheme="minorEastAsia"/>
          <w:b/>
          <w:bCs/>
        </w:rPr>
        <w:t xml:space="preserve">Table </w:t>
      </w:r>
      <w:r>
        <w:rPr>
          <w:rFonts w:eastAsiaTheme="minorEastAsia"/>
          <w:b/>
          <w:bCs/>
        </w:rPr>
        <w:t>3</w:t>
      </w:r>
      <w:r w:rsidRPr="222ABFFA">
        <w:rPr>
          <w:rFonts w:eastAsiaTheme="minorEastAsia"/>
          <w:b/>
          <w:bCs/>
        </w:rPr>
        <w:t>.</w:t>
      </w:r>
      <w:r>
        <w:rPr>
          <w:rFonts w:eastAsiaTheme="minorEastAsia"/>
          <w:b/>
          <w:bCs/>
        </w:rPr>
        <w:t>1</w:t>
      </w:r>
      <w:r w:rsidR="0004488B">
        <w:rPr>
          <w:rFonts w:eastAsiaTheme="minorEastAsia"/>
          <w:b/>
          <w:bCs/>
        </w:rPr>
        <w:t>:</w:t>
      </w:r>
      <w:r>
        <w:tab/>
      </w:r>
      <w:r w:rsidRPr="005D7087">
        <w:rPr>
          <w:rFonts w:eastAsiaTheme="minorEastAsia"/>
          <w:b/>
          <w:bCs/>
        </w:rPr>
        <w:t xml:space="preserve">Baseline and HFC phase-down schedule of A5 and non-A5 </w:t>
      </w:r>
      <w:r w:rsidR="00100021">
        <w:rPr>
          <w:rFonts w:eastAsiaTheme="minorEastAsia"/>
          <w:b/>
          <w:bCs/>
        </w:rPr>
        <w:t>p</w:t>
      </w:r>
      <w:r w:rsidRPr="005D7087">
        <w:rPr>
          <w:rFonts w:eastAsiaTheme="minorEastAsia"/>
          <w:b/>
          <w:bCs/>
        </w:rPr>
        <w:t>arties</w:t>
      </w:r>
      <w:r w:rsidRPr="222ABFFA">
        <w:rPr>
          <w:rFonts w:eastAsiaTheme="minorEastAsia"/>
          <w:b/>
          <w:bCs/>
        </w:rPr>
        <w:t xml:space="preserve"> </w:t>
      </w:r>
    </w:p>
    <w:tbl>
      <w:tblPr>
        <w:tblStyle w:val="TableGrid"/>
        <w:tblW w:w="93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75"/>
        <w:gridCol w:w="1844"/>
        <w:gridCol w:w="1844"/>
        <w:gridCol w:w="1844"/>
        <w:gridCol w:w="1844"/>
      </w:tblGrid>
      <w:tr w:rsidR="00D732A0" w:rsidRPr="00BF43E4" w14:paraId="0C3DEAB6" w14:textId="77777777" w:rsidTr="00A4290D">
        <w:trPr>
          <w:trHeight w:val="103"/>
        </w:trPr>
        <w:tc>
          <w:tcPr>
            <w:tcW w:w="1975" w:type="dxa"/>
            <w:shd w:val="clear" w:color="auto" w:fill="D9E2F3" w:themeFill="accent1" w:themeFillTint="33"/>
          </w:tcPr>
          <w:p w14:paraId="6BF8B3E3" w14:textId="77777777" w:rsidR="00D732A0" w:rsidRPr="00BF43E4" w:rsidRDefault="00D732A0">
            <w:pPr>
              <w:autoSpaceDE w:val="0"/>
              <w:autoSpaceDN w:val="0"/>
              <w:adjustRightInd w:val="0"/>
              <w:spacing w:after="0"/>
              <w:rPr>
                <w:b/>
              </w:rPr>
            </w:pPr>
          </w:p>
        </w:tc>
        <w:tc>
          <w:tcPr>
            <w:tcW w:w="3688" w:type="dxa"/>
            <w:gridSpan w:val="2"/>
            <w:shd w:val="clear" w:color="auto" w:fill="D9E2F3" w:themeFill="accent1" w:themeFillTint="33"/>
          </w:tcPr>
          <w:p w14:paraId="3F19FE41" w14:textId="3A7AFBC3" w:rsidR="00D732A0" w:rsidRPr="00BF43E4" w:rsidRDefault="00D732A0">
            <w:pPr>
              <w:autoSpaceDE w:val="0"/>
              <w:autoSpaceDN w:val="0"/>
              <w:adjustRightInd w:val="0"/>
              <w:spacing w:after="0"/>
              <w:jc w:val="center"/>
              <w:rPr>
                <w:b/>
              </w:rPr>
            </w:pPr>
            <w:r w:rsidRPr="00BF43E4">
              <w:rPr>
                <w:b/>
              </w:rPr>
              <w:t xml:space="preserve">A5 Parties Group </w:t>
            </w:r>
            <w:r>
              <w:rPr>
                <w:b/>
              </w:rPr>
              <w:t>1</w:t>
            </w:r>
            <w:r w:rsidRPr="0069279B">
              <w:rPr>
                <w:b/>
                <w:vertAlign w:val="superscript"/>
              </w:rPr>
              <w:t>*</w:t>
            </w:r>
          </w:p>
        </w:tc>
        <w:tc>
          <w:tcPr>
            <w:tcW w:w="3688" w:type="dxa"/>
            <w:gridSpan w:val="2"/>
            <w:shd w:val="clear" w:color="auto" w:fill="D9E2F3" w:themeFill="accent1" w:themeFillTint="33"/>
          </w:tcPr>
          <w:p w14:paraId="633BE7F1" w14:textId="5C9BCA13" w:rsidR="00D732A0" w:rsidRPr="00BF43E4" w:rsidRDefault="00D732A0">
            <w:pPr>
              <w:autoSpaceDE w:val="0"/>
              <w:autoSpaceDN w:val="0"/>
              <w:adjustRightInd w:val="0"/>
              <w:spacing w:after="0"/>
              <w:jc w:val="center"/>
              <w:rPr>
                <w:b/>
              </w:rPr>
            </w:pPr>
            <w:r w:rsidRPr="00BF43E4">
              <w:rPr>
                <w:b/>
              </w:rPr>
              <w:t xml:space="preserve">A5 Parties Group </w:t>
            </w:r>
            <w:r>
              <w:rPr>
                <w:b/>
              </w:rPr>
              <w:t>2</w:t>
            </w:r>
            <w:r w:rsidR="00F05ED5">
              <w:rPr>
                <w:b/>
                <w:vertAlign w:val="superscript"/>
              </w:rPr>
              <w:t>**</w:t>
            </w:r>
          </w:p>
        </w:tc>
      </w:tr>
      <w:tr w:rsidR="00D732A0" w:rsidRPr="00BF43E4" w14:paraId="432DC04C" w14:textId="77777777" w:rsidTr="006E6220">
        <w:trPr>
          <w:trHeight w:val="94"/>
        </w:trPr>
        <w:tc>
          <w:tcPr>
            <w:tcW w:w="1975" w:type="dxa"/>
            <w:shd w:val="clear" w:color="auto" w:fill="D9E2F3" w:themeFill="accent1" w:themeFillTint="33"/>
          </w:tcPr>
          <w:p w14:paraId="3E61F9A5" w14:textId="77777777" w:rsidR="00D732A0" w:rsidRPr="00BF43E4" w:rsidRDefault="00D732A0">
            <w:pPr>
              <w:autoSpaceDE w:val="0"/>
              <w:autoSpaceDN w:val="0"/>
              <w:adjustRightInd w:val="0"/>
              <w:spacing w:after="0"/>
            </w:pPr>
            <w:r w:rsidRPr="00BF43E4">
              <w:rPr>
                <w:b/>
                <w:bCs/>
              </w:rPr>
              <w:t xml:space="preserve">Baseline Years </w:t>
            </w:r>
          </w:p>
        </w:tc>
        <w:tc>
          <w:tcPr>
            <w:tcW w:w="3688" w:type="dxa"/>
            <w:gridSpan w:val="2"/>
            <w:shd w:val="clear" w:color="auto" w:fill="D9E2F3" w:themeFill="accent1" w:themeFillTint="33"/>
          </w:tcPr>
          <w:p w14:paraId="4FB30B41" w14:textId="77777777" w:rsidR="00D732A0" w:rsidRPr="00BF43E4" w:rsidRDefault="00D732A0">
            <w:pPr>
              <w:autoSpaceDE w:val="0"/>
              <w:autoSpaceDN w:val="0"/>
              <w:adjustRightInd w:val="0"/>
              <w:spacing w:after="0"/>
            </w:pPr>
            <w:r w:rsidRPr="00BF43E4">
              <w:t xml:space="preserve">2020, 2021 &amp; 2022 </w:t>
            </w:r>
          </w:p>
        </w:tc>
        <w:tc>
          <w:tcPr>
            <w:tcW w:w="3688" w:type="dxa"/>
            <w:gridSpan w:val="2"/>
            <w:shd w:val="clear" w:color="auto" w:fill="D9E2F3" w:themeFill="accent1" w:themeFillTint="33"/>
          </w:tcPr>
          <w:p w14:paraId="22C38E10" w14:textId="77777777" w:rsidR="00D732A0" w:rsidRPr="00BF43E4" w:rsidRDefault="00D732A0">
            <w:pPr>
              <w:autoSpaceDE w:val="0"/>
              <w:autoSpaceDN w:val="0"/>
              <w:adjustRightInd w:val="0"/>
              <w:spacing w:after="0"/>
            </w:pPr>
            <w:r w:rsidRPr="00BF43E4">
              <w:t xml:space="preserve">2024, 2025 &amp; 2026 </w:t>
            </w:r>
          </w:p>
        </w:tc>
      </w:tr>
      <w:tr w:rsidR="00D732A0" w:rsidRPr="00BF43E4" w14:paraId="068DA98A" w14:textId="77777777" w:rsidTr="00D41A33">
        <w:trPr>
          <w:trHeight w:val="558"/>
        </w:trPr>
        <w:tc>
          <w:tcPr>
            <w:tcW w:w="1975" w:type="dxa"/>
            <w:vAlign w:val="center"/>
          </w:tcPr>
          <w:p w14:paraId="4D36FE32" w14:textId="77777777" w:rsidR="00D732A0" w:rsidRPr="00BF43E4" w:rsidRDefault="00D732A0" w:rsidP="00D41A33">
            <w:pPr>
              <w:autoSpaceDE w:val="0"/>
              <w:autoSpaceDN w:val="0"/>
              <w:adjustRightInd w:val="0"/>
              <w:spacing w:after="0"/>
            </w:pPr>
            <w:r w:rsidRPr="00BF43E4">
              <w:rPr>
                <w:b/>
                <w:bCs/>
              </w:rPr>
              <w:t xml:space="preserve">Baseline </w:t>
            </w:r>
            <w:r>
              <w:rPr>
                <w:b/>
                <w:bCs/>
              </w:rPr>
              <w:t>c</w:t>
            </w:r>
            <w:r w:rsidRPr="00BF43E4">
              <w:rPr>
                <w:b/>
                <w:bCs/>
              </w:rPr>
              <w:t xml:space="preserve">alculation </w:t>
            </w:r>
          </w:p>
        </w:tc>
        <w:tc>
          <w:tcPr>
            <w:tcW w:w="3688" w:type="dxa"/>
            <w:gridSpan w:val="2"/>
            <w:vAlign w:val="center"/>
          </w:tcPr>
          <w:p w14:paraId="51C2B528" w14:textId="77777777" w:rsidR="00D732A0" w:rsidRPr="00BF43E4" w:rsidRDefault="00D732A0" w:rsidP="00D41A33">
            <w:pPr>
              <w:autoSpaceDE w:val="0"/>
              <w:autoSpaceDN w:val="0"/>
              <w:adjustRightInd w:val="0"/>
              <w:spacing w:after="0"/>
            </w:pPr>
            <w:r w:rsidRPr="00BF43E4">
              <w:t xml:space="preserve">Average production /consumption of </w:t>
            </w:r>
            <w:r w:rsidRPr="00BF43E4">
              <w:rPr>
                <w:b/>
                <w:bCs/>
              </w:rPr>
              <w:t>HFCs</w:t>
            </w:r>
            <w:r w:rsidRPr="00BF43E4">
              <w:rPr>
                <w:bCs/>
              </w:rPr>
              <w:t xml:space="preserve"> </w:t>
            </w:r>
            <w:r w:rsidRPr="00BF43E4">
              <w:t xml:space="preserve">in 2020, 2021, and 2022 </w:t>
            </w:r>
          </w:p>
          <w:p w14:paraId="35AC9613" w14:textId="77777777" w:rsidR="00D732A0" w:rsidRPr="00BF43E4" w:rsidRDefault="00D732A0" w:rsidP="00D41A33">
            <w:pPr>
              <w:autoSpaceDE w:val="0"/>
              <w:autoSpaceDN w:val="0"/>
              <w:adjustRightInd w:val="0"/>
              <w:spacing w:after="0"/>
            </w:pPr>
            <w:r w:rsidRPr="00BF43E4">
              <w:rPr>
                <w:i/>
                <w:iCs/>
              </w:rPr>
              <w:t xml:space="preserve">plus </w:t>
            </w:r>
            <w:r w:rsidRPr="00BF43E4">
              <w:rPr>
                <w:b/>
              </w:rPr>
              <w:t>65%</w:t>
            </w:r>
            <w:r w:rsidRPr="00BF43E4">
              <w:t xml:space="preserve"> of </w:t>
            </w:r>
            <w:r w:rsidRPr="00BF43E4">
              <w:rPr>
                <w:b/>
                <w:bCs/>
              </w:rPr>
              <w:t>HCFC</w:t>
            </w:r>
            <w:r w:rsidRPr="00BF43E4">
              <w:rPr>
                <w:bCs/>
              </w:rPr>
              <w:t xml:space="preserve"> </w:t>
            </w:r>
            <w:r w:rsidRPr="00BF43E4">
              <w:t xml:space="preserve">baseline production/consumption </w:t>
            </w:r>
          </w:p>
        </w:tc>
        <w:tc>
          <w:tcPr>
            <w:tcW w:w="3688" w:type="dxa"/>
            <w:gridSpan w:val="2"/>
            <w:vAlign w:val="center"/>
          </w:tcPr>
          <w:p w14:paraId="390628E0" w14:textId="77777777" w:rsidR="00D732A0" w:rsidRPr="00BF43E4" w:rsidRDefault="00D732A0" w:rsidP="00D41A33">
            <w:pPr>
              <w:autoSpaceDE w:val="0"/>
              <w:autoSpaceDN w:val="0"/>
              <w:adjustRightInd w:val="0"/>
              <w:spacing w:after="0"/>
            </w:pPr>
            <w:r w:rsidRPr="00BF43E4">
              <w:t xml:space="preserve">Average production /consumption of </w:t>
            </w:r>
            <w:r w:rsidRPr="00BF43E4">
              <w:rPr>
                <w:b/>
                <w:bCs/>
              </w:rPr>
              <w:t>HFCs</w:t>
            </w:r>
            <w:r w:rsidRPr="00BF43E4">
              <w:rPr>
                <w:bCs/>
              </w:rPr>
              <w:t xml:space="preserve"> </w:t>
            </w:r>
            <w:r w:rsidRPr="00BF43E4">
              <w:t xml:space="preserve">in 2024, 2025, and 2026 </w:t>
            </w:r>
          </w:p>
          <w:p w14:paraId="3C5AE846" w14:textId="77777777" w:rsidR="00D732A0" w:rsidRPr="00BF43E4" w:rsidRDefault="00D732A0" w:rsidP="00D41A33">
            <w:pPr>
              <w:autoSpaceDE w:val="0"/>
              <w:autoSpaceDN w:val="0"/>
              <w:adjustRightInd w:val="0"/>
              <w:spacing w:after="0"/>
            </w:pPr>
            <w:r w:rsidRPr="00BF43E4">
              <w:rPr>
                <w:i/>
                <w:iCs/>
              </w:rPr>
              <w:t xml:space="preserve">plus </w:t>
            </w:r>
            <w:r w:rsidRPr="00BF43E4">
              <w:rPr>
                <w:b/>
              </w:rPr>
              <w:t xml:space="preserve">65% </w:t>
            </w:r>
            <w:r w:rsidRPr="00BF43E4">
              <w:t>of</w:t>
            </w:r>
            <w:r w:rsidRPr="00BF43E4">
              <w:rPr>
                <w:b/>
              </w:rPr>
              <w:t xml:space="preserve"> </w:t>
            </w:r>
            <w:r w:rsidRPr="00BF43E4">
              <w:rPr>
                <w:b/>
                <w:bCs/>
              </w:rPr>
              <w:t>HCFC</w:t>
            </w:r>
            <w:r w:rsidRPr="00BF43E4">
              <w:rPr>
                <w:bCs/>
              </w:rPr>
              <w:t xml:space="preserve"> </w:t>
            </w:r>
            <w:r w:rsidRPr="00BF43E4">
              <w:t xml:space="preserve">baseline production/consumption </w:t>
            </w:r>
          </w:p>
        </w:tc>
      </w:tr>
      <w:tr w:rsidR="00D732A0" w:rsidRPr="00BF43E4" w14:paraId="729813AE" w14:textId="77777777" w:rsidTr="006E6220">
        <w:trPr>
          <w:trHeight w:val="255"/>
        </w:trPr>
        <w:tc>
          <w:tcPr>
            <w:tcW w:w="1975" w:type="dxa"/>
            <w:shd w:val="clear" w:color="auto" w:fill="D9E2F3" w:themeFill="accent1" w:themeFillTint="33"/>
          </w:tcPr>
          <w:p w14:paraId="03ADBA06" w14:textId="77777777" w:rsidR="00D732A0" w:rsidRPr="006E6220" w:rsidRDefault="00D732A0">
            <w:pPr>
              <w:autoSpaceDE w:val="0"/>
              <w:autoSpaceDN w:val="0"/>
              <w:adjustRightInd w:val="0"/>
              <w:spacing w:after="0"/>
              <w:rPr>
                <w:b/>
                <w:bCs/>
              </w:rPr>
            </w:pPr>
            <w:r w:rsidRPr="006E6220">
              <w:rPr>
                <w:b/>
                <w:bCs/>
              </w:rPr>
              <w:t xml:space="preserve">Reduction steps </w:t>
            </w:r>
          </w:p>
          <w:p w14:paraId="3AC63612" w14:textId="77777777" w:rsidR="00D732A0" w:rsidRPr="006E6220" w:rsidRDefault="00D732A0">
            <w:pPr>
              <w:autoSpaceDE w:val="0"/>
              <w:autoSpaceDN w:val="0"/>
              <w:adjustRightInd w:val="0"/>
              <w:spacing w:after="0"/>
              <w:rPr>
                <w:b/>
                <w:bCs/>
              </w:rPr>
            </w:pPr>
            <w:r w:rsidRPr="006E6220">
              <w:rPr>
                <w:b/>
                <w:bCs/>
              </w:rPr>
              <w:t xml:space="preserve">Freeze </w:t>
            </w:r>
          </w:p>
        </w:tc>
        <w:tc>
          <w:tcPr>
            <w:tcW w:w="3688" w:type="dxa"/>
            <w:gridSpan w:val="2"/>
            <w:shd w:val="clear" w:color="auto" w:fill="D9E2F3" w:themeFill="accent1" w:themeFillTint="33"/>
          </w:tcPr>
          <w:p w14:paraId="61152BBA" w14:textId="77777777" w:rsidR="00D732A0" w:rsidRPr="006E6220" w:rsidRDefault="00D732A0">
            <w:pPr>
              <w:autoSpaceDE w:val="0"/>
              <w:autoSpaceDN w:val="0"/>
              <w:adjustRightInd w:val="0"/>
              <w:spacing w:after="0"/>
              <w:jc w:val="center"/>
              <w:rPr>
                <w:b/>
                <w:bCs/>
              </w:rPr>
            </w:pPr>
          </w:p>
          <w:p w14:paraId="043B5A96" w14:textId="77777777" w:rsidR="00D732A0" w:rsidRPr="006E6220" w:rsidRDefault="00D732A0">
            <w:pPr>
              <w:autoSpaceDE w:val="0"/>
              <w:autoSpaceDN w:val="0"/>
              <w:adjustRightInd w:val="0"/>
              <w:spacing w:after="0"/>
              <w:jc w:val="center"/>
              <w:rPr>
                <w:b/>
                <w:bCs/>
              </w:rPr>
            </w:pPr>
            <w:r w:rsidRPr="006E6220">
              <w:rPr>
                <w:b/>
                <w:bCs/>
              </w:rPr>
              <w:t>2024</w:t>
            </w:r>
          </w:p>
        </w:tc>
        <w:tc>
          <w:tcPr>
            <w:tcW w:w="3688" w:type="dxa"/>
            <w:gridSpan w:val="2"/>
            <w:shd w:val="clear" w:color="auto" w:fill="D9E2F3" w:themeFill="accent1" w:themeFillTint="33"/>
          </w:tcPr>
          <w:p w14:paraId="740EE210" w14:textId="77777777" w:rsidR="00D732A0" w:rsidRPr="006E6220" w:rsidRDefault="00D732A0">
            <w:pPr>
              <w:autoSpaceDE w:val="0"/>
              <w:autoSpaceDN w:val="0"/>
              <w:adjustRightInd w:val="0"/>
              <w:spacing w:after="0"/>
              <w:jc w:val="center"/>
              <w:rPr>
                <w:b/>
                <w:bCs/>
              </w:rPr>
            </w:pPr>
          </w:p>
          <w:p w14:paraId="7A037B24" w14:textId="77777777" w:rsidR="00D732A0" w:rsidRPr="006E6220" w:rsidRDefault="00D732A0">
            <w:pPr>
              <w:autoSpaceDE w:val="0"/>
              <w:autoSpaceDN w:val="0"/>
              <w:adjustRightInd w:val="0"/>
              <w:spacing w:after="0"/>
              <w:jc w:val="center"/>
              <w:rPr>
                <w:b/>
                <w:bCs/>
              </w:rPr>
            </w:pPr>
            <w:r w:rsidRPr="006E6220">
              <w:rPr>
                <w:b/>
                <w:bCs/>
              </w:rPr>
              <w:t>2028</w:t>
            </w:r>
          </w:p>
        </w:tc>
      </w:tr>
      <w:tr w:rsidR="00D732A0" w:rsidRPr="00BF43E4" w14:paraId="4CF09C51" w14:textId="77777777" w:rsidTr="00BB4208">
        <w:trPr>
          <w:trHeight w:val="93"/>
        </w:trPr>
        <w:tc>
          <w:tcPr>
            <w:tcW w:w="1975" w:type="dxa"/>
          </w:tcPr>
          <w:p w14:paraId="4F37E0F0" w14:textId="77777777" w:rsidR="00D732A0" w:rsidRPr="00BF43E4" w:rsidRDefault="00D732A0">
            <w:pPr>
              <w:autoSpaceDE w:val="0"/>
              <w:autoSpaceDN w:val="0"/>
              <w:adjustRightInd w:val="0"/>
              <w:spacing w:after="0"/>
            </w:pPr>
            <w:r w:rsidRPr="00BF43E4">
              <w:t xml:space="preserve">Step 1 </w:t>
            </w:r>
          </w:p>
        </w:tc>
        <w:tc>
          <w:tcPr>
            <w:tcW w:w="1844" w:type="dxa"/>
          </w:tcPr>
          <w:p w14:paraId="2DBD323A" w14:textId="77777777" w:rsidR="00D732A0" w:rsidRPr="00BF43E4" w:rsidRDefault="00D732A0">
            <w:pPr>
              <w:autoSpaceDE w:val="0"/>
              <w:autoSpaceDN w:val="0"/>
              <w:adjustRightInd w:val="0"/>
              <w:spacing w:after="0"/>
              <w:jc w:val="center"/>
            </w:pPr>
            <w:r w:rsidRPr="00BF43E4">
              <w:t>2029</w:t>
            </w:r>
          </w:p>
        </w:tc>
        <w:tc>
          <w:tcPr>
            <w:tcW w:w="1844" w:type="dxa"/>
          </w:tcPr>
          <w:p w14:paraId="4E3CA925" w14:textId="77777777" w:rsidR="00D732A0" w:rsidRPr="00BF43E4" w:rsidRDefault="00D732A0">
            <w:pPr>
              <w:autoSpaceDE w:val="0"/>
              <w:autoSpaceDN w:val="0"/>
              <w:adjustRightInd w:val="0"/>
              <w:spacing w:after="0"/>
              <w:jc w:val="center"/>
            </w:pPr>
            <w:r w:rsidRPr="00BF43E4">
              <w:t>10%</w:t>
            </w:r>
          </w:p>
        </w:tc>
        <w:tc>
          <w:tcPr>
            <w:tcW w:w="1844" w:type="dxa"/>
          </w:tcPr>
          <w:p w14:paraId="0831D4A0" w14:textId="77777777" w:rsidR="00D732A0" w:rsidRPr="00BF43E4" w:rsidRDefault="00D732A0">
            <w:pPr>
              <w:autoSpaceDE w:val="0"/>
              <w:autoSpaceDN w:val="0"/>
              <w:adjustRightInd w:val="0"/>
              <w:spacing w:after="0"/>
              <w:jc w:val="center"/>
            </w:pPr>
            <w:r w:rsidRPr="00BF43E4">
              <w:t>2032</w:t>
            </w:r>
          </w:p>
        </w:tc>
        <w:tc>
          <w:tcPr>
            <w:tcW w:w="1844" w:type="dxa"/>
          </w:tcPr>
          <w:p w14:paraId="7AB6ABFA" w14:textId="77777777" w:rsidR="00D732A0" w:rsidRPr="00BF43E4" w:rsidRDefault="00D732A0">
            <w:pPr>
              <w:autoSpaceDE w:val="0"/>
              <w:autoSpaceDN w:val="0"/>
              <w:adjustRightInd w:val="0"/>
              <w:spacing w:after="0"/>
              <w:jc w:val="center"/>
            </w:pPr>
            <w:r w:rsidRPr="00BF43E4">
              <w:t>10%</w:t>
            </w:r>
          </w:p>
        </w:tc>
      </w:tr>
      <w:tr w:rsidR="00D732A0" w:rsidRPr="00BF43E4" w14:paraId="0D89DEB7" w14:textId="77777777" w:rsidTr="00BB4208">
        <w:trPr>
          <w:trHeight w:val="93"/>
        </w:trPr>
        <w:tc>
          <w:tcPr>
            <w:tcW w:w="1975" w:type="dxa"/>
          </w:tcPr>
          <w:p w14:paraId="45A9AB10" w14:textId="77777777" w:rsidR="00D732A0" w:rsidRPr="00BF43E4" w:rsidRDefault="00D732A0">
            <w:pPr>
              <w:autoSpaceDE w:val="0"/>
              <w:autoSpaceDN w:val="0"/>
              <w:adjustRightInd w:val="0"/>
              <w:spacing w:after="0"/>
            </w:pPr>
            <w:r w:rsidRPr="00BF43E4">
              <w:t xml:space="preserve">Step 2 </w:t>
            </w:r>
          </w:p>
        </w:tc>
        <w:tc>
          <w:tcPr>
            <w:tcW w:w="1844" w:type="dxa"/>
          </w:tcPr>
          <w:p w14:paraId="19146446" w14:textId="77777777" w:rsidR="00D732A0" w:rsidRPr="00BF43E4" w:rsidRDefault="00D732A0">
            <w:pPr>
              <w:autoSpaceDE w:val="0"/>
              <w:autoSpaceDN w:val="0"/>
              <w:adjustRightInd w:val="0"/>
              <w:spacing w:after="0"/>
              <w:jc w:val="center"/>
            </w:pPr>
            <w:r w:rsidRPr="00BF43E4">
              <w:t>2035</w:t>
            </w:r>
          </w:p>
        </w:tc>
        <w:tc>
          <w:tcPr>
            <w:tcW w:w="1844" w:type="dxa"/>
          </w:tcPr>
          <w:p w14:paraId="3E5794A4" w14:textId="77777777" w:rsidR="00D732A0" w:rsidRPr="00BF43E4" w:rsidRDefault="00D732A0">
            <w:pPr>
              <w:autoSpaceDE w:val="0"/>
              <w:autoSpaceDN w:val="0"/>
              <w:adjustRightInd w:val="0"/>
              <w:spacing w:after="0"/>
              <w:jc w:val="center"/>
            </w:pPr>
            <w:r w:rsidRPr="00BF43E4">
              <w:t>30%</w:t>
            </w:r>
          </w:p>
        </w:tc>
        <w:tc>
          <w:tcPr>
            <w:tcW w:w="1844" w:type="dxa"/>
          </w:tcPr>
          <w:p w14:paraId="40EE2ECC" w14:textId="77777777" w:rsidR="00D732A0" w:rsidRPr="00BF43E4" w:rsidRDefault="00D732A0">
            <w:pPr>
              <w:autoSpaceDE w:val="0"/>
              <w:autoSpaceDN w:val="0"/>
              <w:adjustRightInd w:val="0"/>
              <w:spacing w:after="0"/>
              <w:jc w:val="center"/>
            </w:pPr>
            <w:r w:rsidRPr="00BF43E4">
              <w:t>2037</w:t>
            </w:r>
          </w:p>
        </w:tc>
        <w:tc>
          <w:tcPr>
            <w:tcW w:w="1844" w:type="dxa"/>
          </w:tcPr>
          <w:p w14:paraId="0C860C13" w14:textId="77777777" w:rsidR="00D732A0" w:rsidRPr="00BF43E4" w:rsidRDefault="00D732A0">
            <w:pPr>
              <w:autoSpaceDE w:val="0"/>
              <w:autoSpaceDN w:val="0"/>
              <w:adjustRightInd w:val="0"/>
              <w:spacing w:after="0"/>
              <w:jc w:val="center"/>
            </w:pPr>
            <w:r w:rsidRPr="00BF43E4">
              <w:t>20%</w:t>
            </w:r>
          </w:p>
        </w:tc>
      </w:tr>
      <w:tr w:rsidR="00D732A0" w:rsidRPr="00BF43E4" w14:paraId="7A501FAE" w14:textId="77777777" w:rsidTr="00BB4208">
        <w:trPr>
          <w:trHeight w:val="93"/>
        </w:trPr>
        <w:tc>
          <w:tcPr>
            <w:tcW w:w="1975" w:type="dxa"/>
          </w:tcPr>
          <w:p w14:paraId="7D31D397" w14:textId="77777777" w:rsidR="00D732A0" w:rsidRPr="00BF43E4" w:rsidRDefault="00D732A0">
            <w:pPr>
              <w:autoSpaceDE w:val="0"/>
              <w:autoSpaceDN w:val="0"/>
              <w:adjustRightInd w:val="0"/>
              <w:spacing w:after="0"/>
            </w:pPr>
            <w:r w:rsidRPr="00BF43E4">
              <w:t xml:space="preserve">Step 3 </w:t>
            </w:r>
          </w:p>
        </w:tc>
        <w:tc>
          <w:tcPr>
            <w:tcW w:w="1844" w:type="dxa"/>
          </w:tcPr>
          <w:p w14:paraId="7B8F4223" w14:textId="77777777" w:rsidR="00D732A0" w:rsidRPr="00BF43E4" w:rsidRDefault="00D732A0">
            <w:pPr>
              <w:autoSpaceDE w:val="0"/>
              <w:autoSpaceDN w:val="0"/>
              <w:adjustRightInd w:val="0"/>
              <w:spacing w:after="0"/>
              <w:jc w:val="center"/>
            </w:pPr>
            <w:r w:rsidRPr="00BF43E4">
              <w:t>2040</w:t>
            </w:r>
          </w:p>
        </w:tc>
        <w:tc>
          <w:tcPr>
            <w:tcW w:w="1844" w:type="dxa"/>
          </w:tcPr>
          <w:p w14:paraId="41E92357" w14:textId="77777777" w:rsidR="00D732A0" w:rsidRPr="00BF43E4" w:rsidRDefault="00D732A0">
            <w:pPr>
              <w:autoSpaceDE w:val="0"/>
              <w:autoSpaceDN w:val="0"/>
              <w:adjustRightInd w:val="0"/>
              <w:spacing w:after="0"/>
              <w:jc w:val="center"/>
            </w:pPr>
            <w:r w:rsidRPr="00BF43E4">
              <w:t>50%</w:t>
            </w:r>
          </w:p>
        </w:tc>
        <w:tc>
          <w:tcPr>
            <w:tcW w:w="1844" w:type="dxa"/>
          </w:tcPr>
          <w:p w14:paraId="27FD865E" w14:textId="77777777" w:rsidR="00D732A0" w:rsidRPr="00BF43E4" w:rsidRDefault="00D732A0">
            <w:pPr>
              <w:autoSpaceDE w:val="0"/>
              <w:autoSpaceDN w:val="0"/>
              <w:adjustRightInd w:val="0"/>
              <w:spacing w:after="0"/>
              <w:jc w:val="center"/>
            </w:pPr>
            <w:r w:rsidRPr="00BF43E4">
              <w:t>2042</w:t>
            </w:r>
          </w:p>
        </w:tc>
        <w:tc>
          <w:tcPr>
            <w:tcW w:w="1844" w:type="dxa"/>
          </w:tcPr>
          <w:p w14:paraId="44187BBF" w14:textId="77777777" w:rsidR="00D732A0" w:rsidRPr="00BF43E4" w:rsidRDefault="00D732A0">
            <w:pPr>
              <w:autoSpaceDE w:val="0"/>
              <w:autoSpaceDN w:val="0"/>
              <w:adjustRightInd w:val="0"/>
              <w:spacing w:after="0"/>
              <w:jc w:val="center"/>
            </w:pPr>
            <w:r w:rsidRPr="00BF43E4">
              <w:t>30%</w:t>
            </w:r>
          </w:p>
        </w:tc>
      </w:tr>
      <w:tr w:rsidR="00D732A0" w:rsidRPr="00BF43E4" w14:paraId="1086D482" w14:textId="77777777" w:rsidTr="00BB4208">
        <w:trPr>
          <w:trHeight w:val="93"/>
        </w:trPr>
        <w:tc>
          <w:tcPr>
            <w:tcW w:w="1975" w:type="dxa"/>
          </w:tcPr>
          <w:p w14:paraId="6EDC597C" w14:textId="77777777" w:rsidR="00D732A0" w:rsidRPr="00BF43E4" w:rsidRDefault="00D732A0">
            <w:pPr>
              <w:autoSpaceDE w:val="0"/>
              <w:autoSpaceDN w:val="0"/>
              <w:adjustRightInd w:val="0"/>
              <w:spacing w:after="0"/>
            </w:pPr>
            <w:r w:rsidRPr="00BF43E4">
              <w:t xml:space="preserve">Step 4 </w:t>
            </w:r>
          </w:p>
        </w:tc>
        <w:tc>
          <w:tcPr>
            <w:tcW w:w="1844" w:type="dxa"/>
          </w:tcPr>
          <w:p w14:paraId="1661CCE1" w14:textId="77777777" w:rsidR="00D732A0" w:rsidRPr="00BF43E4" w:rsidRDefault="00D732A0">
            <w:pPr>
              <w:autoSpaceDE w:val="0"/>
              <w:autoSpaceDN w:val="0"/>
              <w:adjustRightInd w:val="0"/>
              <w:spacing w:after="0"/>
              <w:jc w:val="center"/>
            </w:pPr>
            <w:r w:rsidRPr="00BF43E4">
              <w:t>2045</w:t>
            </w:r>
          </w:p>
        </w:tc>
        <w:tc>
          <w:tcPr>
            <w:tcW w:w="1844" w:type="dxa"/>
          </w:tcPr>
          <w:p w14:paraId="40FD9DB1" w14:textId="77777777" w:rsidR="00D732A0" w:rsidRPr="00BF43E4" w:rsidRDefault="00D732A0">
            <w:pPr>
              <w:autoSpaceDE w:val="0"/>
              <w:autoSpaceDN w:val="0"/>
              <w:adjustRightInd w:val="0"/>
              <w:spacing w:after="0"/>
              <w:jc w:val="center"/>
            </w:pPr>
            <w:r w:rsidRPr="00BF43E4">
              <w:t>80%</w:t>
            </w:r>
          </w:p>
        </w:tc>
        <w:tc>
          <w:tcPr>
            <w:tcW w:w="1844" w:type="dxa"/>
          </w:tcPr>
          <w:p w14:paraId="5C9773DA" w14:textId="77777777" w:rsidR="00D732A0" w:rsidRPr="00BF43E4" w:rsidRDefault="00D732A0">
            <w:pPr>
              <w:autoSpaceDE w:val="0"/>
              <w:autoSpaceDN w:val="0"/>
              <w:adjustRightInd w:val="0"/>
              <w:spacing w:after="0"/>
              <w:jc w:val="center"/>
            </w:pPr>
            <w:r w:rsidRPr="00BF43E4">
              <w:t>2047</w:t>
            </w:r>
          </w:p>
        </w:tc>
        <w:tc>
          <w:tcPr>
            <w:tcW w:w="1844" w:type="dxa"/>
          </w:tcPr>
          <w:p w14:paraId="39446942" w14:textId="77777777" w:rsidR="00D732A0" w:rsidRPr="00BF43E4" w:rsidRDefault="00D732A0">
            <w:pPr>
              <w:autoSpaceDE w:val="0"/>
              <w:autoSpaceDN w:val="0"/>
              <w:adjustRightInd w:val="0"/>
              <w:spacing w:after="0"/>
              <w:jc w:val="center"/>
            </w:pPr>
            <w:r w:rsidRPr="00BF43E4">
              <w:t>85%</w:t>
            </w:r>
          </w:p>
        </w:tc>
      </w:tr>
    </w:tbl>
    <w:p w14:paraId="7072769F" w14:textId="7AB151B7" w:rsidR="00D732A0" w:rsidRPr="00CE615C" w:rsidRDefault="00CE615C" w:rsidP="00CE615C">
      <w:pPr>
        <w:spacing w:after="0"/>
        <w:jc w:val="both"/>
        <w:rPr>
          <w:sz w:val="18"/>
          <w:szCs w:val="18"/>
        </w:rPr>
      </w:pPr>
      <w:r w:rsidRPr="00CE615C">
        <w:rPr>
          <w:sz w:val="18"/>
          <w:szCs w:val="18"/>
          <w:vertAlign w:val="superscript"/>
        </w:rPr>
        <w:t>*</w:t>
      </w:r>
      <w:r>
        <w:rPr>
          <w:sz w:val="18"/>
          <w:szCs w:val="18"/>
        </w:rPr>
        <w:t xml:space="preserve"> </w:t>
      </w:r>
      <w:r w:rsidR="00D732A0" w:rsidRPr="00CE615C">
        <w:rPr>
          <w:sz w:val="18"/>
          <w:szCs w:val="18"/>
        </w:rPr>
        <w:t>Group 1: A5 parties not part of Group 2</w:t>
      </w:r>
    </w:p>
    <w:p w14:paraId="723DAD77" w14:textId="1D162E19" w:rsidR="00D732A0" w:rsidRPr="008F710E" w:rsidRDefault="00F05ED5" w:rsidP="00D732A0">
      <w:pPr>
        <w:spacing w:after="0"/>
        <w:jc w:val="both"/>
        <w:rPr>
          <w:sz w:val="18"/>
          <w:szCs w:val="18"/>
        </w:rPr>
      </w:pPr>
      <w:r>
        <w:rPr>
          <w:sz w:val="18"/>
          <w:szCs w:val="18"/>
          <w:vertAlign w:val="superscript"/>
        </w:rPr>
        <w:t>**</w:t>
      </w:r>
      <w:r w:rsidR="00D732A0" w:rsidRPr="008F710E">
        <w:rPr>
          <w:sz w:val="18"/>
          <w:szCs w:val="18"/>
        </w:rPr>
        <w:t xml:space="preserve"> Group 2: Bahrain, India, the Islamic Republic of Iran, Iraq, Kuwait, Oman, Pakistan, Qatar, Saudi Arabia and the United Arab Emirates</w:t>
      </w:r>
    </w:p>
    <w:p w14:paraId="3AE10E6A" w14:textId="4943C1FB" w:rsidR="00D62EF5" w:rsidRPr="00BB4208" w:rsidRDefault="00D732A0" w:rsidP="007B1009">
      <w:pPr>
        <w:spacing w:after="120"/>
        <w:jc w:val="both"/>
        <w:rPr>
          <w:sz w:val="18"/>
          <w:szCs w:val="18"/>
        </w:rPr>
      </w:pPr>
      <w:r w:rsidRPr="00BB4208">
        <w:rPr>
          <w:sz w:val="18"/>
          <w:szCs w:val="18"/>
        </w:rPr>
        <w:t xml:space="preserve">Source: </w:t>
      </w:r>
      <w:r w:rsidR="008F2824" w:rsidRPr="00BB4208">
        <w:rPr>
          <w:sz w:val="18"/>
          <w:szCs w:val="18"/>
        </w:rPr>
        <w:t xml:space="preserve">UNEP (2016). </w:t>
      </w:r>
      <w:r w:rsidR="008F2824" w:rsidRPr="00BB4208">
        <w:rPr>
          <w:i/>
          <w:sz w:val="18"/>
          <w:szCs w:val="18"/>
        </w:rPr>
        <w:t xml:space="preserve">Further Amendment of the Montreal Protocol: Submitted by the Contact group on HFCs. </w:t>
      </w:r>
      <w:r w:rsidR="008F2824" w:rsidRPr="00BB4208">
        <w:rPr>
          <w:sz w:val="18"/>
          <w:szCs w:val="18"/>
        </w:rPr>
        <w:t>Twenty-Eighth Meeting of the Parties to the Montreal Protocol on Substances that Deplete the Ozone Layer, United Nations Environment Programme (UNEP), UNEP/OzL.Pro.28/CRP/10, Kigali, 10–14 October 2016.</w:t>
      </w:r>
    </w:p>
    <w:p w14:paraId="42853263" w14:textId="77777777" w:rsidR="008F710E" w:rsidRDefault="008F710E" w:rsidP="00296C6F"/>
    <w:p w14:paraId="72DCD59B" w14:textId="5A1A9698" w:rsidR="00296C6F" w:rsidRPr="004A2792" w:rsidRDefault="2F67A9C5" w:rsidP="00296C6F">
      <w:r w:rsidRPr="222ABFFA">
        <w:t xml:space="preserve">HFC baselines are calculated in </w:t>
      </w:r>
      <w:r w:rsidR="302C013D" w:rsidRPr="222ABFFA">
        <w:t xml:space="preserve">tonnes </w:t>
      </w:r>
      <w:r w:rsidRPr="222ABFFA">
        <w:t>CO</w:t>
      </w:r>
      <w:r w:rsidRPr="222ABFFA">
        <w:rPr>
          <w:vertAlign w:val="subscript"/>
        </w:rPr>
        <w:t>2</w:t>
      </w:r>
      <w:r w:rsidRPr="222ABFFA">
        <w:t>-equivalent (</w:t>
      </w:r>
      <w:r w:rsidR="302C013D" w:rsidRPr="222ABFFA">
        <w:t>t</w:t>
      </w:r>
      <w:r w:rsidRPr="222ABFFA">
        <w:t>CO</w:t>
      </w:r>
      <w:r w:rsidRPr="222ABFFA">
        <w:rPr>
          <w:vertAlign w:val="subscript"/>
        </w:rPr>
        <w:t>2</w:t>
      </w:r>
      <w:r w:rsidRPr="222ABFFA">
        <w:t xml:space="preserve">-eq) as the average of HFC consumption </w:t>
      </w:r>
      <w:r w:rsidR="00EA5B54">
        <w:t xml:space="preserve">over </w:t>
      </w:r>
      <w:r w:rsidRPr="222ABFFA">
        <w:t>2020</w:t>
      </w:r>
      <w:r w:rsidR="00EA5B54">
        <w:t>-</w:t>
      </w:r>
      <w:r w:rsidRPr="222ABFFA">
        <w:t xml:space="preserve"> 2022 for group 1 countries </w:t>
      </w:r>
      <w:r w:rsidR="00647469">
        <w:t xml:space="preserve">and over </w:t>
      </w:r>
      <w:r w:rsidRPr="222ABFFA">
        <w:t>2024</w:t>
      </w:r>
      <w:r w:rsidR="00647469">
        <w:t>-</w:t>
      </w:r>
      <w:r w:rsidRPr="222ABFFA">
        <w:t xml:space="preserve">2026 for </w:t>
      </w:r>
      <w:r w:rsidR="00BB4208">
        <w:t>G</w:t>
      </w:r>
      <w:r w:rsidRPr="222ABFFA">
        <w:t>2 countries, plus 65% of the country’s HCFC baselin</w:t>
      </w:r>
      <w:r w:rsidRPr="42C6458C">
        <w:rPr>
          <w:color w:val="auto"/>
        </w:rPr>
        <w:t>e for both G</w:t>
      </w:r>
      <w:r w:rsidR="00BB4208">
        <w:rPr>
          <w:color w:val="auto"/>
        </w:rPr>
        <w:t>1</w:t>
      </w:r>
      <w:r w:rsidRPr="42C6458C">
        <w:rPr>
          <w:color w:val="auto"/>
        </w:rPr>
        <w:t xml:space="preserve"> and </w:t>
      </w:r>
      <w:r w:rsidR="00BB4208">
        <w:rPr>
          <w:color w:val="auto"/>
        </w:rPr>
        <w:t>G</w:t>
      </w:r>
      <w:r w:rsidRPr="42C6458C">
        <w:rPr>
          <w:color w:val="auto"/>
        </w:rPr>
        <w:t>2</w:t>
      </w:r>
      <w:r w:rsidR="003514D9">
        <w:rPr>
          <w:color w:val="auto"/>
        </w:rPr>
        <w:t>, as shown in Table 3.1</w:t>
      </w:r>
      <w:r w:rsidR="3CCC3BF5" w:rsidRPr="42C6458C">
        <w:rPr>
          <w:color w:val="auto"/>
        </w:rPr>
        <w:t>.</w:t>
      </w:r>
    </w:p>
    <w:p w14:paraId="1CFB9D9D" w14:textId="1AE2BC78" w:rsidR="00296C6F" w:rsidRPr="00B942AF" w:rsidRDefault="2F67A9C5" w:rsidP="00296C6F">
      <w:r>
        <w:t xml:space="preserve">The compliance targets for </w:t>
      </w:r>
      <w:r w:rsidR="00707B52">
        <w:t xml:space="preserve">A5 </w:t>
      </w:r>
      <w:r w:rsidR="007B1009">
        <w:t>p</w:t>
      </w:r>
      <w:r w:rsidR="00707B52">
        <w:t xml:space="preserve">arties </w:t>
      </w:r>
      <w:r w:rsidR="00F73719">
        <w:t xml:space="preserve">for </w:t>
      </w:r>
      <w:r>
        <w:t xml:space="preserve">the 2027-2029 </w:t>
      </w:r>
      <w:r w:rsidR="00F73719">
        <w:t xml:space="preserve">period </w:t>
      </w:r>
      <w:r>
        <w:t xml:space="preserve">and </w:t>
      </w:r>
      <w:r w:rsidR="00F73719">
        <w:t xml:space="preserve">the following </w:t>
      </w:r>
      <w:r>
        <w:t>two triennia are as follows:</w:t>
      </w:r>
    </w:p>
    <w:p w14:paraId="7BDA3EB6" w14:textId="4A4CC425" w:rsidR="00296C6F" w:rsidRDefault="2F67A9C5" w:rsidP="000E79CB">
      <w:pPr>
        <w:numPr>
          <w:ilvl w:val="0"/>
          <w:numId w:val="6"/>
        </w:numPr>
        <w:tabs>
          <w:tab w:val="clear" w:pos="0"/>
        </w:tabs>
        <w:spacing w:after="200"/>
      </w:pPr>
      <w:r>
        <w:t>G1 parties: In the 2027-2029 triennium, a 10% reduction from baseline by 1 January 2029; for the next two triennia 2030-2032 and 2033-2035, a 30% reduction from baseline by 1 January 2035.</w:t>
      </w:r>
    </w:p>
    <w:p w14:paraId="7EA4D289" w14:textId="0C64B695" w:rsidR="00296C6F" w:rsidRPr="00B942AF" w:rsidRDefault="2F67A9C5" w:rsidP="000E79CB">
      <w:pPr>
        <w:numPr>
          <w:ilvl w:val="0"/>
          <w:numId w:val="6"/>
        </w:numPr>
        <w:tabs>
          <w:tab w:val="clear" w:pos="0"/>
        </w:tabs>
        <w:spacing w:after="200"/>
      </w:pPr>
      <w:r>
        <w:t>G2 parties: In the 2027-2029 triennium, a freeze of production and consumption by 1 January 2028; for the next two triennia 2030-2032 and 2033-2035, a 10% reduction from baseline by 1 January 2032, and a 20% reduction from baseline by 1 January 2037.</w:t>
      </w:r>
    </w:p>
    <w:p w14:paraId="142DCCE1" w14:textId="77777777" w:rsidR="00296C6F" w:rsidRDefault="2F67A9C5" w:rsidP="007C77CF">
      <w:pPr>
        <w:pStyle w:val="Heading3"/>
        <w:rPr>
          <w:noProof/>
        </w:rPr>
      </w:pPr>
      <w:bookmarkStart w:id="173" w:name="_Toc230099071"/>
      <w:r w:rsidRPr="222ABFFA">
        <w:rPr>
          <w:noProof/>
        </w:rPr>
        <w:t>3.1.1</w:t>
      </w:r>
      <w:r w:rsidR="00296C6F">
        <w:tab/>
      </w:r>
      <w:r w:rsidRPr="222ABFFA">
        <w:rPr>
          <w:noProof/>
        </w:rPr>
        <w:t>Status of Ratification</w:t>
      </w:r>
      <w:bookmarkEnd w:id="173"/>
    </w:p>
    <w:p w14:paraId="6F7671F3" w14:textId="1DE25643" w:rsidR="003E769F" w:rsidRDefault="00FB19F8" w:rsidP="222ABFFA">
      <w:pPr>
        <w:rPr>
          <w:rFonts w:eastAsia="Calibri"/>
          <w:kern w:val="2"/>
          <w14:ligatures w14:val="standardContextual"/>
        </w:rPr>
      </w:pPr>
      <w:r w:rsidRPr="000D737F">
        <w:rPr>
          <w:rFonts w:eastAsia="Calibri"/>
          <w:kern w:val="2"/>
          <w:lang w:val="en-US"/>
          <w14:ligatures w14:val="standardContextual"/>
        </w:rPr>
        <w:t xml:space="preserve">The list of A5 parties that have ratified </w:t>
      </w:r>
      <w:r w:rsidR="002A1480" w:rsidRPr="000D737F">
        <w:rPr>
          <w:rFonts w:eastAsia="Calibri"/>
          <w:kern w:val="2"/>
          <w:lang w:val="en-US"/>
          <w14:ligatures w14:val="standardContextual"/>
        </w:rPr>
        <w:t xml:space="preserve">the </w:t>
      </w:r>
      <w:r w:rsidR="00AF291D">
        <w:rPr>
          <w:rFonts w:eastAsia="Calibri"/>
          <w:kern w:val="2"/>
          <w:lang w:val="en-US"/>
          <w14:ligatures w14:val="standardContextual"/>
        </w:rPr>
        <w:t>KA</w:t>
      </w:r>
      <w:r w:rsidR="002A1480" w:rsidRPr="000D737F">
        <w:rPr>
          <w:rFonts w:eastAsia="Calibri"/>
          <w:kern w:val="2"/>
          <w:lang w:val="en-US"/>
          <w14:ligatures w14:val="standardContextual"/>
        </w:rPr>
        <w:t xml:space="preserve"> </w:t>
      </w:r>
      <w:r w:rsidR="001A4D07" w:rsidRPr="000D737F">
        <w:rPr>
          <w:rFonts w:eastAsia="Calibri"/>
          <w:kern w:val="2"/>
          <w:lang w:val="en-US"/>
          <w14:ligatures w14:val="standardContextual"/>
        </w:rPr>
        <w:t xml:space="preserve">continues to increase </w:t>
      </w:r>
      <w:r w:rsidRPr="000D737F">
        <w:rPr>
          <w:rFonts w:eastAsia="Calibri"/>
          <w:kern w:val="2"/>
          <w:lang w:val="en-US"/>
          <w14:ligatures w14:val="standardContextual"/>
        </w:rPr>
        <w:t xml:space="preserve">rapidly. As of </w:t>
      </w:r>
      <w:r w:rsidRPr="000D737F">
        <w:rPr>
          <w:rFonts w:eastAsia="Calibri"/>
          <w:lang w:val="en-US"/>
        </w:rPr>
        <w:t>8</w:t>
      </w:r>
      <w:r w:rsidRPr="000D737F">
        <w:rPr>
          <w:rFonts w:eastAsia="Calibri"/>
          <w:kern w:val="2"/>
          <w:lang w:val="en-US"/>
          <w14:ligatures w14:val="standardContextual"/>
        </w:rPr>
        <w:t xml:space="preserve"> April 202</w:t>
      </w:r>
      <w:r w:rsidRPr="000D737F">
        <w:rPr>
          <w:rFonts w:eastAsia="Calibri"/>
          <w:lang w:val="en-US"/>
        </w:rPr>
        <w:t>6</w:t>
      </w:r>
      <w:r w:rsidRPr="000D737F">
        <w:rPr>
          <w:rFonts w:eastAsia="Calibri"/>
          <w:kern w:val="2"/>
          <w:lang w:val="en-US"/>
          <w14:ligatures w14:val="standardContextual"/>
        </w:rPr>
        <w:t>, 1</w:t>
      </w:r>
      <w:r w:rsidRPr="000D737F">
        <w:rPr>
          <w:rFonts w:eastAsia="Calibri"/>
          <w:lang w:val="en-US"/>
        </w:rPr>
        <w:t>19</w:t>
      </w:r>
      <w:r w:rsidRPr="000D737F">
        <w:rPr>
          <w:rFonts w:eastAsia="Calibri"/>
          <w:kern w:val="2"/>
          <w:lang w:val="en-US"/>
          <w14:ligatures w14:val="standardContextual"/>
        </w:rPr>
        <w:t xml:space="preserve"> A5 parties in G</w:t>
      </w:r>
      <w:r w:rsidR="00BE61BB" w:rsidRPr="000D737F">
        <w:rPr>
          <w:rFonts w:eastAsia="Calibri"/>
          <w:kern w:val="2"/>
          <w:lang w:val="en-US"/>
          <w14:ligatures w14:val="standardContextual"/>
        </w:rPr>
        <w:t>1</w:t>
      </w:r>
      <w:r w:rsidRPr="000D737F">
        <w:rPr>
          <w:rFonts w:eastAsia="Calibri"/>
          <w:kern w:val="2"/>
          <w:lang w:val="en-US"/>
          <w14:ligatures w14:val="standardContextual"/>
        </w:rPr>
        <w:t xml:space="preserve"> and </w:t>
      </w:r>
      <w:r w:rsidRPr="000D737F">
        <w:rPr>
          <w:rFonts w:eastAsia="Calibri"/>
          <w:lang w:val="en-US"/>
        </w:rPr>
        <w:t>six</w:t>
      </w:r>
      <w:r w:rsidRPr="000D737F">
        <w:rPr>
          <w:rFonts w:eastAsia="Calibri"/>
          <w:kern w:val="2"/>
          <w:lang w:val="en-US"/>
          <w14:ligatures w14:val="standardContextual"/>
        </w:rPr>
        <w:t xml:space="preserve"> in G</w:t>
      </w:r>
      <w:r w:rsidR="00BE61BB" w:rsidRPr="000D737F">
        <w:rPr>
          <w:rFonts w:eastAsia="Calibri"/>
          <w:kern w:val="2"/>
          <w:lang w:val="en-US"/>
          <w14:ligatures w14:val="standardContextual"/>
        </w:rPr>
        <w:t>2</w:t>
      </w:r>
      <w:r w:rsidRPr="000D737F">
        <w:rPr>
          <w:rFonts w:eastAsia="Calibri"/>
          <w:kern w:val="2"/>
          <w:lang w:val="en-US"/>
          <w14:ligatures w14:val="standardContextual"/>
        </w:rPr>
        <w:t xml:space="preserve"> ha</w:t>
      </w:r>
      <w:r w:rsidRPr="000D737F">
        <w:rPr>
          <w:rFonts w:eastAsia="Calibri"/>
          <w:lang w:val="en-US"/>
        </w:rPr>
        <w:t>d</w:t>
      </w:r>
      <w:r w:rsidRPr="000D737F">
        <w:rPr>
          <w:rFonts w:eastAsia="Calibri"/>
          <w:kern w:val="2"/>
          <w:lang w:val="en-US"/>
          <w14:ligatures w14:val="standardContextual"/>
        </w:rPr>
        <w:t xml:space="preserve"> ratified the </w:t>
      </w:r>
      <w:r w:rsidR="00AF291D">
        <w:rPr>
          <w:rFonts w:eastAsia="Calibri"/>
          <w:kern w:val="2"/>
          <w:lang w:val="en-US"/>
          <w14:ligatures w14:val="standardContextual"/>
        </w:rPr>
        <w:t>KA</w:t>
      </w:r>
      <w:r w:rsidRPr="000D737F">
        <w:rPr>
          <w:rFonts w:eastAsia="Calibri"/>
          <w:kern w:val="2"/>
          <w:lang w:val="en-US"/>
          <w14:ligatures w14:val="standardContextual"/>
        </w:rPr>
        <w:t>.</w:t>
      </w:r>
      <w:r w:rsidRPr="000D737F">
        <w:rPr>
          <w:rFonts w:eastAsia="Calibri"/>
          <w:kern w:val="2"/>
          <w14:ligatures w14:val="standardContextual"/>
        </w:rPr>
        <w:t xml:space="preserve"> As of </w:t>
      </w:r>
      <w:r w:rsidRPr="000D737F">
        <w:rPr>
          <w:rFonts w:eastAsia="Calibri"/>
        </w:rPr>
        <w:t>6 May</w:t>
      </w:r>
      <w:r w:rsidRPr="000D737F">
        <w:rPr>
          <w:rFonts w:eastAsia="Calibri"/>
          <w:kern w:val="2"/>
          <w14:ligatures w14:val="standardContextual"/>
        </w:rPr>
        <w:t xml:space="preserve"> 202</w:t>
      </w:r>
      <w:r w:rsidRPr="000D737F">
        <w:rPr>
          <w:rFonts w:eastAsia="Calibri"/>
        </w:rPr>
        <w:t>6</w:t>
      </w:r>
      <w:r w:rsidRPr="000D737F">
        <w:rPr>
          <w:rFonts w:eastAsia="Calibri"/>
          <w:kern w:val="2"/>
          <w14:ligatures w14:val="standardContextual"/>
        </w:rPr>
        <w:t xml:space="preserve">, 113 eligible A5 parties in G1 had provided HFC baseline data to the </w:t>
      </w:r>
      <w:r w:rsidR="00185768">
        <w:rPr>
          <w:rFonts w:eastAsia="Calibri"/>
          <w:kern w:val="2"/>
          <w14:ligatures w14:val="standardContextual"/>
        </w:rPr>
        <w:t>OS</w:t>
      </w:r>
      <w:r w:rsidR="00E62A1C" w:rsidRPr="000D737F">
        <w:rPr>
          <w:rFonts w:eastAsia="Calibri"/>
          <w:kern w:val="2"/>
          <w14:ligatures w14:val="standardContextual"/>
        </w:rPr>
        <w:t>,</w:t>
      </w:r>
      <w:r w:rsidRPr="000D737F">
        <w:rPr>
          <w:rFonts w:eastAsia="Calibri"/>
          <w:kern w:val="2"/>
          <w14:ligatures w14:val="standardContextual"/>
        </w:rPr>
        <w:t xml:space="preserve"> </w:t>
      </w:r>
      <w:r w:rsidR="00E62A1C" w:rsidRPr="000D737F">
        <w:rPr>
          <w:rFonts w:eastAsia="Calibri"/>
          <w:kern w:val="2"/>
          <w14:ligatures w14:val="standardContextual"/>
        </w:rPr>
        <w:t xml:space="preserve">while </w:t>
      </w:r>
      <w:r w:rsidR="003E769F" w:rsidRPr="000D737F">
        <w:rPr>
          <w:rFonts w:eastAsia="Calibri"/>
          <w:kern w:val="2"/>
          <w14:ligatures w14:val="standardContextual"/>
        </w:rPr>
        <w:t>24 parties ha</w:t>
      </w:r>
      <w:r w:rsidR="00F50865" w:rsidRPr="000D737F">
        <w:rPr>
          <w:rFonts w:eastAsia="Calibri"/>
          <w:kern w:val="2"/>
          <w14:ligatures w14:val="standardContextual"/>
        </w:rPr>
        <w:t>d</w:t>
      </w:r>
      <w:r w:rsidR="007736B0" w:rsidRPr="000D737F">
        <w:rPr>
          <w:rFonts w:eastAsia="Calibri"/>
          <w:kern w:val="2"/>
          <w14:ligatures w14:val="standardContextual"/>
        </w:rPr>
        <w:t xml:space="preserve"> not yet reported sufficient data to </w:t>
      </w:r>
      <w:r w:rsidR="00F50865" w:rsidRPr="000D737F">
        <w:rPr>
          <w:rFonts w:eastAsia="Calibri"/>
          <w:kern w:val="2"/>
          <w14:ligatures w14:val="standardContextual"/>
        </w:rPr>
        <w:t xml:space="preserve">enable the </w:t>
      </w:r>
      <w:r w:rsidR="007736B0" w:rsidRPr="000D737F">
        <w:rPr>
          <w:rFonts w:eastAsia="Calibri"/>
          <w:kern w:val="2"/>
          <w14:ligatures w14:val="standardContextual"/>
        </w:rPr>
        <w:t>calcul</w:t>
      </w:r>
      <w:r w:rsidR="00F50865" w:rsidRPr="000D737F">
        <w:rPr>
          <w:rFonts w:eastAsia="Calibri"/>
          <w:kern w:val="2"/>
          <w14:ligatures w14:val="standardContextual"/>
        </w:rPr>
        <w:t>ation</w:t>
      </w:r>
      <w:r w:rsidR="007736B0" w:rsidRPr="000D737F">
        <w:rPr>
          <w:rFonts w:eastAsia="Calibri"/>
          <w:kern w:val="2"/>
          <w14:ligatures w14:val="standardContextual"/>
        </w:rPr>
        <w:t xml:space="preserve"> </w:t>
      </w:r>
      <w:r w:rsidR="00F50865" w:rsidRPr="000D737F">
        <w:rPr>
          <w:rFonts w:eastAsia="Calibri"/>
          <w:kern w:val="2"/>
          <w14:ligatures w14:val="standardContextual"/>
        </w:rPr>
        <w:t xml:space="preserve">of </w:t>
      </w:r>
      <w:r w:rsidR="007736B0" w:rsidRPr="000D737F">
        <w:rPr>
          <w:rFonts w:eastAsia="Calibri"/>
          <w:kern w:val="2"/>
          <w14:ligatures w14:val="standardContextual"/>
        </w:rPr>
        <w:t>their</w:t>
      </w:r>
      <w:r w:rsidR="007736B0">
        <w:rPr>
          <w:rFonts w:eastAsia="Calibri"/>
          <w:kern w:val="2"/>
          <w14:ligatures w14:val="standardContextual"/>
        </w:rPr>
        <w:t xml:space="preserve"> baseline.</w:t>
      </w:r>
    </w:p>
    <w:p w14:paraId="30768A03" w14:textId="10738FC7" w:rsidR="00FB19F8" w:rsidRPr="00643F67" w:rsidRDefault="00FB19F8" w:rsidP="222ABFFA">
      <w:pPr>
        <w:rPr>
          <w:rFonts w:eastAsia="Calibri"/>
          <w:color w:val="auto"/>
          <w:kern w:val="2"/>
          <w14:ligatures w14:val="standardContextual"/>
        </w:rPr>
      </w:pPr>
      <w:r w:rsidRPr="4AF65A38">
        <w:rPr>
          <w:rFonts w:eastAsia="Calibri"/>
          <w:kern w:val="2"/>
          <w14:ligatures w14:val="standardContextual"/>
        </w:rPr>
        <w:lastRenderedPageBreak/>
        <w:t>Eleven parties reported some HFC use through the A7 reporting process</w:t>
      </w:r>
      <w:r w:rsidRPr="4AF65A38">
        <w:rPr>
          <w:rFonts w:eastAsia="Calibri"/>
        </w:rPr>
        <w:t>, but not a complete dataset to establish baselines</w:t>
      </w:r>
      <w:r w:rsidRPr="4AF65A38">
        <w:rPr>
          <w:rFonts w:eastAsia="Calibri"/>
          <w:kern w:val="2"/>
          <w14:ligatures w14:val="standardContextual"/>
        </w:rPr>
        <w:t>.</w:t>
      </w:r>
      <w:r w:rsidR="00075C0B">
        <w:rPr>
          <w:rFonts w:eastAsia="Calibri"/>
          <w:kern w:val="2"/>
          <w14:ligatures w14:val="standardContextual"/>
        </w:rPr>
        <w:t xml:space="preserve"> </w:t>
      </w:r>
      <w:r w:rsidRPr="4AF65A38">
        <w:rPr>
          <w:rFonts w:eastAsia="Calibri"/>
          <w:kern w:val="2"/>
          <w14:ligatures w14:val="standardContextual"/>
        </w:rPr>
        <w:t>13 parties had not reported HFC data through the A7 portal.</w:t>
      </w:r>
      <w:r w:rsidRPr="4AF65A38">
        <w:rPr>
          <w:rFonts w:eastAsia="Calibri"/>
        </w:rPr>
        <w:t xml:space="preserve"> </w:t>
      </w:r>
      <w:r w:rsidRPr="4AF65A38">
        <w:rPr>
          <w:rFonts w:eastAsia="Calibri"/>
          <w:kern w:val="2"/>
          <w14:ligatures w14:val="standardContextual"/>
        </w:rPr>
        <w:t xml:space="preserve">Given that baseline </w:t>
      </w:r>
      <w:r w:rsidRPr="00643F67">
        <w:rPr>
          <w:rFonts w:eastAsia="Calibri"/>
          <w:color w:val="auto"/>
          <w:kern w:val="2"/>
          <w14:ligatures w14:val="standardContextual"/>
        </w:rPr>
        <w:t>years are still ongoing, all G</w:t>
      </w:r>
      <w:r w:rsidR="00075C0B" w:rsidRPr="00643F67">
        <w:rPr>
          <w:rFonts w:eastAsia="Calibri"/>
          <w:color w:val="auto"/>
          <w:kern w:val="2"/>
          <w14:ligatures w14:val="standardContextual"/>
        </w:rPr>
        <w:t>2</w:t>
      </w:r>
      <w:r w:rsidRPr="00643F67">
        <w:rPr>
          <w:rFonts w:eastAsia="Calibri"/>
          <w:color w:val="auto"/>
          <w:kern w:val="2"/>
          <w14:ligatures w14:val="standardContextual"/>
        </w:rPr>
        <w:t xml:space="preserve"> baselines were estimated</w:t>
      </w:r>
      <w:r w:rsidR="00075C0B" w:rsidRPr="00643F67">
        <w:rPr>
          <w:rFonts w:eastAsia="Calibri"/>
          <w:color w:val="auto"/>
          <w:kern w:val="2"/>
          <w14:ligatures w14:val="standardContextual"/>
        </w:rPr>
        <w:t>.</w:t>
      </w:r>
    </w:p>
    <w:p w14:paraId="3CE8FDAF" w14:textId="7BCDBBB2" w:rsidR="00296C6F" w:rsidRPr="00643F67" w:rsidRDefault="2F67A9C5" w:rsidP="222ABFFA">
      <w:pPr>
        <w:rPr>
          <w:color w:val="auto"/>
        </w:rPr>
      </w:pPr>
      <w:r w:rsidRPr="00643F67">
        <w:rPr>
          <w:color w:val="auto"/>
        </w:rPr>
        <w:t xml:space="preserve">In the MLFS document “Country Programme Data and Prospectus for Compliance” </w:t>
      </w:r>
      <w:r w:rsidR="00296C6F" w:rsidRPr="00643F67">
        <w:rPr>
          <w:rStyle w:val="FootnoteReference"/>
          <w:color w:val="auto"/>
        </w:rPr>
        <w:footnoteReference w:id="27"/>
      </w:r>
      <w:r w:rsidRPr="00643F67">
        <w:rPr>
          <w:color w:val="auto"/>
        </w:rPr>
        <w:t xml:space="preserve"> prepared for ExCom-97, Annex III presents </w:t>
      </w:r>
      <w:r w:rsidR="002E632A" w:rsidRPr="00643F67">
        <w:rPr>
          <w:color w:val="auto"/>
        </w:rPr>
        <w:t>an</w:t>
      </w:r>
      <w:r w:rsidRPr="00643F67">
        <w:rPr>
          <w:color w:val="auto"/>
        </w:rPr>
        <w:t xml:space="preserve"> analysis of </w:t>
      </w:r>
      <w:r w:rsidR="001C3CF8" w:rsidRPr="00643F67">
        <w:rPr>
          <w:color w:val="auto"/>
        </w:rPr>
        <w:t xml:space="preserve">reported </w:t>
      </w:r>
      <w:r w:rsidRPr="00643F67">
        <w:rPr>
          <w:color w:val="auto"/>
        </w:rPr>
        <w:t xml:space="preserve">2023 or 2024 HFC consumption data (A7 or CP data) and provides the control measures addressed by approved KIPs. Of the </w:t>
      </w:r>
      <w:r w:rsidR="007E774E" w:rsidRPr="00643F67">
        <w:rPr>
          <w:color w:val="auto"/>
        </w:rPr>
        <w:t>parties</w:t>
      </w:r>
      <w:r w:rsidRPr="00643F67">
        <w:rPr>
          <w:color w:val="auto"/>
        </w:rPr>
        <w:t xml:space="preserve"> that have established HFC baselines or have reported data for the baseline years and have reported 2023 or 2024 A7 or CP data, 14 countries</w:t>
      </w:r>
      <w:r w:rsidR="00296C6F" w:rsidRPr="00643F67">
        <w:rPr>
          <w:color w:val="auto"/>
          <w:vertAlign w:val="superscript"/>
        </w:rPr>
        <w:footnoteReference w:id="28"/>
      </w:r>
      <w:r w:rsidRPr="00643F67">
        <w:rPr>
          <w:color w:val="auto"/>
        </w:rPr>
        <w:t xml:space="preserve"> reported consumption levels that are greater than their baseline levels (one country for 2023 and 13 countries for 2024). Eight of these 14 countries have their </w:t>
      </w:r>
      <w:r w:rsidR="00643F67" w:rsidRPr="00643F67">
        <w:rPr>
          <w:color w:val="auto"/>
        </w:rPr>
        <w:t>S</w:t>
      </w:r>
      <w:r w:rsidRPr="00643F67">
        <w:rPr>
          <w:color w:val="auto"/>
        </w:rPr>
        <w:t xml:space="preserve">tage I of KIPs approved, five countries have KIP preparation projects already approved, and one country has a KIP preparation project included in the </w:t>
      </w:r>
      <w:r w:rsidR="00F830E8">
        <w:rPr>
          <w:color w:val="auto"/>
        </w:rPr>
        <w:t>BP.</w:t>
      </w:r>
      <w:r w:rsidR="5BD34F36" w:rsidRPr="00643F67">
        <w:rPr>
          <w:color w:val="auto"/>
        </w:rPr>
        <w:t xml:space="preserve"> </w:t>
      </w:r>
    </w:p>
    <w:p w14:paraId="5158F991" w14:textId="77777777" w:rsidR="00296C6F" w:rsidRDefault="2F67A9C5" w:rsidP="007C77CF">
      <w:pPr>
        <w:pStyle w:val="Heading3"/>
        <w:rPr>
          <w:noProof/>
        </w:rPr>
      </w:pPr>
      <w:bookmarkStart w:id="174" w:name="_Toc230099072"/>
      <w:r w:rsidRPr="222ABFFA">
        <w:rPr>
          <w:noProof/>
        </w:rPr>
        <w:t>3.1.2</w:t>
      </w:r>
      <w:r w:rsidR="00296C6F">
        <w:tab/>
      </w:r>
      <w:r w:rsidRPr="222ABFFA">
        <w:rPr>
          <w:noProof/>
        </w:rPr>
        <w:t>Kigali HFC Implementation Plans (KIPs)</w:t>
      </w:r>
      <w:bookmarkEnd w:id="174"/>
    </w:p>
    <w:p w14:paraId="5D6B0518" w14:textId="45783191" w:rsidR="00296C6F" w:rsidRDefault="2F67A9C5" w:rsidP="00296C6F">
      <w:bookmarkStart w:id="175" w:name="_Toc41495028"/>
      <w:bookmarkStart w:id="176" w:name="_Toc41839987"/>
      <w:bookmarkStart w:id="177" w:name="_Toc41841077"/>
      <w:r>
        <w:rPr>
          <w:noProof/>
        </w:rPr>
        <w:t xml:space="preserve">To meet the compliance schedule, the ExCom adopted guidelines to structure the phase-down. </w:t>
      </w:r>
      <w:r w:rsidRPr="004A2792">
        <w:t xml:space="preserve">At </w:t>
      </w:r>
      <w:r w:rsidR="00161601">
        <w:t>ExCom-87</w:t>
      </w:r>
      <w:r w:rsidRPr="004A2792">
        <w:t>, the Ex</w:t>
      </w:r>
      <w:r>
        <w:t>C</w:t>
      </w:r>
      <w:r w:rsidRPr="004A2792">
        <w:t xml:space="preserve">om adopted the guidelines for the preparation of KIPs (decision 87/50). </w:t>
      </w:r>
      <w:r>
        <w:rPr>
          <w:noProof/>
        </w:rPr>
        <w:t>The MLFS subsequently prepared the “Guide for the Presentation of Stage I of Kigali HFC Implementation Plans (KIPs)”</w:t>
      </w:r>
      <w:r w:rsidR="00296C6F">
        <w:rPr>
          <w:rStyle w:val="FootnoteReference"/>
          <w:noProof/>
        </w:rPr>
        <w:footnoteReference w:id="29"/>
      </w:r>
      <w:r>
        <w:rPr>
          <w:noProof/>
        </w:rPr>
        <w:t xml:space="preserve"> guidelines set out a staged approach to meet the reduction targets for a country’s HFCs within the framework of an overarching strategy. </w:t>
      </w:r>
      <w:r w:rsidRPr="004A2792">
        <w:t xml:space="preserve">The main objective of </w:t>
      </w:r>
      <w:r w:rsidR="00E05A2B">
        <w:t>S</w:t>
      </w:r>
      <w:r w:rsidRPr="004A2792">
        <w:t>tage I of KIPs is, in line with the overarching strategy, to develop and implement a plan of action to allow A5 countries to meet the freeze in HFC consumption and the 10</w:t>
      </w:r>
      <w:r>
        <w:t>%</w:t>
      </w:r>
      <w:r w:rsidRPr="004A2792">
        <w:t xml:space="preserve"> reduction from the baseline in accordance with the control schedules established by the </w:t>
      </w:r>
      <w:r>
        <w:t>p</w:t>
      </w:r>
      <w:r w:rsidRPr="004A2792">
        <w:t>arties</w:t>
      </w:r>
      <w:r>
        <w:t xml:space="preserve">. </w:t>
      </w:r>
      <w:r w:rsidRPr="004A2792">
        <w:t xml:space="preserve">The </w:t>
      </w:r>
      <w:r>
        <w:t>guide was updated in September 2025</w:t>
      </w:r>
      <w:r w:rsidRPr="004A2792">
        <w:t xml:space="preserve"> following agreement reached by the Ex</w:t>
      </w:r>
      <w:r>
        <w:t>C</w:t>
      </w:r>
      <w:r w:rsidRPr="004A2792">
        <w:t xml:space="preserve">om on the cost guidelines for the phase-down of HFCs, the template Agreement between the Governments and the ExCom for </w:t>
      </w:r>
      <w:r w:rsidR="00E05A2B">
        <w:t>S</w:t>
      </w:r>
      <w:r w:rsidRPr="004A2792">
        <w:t>tage I of the KIPs, the distribution of funding tranches, and the funding of the phase</w:t>
      </w:r>
      <w:r w:rsidR="00296C6F">
        <w:noBreakHyphen/>
      </w:r>
      <w:r w:rsidRPr="004A2792">
        <w:t>out of HFCs contained in imported pre-blended polyols in the PU foam sector.</w:t>
      </w:r>
    </w:p>
    <w:p w14:paraId="782711F6" w14:textId="77777777" w:rsidR="00296C6F" w:rsidRDefault="2F67A9C5" w:rsidP="007C77CF">
      <w:pPr>
        <w:pStyle w:val="Heading3"/>
      </w:pPr>
      <w:bookmarkStart w:id="178" w:name="_Toc230099073"/>
      <w:r w:rsidRPr="222ABFFA">
        <w:t>3.1.3</w:t>
      </w:r>
      <w:r w:rsidR="00296C6F">
        <w:tab/>
      </w:r>
      <w:r w:rsidRPr="222ABFFA">
        <w:t>Cost Guidelines</w:t>
      </w:r>
      <w:bookmarkEnd w:id="178"/>
    </w:p>
    <w:p w14:paraId="0DE90F5E" w14:textId="753D67F3" w:rsidR="00296C6F" w:rsidRDefault="2F67A9C5" w:rsidP="00296C6F">
      <w:r>
        <w:t xml:space="preserve">Decision XXVIII/2, related to the amendment to the </w:t>
      </w:r>
      <w:r w:rsidR="00FB7C66">
        <w:t>MP</w:t>
      </w:r>
      <w:r>
        <w:t xml:space="preserve"> to phase down HFCs, requested the ExCom</w:t>
      </w:r>
      <w:r w:rsidRPr="001749B1">
        <w:t xml:space="preserve"> to develop, within two years of the adoption of the</w:t>
      </w:r>
      <w:r>
        <w:t xml:space="preserve"> </w:t>
      </w:r>
      <w:r w:rsidRPr="001749B1">
        <w:t xml:space="preserve">Amendment, guidelines for financing the phase-down of HFC consumption and production, including </w:t>
      </w:r>
      <w:r>
        <w:t>CE</w:t>
      </w:r>
      <w:r w:rsidRPr="001749B1">
        <w:t xml:space="preserve"> thresholds, and to present those guidelines to the </w:t>
      </w:r>
      <w:r w:rsidR="00161601">
        <w:t>MOP</w:t>
      </w:r>
      <w:r w:rsidRPr="001749B1">
        <w:t xml:space="preserve"> for the parties’ views and inputs before their finalization by the Ex</w:t>
      </w:r>
      <w:r>
        <w:t>Com</w:t>
      </w:r>
      <w:r w:rsidRPr="001749B1">
        <w:t>.</w:t>
      </w:r>
      <w:r>
        <w:t xml:space="preserve"> ExCom had been discussing cost guidelines since adoption of that decision, and at </w:t>
      </w:r>
      <w:r w:rsidR="00161601">
        <w:t>ExCom-95</w:t>
      </w:r>
      <w:r>
        <w:t>,</w:t>
      </w:r>
      <w:r w:rsidR="00296C6F">
        <w:rPr>
          <w:rStyle w:val="FootnoteReference"/>
        </w:rPr>
        <w:footnoteReference w:id="30"/>
      </w:r>
      <w:r>
        <w:t xml:space="preserve"> in its decision 95/86, the ExCom reached agreement on the cost guidelines for the phase-down of HFCs in A5 countries.</w:t>
      </w:r>
    </w:p>
    <w:p w14:paraId="2164BDC4" w14:textId="0AC981B8" w:rsidR="00296C6F" w:rsidRPr="003A1188" w:rsidRDefault="2F67A9C5" w:rsidP="00296C6F">
      <w:r w:rsidRPr="4555C3FE">
        <w:t>The RTF has taken these agreed cost guidelines into account in developing its estimated funding for the phase-down of HFCs for the 2027-2029 triennium.</w:t>
      </w:r>
      <w:r w:rsidR="4B569BA5" w:rsidRPr="4555C3FE">
        <w:t xml:space="preserve"> </w:t>
      </w:r>
      <w:r w:rsidR="4B569BA5" w:rsidRPr="00007CDC">
        <w:t xml:space="preserve">A review is expected in </w:t>
      </w:r>
      <w:r w:rsidR="4B569BA5" w:rsidRPr="3676B957">
        <w:t>2028</w:t>
      </w:r>
      <w:r w:rsidR="754DDE29" w:rsidRPr="3676B957">
        <w:t>,</w:t>
      </w:r>
      <w:r w:rsidR="4B569BA5" w:rsidRPr="00007CDC">
        <w:t xml:space="preserve"> and RTF has not considered </w:t>
      </w:r>
      <w:r w:rsidR="1C935556" w:rsidRPr="00007CDC">
        <w:t xml:space="preserve">its </w:t>
      </w:r>
      <w:r w:rsidR="4B569BA5" w:rsidRPr="00007CDC">
        <w:t xml:space="preserve">potential impact </w:t>
      </w:r>
      <w:r w:rsidR="0075B3F6" w:rsidRPr="00007CDC">
        <w:t xml:space="preserve">when </w:t>
      </w:r>
      <w:r w:rsidR="25D321D8" w:rsidRPr="00007CDC">
        <w:t>calculating KIP</w:t>
      </w:r>
      <w:r w:rsidR="0075B3F6" w:rsidRPr="00007CDC">
        <w:t xml:space="preserve"> Stage II funding estimates</w:t>
      </w:r>
      <w:r w:rsidR="0075B3F6" w:rsidRPr="4555C3FE">
        <w:t>.</w:t>
      </w:r>
    </w:p>
    <w:p w14:paraId="30D0CDBD" w14:textId="076FE471" w:rsidR="00296C6F" w:rsidRPr="0016467D" w:rsidRDefault="2F67A9C5" w:rsidP="007C77CF">
      <w:pPr>
        <w:pStyle w:val="Heading3"/>
      </w:pPr>
      <w:bookmarkStart w:id="179" w:name="_Toc230099074"/>
      <w:bookmarkStart w:id="180" w:name="_Toc227477918"/>
      <w:r>
        <w:t>3.</w:t>
      </w:r>
      <w:r w:rsidR="7031FC87">
        <w:t>1.3</w:t>
      </w:r>
      <w:r w:rsidR="00296C6F">
        <w:tab/>
      </w:r>
      <w:bookmarkEnd w:id="170"/>
      <w:r>
        <w:t xml:space="preserve">2026 Status overview of the </w:t>
      </w:r>
      <w:r w:rsidR="3050CC56">
        <w:t>HFC</w:t>
      </w:r>
      <w:r>
        <w:t xml:space="preserve"> consumption sector</w:t>
      </w:r>
      <w:bookmarkEnd w:id="179"/>
      <w:r w:rsidR="3ABBBDB7">
        <w:t xml:space="preserve"> </w:t>
      </w:r>
      <w:bookmarkEnd w:id="180"/>
      <w:r>
        <w:t xml:space="preserve"> </w:t>
      </w:r>
      <w:bookmarkEnd w:id="171"/>
      <w:bookmarkEnd w:id="172"/>
      <w:bookmarkEnd w:id="175"/>
      <w:bookmarkEnd w:id="176"/>
      <w:bookmarkEnd w:id="177"/>
    </w:p>
    <w:p w14:paraId="01630E25" w14:textId="2326DBCC" w:rsidR="00296C6F" w:rsidRPr="00F940B7" w:rsidRDefault="2F67A9C5" w:rsidP="2374FBE6">
      <w:r w:rsidRPr="4555C3FE">
        <w:t xml:space="preserve">In 2024, the five sectors with the largest consumption of HFCs (measured in </w:t>
      </w:r>
      <w:r w:rsidR="00745F2A">
        <w:t>tonnes</w:t>
      </w:r>
      <w:r w:rsidRPr="4555C3FE">
        <w:t xml:space="preserve">) in decreasing </w:t>
      </w:r>
      <w:r w:rsidR="6CBD7386">
        <w:t xml:space="preserve">order </w:t>
      </w:r>
      <w:r w:rsidRPr="4555C3FE">
        <w:t>were refrigeration manufacturing –</w:t>
      </w:r>
      <w:r w:rsidR="00C34C93">
        <w:t xml:space="preserve"> </w:t>
      </w:r>
      <w:r w:rsidRPr="4555C3FE">
        <w:t xml:space="preserve">AC (38.6% of the total), the refrigeration servicing (31.2%), refrigeration manufacturing – refrigeration (17.8%), firefighting (4.3%) and aerosol (3.1%). </w:t>
      </w:r>
      <w:r w:rsidR="00FD5F91">
        <w:rPr>
          <w:rStyle w:val="FootnoteReference"/>
        </w:rPr>
        <w:footnoteReference w:id="31"/>
      </w:r>
      <w:r w:rsidRPr="4555C3FE">
        <w:t xml:space="preserve"> </w:t>
      </w:r>
    </w:p>
    <w:p w14:paraId="502256DD" w14:textId="6CFBD845" w:rsidR="00296C6F" w:rsidRDefault="2F67A9C5" w:rsidP="00296C6F">
      <w:r w:rsidRPr="00F940B7">
        <w:lastRenderedPageBreak/>
        <w:t>In tCO</w:t>
      </w:r>
      <w:r w:rsidRPr="00F940B7">
        <w:rPr>
          <w:vertAlign w:val="subscript"/>
        </w:rPr>
        <w:t>2</w:t>
      </w:r>
      <w:r w:rsidRPr="00F940B7">
        <w:t xml:space="preserve">eq terms, </w:t>
      </w:r>
      <w:r w:rsidR="00BA51B3" w:rsidRPr="00AB42D7">
        <w:t>CP</w:t>
      </w:r>
      <w:r w:rsidR="00800FD2" w:rsidRPr="00AB42D7">
        <w:t xml:space="preserve"> </w:t>
      </w:r>
      <w:r w:rsidR="00550EC6" w:rsidRPr="00AB42D7">
        <w:t>data</w:t>
      </w:r>
      <w:r w:rsidR="00550EC6">
        <w:t xml:space="preserve"> </w:t>
      </w:r>
      <w:r w:rsidR="00821E32">
        <w:t xml:space="preserve">(converted from reported metric tonnes) </w:t>
      </w:r>
      <w:r w:rsidR="00550EC6">
        <w:t xml:space="preserve">indicated that </w:t>
      </w:r>
      <w:r w:rsidRPr="00F940B7">
        <w:t>the most consumed HFCs including blends were HFC</w:t>
      </w:r>
      <w:r w:rsidR="00296C6F">
        <w:noBreakHyphen/>
      </w:r>
      <w:r w:rsidRPr="00F940B7">
        <w:t>134a (31.1</w:t>
      </w:r>
      <w:r>
        <w:t>%</w:t>
      </w:r>
      <w:r w:rsidRPr="00F940B7">
        <w:t xml:space="preserve"> of the total), R-404A (25.2</w:t>
      </w:r>
      <w:r>
        <w:t>%</w:t>
      </w:r>
      <w:r w:rsidRPr="00F940B7">
        <w:t>), R-410A (22.1</w:t>
      </w:r>
      <w:r>
        <w:t>%</w:t>
      </w:r>
      <w:r w:rsidRPr="00F940B7">
        <w:t>), R-507A (9.5</w:t>
      </w:r>
      <w:r>
        <w:t>%</w:t>
      </w:r>
      <w:r w:rsidRPr="00F940B7">
        <w:t>), R</w:t>
      </w:r>
      <w:r w:rsidR="00296C6F">
        <w:noBreakHyphen/>
      </w:r>
      <w:r w:rsidRPr="00F940B7">
        <w:t>407C (6.1</w:t>
      </w:r>
      <w:r>
        <w:t>%</w:t>
      </w:r>
      <w:r w:rsidRPr="00F940B7">
        <w:t>) and R-407A (1.9</w:t>
      </w:r>
      <w:r>
        <w:t>%</w:t>
      </w:r>
      <w:r w:rsidRPr="00F940B7">
        <w:t>) for LVC countries, and R-410A (29.5</w:t>
      </w:r>
      <w:r>
        <w:t>%</w:t>
      </w:r>
      <w:r w:rsidRPr="00F940B7">
        <w:t xml:space="preserve"> of the total), HFC</w:t>
      </w:r>
      <w:r w:rsidR="00296C6F">
        <w:noBreakHyphen/>
      </w:r>
      <w:r w:rsidRPr="00F940B7">
        <w:t>134a (23.0</w:t>
      </w:r>
      <w:r>
        <w:t>%</w:t>
      </w:r>
      <w:r w:rsidRPr="00F940B7">
        <w:t>), HFC-32 (12.4</w:t>
      </w:r>
      <w:r>
        <w:t>%</w:t>
      </w:r>
      <w:r w:rsidRPr="00F940B7">
        <w:t>), R-404A (8.9</w:t>
      </w:r>
      <w:r>
        <w:t>%</w:t>
      </w:r>
      <w:r w:rsidRPr="00F940B7">
        <w:t>), HFC-227ea (8.6</w:t>
      </w:r>
      <w:r>
        <w:t>%</w:t>
      </w:r>
      <w:r w:rsidRPr="00F940B7">
        <w:t>), and R-507A (7.3</w:t>
      </w:r>
      <w:r>
        <w:t>%</w:t>
      </w:r>
      <w:r w:rsidRPr="00F940B7">
        <w:t>) for non-LVC countries.</w:t>
      </w:r>
      <w:r w:rsidR="0032079C">
        <w:rPr>
          <w:rStyle w:val="FootnoteReference"/>
        </w:rPr>
        <w:footnoteReference w:id="32"/>
      </w:r>
      <w:r w:rsidR="0032079C">
        <w:t xml:space="preserve"> </w:t>
      </w:r>
      <w:r w:rsidR="00296C6F" w:rsidRPr="00F940B7">
        <w:rPr>
          <w:vertAlign w:val="superscript"/>
        </w:rPr>
        <w:footnoteReference w:id="33"/>
      </w:r>
      <w:r w:rsidRPr="00F940B7">
        <w:t xml:space="preserve"> </w:t>
      </w:r>
    </w:p>
    <w:p w14:paraId="531B8C24" w14:textId="209F1EF6" w:rsidR="4DCF936C" w:rsidRDefault="4BCEE662" w:rsidP="222ABFFA">
      <w:r>
        <w:t>RTF used A7 data for its funding calculations. CP data was used to inform the sector distribution of consumption as there were discrepancies found, such as, consumption allocated in manufacturing sectors for some LVC, and missing consumption in manufacturing sectors for some non-LVCs.   RTF used market distribution of chemical consumption applied to A7 consumption data and based on a similar approach used for the 2023 RTF report.</w:t>
      </w:r>
    </w:p>
    <w:p w14:paraId="3EF68502" w14:textId="145AE9B5" w:rsidR="00296C6F" w:rsidRDefault="274D2446" w:rsidP="002D02B7">
      <w:pPr>
        <w:pStyle w:val="Heading2"/>
      </w:pPr>
      <w:bookmarkStart w:id="181" w:name="_Toc484367015"/>
      <w:bookmarkStart w:id="182" w:name="_Toc40367028"/>
      <w:bookmarkStart w:id="183" w:name="_Toc40367336"/>
      <w:bookmarkStart w:id="184" w:name="_Toc41495029"/>
      <w:bookmarkStart w:id="185" w:name="_Toc41839988"/>
      <w:bookmarkStart w:id="186" w:name="_Toc41841078"/>
      <w:bookmarkStart w:id="187" w:name="_Toc227477919"/>
      <w:bookmarkStart w:id="188" w:name="_Toc230099075"/>
      <w:r>
        <w:t>3.2</w:t>
      </w:r>
      <w:r w:rsidR="2F67A9C5">
        <w:tab/>
      </w:r>
      <w:bookmarkEnd w:id="181"/>
      <w:r>
        <w:t>Overview of HFC funding requirement</w:t>
      </w:r>
      <w:bookmarkEnd w:id="182"/>
      <w:bookmarkEnd w:id="183"/>
      <w:bookmarkEnd w:id="184"/>
      <w:bookmarkEnd w:id="185"/>
      <w:bookmarkEnd w:id="186"/>
      <w:bookmarkEnd w:id="187"/>
      <w:bookmarkEnd w:id="188"/>
    </w:p>
    <w:p w14:paraId="33D77327" w14:textId="697D52C5" w:rsidR="00296C6F" w:rsidRPr="001B7005" w:rsidRDefault="274D2446" w:rsidP="007F209B">
      <w:r>
        <w:t xml:space="preserve">The estimate for the HFC phase-down funding requirement for the 2027-2029 triennium and future triennia, 2030-2032 and 2033-2035, is based on A5 parties meeting the relevant G1 and G2 reduction targets. </w:t>
      </w:r>
    </w:p>
    <w:p w14:paraId="12596DAE" w14:textId="3ED5A4A8" w:rsidR="00296C6F" w:rsidRPr="001B7005" w:rsidRDefault="2F67A9C5" w:rsidP="009C3396">
      <w:pPr>
        <w:spacing w:after="120"/>
      </w:pPr>
      <w:r>
        <w:t>Estimated funding requirement for the HFC consumption sectors include the following:</w:t>
      </w:r>
    </w:p>
    <w:p w14:paraId="7939E127" w14:textId="51174DFE" w:rsidR="00296C6F" w:rsidRDefault="2F67A9C5" w:rsidP="009C3396">
      <w:pPr>
        <w:pStyle w:val="ListParagraph"/>
        <w:spacing w:after="120"/>
      </w:pPr>
      <w:r w:rsidRPr="222ABFFA">
        <w:t>Funding committed for approved Kigali HFC Implementation Plans (KIPs);</w:t>
      </w:r>
    </w:p>
    <w:p w14:paraId="022B3660" w14:textId="77777777" w:rsidR="00296C6F" w:rsidRDefault="2F67A9C5" w:rsidP="009C3396">
      <w:pPr>
        <w:pStyle w:val="ListParagraph"/>
        <w:spacing w:after="120"/>
      </w:pPr>
      <w:r w:rsidRPr="222ABFFA">
        <w:t>Funding estimated for new KIPs;</w:t>
      </w:r>
    </w:p>
    <w:p w14:paraId="46F640D1" w14:textId="77777777" w:rsidR="00DA6369" w:rsidRDefault="00DA6369" w:rsidP="00DA6369">
      <w:pPr>
        <w:pStyle w:val="ListParagraph"/>
        <w:spacing w:after="120"/>
      </w:pPr>
      <w:r w:rsidRPr="222ABFFA">
        <w:t>Funding for project preparation costs;</w:t>
      </w:r>
    </w:p>
    <w:p w14:paraId="4FA6A80D" w14:textId="65EC9ABB" w:rsidR="00CD25F3" w:rsidRDefault="00CD25F3" w:rsidP="00CD25F3">
      <w:pPr>
        <w:pStyle w:val="ListParagraph"/>
        <w:spacing w:after="120"/>
      </w:pPr>
      <w:r w:rsidRPr="222ABFFA">
        <w:t>Funding for KIP verification</w:t>
      </w:r>
      <w:r w:rsidR="00CA2D19">
        <w:t>;</w:t>
      </w:r>
    </w:p>
    <w:p w14:paraId="4ED1A298" w14:textId="1A122C71" w:rsidR="00296C6F" w:rsidRDefault="2F67A9C5" w:rsidP="009C3396">
      <w:pPr>
        <w:pStyle w:val="ListParagraph"/>
        <w:spacing w:after="120"/>
      </w:pPr>
      <w:r w:rsidRPr="222ABFFA">
        <w:t xml:space="preserve">Funding for </w:t>
      </w:r>
      <w:r w:rsidR="00D02C1C">
        <w:t>EE</w:t>
      </w:r>
      <w:r w:rsidRPr="222ABFFA">
        <w:t xml:space="preserve"> (ExCom Decision 91/65</w:t>
      </w:r>
      <w:r w:rsidR="770DC5AD" w:rsidRPr="222ABFFA">
        <w:t>,</w:t>
      </w:r>
      <w:r w:rsidRPr="222ABFFA">
        <w:t xml:space="preserve"> 94/60</w:t>
      </w:r>
      <w:r w:rsidR="0525CE9B" w:rsidRPr="222ABFFA">
        <w:t xml:space="preserve"> and 9</w:t>
      </w:r>
      <w:r w:rsidR="00A17F06">
        <w:t>5</w:t>
      </w:r>
      <w:r w:rsidR="0525CE9B" w:rsidRPr="222ABFFA">
        <w:t>/</w:t>
      </w:r>
      <w:r w:rsidR="00A17F06">
        <w:t>87</w:t>
      </w:r>
      <w:r w:rsidR="0525CE9B" w:rsidRPr="222ABFFA">
        <w:t>)</w:t>
      </w:r>
      <w:r w:rsidR="00CA2D19">
        <w:t>; and</w:t>
      </w:r>
    </w:p>
    <w:p w14:paraId="14B4D67B" w14:textId="17ABC534" w:rsidR="00CA2D19" w:rsidRDefault="00CA2D19" w:rsidP="009C3396">
      <w:pPr>
        <w:pStyle w:val="ListParagraph"/>
        <w:spacing w:after="120"/>
      </w:pPr>
      <w:r>
        <w:t>Funding to support pilot projects to enhance regional atmospheric monitoring (Decision XXXVII/6).</w:t>
      </w:r>
    </w:p>
    <w:p w14:paraId="4497A874" w14:textId="7647324B" w:rsidR="00296C6F" w:rsidRDefault="39777B91" w:rsidP="009C3396">
      <w:pPr>
        <w:pStyle w:val="a"/>
        <w:tabs>
          <w:tab w:val="left" w:pos="1680"/>
        </w:tabs>
        <w:spacing w:after="120"/>
        <w:ind w:left="0"/>
        <w:contextualSpacing/>
        <w:rPr>
          <w:rFonts w:ascii="Times New Roman" w:hAnsi="Times New Roman"/>
        </w:rPr>
      </w:pPr>
      <w:r w:rsidRPr="531ECB33">
        <w:rPr>
          <w:rFonts w:ascii="Times New Roman" w:hAnsi="Times New Roman"/>
        </w:rPr>
        <w:t>Estimated funding requirement for the HFC production sectors include the following:</w:t>
      </w:r>
    </w:p>
    <w:p w14:paraId="1CE25C29" w14:textId="4CFC6736" w:rsidR="00296C6F" w:rsidRPr="001B7005" w:rsidRDefault="3CCC3BF5" w:rsidP="009C3396">
      <w:pPr>
        <w:pStyle w:val="ListParagraph"/>
        <w:spacing w:after="120"/>
      </w:pPr>
      <w:r>
        <w:t>Funding for project preparation;</w:t>
      </w:r>
    </w:p>
    <w:p w14:paraId="32F641C0" w14:textId="3D29C7DD" w:rsidR="00296C6F" w:rsidRPr="001B7005" w:rsidRDefault="3CCC3BF5" w:rsidP="009C3396">
      <w:pPr>
        <w:pStyle w:val="ListParagraph"/>
        <w:spacing w:after="120"/>
      </w:pPr>
      <w:r>
        <w:t xml:space="preserve">Funding for </w:t>
      </w:r>
      <w:r w:rsidR="00957F3B">
        <w:t>Kigali HFC Production Phase-down Management Plan (KPPMP</w:t>
      </w:r>
      <w:r w:rsidR="796D06FA">
        <w:t>),</w:t>
      </w:r>
      <w:r>
        <w:t xml:space="preserve"> if any;</w:t>
      </w:r>
    </w:p>
    <w:p w14:paraId="2C4526B6" w14:textId="77777777" w:rsidR="00296C6F" w:rsidRPr="001B7005" w:rsidRDefault="2F67A9C5" w:rsidP="009C3396">
      <w:pPr>
        <w:pStyle w:val="ListParagraph"/>
        <w:spacing w:after="120"/>
      </w:pPr>
      <w:r>
        <w:t>Funding for HFC-23 mitigation project preparation; and</w:t>
      </w:r>
    </w:p>
    <w:p w14:paraId="74C8E1EE" w14:textId="449D351A" w:rsidR="00372AE1" w:rsidRPr="00497125" w:rsidRDefault="2F67A9C5" w:rsidP="009C3396">
      <w:pPr>
        <w:pStyle w:val="ListParagraph"/>
      </w:pPr>
      <w:r>
        <w:t>Funding for approved HFC-23 mitigation project</w:t>
      </w:r>
    </w:p>
    <w:p w14:paraId="383A3DD0" w14:textId="3C9E8C95" w:rsidR="00372AE1" w:rsidRDefault="00372AE1" w:rsidP="002D02B7">
      <w:pPr>
        <w:pStyle w:val="Heading2"/>
      </w:pPr>
      <w:bookmarkStart w:id="189" w:name="_Toc230099076"/>
      <w:r>
        <w:t>3.</w:t>
      </w:r>
      <w:r w:rsidR="00497125">
        <w:t>3</w:t>
      </w:r>
      <w:r>
        <w:tab/>
      </w:r>
      <w:r w:rsidRPr="00372AE1">
        <w:t>Methodology to Estimate Funding Requirements for the HFC Consumption Sector</w:t>
      </w:r>
      <w:bookmarkEnd w:id="189"/>
    </w:p>
    <w:p w14:paraId="065D4D76" w14:textId="0ED49A1A" w:rsidR="00296C6F" w:rsidRDefault="274D2446" w:rsidP="6FBEEF15">
      <w:pPr>
        <w:spacing w:line="259" w:lineRule="auto"/>
      </w:pPr>
      <w:r>
        <w:t xml:space="preserve">As of 8 April 2026, 125 A5 parties, out of 144, had ratified the </w:t>
      </w:r>
      <w:r w:rsidR="00AF291D">
        <w:t>KA</w:t>
      </w:r>
      <w:r>
        <w:t>. For the analysis of estimated funding for HFC phase-down, the RTF assumed that the remaining 19 parties would be ratifying by 2029. By the 97</w:t>
      </w:r>
      <w:r w:rsidRPr="274D2446">
        <w:rPr>
          <w:vertAlign w:val="superscript"/>
        </w:rPr>
        <w:t>th</w:t>
      </w:r>
      <w:r>
        <w:t xml:space="preserve"> ExCom (December 2025), 83 G1 parties</w:t>
      </w:r>
      <w:r w:rsidR="0032604D">
        <w:rPr>
          <w:rStyle w:val="FootnoteReference"/>
        </w:rPr>
        <w:footnoteReference w:id="34"/>
      </w:r>
      <w:r>
        <w:t xml:space="preserve"> had their KIPs approved and the balance of G1 parties who have ratified the </w:t>
      </w:r>
      <w:r w:rsidR="00AF291D">
        <w:t>KA</w:t>
      </w:r>
      <w:r>
        <w:t xml:space="preserve"> could request funding during the 2027-2029 triennium. Some of those parties may also be ready to request funding for Stage II in the 2027-2029 triennium. Some G2 parties, have included project preparation funding requests for KIP Stage I. Some have already </w:t>
      </w:r>
      <w:r>
        <w:lastRenderedPageBreak/>
        <w:t xml:space="preserve">been included in the </w:t>
      </w:r>
      <w:r w:rsidR="00F830E8">
        <w:t>BP</w:t>
      </w:r>
      <w:r>
        <w:t xml:space="preserve">, before their baselines are established. Some parties in both Group 1 and Group are still to ratify </w:t>
      </w:r>
      <w:r w:rsidR="00AF291D">
        <w:t>KA</w:t>
      </w:r>
      <w:r>
        <w:t xml:space="preserve"> but have requested project preparation funding for KIP.</w:t>
      </w:r>
    </w:p>
    <w:p w14:paraId="2088842B" w14:textId="5E066D6E" w:rsidR="1835123B" w:rsidRDefault="274D2446" w:rsidP="00CB6F0E">
      <w:pPr>
        <w:spacing w:after="0"/>
        <w:rPr>
          <w:lang w:val="en-US"/>
        </w:rPr>
      </w:pPr>
      <w:r w:rsidRPr="274D2446">
        <w:rPr>
          <w:lang w:val="en-US"/>
        </w:rPr>
        <w:t>In order to develop the model, RTF assumed that an average four-year period is realistic for the inclusion of requested HFC phasedown activities in the MLF business plan, project preparation and submission processes, and approval and implementation start of the KIPs.</w:t>
      </w:r>
      <w:r w:rsidR="00E36672">
        <w:rPr>
          <w:rStyle w:val="FootnoteReference"/>
          <w:lang w:val="en-US"/>
        </w:rPr>
        <w:footnoteReference w:id="35"/>
      </w:r>
      <w:r w:rsidRPr="274D2446">
        <w:rPr>
          <w:lang w:val="en-US"/>
        </w:rPr>
        <w:t xml:space="preserve">  Therefore, the model required looking at the needs of parties in different stages of progress, as well as looking at allocation of funds for activities approved in one triennium but mostly implemented in the following one.</w:t>
      </w:r>
    </w:p>
    <w:p w14:paraId="1B32BB2C" w14:textId="77777777" w:rsidR="00E35D5B" w:rsidRDefault="00E35D5B" w:rsidP="75AB79D9">
      <w:pPr>
        <w:spacing w:after="0"/>
        <w:jc w:val="both"/>
        <w:rPr>
          <w:lang w:val="en-US"/>
        </w:rPr>
      </w:pPr>
    </w:p>
    <w:p w14:paraId="261927B8" w14:textId="27DDEB22" w:rsidR="1835123B" w:rsidRDefault="274D2446" w:rsidP="00460004">
      <w:pPr>
        <w:spacing w:after="0"/>
        <w:rPr>
          <w:lang w:val="en-US"/>
        </w:rPr>
      </w:pPr>
      <w:r w:rsidRPr="274D2446">
        <w:rPr>
          <w:lang w:val="en-US"/>
        </w:rPr>
        <w:t>The model accounts for several parties that have already approved KIPs that meet the 10% reduction from the baseline, with some going from 10 to 30% and others even going beyond 30% reduction. For calculating the funding, the latter (beyond the 2035 scheduled target) were excluded from new funding estimates (other than considering committed funding already in their agreements).</w:t>
      </w:r>
    </w:p>
    <w:p w14:paraId="2596B7AB" w14:textId="325AB4EE" w:rsidR="75AB79D9" w:rsidRDefault="75AB79D9" w:rsidP="75AB79D9">
      <w:pPr>
        <w:spacing w:after="0"/>
        <w:jc w:val="both"/>
      </w:pPr>
    </w:p>
    <w:p w14:paraId="06E160F5" w14:textId="0D9FAD02" w:rsidR="75AB79D9" w:rsidRDefault="274D2446" w:rsidP="00497125">
      <w:pPr>
        <w:spacing w:after="0"/>
        <w:rPr>
          <w:lang w:val="en-US"/>
        </w:rPr>
      </w:pPr>
      <w:r w:rsidRPr="274D2446">
        <w:rPr>
          <w:lang w:val="en-US"/>
        </w:rPr>
        <w:t xml:space="preserve">Therefore, funding needs were estimated at different stages of the project cycle, that may overlap in different triennia, for different parties, depending on their national circumstances. While the RTF model provides the granularity needed for individual reductions in ExCom agreements for every party, the report </w:t>
      </w:r>
      <w:r w:rsidR="00B04316" w:rsidRPr="75AB79D9">
        <w:rPr>
          <w:lang w:val="en-US"/>
        </w:rPr>
        <w:t>itself</w:t>
      </w:r>
      <w:r w:rsidRPr="274D2446">
        <w:rPr>
          <w:lang w:val="en-US"/>
        </w:rPr>
        <w:t xml:space="preserve"> anonymizes individual party’s estimated funding needs and presents results based on clusters of parties.</w:t>
      </w:r>
    </w:p>
    <w:p w14:paraId="1238EF46" w14:textId="17B75BD6" w:rsidR="688B8398" w:rsidRDefault="688B8398" w:rsidP="779DC3C8">
      <w:pPr>
        <w:spacing w:after="0" w:line="259" w:lineRule="auto"/>
        <w:jc w:val="both"/>
        <w:rPr>
          <w:lang w:val="en-US"/>
        </w:rPr>
      </w:pPr>
    </w:p>
    <w:p w14:paraId="3948C639" w14:textId="45EC6BB7" w:rsidR="2374FBE6" w:rsidRDefault="274D2446" w:rsidP="274D2446">
      <w:pPr>
        <w:spacing w:line="259" w:lineRule="auto"/>
        <w:rPr>
          <w:b/>
          <w:bCs/>
        </w:rPr>
      </w:pPr>
      <w:r>
        <w:t>The RTF</w:t>
      </w:r>
      <w:r w:rsidR="003D5CC1">
        <w:t xml:space="preserve"> </w:t>
      </w:r>
      <w:r>
        <w:t>calculated funding needs for addressing both 10% reduction from the baseline by 2029 (Stage I KIP) and 30% reduction by 2035 (Stage II KIP) for G1 parties, plus, a freeze by 2028 and a 10% reduction from the baseline by 2032 for G2 parties (Stage I KIP). Stages I and II total funding estimates were then allocated among the three triennia for the period between 2027 and 2035</w:t>
      </w:r>
      <w:r w:rsidRPr="274D2446">
        <w:rPr>
          <w:i/>
          <w:iCs/>
        </w:rPr>
        <w:t xml:space="preserve"> </w:t>
      </w:r>
      <w:r>
        <w:t>covering different compliance targets for G1 and G2 parties and addressing the diversity of national circumstances and different control targets.</w:t>
      </w:r>
    </w:p>
    <w:p w14:paraId="55F9A714" w14:textId="4FFD89CF" w:rsidR="2374FBE6" w:rsidRDefault="4BCEE662" w:rsidP="00E365A5">
      <w:pPr>
        <w:spacing w:line="259" w:lineRule="auto"/>
        <w:rPr>
          <w:b/>
          <w:bCs/>
        </w:rPr>
      </w:pPr>
      <w:r>
        <w:t xml:space="preserve"> The RTF compliance model provides a funding range based on </w:t>
      </w:r>
      <w:r w:rsidRPr="4BCEE662">
        <w:rPr>
          <w:b/>
          <w:bCs/>
        </w:rPr>
        <w:t xml:space="preserve">two CE based HFC scenarios 1 and 2. </w:t>
      </w:r>
      <w:r>
        <w:t>Then, for each scenario, RTF</w:t>
      </w:r>
      <w:r w:rsidRPr="4BCEE662">
        <w:rPr>
          <w:b/>
          <w:bCs/>
        </w:rPr>
        <w:t xml:space="preserve"> </w:t>
      </w:r>
      <w:r>
        <w:t xml:space="preserve">presents </w:t>
      </w:r>
      <w:r w:rsidRPr="4BCEE662">
        <w:rPr>
          <w:b/>
          <w:bCs/>
        </w:rPr>
        <w:t xml:space="preserve">two resource allocation proposals (A and B) </w:t>
      </w:r>
      <w:r>
        <w:t>as discussed below and in Annex 4</w:t>
      </w:r>
      <w:r w:rsidRPr="4BCEE662">
        <w:rPr>
          <w:b/>
          <w:bCs/>
        </w:rPr>
        <w:t>.</w:t>
      </w:r>
    </w:p>
    <w:p w14:paraId="2EA21C3D" w14:textId="244EF0E3" w:rsidR="00296C6F" w:rsidRDefault="27448C8F" w:rsidP="222ABFFA">
      <w:pPr>
        <w:spacing w:line="259" w:lineRule="auto"/>
      </w:pPr>
      <w:r w:rsidRPr="222ABFFA">
        <w:t>The model mirrors to the extent possible, the MLF project cycle to account for different progress by the different parties, as well as reductions that can exceed control targets for some parties. The model takes into consideration each individual country reduction addressed under a KIP.</w:t>
      </w:r>
    </w:p>
    <w:p w14:paraId="0442B9DA" w14:textId="0335D7E3" w:rsidR="00062F64" w:rsidRPr="001B7005" w:rsidRDefault="00062F64" w:rsidP="00062F64">
      <w:pPr>
        <w:spacing w:line="259" w:lineRule="auto"/>
      </w:pPr>
      <w:r>
        <w:t xml:space="preserve">There are two considerations mentioned under caveats in section 1.6.10 regarding the additional costs of </w:t>
      </w:r>
      <w:r w:rsidR="00237D11">
        <w:t xml:space="preserve">PMUs </w:t>
      </w:r>
      <w:r>
        <w:t xml:space="preserve">which </w:t>
      </w:r>
      <w:r w:rsidR="00EA232B">
        <w:t>was not included in the model</w:t>
      </w:r>
      <w:r>
        <w:t xml:space="preserve">, and the 15% foreign ownership deduction for the manufacturing sectors which </w:t>
      </w:r>
      <w:r w:rsidR="00EA232B">
        <w:t xml:space="preserve">was included in the model. </w:t>
      </w:r>
      <w:r>
        <w:t>The combined effect of these two considerations is to increase the budget by around 15%. RTF made these deviations for reasons explained in section 1.6.10 and appreciates the parties’ guidance to help RTF reflect these changes in the supplementary report.</w:t>
      </w:r>
    </w:p>
    <w:p w14:paraId="4481A5AF" w14:textId="39393636" w:rsidR="00296C6F" w:rsidRPr="008E742A" w:rsidRDefault="274D2446" w:rsidP="007C77CF">
      <w:pPr>
        <w:pStyle w:val="Heading3"/>
        <w:rPr>
          <w:highlight w:val="yellow"/>
        </w:rPr>
      </w:pPr>
      <w:bookmarkStart w:id="190" w:name="_Toc230099077"/>
      <w:r>
        <w:t>3.3.1</w:t>
      </w:r>
      <w:r w:rsidR="36902045">
        <w:tab/>
      </w:r>
      <w:r w:rsidR="00B23FC7" w:rsidRPr="008E742A">
        <w:t>HFC</w:t>
      </w:r>
      <w:r w:rsidRPr="008E742A">
        <w:t xml:space="preserve"> scenarios 1 and 2</w:t>
      </w:r>
      <w:bookmarkEnd w:id="190"/>
      <w:r>
        <w:t xml:space="preserve"> </w:t>
      </w:r>
    </w:p>
    <w:p w14:paraId="72BD0204" w14:textId="56E977E2" w:rsidR="00296C6F" w:rsidRDefault="274D2446" w:rsidP="2374FBE6">
      <w:pPr>
        <w:rPr>
          <w:lang w:val="en-US"/>
        </w:rPr>
      </w:pPr>
      <w:r>
        <w:t>Given that KIPs are still in the early stages of implementation, the RTF did not find any analysis of CEs in ExCom documentation based on experience in the HFC manufacturing sectors under approved KIPs, and data, when available, did not present a robust case for considering historical values other than approved CE cost guidelines that could be applied for all parties and regions.</w:t>
      </w:r>
      <w:r w:rsidRPr="274D2446">
        <w:rPr>
          <w:lang w:val="en-US"/>
        </w:rPr>
        <w:t xml:space="preserve"> </w:t>
      </w:r>
      <w:r w:rsidR="00286533" w:rsidRPr="00286533">
        <w:t xml:space="preserve">RTF considered applying the HCFC historical CE values to HFCs; however, since the approved CE guidelines for </w:t>
      </w:r>
      <w:r w:rsidR="00286533" w:rsidRPr="00286533">
        <w:lastRenderedPageBreak/>
        <w:t>HFCs were higher than the thresholds for HCFCs, any such application would not have been representative of the funding levels needed for KIPs</w:t>
      </w:r>
      <w:r w:rsidR="00076F08">
        <w:t>.</w:t>
      </w:r>
    </w:p>
    <w:p w14:paraId="5E162A83" w14:textId="011A1C19" w:rsidR="00296C6F" w:rsidRPr="00076F08" w:rsidRDefault="00286533" w:rsidP="274D2446">
      <w:pPr>
        <w:pStyle w:val="ListParagraph"/>
        <w:spacing w:line="259" w:lineRule="auto"/>
        <w:rPr>
          <w:lang w:val="en-CA"/>
        </w:rPr>
      </w:pPr>
      <w:r w:rsidRPr="00076F08">
        <w:rPr>
          <w:b/>
          <w:bCs/>
          <w:lang w:val="en-CA"/>
        </w:rPr>
        <w:t>HFC</w:t>
      </w:r>
      <w:r w:rsidR="274D2446" w:rsidRPr="00076F08">
        <w:rPr>
          <w:b/>
          <w:bCs/>
          <w:lang w:val="en-CA"/>
        </w:rPr>
        <w:t xml:space="preserve"> Scenario 1 </w:t>
      </w:r>
      <w:r w:rsidR="274D2446" w:rsidRPr="00076F08">
        <w:rPr>
          <w:lang w:val="en-CA"/>
        </w:rPr>
        <w:t xml:space="preserve">considers the approved </w:t>
      </w:r>
      <w:r w:rsidR="274D2446" w:rsidRPr="00076F08">
        <w:rPr>
          <w:b/>
          <w:bCs/>
          <w:lang w:val="en-CA"/>
        </w:rPr>
        <w:t>HFC KIP Stage I cost guidelines (CE) thresholds</w:t>
      </w:r>
      <w:r w:rsidR="274D2446" w:rsidRPr="00076F08">
        <w:rPr>
          <w:lang w:val="en-CA"/>
        </w:rPr>
        <w:t xml:space="preserve"> for all enterprises in the manufacturing sectors. When CE values were not available for specific case-by-case sectors, the RTF used CE estimates based on guidance from TEAP /TOC/RTF sector experts.  Funding was also estimated for Stage II KIPs, using Stage I CEs, without considering any potential impact of the guidelines review expected in 2028. </w:t>
      </w:r>
    </w:p>
    <w:p w14:paraId="1AA537AA" w14:textId="1EEC176E" w:rsidR="222ABFFA" w:rsidRDefault="4BCEE662" w:rsidP="00A508D3">
      <w:pPr>
        <w:pStyle w:val="ListParagraph"/>
      </w:pPr>
      <w:r w:rsidRPr="4BCEE662">
        <w:rPr>
          <w:b/>
          <w:bCs/>
        </w:rPr>
        <w:t xml:space="preserve">HFC </w:t>
      </w:r>
      <w:r w:rsidRPr="4BCEE662">
        <w:rPr>
          <w:rStyle w:val="cf01"/>
          <w:rFonts w:asciiTheme="majorBidi" w:hAnsiTheme="majorBidi" w:cstheme="majorBidi"/>
          <w:b/>
          <w:bCs/>
          <w:sz w:val="22"/>
          <w:szCs w:val="22"/>
        </w:rPr>
        <w:t xml:space="preserve">Scenario 2 </w:t>
      </w:r>
      <w:r w:rsidRPr="4BCEE662">
        <w:rPr>
          <w:rStyle w:val="cf01"/>
          <w:rFonts w:asciiTheme="majorBidi" w:hAnsiTheme="majorBidi" w:cstheme="majorBidi"/>
          <w:sz w:val="22"/>
          <w:szCs w:val="22"/>
        </w:rPr>
        <w:t>considers the application of the higher CE thresholds approved by Decision 95/86 for SMEs in the different sectors (32% for RAC, and 40% for PU Foam above the CE threshold). RTF did not consider funding at 2.5 times CE thresholds for umbrella projects by micro enterprises as these projects would have to cover all enterprises in the sector with no additional funding in later stages, which is difficult to determine at present.</w:t>
      </w:r>
      <w:r w:rsidRPr="4BCEE662">
        <w:rPr>
          <w:rStyle w:val="cf01"/>
          <w:sz w:val="22"/>
          <w:szCs w:val="22"/>
        </w:rPr>
        <w:t xml:space="preserve"> </w:t>
      </w:r>
      <w:r w:rsidRPr="4BCEE662">
        <w:rPr>
          <w:lang w:val="en-US"/>
        </w:rPr>
        <w:t>Without implementation experience with HFCs and lack of information that RTF could access in the short timeframe for this report, TOC experts were consulted to estimate the percentage of SMEs' participation in sectors.</w:t>
      </w:r>
      <w:r>
        <w:t xml:space="preserve">For both scenarios, a 15% deduction was applied to account for ineligible foreign ownership in the manufacturing sectors, and Stage I cost guidelines CEs were applied to Stage II funding calculations, and no potential impact of the expected guidelines review in 2028. RTF will consider further how this should be applied in the supplementary report with guidance from parties. </w:t>
      </w:r>
    </w:p>
    <w:p w14:paraId="2FA7F59E" w14:textId="3A7E8E00" w:rsidR="00296C6F" w:rsidRDefault="274D2446" w:rsidP="779DC3C8">
      <w:pPr>
        <w:spacing w:line="259" w:lineRule="auto"/>
        <w:rPr>
          <w:lang w:val="en-US"/>
        </w:rPr>
      </w:pPr>
      <w:r w:rsidRPr="274D2446">
        <w:rPr>
          <w:lang w:val="en-US"/>
        </w:rPr>
        <w:t xml:space="preserve">The new compliance model was developed to follow the steps of the project cycle of the ExCom, to the extent possible, in order to forecast funding needs, as well as the steps parties are taking according to their pace and readiness in the preparation and processes leading to KIPs approval. The RTF assumed all parties will have ratified the </w:t>
      </w:r>
      <w:r w:rsidR="00AF291D">
        <w:rPr>
          <w:lang w:val="en-US"/>
        </w:rPr>
        <w:t>KA</w:t>
      </w:r>
      <w:r w:rsidRPr="274D2446">
        <w:rPr>
          <w:lang w:val="en-US"/>
        </w:rPr>
        <w:t xml:space="preserve"> by 2029. </w:t>
      </w:r>
    </w:p>
    <w:p w14:paraId="2A68D03E" w14:textId="652BD7DF" w:rsidR="002C704A" w:rsidRDefault="002C704A" w:rsidP="779DC3C8">
      <w:pPr>
        <w:spacing w:line="259" w:lineRule="auto"/>
      </w:pPr>
      <w:r>
        <w:rPr>
          <w:lang w:val="en-US"/>
        </w:rPr>
        <w:t xml:space="preserve">RTF </w:t>
      </w:r>
      <w:r w:rsidR="002406E1">
        <w:rPr>
          <w:lang w:val="en-US"/>
        </w:rPr>
        <w:t xml:space="preserve">did not </w:t>
      </w:r>
      <w:r w:rsidR="00556001">
        <w:rPr>
          <w:lang w:val="en-US"/>
        </w:rPr>
        <w:t xml:space="preserve">have information on national priorities by sectors and did not </w:t>
      </w:r>
      <w:r w:rsidR="002406E1">
        <w:rPr>
          <w:lang w:val="en-US"/>
        </w:rPr>
        <w:t>prioritize one market sector over another</w:t>
      </w:r>
      <w:r w:rsidR="00556001">
        <w:rPr>
          <w:lang w:val="en-US"/>
        </w:rPr>
        <w:t xml:space="preserve"> in the funding estimates. RTF </w:t>
      </w:r>
      <w:r w:rsidR="006857C9">
        <w:rPr>
          <w:lang w:val="en-US"/>
        </w:rPr>
        <w:t>considered</w:t>
      </w:r>
      <w:r w:rsidR="00556001">
        <w:rPr>
          <w:lang w:val="en-US"/>
        </w:rPr>
        <w:t xml:space="preserve"> the sensitivity of prioritizing certain sectors</w:t>
      </w:r>
      <w:r w:rsidR="006F555F">
        <w:rPr>
          <w:lang w:val="en-US"/>
        </w:rPr>
        <w:t>, i.e.,</w:t>
      </w:r>
      <w:r w:rsidR="000341B4">
        <w:rPr>
          <w:lang w:val="en-US"/>
        </w:rPr>
        <w:t xml:space="preserve"> using historic cost-effectiveness </w:t>
      </w:r>
      <w:r w:rsidR="006F555F">
        <w:rPr>
          <w:lang w:val="en-US"/>
        </w:rPr>
        <w:t>values</w:t>
      </w:r>
      <w:r w:rsidR="000341B4">
        <w:rPr>
          <w:lang w:val="en-US"/>
        </w:rPr>
        <w:t xml:space="preserve">. </w:t>
      </w:r>
    </w:p>
    <w:p w14:paraId="37569553" w14:textId="1C497FAE" w:rsidR="00296C6F" w:rsidRPr="00F206C1" w:rsidRDefault="5AD4D035" w:rsidP="007C77CF">
      <w:pPr>
        <w:pStyle w:val="Heading3"/>
        <w:rPr>
          <w:lang w:val="en-US"/>
        </w:rPr>
      </w:pPr>
      <w:bookmarkStart w:id="191" w:name="_Toc230099078"/>
      <w:r w:rsidRPr="00F206C1">
        <w:rPr>
          <w:lang w:val="en-US"/>
        </w:rPr>
        <w:t>3.3.</w:t>
      </w:r>
      <w:r w:rsidR="44F69F91" w:rsidRPr="00F206C1">
        <w:rPr>
          <w:lang w:val="en-US"/>
        </w:rPr>
        <w:t>2</w:t>
      </w:r>
      <w:r w:rsidR="1F1CE5AE" w:rsidRPr="00F206C1">
        <w:tab/>
      </w:r>
      <w:r w:rsidR="1F1CE5AE" w:rsidRPr="00F206C1">
        <w:rPr>
          <w:lang w:val="en-US"/>
        </w:rPr>
        <w:t>Important Considerations</w:t>
      </w:r>
      <w:bookmarkEnd w:id="191"/>
      <w:r w:rsidR="68747060" w:rsidRPr="00F206C1">
        <w:rPr>
          <w:lang w:val="en-US"/>
        </w:rPr>
        <w:t xml:space="preserve"> </w:t>
      </w:r>
    </w:p>
    <w:p w14:paraId="67C43BC2" w14:textId="0B5A1534" w:rsidR="00CB0910" w:rsidRDefault="274D2446" w:rsidP="75AB79D9">
      <w:pPr>
        <w:spacing w:line="259" w:lineRule="auto"/>
        <w:rPr>
          <w:lang w:val="en-US"/>
        </w:rPr>
      </w:pPr>
      <w:r w:rsidRPr="274D2446">
        <w:rPr>
          <w:lang w:val="en-US"/>
        </w:rPr>
        <w:t>The model relies primarily on two parameters to calculate funds</w:t>
      </w:r>
      <w:r w:rsidR="00BB1F74">
        <w:rPr>
          <w:lang w:val="en-US"/>
        </w:rPr>
        <w:t>:</w:t>
      </w:r>
      <w:r w:rsidRPr="274D2446">
        <w:rPr>
          <w:lang w:val="en-US"/>
        </w:rPr>
        <w:t xml:space="preserve"> </w:t>
      </w:r>
      <w:r w:rsidR="00BB1F74">
        <w:rPr>
          <w:lang w:val="en-US"/>
        </w:rPr>
        <w:t>cost t</w:t>
      </w:r>
      <w:r w:rsidRPr="274D2446">
        <w:rPr>
          <w:lang w:val="en-US"/>
        </w:rPr>
        <w:t xml:space="preserve">hresholds and </w:t>
      </w:r>
      <w:r w:rsidR="00BB1F74">
        <w:rPr>
          <w:lang w:val="en-US"/>
        </w:rPr>
        <w:t>c</w:t>
      </w:r>
      <w:r w:rsidRPr="274D2446">
        <w:rPr>
          <w:lang w:val="en-US"/>
        </w:rPr>
        <w:t xml:space="preserve">onsumption (converted into tonnes). Consumption is set by baselines reported to the </w:t>
      </w:r>
      <w:r w:rsidR="00185768">
        <w:rPr>
          <w:lang w:val="en-US"/>
        </w:rPr>
        <w:t>OS</w:t>
      </w:r>
      <w:r w:rsidRPr="274D2446">
        <w:rPr>
          <w:lang w:val="en-US"/>
        </w:rPr>
        <w:t xml:space="preserve">, and cost thresholds are set for available CEs by the ExCom. Total funding is mostly influenced by these two inputs, largely fixed for this replenishment report. Minor modifications to funding (&lt;1.5% of total funding in the 2027-2029 triennium) could be made by changing assumptions in baselines for parties that had not yet reported baselines (by 30%), and cost effectiveness factors could be varied, where parties had not yet determined them by </w:t>
      </w:r>
      <w:r w:rsidR="00BB1F74">
        <w:rPr>
          <w:lang w:val="en-US"/>
        </w:rPr>
        <w:t>d</w:t>
      </w:r>
      <w:r w:rsidRPr="274D2446">
        <w:rPr>
          <w:lang w:val="en-US"/>
        </w:rPr>
        <w:t xml:space="preserve">ecision, pending a review in 2028. </w:t>
      </w:r>
    </w:p>
    <w:p w14:paraId="6765332A" w14:textId="64B23E35" w:rsidR="00296C6F" w:rsidRDefault="274D2446" w:rsidP="75AB79D9">
      <w:pPr>
        <w:spacing w:line="259" w:lineRule="auto"/>
      </w:pPr>
      <w:r w:rsidRPr="274D2446">
        <w:rPr>
          <w:lang w:val="en-US"/>
        </w:rPr>
        <w:t xml:space="preserve">Without changing </w:t>
      </w:r>
      <w:r w:rsidR="00BB1F74">
        <w:rPr>
          <w:lang w:val="en-US"/>
        </w:rPr>
        <w:t>c</w:t>
      </w:r>
      <w:r w:rsidRPr="274D2446">
        <w:rPr>
          <w:lang w:val="en-US"/>
        </w:rPr>
        <w:t xml:space="preserve">ost </w:t>
      </w:r>
      <w:r w:rsidR="00BB1F74">
        <w:rPr>
          <w:lang w:val="en-US"/>
        </w:rPr>
        <w:t>t</w:t>
      </w:r>
      <w:r w:rsidRPr="274D2446">
        <w:rPr>
          <w:lang w:val="en-US"/>
        </w:rPr>
        <w:t xml:space="preserve">hresholds and </w:t>
      </w:r>
      <w:r w:rsidR="00BB1F74">
        <w:rPr>
          <w:lang w:val="en-US"/>
        </w:rPr>
        <w:t>c</w:t>
      </w:r>
      <w:r w:rsidRPr="274D2446">
        <w:rPr>
          <w:lang w:val="en-US"/>
        </w:rPr>
        <w:t>onsumption, the development of broad ranging funding scenarios was challenging. Through a sensitivity analysis, it was determined that parameters would have to be significantly different to make broad changes to the compliance model.</w:t>
      </w:r>
    </w:p>
    <w:p w14:paraId="0123211B" w14:textId="35CB0501" w:rsidR="00296C6F" w:rsidRDefault="4BCEE662" w:rsidP="222ABFFA">
      <w:pPr>
        <w:spacing w:after="0" w:line="257" w:lineRule="auto"/>
      </w:pPr>
      <w:r w:rsidRPr="4BCEE662">
        <w:rPr>
          <w:lang w:val="en-US"/>
        </w:rPr>
        <w:t xml:space="preserve">RTF based its calculations on available A7 data and </w:t>
      </w:r>
      <w:r w:rsidR="00AF291D">
        <w:rPr>
          <w:lang w:val="en-US"/>
        </w:rPr>
        <w:t>KA</w:t>
      </w:r>
      <w:r w:rsidRPr="4BCEE662">
        <w:rPr>
          <w:lang w:val="en-US"/>
        </w:rPr>
        <w:t xml:space="preserve"> baseline (with the 65% HCFC component), following decisions of parties and in the </w:t>
      </w:r>
      <w:r w:rsidR="00AF291D">
        <w:rPr>
          <w:lang w:val="en-US"/>
        </w:rPr>
        <w:t>KA</w:t>
      </w:r>
      <w:r w:rsidRPr="4BCEE662">
        <w:rPr>
          <w:lang w:val="en-US"/>
        </w:rPr>
        <w:t xml:space="preserve">. Therefore, RTF used reductions from the </w:t>
      </w:r>
      <w:r w:rsidR="00AF291D">
        <w:rPr>
          <w:lang w:val="en-US"/>
        </w:rPr>
        <w:t>KA</w:t>
      </w:r>
      <w:r w:rsidRPr="4BCEE662">
        <w:rPr>
          <w:lang w:val="en-US"/>
        </w:rPr>
        <w:t xml:space="preserve"> baseline. Since funding for investment projects in the manufacturing sectors is based on actual HFC consumption by the sectors, the 65% HCFC component of the baseline was considered “consumption under the servicing sector”, and funding for that component was calculated following cost guidelines CE thresholds established for the servicing sector.</w:t>
      </w:r>
    </w:p>
    <w:p w14:paraId="4BF2B5AC" w14:textId="1394AAFD" w:rsidR="00296C6F" w:rsidRDefault="4A3D949B" w:rsidP="222ABFFA">
      <w:pPr>
        <w:spacing w:after="0"/>
        <w:rPr>
          <w:lang w:val="en-US"/>
        </w:rPr>
      </w:pPr>
      <w:r w:rsidRPr="222ABFFA">
        <w:rPr>
          <w:lang w:val="en-US"/>
        </w:rPr>
        <w:t xml:space="preserve"> </w:t>
      </w:r>
    </w:p>
    <w:p w14:paraId="6D3C7B03" w14:textId="77777777" w:rsidR="00946256" w:rsidRDefault="00946256" w:rsidP="222ABFFA">
      <w:pPr>
        <w:spacing w:after="0"/>
      </w:pPr>
    </w:p>
    <w:p w14:paraId="4C9BCBCB" w14:textId="1B107C50" w:rsidR="00296C6F" w:rsidRDefault="274D2446" w:rsidP="6FBEEF15">
      <w:pPr>
        <w:spacing w:after="0" w:line="259" w:lineRule="auto"/>
        <w:rPr>
          <w:lang w:val="en-US"/>
        </w:rPr>
      </w:pPr>
      <w:r w:rsidRPr="274D2446">
        <w:rPr>
          <w:lang w:val="en-US"/>
        </w:rPr>
        <w:lastRenderedPageBreak/>
        <w:t>Funding uncertainties remain where there are ongoing discussions by parties,</w:t>
      </w:r>
    </w:p>
    <w:p w14:paraId="7E766883" w14:textId="6A1F7D5B" w:rsidR="00296C6F" w:rsidRDefault="274D2446" w:rsidP="274D2446">
      <w:pPr>
        <w:pStyle w:val="ListParagraph"/>
        <w:spacing w:after="0" w:line="259" w:lineRule="auto"/>
        <w:rPr>
          <w:lang w:val="en-US"/>
        </w:rPr>
      </w:pPr>
      <w:r w:rsidRPr="274D2446">
        <w:rPr>
          <w:lang w:val="en-US"/>
        </w:rPr>
        <w:t xml:space="preserve">the starting point for aggregate consumption,  </w:t>
      </w:r>
    </w:p>
    <w:p w14:paraId="295F6EA6" w14:textId="776B0A91" w:rsidR="00296C6F" w:rsidRDefault="274D2446" w:rsidP="274D2446">
      <w:pPr>
        <w:pStyle w:val="ListParagraph"/>
        <w:spacing w:after="0" w:line="259" w:lineRule="auto"/>
        <w:rPr>
          <w:lang w:val="en-US"/>
        </w:rPr>
      </w:pPr>
      <w:r w:rsidRPr="274D2446">
        <w:rPr>
          <w:lang w:val="en-US"/>
        </w:rPr>
        <w:t xml:space="preserve">the potential review of cost guidelines in 2028, </w:t>
      </w:r>
    </w:p>
    <w:p w14:paraId="1D777A4C" w14:textId="05A0357C" w:rsidR="00296C6F" w:rsidRDefault="274D2446" w:rsidP="274D2446">
      <w:pPr>
        <w:pStyle w:val="ListParagraph"/>
        <w:spacing w:after="0" w:line="259" w:lineRule="auto"/>
      </w:pPr>
      <w:r w:rsidRPr="274D2446">
        <w:rPr>
          <w:lang w:val="en-US"/>
        </w:rPr>
        <w:t>unknown sector prioritization and CEs for sectors still to be addressed (MAC, MDIs)</w:t>
      </w:r>
    </w:p>
    <w:p w14:paraId="4989D01E" w14:textId="466B7CAC" w:rsidR="00296C6F" w:rsidRDefault="274D2446" w:rsidP="274D2446">
      <w:pPr>
        <w:pStyle w:val="ListParagraph"/>
        <w:spacing w:after="0" w:line="259" w:lineRule="auto"/>
        <w:rPr>
          <w:lang w:val="en-US"/>
        </w:rPr>
      </w:pPr>
      <w:r w:rsidRPr="274D2446">
        <w:rPr>
          <w:lang w:val="en-US"/>
        </w:rPr>
        <w:t>correct reporting of sector distribution of remaining consumption.</w:t>
      </w:r>
    </w:p>
    <w:p w14:paraId="58E9F6A2" w14:textId="364AE2EB" w:rsidR="00296C6F" w:rsidRPr="00980621" w:rsidRDefault="274D2446" w:rsidP="274D2446">
      <w:pPr>
        <w:spacing w:after="0" w:line="259" w:lineRule="auto"/>
        <w:rPr>
          <w:lang w:val="en-US"/>
        </w:rPr>
      </w:pPr>
      <w:r w:rsidRPr="274D2446">
        <w:rPr>
          <w:lang w:val="en-US"/>
        </w:rPr>
        <w:t xml:space="preserve">As these discussions are resolved by the </w:t>
      </w:r>
      <w:r w:rsidR="00AF291D">
        <w:rPr>
          <w:lang w:val="en-US"/>
        </w:rPr>
        <w:t>ExCom</w:t>
      </w:r>
      <w:r w:rsidRPr="274D2446">
        <w:rPr>
          <w:lang w:val="en-US"/>
        </w:rPr>
        <w:t>, the uncertainty in future funding forecasts will be reduced.</w:t>
      </w:r>
    </w:p>
    <w:p w14:paraId="21ABA970" w14:textId="77777777" w:rsidR="003D3845" w:rsidRDefault="003D3845" w:rsidP="379A6835">
      <w:pPr>
        <w:spacing w:after="0" w:line="259" w:lineRule="auto"/>
        <w:rPr>
          <w:lang w:val="en-US"/>
        </w:rPr>
      </w:pPr>
    </w:p>
    <w:p w14:paraId="0CC06B13" w14:textId="6EB055CB" w:rsidR="00296C6F" w:rsidRPr="00980621" w:rsidRDefault="4BCEE662" w:rsidP="379A6835">
      <w:pPr>
        <w:spacing w:after="0" w:line="259" w:lineRule="auto"/>
        <w:rPr>
          <w:lang w:val="en-US"/>
        </w:rPr>
      </w:pPr>
      <w:r w:rsidRPr="4BCEE662">
        <w:rPr>
          <w:lang w:val="en-US"/>
        </w:rPr>
        <w:t>RTF offers the parties two alternative scenarios and proposes two resource allocation options and would welcome any further guidance, especially with respect to more sensitive parameters, for the RTF Supplementary Report.</w:t>
      </w:r>
    </w:p>
    <w:p w14:paraId="2C2D054F" w14:textId="7EE5FCED" w:rsidR="00296C6F" w:rsidRDefault="00296C6F" w:rsidP="00501810">
      <w:pPr>
        <w:jc w:val="both"/>
      </w:pPr>
    </w:p>
    <w:p w14:paraId="223DFDC2" w14:textId="3BE2C206" w:rsidR="00296C6F" w:rsidRDefault="007E2263" w:rsidP="002D02B7">
      <w:pPr>
        <w:pStyle w:val="Heading2"/>
        <w:rPr>
          <w:lang w:val="en-US"/>
        </w:rPr>
      </w:pPr>
      <w:bookmarkStart w:id="192" w:name="_Toc230099079"/>
      <w:r w:rsidRPr="779DC3C8">
        <w:rPr>
          <w:lang w:val="en-US"/>
        </w:rPr>
        <w:t>3.4</w:t>
      </w:r>
      <w:r w:rsidR="4A3D949B">
        <w:tab/>
      </w:r>
      <w:r w:rsidR="4A3D949B" w:rsidRPr="222ABFFA">
        <w:rPr>
          <w:lang w:val="en-US"/>
        </w:rPr>
        <w:t>HFC Phase</w:t>
      </w:r>
      <w:r w:rsidR="00980621">
        <w:rPr>
          <w:lang w:val="en-US"/>
        </w:rPr>
        <w:t>-</w:t>
      </w:r>
      <w:r w:rsidR="4A3D949B" w:rsidRPr="222ABFFA">
        <w:rPr>
          <w:lang w:val="en-US"/>
        </w:rPr>
        <w:t xml:space="preserve">down </w:t>
      </w:r>
      <w:r w:rsidR="00980621">
        <w:rPr>
          <w:lang w:val="en-US"/>
        </w:rPr>
        <w:t>c</w:t>
      </w:r>
      <w:r w:rsidR="4A3D949B" w:rsidRPr="222ABFFA">
        <w:rPr>
          <w:lang w:val="en-US"/>
        </w:rPr>
        <w:t>ompliance</w:t>
      </w:r>
      <w:r w:rsidR="00980621">
        <w:rPr>
          <w:lang w:val="en-US"/>
        </w:rPr>
        <w:t xml:space="preserve"> m</w:t>
      </w:r>
      <w:r w:rsidR="4A3D949B" w:rsidRPr="222ABFFA">
        <w:rPr>
          <w:lang w:val="en-US"/>
        </w:rPr>
        <w:t xml:space="preserve">odel </w:t>
      </w:r>
      <w:r w:rsidR="0169495A" w:rsidRPr="779DC3C8">
        <w:rPr>
          <w:lang w:val="en-US"/>
        </w:rPr>
        <w:t>for the</w:t>
      </w:r>
      <w:r w:rsidR="4A3D949B" w:rsidRPr="222ABFFA">
        <w:rPr>
          <w:lang w:val="en-US"/>
        </w:rPr>
        <w:t xml:space="preserve"> </w:t>
      </w:r>
      <w:r w:rsidR="00980621">
        <w:rPr>
          <w:lang w:val="en-US"/>
        </w:rPr>
        <w:t>c</w:t>
      </w:r>
      <w:r w:rsidR="4A3D949B" w:rsidRPr="222ABFFA">
        <w:rPr>
          <w:lang w:val="en-US"/>
        </w:rPr>
        <w:t xml:space="preserve">onsumption </w:t>
      </w:r>
      <w:r w:rsidR="00980621">
        <w:rPr>
          <w:lang w:val="en-US"/>
        </w:rPr>
        <w:t>s</w:t>
      </w:r>
      <w:r w:rsidR="4A3D949B" w:rsidRPr="222ABFFA">
        <w:rPr>
          <w:lang w:val="en-US"/>
        </w:rPr>
        <w:t>ector</w:t>
      </w:r>
      <w:bookmarkEnd w:id="192"/>
      <w:r w:rsidR="48F2E817" w:rsidRPr="779DC3C8">
        <w:rPr>
          <w:lang w:val="en-US"/>
        </w:rPr>
        <w:t xml:space="preserve"> </w:t>
      </w:r>
    </w:p>
    <w:p w14:paraId="3DDFAC55" w14:textId="3FBD0AC6" w:rsidR="005B0418" w:rsidRDefault="4BCEE662" w:rsidP="222ABFFA">
      <w:pPr>
        <w:spacing w:after="0"/>
        <w:rPr>
          <w:lang w:val="en-US"/>
        </w:rPr>
      </w:pPr>
      <w:r w:rsidRPr="4BCEE662">
        <w:rPr>
          <w:lang w:val="en-US"/>
        </w:rPr>
        <w:t>Annex 4 contains further information and details on the RTF estimated funding model for the HFC consumption sector.</w:t>
      </w:r>
    </w:p>
    <w:p w14:paraId="7DB447DC" w14:textId="1982AB16" w:rsidR="000B201A" w:rsidRPr="00F206C1" w:rsidRDefault="000B201A" w:rsidP="007C77CF">
      <w:pPr>
        <w:pStyle w:val="Heading3"/>
        <w:rPr>
          <w:lang w:val="en-US"/>
        </w:rPr>
      </w:pPr>
      <w:bookmarkStart w:id="193" w:name="_Toc230099080"/>
      <w:r w:rsidRPr="00F206C1">
        <w:rPr>
          <w:lang w:val="en-US"/>
        </w:rPr>
        <w:t>3.</w:t>
      </w:r>
      <w:r>
        <w:rPr>
          <w:lang w:val="en-US"/>
        </w:rPr>
        <w:t>4</w:t>
      </w:r>
      <w:r w:rsidRPr="00F206C1">
        <w:rPr>
          <w:lang w:val="en-US"/>
        </w:rPr>
        <w:t>.</w:t>
      </w:r>
      <w:r>
        <w:rPr>
          <w:lang w:val="en-US"/>
        </w:rPr>
        <w:t>1</w:t>
      </w:r>
      <w:r w:rsidRPr="00F206C1">
        <w:tab/>
      </w:r>
      <w:r w:rsidR="00511AFB">
        <w:t>Model calculations steps</w:t>
      </w:r>
      <w:bookmarkEnd w:id="193"/>
      <w:r w:rsidRPr="00F206C1">
        <w:rPr>
          <w:lang w:val="en-US"/>
        </w:rPr>
        <w:t xml:space="preserve"> </w:t>
      </w:r>
    </w:p>
    <w:p w14:paraId="3A932D76" w14:textId="1650D4AC" w:rsidR="00296C6F" w:rsidRDefault="4A3D949B" w:rsidP="222ABFFA">
      <w:pPr>
        <w:spacing w:after="0"/>
      </w:pPr>
      <w:r w:rsidRPr="222ABFFA">
        <w:rPr>
          <w:lang w:val="en-US"/>
        </w:rPr>
        <w:t>RTF followed, as close as possible, the Ex</w:t>
      </w:r>
      <w:r w:rsidR="00F74C96">
        <w:rPr>
          <w:lang w:val="en-US"/>
        </w:rPr>
        <w:t>Com project approval cycle in its HFC</w:t>
      </w:r>
      <w:r w:rsidR="009D38A1">
        <w:rPr>
          <w:lang w:val="en-US"/>
        </w:rPr>
        <w:t xml:space="preserve"> estimated funding model for the consumption sector. The steps in the model calculation are </w:t>
      </w:r>
      <w:r w:rsidRPr="222ABFFA">
        <w:rPr>
          <w:lang w:val="en-US"/>
        </w:rPr>
        <w:t>as follows:</w:t>
      </w:r>
    </w:p>
    <w:p w14:paraId="32DA6FA8" w14:textId="3D3F4F4E" w:rsidR="00296C6F" w:rsidRDefault="00296C6F" w:rsidP="222ABFFA">
      <w:pPr>
        <w:spacing w:after="0"/>
        <w:rPr>
          <w:lang w:val="en-US"/>
        </w:rPr>
      </w:pPr>
    </w:p>
    <w:p w14:paraId="128452D7" w14:textId="55E42875" w:rsidR="009D38A1" w:rsidRDefault="274D2446" w:rsidP="00CA6F77">
      <w:pPr>
        <w:spacing w:after="0"/>
        <w:ind w:left="720"/>
        <w:rPr>
          <w:b/>
          <w:bCs/>
          <w:lang w:val="en-US"/>
        </w:rPr>
      </w:pPr>
      <w:r w:rsidRPr="274D2446">
        <w:rPr>
          <w:b/>
          <w:bCs/>
          <w:lang w:val="en-US"/>
        </w:rPr>
        <w:t xml:space="preserve">STEP 1.  83 </w:t>
      </w:r>
      <w:r w:rsidR="00F00EEE">
        <w:rPr>
          <w:b/>
          <w:bCs/>
          <w:lang w:val="en-US"/>
        </w:rPr>
        <w:t>p</w:t>
      </w:r>
      <w:r w:rsidRPr="274D2446">
        <w:rPr>
          <w:b/>
          <w:bCs/>
          <w:lang w:val="en-US"/>
        </w:rPr>
        <w:t xml:space="preserve">arties in G1 have approved KIP Stage I for a 10% reduction from the baseline. </w:t>
      </w:r>
    </w:p>
    <w:p w14:paraId="37E3352B" w14:textId="77777777" w:rsidR="009D38A1" w:rsidRDefault="009D38A1" w:rsidP="009D38A1">
      <w:pPr>
        <w:spacing w:after="0"/>
        <w:ind w:left="720"/>
        <w:rPr>
          <w:b/>
          <w:bCs/>
          <w:lang w:val="en-US"/>
        </w:rPr>
      </w:pPr>
    </w:p>
    <w:p w14:paraId="1C07C016" w14:textId="614D9BBF" w:rsidR="00296C6F" w:rsidRDefault="274D2446" w:rsidP="009D38A1">
      <w:pPr>
        <w:spacing w:after="0"/>
        <w:ind w:left="720"/>
      </w:pPr>
      <w:r w:rsidRPr="274D2446">
        <w:rPr>
          <w:lang w:val="en-US"/>
        </w:rPr>
        <w:t>Those parties have different agreed percentage reductions from the baseline. Some even higher than 30% reduction required by 2035. The model was designed to consider:</w:t>
      </w:r>
    </w:p>
    <w:p w14:paraId="496EB32F" w14:textId="5B6E56DD" w:rsidR="009D38A1" w:rsidRPr="009D38A1" w:rsidRDefault="274D2446" w:rsidP="00D13079">
      <w:pPr>
        <w:pStyle w:val="ListParagraph"/>
        <w:numPr>
          <w:ilvl w:val="0"/>
          <w:numId w:val="101"/>
        </w:numPr>
        <w:spacing w:after="0"/>
      </w:pPr>
      <w:r w:rsidRPr="274D2446">
        <w:rPr>
          <w:lang w:val="en-US"/>
        </w:rPr>
        <w:t>The committed funding for all 83 approved Stage I KIPs;</w:t>
      </w:r>
    </w:p>
    <w:p w14:paraId="2A21CCF5" w14:textId="1939DE7F" w:rsidR="00296C6F" w:rsidRDefault="274D2446" w:rsidP="00D13079">
      <w:pPr>
        <w:pStyle w:val="ListParagraph"/>
        <w:numPr>
          <w:ilvl w:val="0"/>
          <w:numId w:val="101"/>
        </w:numPr>
        <w:spacing w:after="0"/>
      </w:pPr>
      <w:r w:rsidRPr="274D2446">
        <w:rPr>
          <w:lang w:val="en-US"/>
        </w:rPr>
        <w:t>New funding for KIP Stage II for 70 parties that have reductions from the baseline below 30%. 13 parties that have reductions from the baseline equal to or above 30% are not considered for new funding.</w:t>
      </w:r>
    </w:p>
    <w:p w14:paraId="1428A017" w14:textId="77777777" w:rsidR="00121B76" w:rsidRDefault="00121B76" w:rsidP="222ABFFA">
      <w:pPr>
        <w:spacing w:after="0"/>
        <w:rPr>
          <w:b/>
          <w:bCs/>
          <w:lang w:val="en-US"/>
        </w:rPr>
      </w:pPr>
    </w:p>
    <w:p w14:paraId="4AE07025" w14:textId="3359326E" w:rsidR="00296C6F" w:rsidRDefault="274D2446" w:rsidP="00121B76">
      <w:pPr>
        <w:spacing w:after="0"/>
        <w:ind w:left="720"/>
      </w:pPr>
      <w:r w:rsidRPr="274D2446">
        <w:rPr>
          <w:b/>
          <w:bCs/>
          <w:lang w:val="en-US"/>
        </w:rPr>
        <w:t xml:space="preserve">STEP 2. 42 </w:t>
      </w:r>
      <w:r w:rsidR="00F00EEE">
        <w:rPr>
          <w:b/>
          <w:bCs/>
          <w:lang w:val="en-US"/>
        </w:rPr>
        <w:t>p</w:t>
      </w:r>
      <w:r w:rsidRPr="274D2446">
        <w:rPr>
          <w:b/>
          <w:bCs/>
          <w:lang w:val="en-US"/>
        </w:rPr>
        <w:t xml:space="preserve">arties in G1 and </w:t>
      </w:r>
      <w:r w:rsidR="00D13079">
        <w:rPr>
          <w:b/>
          <w:bCs/>
          <w:lang w:val="en-US"/>
        </w:rPr>
        <w:t>G</w:t>
      </w:r>
      <w:r w:rsidRPr="274D2446">
        <w:rPr>
          <w:b/>
          <w:bCs/>
          <w:lang w:val="en-US"/>
        </w:rPr>
        <w:t>2 without approved KIP Stage I (as of 97</w:t>
      </w:r>
      <w:r w:rsidRPr="274D2446">
        <w:rPr>
          <w:b/>
          <w:bCs/>
          <w:vertAlign w:val="superscript"/>
          <w:lang w:val="en-US"/>
        </w:rPr>
        <w:t>th</w:t>
      </w:r>
      <w:r w:rsidRPr="274D2446">
        <w:rPr>
          <w:b/>
          <w:bCs/>
          <w:lang w:val="en-US"/>
        </w:rPr>
        <w:t xml:space="preserve"> ExCom), and that ratified </w:t>
      </w:r>
      <w:r w:rsidR="00AF291D">
        <w:rPr>
          <w:b/>
          <w:bCs/>
          <w:lang w:val="en-US"/>
        </w:rPr>
        <w:t>KA</w:t>
      </w:r>
      <w:r w:rsidRPr="274D2446">
        <w:rPr>
          <w:b/>
          <w:bCs/>
          <w:lang w:val="en-US"/>
        </w:rPr>
        <w:t>.</w:t>
      </w:r>
    </w:p>
    <w:p w14:paraId="0CEEF0A7" w14:textId="16607C18" w:rsidR="00CA6F77" w:rsidRPr="00CA6F77" w:rsidRDefault="4A3D949B" w:rsidP="000E79CB">
      <w:pPr>
        <w:pStyle w:val="ListParagraph"/>
        <w:numPr>
          <w:ilvl w:val="0"/>
          <w:numId w:val="74"/>
        </w:numPr>
        <w:spacing w:after="0"/>
      </w:pPr>
      <w:r w:rsidRPr="00CA6F77">
        <w:rPr>
          <w:lang w:val="en-US"/>
        </w:rPr>
        <w:t>G1</w:t>
      </w:r>
      <w:r w:rsidR="00D13079">
        <w:rPr>
          <w:lang w:val="en-US"/>
        </w:rPr>
        <w:t xml:space="preserve">: </w:t>
      </w:r>
      <w:r w:rsidRPr="00CA6F77">
        <w:rPr>
          <w:lang w:val="en-US"/>
        </w:rPr>
        <w:t>New Funding for 36 A5</w:t>
      </w:r>
      <w:r w:rsidR="00D13079">
        <w:rPr>
          <w:lang w:val="en-US"/>
        </w:rPr>
        <w:t xml:space="preserve"> p</w:t>
      </w:r>
      <w:r w:rsidRPr="00CA6F77">
        <w:rPr>
          <w:lang w:val="en-US"/>
        </w:rPr>
        <w:t>arties to prepare and/or submit KIP-Stage I and Stage II (10% by 2029; 30% by 2035).</w:t>
      </w:r>
    </w:p>
    <w:p w14:paraId="3D67CA82" w14:textId="19C00A23" w:rsidR="00296C6F" w:rsidRDefault="4A3D949B" w:rsidP="000E79CB">
      <w:pPr>
        <w:pStyle w:val="ListParagraph"/>
        <w:numPr>
          <w:ilvl w:val="0"/>
          <w:numId w:val="74"/>
        </w:numPr>
        <w:spacing w:after="0"/>
      </w:pPr>
      <w:r w:rsidRPr="00CA6F77">
        <w:rPr>
          <w:lang w:val="en-US"/>
        </w:rPr>
        <w:t xml:space="preserve">G2: New funding to </w:t>
      </w:r>
      <w:r w:rsidR="00D13079">
        <w:rPr>
          <w:lang w:val="en-US"/>
        </w:rPr>
        <w:t>six</w:t>
      </w:r>
      <w:r w:rsidRPr="00CA6F77">
        <w:rPr>
          <w:lang w:val="en-US"/>
        </w:rPr>
        <w:t xml:space="preserve"> parties (freeze by 2028 and 10% by 2032). </w:t>
      </w:r>
    </w:p>
    <w:p w14:paraId="5E21BD73" w14:textId="032D24D1" w:rsidR="00296C6F" w:rsidRDefault="4A3D949B" w:rsidP="222ABFFA">
      <w:pPr>
        <w:spacing w:after="0"/>
      </w:pPr>
      <w:r w:rsidRPr="222ABFFA">
        <w:rPr>
          <w:b/>
          <w:bCs/>
          <w:lang w:val="en-US"/>
        </w:rPr>
        <w:t xml:space="preserve"> </w:t>
      </w:r>
    </w:p>
    <w:p w14:paraId="798F737D" w14:textId="0D9C2D8D" w:rsidR="00121B76" w:rsidRDefault="4A3D949B" w:rsidP="00121B76">
      <w:pPr>
        <w:spacing w:after="0"/>
        <w:ind w:left="720"/>
        <w:rPr>
          <w:b/>
          <w:bCs/>
          <w:lang w:val="en-US"/>
        </w:rPr>
      </w:pPr>
      <w:r w:rsidRPr="00121B76">
        <w:rPr>
          <w:b/>
          <w:bCs/>
          <w:lang w:val="en-US"/>
        </w:rPr>
        <w:t xml:space="preserve">STEP 3.  19 </w:t>
      </w:r>
      <w:r w:rsidR="00F00EEE">
        <w:rPr>
          <w:b/>
          <w:bCs/>
          <w:lang w:val="en-US"/>
        </w:rPr>
        <w:t>p</w:t>
      </w:r>
      <w:r w:rsidRPr="00121B76">
        <w:rPr>
          <w:b/>
          <w:bCs/>
          <w:lang w:val="en-US"/>
        </w:rPr>
        <w:t xml:space="preserve">arties that have not ratified the </w:t>
      </w:r>
      <w:r w:rsidR="00AF291D">
        <w:rPr>
          <w:b/>
          <w:bCs/>
          <w:lang w:val="en-US"/>
        </w:rPr>
        <w:t>KA</w:t>
      </w:r>
      <w:r w:rsidRPr="00121B76">
        <w:rPr>
          <w:b/>
          <w:bCs/>
          <w:lang w:val="en-US"/>
        </w:rPr>
        <w:t xml:space="preserve"> yet (RTF forecasted 100% ratification by 2029)</w:t>
      </w:r>
    </w:p>
    <w:p w14:paraId="6C862776" w14:textId="06337BB2" w:rsidR="00121B76" w:rsidRPr="00121B76" w:rsidRDefault="4A3D949B" w:rsidP="000E79CB">
      <w:pPr>
        <w:pStyle w:val="ListParagraph"/>
        <w:numPr>
          <w:ilvl w:val="0"/>
          <w:numId w:val="75"/>
        </w:numPr>
        <w:spacing w:after="0"/>
      </w:pPr>
      <w:r w:rsidRPr="00121B76">
        <w:rPr>
          <w:lang w:val="en-US"/>
        </w:rPr>
        <w:t>G1: New funding for 10% reduction by 2029 and 30% by 2035 (16 parties</w:t>
      </w:r>
      <w:r w:rsidR="00F00EEE">
        <w:rPr>
          <w:lang w:val="en-US"/>
        </w:rPr>
        <w:t>)</w:t>
      </w:r>
    </w:p>
    <w:p w14:paraId="1CB476F1" w14:textId="09E4D58B" w:rsidR="00296C6F" w:rsidRDefault="4A3D949B" w:rsidP="000E79CB">
      <w:pPr>
        <w:pStyle w:val="ListParagraph"/>
        <w:numPr>
          <w:ilvl w:val="0"/>
          <w:numId w:val="75"/>
        </w:numPr>
        <w:spacing w:after="0"/>
      </w:pPr>
      <w:r w:rsidRPr="00121B76">
        <w:rPr>
          <w:lang w:val="en-US"/>
        </w:rPr>
        <w:t>G2: New funding for freeze by 2028 and 10% reduction by 2032 (3 parties)</w:t>
      </w:r>
    </w:p>
    <w:p w14:paraId="029C4DF9" w14:textId="77777777" w:rsidR="00121B76" w:rsidRDefault="00121B76" w:rsidP="00121B76">
      <w:pPr>
        <w:spacing w:after="0"/>
        <w:ind w:left="360"/>
        <w:jc w:val="both"/>
        <w:rPr>
          <w:lang w:val="en-US"/>
        </w:rPr>
      </w:pPr>
    </w:p>
    <w:p w14:paraId="39B49775" w14:textId="550381ED" w:rsidR="00296C6F" w:rsidRDefault="4A3D949B" w:rsidP="006422B6">
      <w:pPr>
        <w:spacing w:after="0"/>
      </w:pPr>
      <w:r w:rsidRPr="222ABFFA">
        <w:rPr>
          <w:lang w:val="en-US"/>
        </w:rPr>
        <w:t xml:space="preserve">RTF believes that ratification by 2029 by all A5 parties is critical to access technical and financial support in time to meet compliance targets. </w:t>
      </w:r>
    </w:p>
    <w:p w14:paraId="5B791F32" w14:textId="21F3350C" w:rsidR="00296C6F" w:rsidRDefault="4A3D949B" w:rsidP="222ABFFA">
      <w:pPr>
        <w:spacing w:after="0"/>
        <w:jc w:val="both"/>
      </w:pPr>
      <w:r w:rsidRPr="222ABFFA">
        <w:rPr>
          <w:lang w:val="en-US"/>
        </w:rPr>
        <w:t xml:space="preserve"> </w:t>
      </w:r>
    </w:p>
    <w:p w14:paraId="0A69E1AC" w14:textId="262FF9C6" w:rsidR="00E14C09" w:rsidRPr="00F206C1" w:rsidRDefault="00E14C09" w:rsidP="0006403F">
      <w:pPr>
        <w:pStyle w:val="Heading3"/>
        <w:keepLines/>
        <w:rPr>
          <w:lang w:val="en-US"/>
        </w:rPr>
      </w:pPr>
      <w:bookmarkStart w:id="194" w:name="_Toc230099081"/>
      <w:r w:rsidRPr="00F206C1">
        <w:rPr>
          <w:lang w:val="en-US"/>
        </w:rPr>
        <w:lastRenderedPageBreak/>
        <w:t>3.</w:t>
      </w:r>
      <w:r>
        <w:rPr>
          <w:lang w:val="en-US"/>
        </w:rPr>
        <w:t>4</w:t>
      </w:r>
      <w:r w:rsidRPr="00F206C1">
        <w:rPr>
          <w:lang w:val="en-US"/>
        </w:rPr>
        <w:t>.2</w:t>
      </w:r>
      <w:r w:rsidRPr="00F206C1">
        <w:tab/>
      </w:r>
      <w:r>
        <w:t>Filling data gaps</w:t>
      </w:r>
      <w:bookmarkEnd w:id="194"/>
      <w:r w:rsidRPr="00F206C1">
        <w:rPr>
          <w:lang w:val="en-US"/>
        </w:rPr>
        <w:t xml:space="preserve"> </w:t>
      </w:r>
    </w:p>
    <w:p w14:paraId="0D25CBEC" w14:textId="77777777" w:rsidR="00EB1F9F" w:rsidRDefault="001901C4" w:rsidP="0006403F">
      <w:pPr>
        <w:keepNext/>
        <w:keepLines/>
        <w:spacing w:after="0"/>
        <w:rPr>
          <w:lang w:val="en-US"/>
        </w:rPr>
      </w:pPr>
      <w:r>
        <w:rPr>
          <w:lang w:val="en-US"/>
        </w:rPr>
        <w:t xml:space="preserve">Annex 3 contains </w:t>
      </w:r>
      <w:r w:rsidR="00EB1F9F">
        <w:rPr>
          <w:lang w:val="en-US"/>
        </w:rPr>
        <w:t>the RTF methodology and calculations to fill data gaps, including baselines.</w:t>
      </w:r>
    </w:p>
    <w:p w14:paraId="4AD08DFB" w14:textId="77777777" w:rsidR="00EB1F9F" w:rsidRDefault="00EB1F9F" w:rsidP="0006403F">
      <w:pPr>
        <w:keepNext/>
        <w:spacing w:after="0"/>
        <w:rPr>
          <w:lang w:val="en-US"/>
        </w:rPr>
      </w:pPr>
    </w:p>
    <w:p w14:paraId="3C468AAB" w14:textId="12D546D0" w:rsidR="00121B76" w:rsidRDefault="4A3D949B" w:rsidP="00121B76">
      <w:pPr>
        <w:spacing w:after="0"/>
        <w:rPr>
          <w:lang w:val="en-US"/>
        </w:rPr>
      </w:pPr>
      <w:r w:rsidRPr="0D0BC6F9">
        <w:rPr>
          <w:lang w:val="en-US"/>
        </w:rPr>
        <w:t xml:space="preserve">OS baseline and A7 data by chemical yearly reported, available </w:t>
      </w:r>
      <w:r w:rsidR="00121B76">
        <w:rPr>
          <w:lang w:val="en-US"/>
        </w:rPr>
        <w:t>CP</w:t>
      </w:r>
      <w:r w:rsidRPr="0D0BC6F9">
        <w:rPr>
          <w:lang w:val="en-US"/>
        </w:rPr>
        <w:t xml:space="preserve"> sector distribution, individual reduction schedule agreed in approved KIPs for each</w:t>
      </w:r>
      <w:r w:rsidR="00121B76">
        <w:rPr>
          <w:lang w:val="en-US"/>
        </w:rPr>
        <w:t xml:space="preserve"> </w:t>
      </w:r>
      <w:r w:rsidR="7B694CA1" w:rsidRPr="0D0BC6F9">
        <w:rPr>
          <w:lang w:val="en-US"/>
        </w:rPr>
        <w:t>party, CE</w:t>
      </w:r>
      <w:r w:rsidRPr="0D0BC6F9">
        <w:rPr>
          <w:lang w:val="en-US"/>
        </w:rPr>
        <w:t xml:space="preserve"> thresholds per sector and others defined by ExCom decisions, form the basis of the </w:t>
      </w:r>
      <w:r w:rsidR="00121B76">
        <w:rPr>
          <w:lang w:val="en-US"/>
        </w:rPr>
        <w:t>m</w:t>
      </w:r>
      <w:r w:rsidRPr="0D0BC6F9">
        <w:rPr>
          <w:lang w:val="en-US"/>
        </w:rPr>
        <w:t>odel core information</w:t>
      </w:r>
      <w:r w:rsidR="66262E75" w:rsidRPr="0D0BC6F9">
        <w:rPr>
          <w:lang w:val="en-US"/>
        </w:rPr>
        <w:t xml:space="preserve"> data.</w:t>
      </w:r>
    </w:p>
    <w:p w14:paraId="0520C6C6" w14:textId="3AC54075" w:rsidR="00296C6F" w:rsidRDefault="36A83878" w:rsidP="00121B76">
      <w:pPr>
        <w:spacing w:after="0"/>
        <w:rPr>
          <w:lang w:val="en-US"/>
        </w:rPr>
      </w:pPr>
      <w:r w:rsidRPr="0D0BC6F9">
        <w:rPr>
          <w:lang w:val="en-US"/>
        </w:rPr>
        <w:t xml:space="preserve"> </w:t>
      </w:r>
    </w:p>
    <w:p w14:paraId="4712E359" w14:textId="70391AAB" w:rsidR="00296C6F" w:rsidRPr="00E14C09" w:rsidRDefault="4A3D949B" w:rsidP="0018491A">
      <w:pPr>
        <w:spacing w:after="0"/>
      </w:pPr>
      <w:r w:rsidRPr="00E14C09">
        <w:rPr>
          <w:lang w:val="en-US"/>
        </w:rPr>
        <w:t xml:space="preserve">For G2 parties, where baseline years extend to 2024–2026, estimates relied more heavily on extrapolation </w:t>
      </w:r>
      <w:r w:rsidR="00A2576F" w:rsidRPr="00E14C09">
        <w:rPr>
          <w:lang w:val="en-US"/>
        </w:rPr>
        <w:t>of</w:t>
      </w:r>
      <w:r w:rsidRPr="00E14C09">
        <w:rPr>
          <w:lang w:val="en-US"/>
        </w:rPr>
        <w:t xml:space="preserve"> available data</w:t>
      </w:r>
      <w:r w:rsidR="00A2576F" w:rsidRPr="00E14C09">
        <w:rPr>
          <w:lang w:val="en-US"/>
        </w:rPr>
        <w:t xml:space="preserve"> using gr</w:t>
      </w:r>
      <w:r w:rsidR="00C76F75" w:rsidRPr="00E14C09">
        <w:rPr>
          <w:lang w:val="en-US"/>
        </w:rPr>
        <w:t>o</w:t>
      </w:r>
      <w:r w:rsidR="00A2576F" w:rsidRPr="00E14C09">
        <w:rPr>
          <w:lang w:val="en-US"/>
        </w:rPr>
        <w:t>ss domestic product (GDP</w:t>
      </w:r>
      <w:r w:rsidR="000405F6" w:rsidRPr="00E14C09">
        <w:rPr>
          <w:lang w:val="en-US"/>
        </w:rPr>
        <w:t>)</w:t>
      </w:r>
      <w:r w:rsidR="00F51A49">
        <w:rPr>
          <w:lang w:val="en-US"/>
        </w:rPr>
        <w:t xml:space="preserve"> growth rates</w:t>
      </w:r>
      <w:r w:rsidRPr="00E14C09">
        <w:rPr>
          <w:lang w:val="en-US"/>
        </w:rPr>
        <w:t xml:space="preserve">. RTF filled </w:t>
      </w:r>
      <w:r w:rsidR="000405F6" w:rsidRPr="00E14C09">
        <w:rPr>
          <w:lang w:val="en-US"/>
        </w:rPr>
        <w:t>data</w:t>
      </w:r>
      <w:r w:rsidRPr="00E14C09">
        <w:rPr>
          <w:lang w:val="en-US"/>
        </w:rPr>
        <w:t xml:space="preserve"> gaps as per methodology detailed in Annex</w:t>
      </w:r>
      <w:r w:rsidR="004161B9" w:rsidRPr="00E14C09">
        <w:rPr>
          <w:lang w:val="en-US"/>
        </w:rPr>
        <w:t xml:space="preserve"> 3</w:t>
      </w:r>
      <w:r w:rsidRPr="00E14C09">
        <w:rPr>
          <w:lang w:val="en-US"/>
        </w:rPr>
        <w:t xml:space="preserve">. In order to reflect uncertainty, a range was developed with a low-end value, </w:t>
      </w:r>
      <w:r w:rsidR="00A14172" w:rsidRPr="00E14C09">
        <w:rPr>
          <w:lang w:val="en-US"/>
        </w:rPr>
        <w:t>using GDP growth rates</w:t>
      </w:r>
      <w:r w:rsidRPr="00E14C09">
        <w:rPr>
          <w:lang w:val="en-US"/>
        </w:rPr>
        <w:t xml:space="preserve">, and a high-end value, assuming </w:t>
      </w:r>
      <w:r w:rsidR="00A14172" w:rsidRPr="00E14C09">
        <w:rPr>
          <w:lang w:val="en-US"/>
        </w:rPr>
        <w:t>30% increases in relevant markets</w:t>
      </w:r>
      <w:r w:rsidRPr="00E14C09">
        <w:rPr>
          <w:lang w:val="en-US"/>
        </w:rPr>
        <w:t>. The assumption</w:t>
      </w:r>
      <w:r w:rsidR="00A14172" w:rsidRPr="00E14C09">
        <w:rPr>
          <w:lang w:val="en-US"/>
        </w:rPr>
        <w:t xml:space="preserve"> sensitivity analysis</w:t>
      </w:r>
      <w:r w:rsidRPr="00E14C09">
        <w:rPr>
          <w:lang w:val="en-US"/>
        </w:rPr>
        <w:t xml:space="preserve"> </w:t>
      </w:r>
      <w:r w:rsidR="7C07EDD4" w:rsidRPr="00E14C09">
        <w:rPr>
          <w:lang w:val="en-US"/>
        </w:rPr>
        <w:t>introduces</w:t>
      </w:r>
      <w:r w:rsidRPr="00E14C09">
        <w:rPr>
          <w:lang w:val="en-US"/>
        </w:rPr>
        <w:t xml:space="preserve"> additional uncertainty into the funding estimates, which is reflected in the range presented</w:t>
      </w:r>
      <w:r w:rsidR="00A14172" w:rsidRPr="00E14C09">
        <w:rPr>
          <w:lang w:val="en-US"/>
        </w:rPr>
        <w:t xml:space="preserve"> (1.5% increase in the next triennium and 4.5% over the phase down)</w:t>
      </w:r>
      <w:r w:rsidRPr="00E14C09">
        <w:rPr>
          <w:lang w:val="en-US"/>
        </w:rPr>
        <w:t>.</w:t>
      </w:r>
    </w:p>
    <w:p w14:paraId="3774019B" w14:textId="1D7E995D" w:rsidR="00296C6F" w:rsidRDefault="00296C6F" w:rsidP="222ABFFA">
      <w:pPr>
        <w:spacing w:after="0"/>
        <w:rPr>
          <w:lang w:val="en-US"/>
        </w:rPr>
      </w:pPr>
    </w:p>
    <w:p w14:paraId="0992E3DC" w14:textId="7BAA5438" w:rsidR="00296C6F" w:rsidRDefault="4A3D949B" w:rsidP="222ABFFA">
      <w:pPr>
        <w:spacing w:after="0"/>
      </w:pPr>
      <w:r w:rsidRPr="222ABFFA">
        <w:rPr>
          <w:lang w:val="en-US"/>
        </w:rPr>
        <w:t>Country clusters were used to facilitate sector distribution assumptions based on market split and were classified according to the following clusters</w:t>
      </w:r>
      <w:r w:rsidR="00460004">
        <w:rPr>
          <w:lang w:val="en-US"/>
        </w:rPr>
        <w:t xml:space="preserve"> as shown in Table 3.2</w:t>
      </w:r>
      <w:r w:rsidRPr="222ABFFA">
        <w:rPr>
          <w:lang w:val="en-US"/>
        </w:rPr>
        <w:t>:</w:t>
      </w:r>
    </w:p>
    <w:p w14:paraId="3A4A8726" w14:textId="38826C11" w:rsidR="00296C6F" w:rsidRDefault="4A3D949B" w:rsidP="222ABFFA">
      <w:pPr>
        <w:spacing w:after="0"/>
      </w:pPr>
      <w:r w:rsidRPr="222ABFFA">
        <w:rPr>
          <w:lang w:val="en-US"/>
        </w:rPr>
        <w:t xml:space="preserve"> </w:t>
      </w:r>
    </w:p>
    <w:p w14:paraId="406886DD" w14:textId="52B8D8E8" w:rsidR="00296C6F" w:rsidRDefault="274D2446" w:rsidP="274D2446">
      <w:pPr>
        <w:pStyle w:val="ListParagraph"/>
        <w:spacing w:after="0"/>
      </w:pPr>
      <w:r w:rsidRPr="274D2446">
        <w:rPr>
          <w:lang w:val="en-US"/>
        </w:rPr>
        <w:t>Highest baseline consumption party</w:t>
      </w:r>
    </w:p>
    <w:p w14:paraId="096943C6" w14:textId="3E71CC3B" w:rsidR="004C03E6" w:rsidRPr="004C03E6" w:rsidRDefault="274D2446" w:rsidP="274D2446">
      <w:pPr>
        <w:pStyle w:val="ListParagraph"/>
        <w:spacing w:after="0"/>
        <w:rPr>
          <w:lang w:val="en-US"/>
        </w:rPr>
      </w:pPr>
      <w:r w:rsidRPr="274D2446">
        <w:rPr>
          <w:lang w:val="en-US"/>
        </w:rPr>
        <w:t xml:space="preserve">Next largest Top 10  </w:t>
      </w:r>
    </w:p>
    <w:p w14:paraId="3AD22FE2" w14:textId="333376E6" w:rsidR="00296C6F" w:rsidRDefault="004C03E6" w:rsidP="007F0EB7">
      <w:pPr>
        <w:pStyle w:val="ListParagraph"/>
        <w:numPr>
          <w:ilvl w:val="0"/>
          <w:numId w:val="98"/>
        </w:numPr>
        <w:spacing w:after="0"/>
      </w:pPr>
      <w:r>
        <w:rPr>
          <w:lang w:val="en-US"/>
        </w:rPr>
        <w:t>G2</w:t>
      </w:r>
      <w:r w:rsidR="0027426B">
        <w:rPr>
          <w:lang w:val="en-US"/>
        </w:rPr>
        <w:t xml:space="preserve"> parties;</w:t>
      </w:r>
      <w:r w:rsidR="4A3D949B" w:rsidRPr="004161B9">
        <w:rPr>
          <w:lang w:val="en-US"/>
        </w:rPr>
        <w:t xml:space="preserve"> </w:t>
      </w:r>
    </w:p>
    <w:p w14:paraId="1283D389" w14:textId="6971F12C" w:rsidR="00296C6F" w:rsidRDefault="4A3D949B" w:rsidP="007F0EB7">
      <w:pPr>
        <w:pStyle w:val="ListParagraph"/>
        <w:numPr>
          <w:ilvl w:val="0"/>
          <w:numId w:val="98"/>
        </w:numPr>
        <w:spacing w:after="0"/>
      </w:pPr>
      <w:r w:rsidRPr="004161B9">
        <w:rPr>
          <w:lang w:val="en-US"/>
        </w:rPr>
        <w:t>Other</w:t>
      </w:r>
      <w:r w:rsidR="00225772">
        <w:rPr>
          <w:lang w:val="en-US"/>
        </w:rPr>
        <w:t xml:space="preserve"> </w:t>
      </w:r>
      <w:r w:rsidR="00C32A1A">
        <w:rPr>
          <w:lang w:val="en-US"/>
        </w:rPr>
        <w:t xml:space="preserve">G1 </w:t>
      </w:r>
      <w:r w:rsidR="00225772">
        <w:rPr>
          <w:lang w:val="en-US"/>
        </w:rPr>
        <w:t>parties</w:t>
      </w:r>
      <w:r w:rsidRPr="004161B9">
        <w:rPr>
          <w:lang w:val="en-US"/>
        </w:rPr>
        <w:t>; and</w:t>
      </w:r>
    </w:p>
    <w:p w14:paraId="364C58F8" w14:textId="34A9CFD5" w:rsidR="00296C6F" w:rsidRPr="004161B9" w:rsidRDefault="4A3D949B" w:rsidP="007F0EB7">
      <w:pPr>
        <w:pStyle w:val="ListParagraph"/>
        <w:numPr>
          <w:ilvl w:val="0"/>
          <w:numId w:val="98"/>
        </w:numPr>
        <w:spacing w:after="0"/>
        <w:rPr>
          <w:lang w:val="en-US"/>
        </w:rPr>
      </w:pPr>
      <w:r w:rsidRPr="004161B9">
        <w:rPr>
          <w:lang w:val="en-US"/>
        </w:rPr>
        <w:t>LVCs.</w:t>
      </w:r>
    </w:p>
    <w:p w14:paraId="0A06219A" w14:textId="77777777" w:rsidR="00310C92" w:rsidRDefault="00310C92" w:rsidP="00310C92">
      <w:pPr>
        <w:spacing w:after="0"/>
        <w:rPr>
          <w:rFonts w:eastAsia="Calibri"/>
        </w:rPr>
      </w:pPr>
    </w:p>
    <w:p w14:paraId="343E6930" w14:textId="3840E9E4" w:rsidR="00AC6EC7" w:rsidRPr="004373B7" w:rsidRDefault="4BCEE662" w:rsidP="007F0EB7">
      <w:pPr>
        <w:spacing w:after="0"/>
        <w:rPr>
          <w:rFonts w:eastAsia="Calibri"/>
        </w:rPr>
      </w:pPr>
      <w:r w:rsidRPr="4BCEE662">
        <w:rPr>
          <w:rFonts w:eastAsia="Calibri"/>
        </w:rPr>
        <w:t xml:space="preserve">In one sensitivity analysis of the uncertainty of the unreported HFC component of the HFC baselines, RTF increased their estimates by 30% to ensure that a broad range of outcomes had been considered. Group 2, Other and LVC cluster results are shown above in Table 3.2. Overall baselines increased by less than 5%. The impact to the next triennium was smaller at less than 1.5%. Other baselines and the HCFC component of all baselines are now known. </w:t>
      </w:r>
    </w:p>
    <w:p w14:paraId="070A5050" w14:textId="77777777" w:rsidR="004161B9" w:rsidRDefault="004161B9" w:rsidP="00460004">
      <w:pPr>
        <w:spacing w:after="0"/>
      </w:pPr>
    </w:p>
    <w:p w14:paraId="76F67790" w14:textId="6104FA8B" w:rsidR="00460004" w:rsidRPr="008F710E" w:rsidRDefault="4BCEE662" w:rsidP="002135B0">
      <w:pPr>
        <w:tabs>
          <w:tab w:val="left" w:pos="1134"/>
        </w:tabs>
        <w:spacing w:after="120"/>
        <w:ind w:left="1418" w:hanging="1418"/>
        <w:rPr>
          <w:rFonts w:eastAsiaTheme="minorEastAsia"/>
          <w:b/>
          <w:bCs/>
          <w:highlight w:val="yellow"/>
        </w:rPr>
      </w:pPr>
      <w:r w:rsidRPr="4BCEE662">
        <w:rPr>
          <w:rFonts w:eastAsiaTheme="minorEastAsia"/>
          <w:b/>
          <w:bCs/>
        </w:rPr>
        <w:t>Table 3.2</w:t>
      </w:r>
      <w:r w:rsidR="00D95541">
        <w:rPr>
          <w:rFonts w:eastAsiaTheme="minorEastAsia"/>
          <w:b/>
          <w:bCs/>
        </w:rPr>
        <w:t>:</w:t>
      </w:r>
      <w:r w:rsidR="274D2446">
        <w:tab/>
      </w:r>
      <w:r w:rsidRPr="4BCEE662">
        <w:rPr>
          <w:b/>
          <w:bCs/>
        </w:rPr>
        <w:t>Sensitivity analysis of</w:t>
      </w:r>
      <w:r>
        <w:t xml:space="preserve"> </w:t>
      </w:r>
      <w:r w:rsidRPr="4BCEE662">
        <w:rPr>
          <w:rFonts w:eastAsiaTheme="minorEastAsia"/>
          <w:b/>
          <w:bCs/>
        </w:rPr>
        <w:t>estimated and reported HFC baselines (</w:t>
      </w:r>
      <w:r w:rsidR="009C7402">
        <w:rPr>
          <w:rFonts w:eastAsiaTheme="minorEastAsia"/>
          <w:b/>
          <w:bCs/>
        </w:rPr>
        <w:t xml:space="preserve">million </w:t>
      </w:r>
      <w:r w:rsidRPr="4BCEE662">
        <w:rPr>
          <w:rFonts w:eastAsiaTheme="minorEastAsia"/>
          <w:b/>
          <w:bCs/>
        </w:rPr>
        <w:t>tCO</w:t>
      </w:r>
      <w:r w:rsidRPr="4BCEE662">
        <w:rPr>
          <w:rFonts w:eastAsiaTheme="minorEastAsia"/>
          <w:b/>
          <w:bCs/>
          <w:vertAlign w:val="subscript"/>
        </w:rPr>
        <w:t>2</w:t>
      </w:r>
      <w:r w:rsidRPr="4BCEE662">
        <w:rPr>
          <w:rFonts w:eastAsiaTheme="minorEastAsia"/>
          <w:b/>
          <w:bCs/>
        </w:rPr>
        <w:t>eq)</w:t>
      </w:r>
    </w:p>
    <w:tbl>
      <w:tblPr>
        <w:tblW w:w="5000" w:type="pct"/>
        <w:tblLook w:val="04A0" w:firstRow="1" w:lastRow="0" w:firstColumn="1" w:lastColumn="0" w:noHBand="0" w:noVBand="1"/>
      </w:tblPr>
      <w:tblGrid>
        <w:gridCol w:w="3025"/>
        <w:gridCol w:w="2915"/>
        <w:gridCol w:w="3134"/>
      </w:tblGrid>
      <w:tr w:rsidR="00A4290D" w:rsidRPr="00A4290D" w14:paraId="1A0ED000" w14:textId="77777777" w:rsidTr="4BCEE662">
        <w:trPr>
          <w:trHeight w:val="1200"/>
        </w:trPr>
        <w:tc>
          <w:tcPr>
            <w:tcW w:w="166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0AEFC5" w14:textId="46627461" w:rsidR="00A4290D" w:rsidRPr="00A4290D" w:rsidRDefault="004C03E6">
            <w:pPr>
              <w:tabs>
                <w:tab w:val="clear" w:pos="0"/>
              </w:tabs>
              <w:spacing w:after="0"/>
              <w:jc w:val="center"/>
              <w:rPr>
                <w:b/>
                <w:bCs/>
                <w:color w:val="000000"/>
                <w:lang w:val="en-US"/>
              </w:rPr>
            </w:pPr>
            <w:r>
              <w:rPr>
                <w:b/>
                <w:bCs/>
                <w:color w:val="000000"/>
                <w:lang w:val="en-US"/>
              </w:rPr>
              <w:t>Groupings</w:t>
            </w:r>
          </w:p>
        </w:tc>
        <w:tc>
          <w:tcPr>
            <w:tcW w:w="1606" w:type="pct"/>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69D4F8D" w14:textId="1A0ED978" w:rsidR="00A4290D" w:rsidRPr="00A4290D" w:rsidRDefault="274D2446">
            <w:pPr>
              <w:tabs>
                <w:tab w:val="clear" w:pos="0"/>
              </w:tabs>
              <w:spacing w:after="0"/>
              <w:jc w:val="center"/>
              <w:rPr>
                <w:b/>
                <w:bCs/>
                <w:color w:val="000000"/>
                <w:lang w:val="en-US"/>
              </w:rPr>
            </w:pPr>
            <w:r w:rsidRPr="274D2446">
              <w:rPr>
                <w:b/>
                <w:bCs/>
                <w:lang w:val="en-US"/>
              </w:rPr>
              <w:t>Estimated and Reported HFC Baseline</w:t>
            </w:r>
          </w:p>
        </w:tc>
        <w:tc>
          <w:tcPr>
            <w:tcW w:w="1728" w:type="pct"/>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C01BF25" w14:textId="458FDED1" w:rsidR="00A4290D" w:rsidRPr="00A4290D" w:rsidRDefault="4BCEE662">
            <w:pPr>
              <w:tabs>
                <w:tab w:val="clear" w:pos="0"/>
              </w:tabs>
              <w:spacing w:after="0"/>
              <w:jc w:val="center"/>
              <w:rPr>
                <w:b/>
                <w:bCs/>
                <w:color w:val="000000"/>
                <w:lang w:val="en-US"/>
              </w:rPr>
            </w:pPr>
            <w:r w:rsidRPr="4BCEE662">
              <w:rPr>
                <w:b/>
                <w:bCs/>
                <w:lang w:val="en-US"/>
              </w:rPr>
              <w:t>Higher Estimate of HFC Baseline Component for Parties with no Baseline Combined with Reported HFC Baselines</w:t>
            </w:r>
          </w:p>
        </w:tc>
      </w:tr>
      <w:tr w:rsidR="00A4290D" w:rsidRPr="00A4290D" w14:paraId="774A10E3" w14:textId="77777777" w:rsidTr="4BCEE662">
        <w:trPr>
          <w:trHeight w:val="300"/>
        </w:trPr>
        <w:tc>
          <w:tcPr>
            <w:tcW w:w="1667" w:type="pct"/>
            <w:tcBorders>
              <w:top w:val="nil"/>
              <w:left w:val="single" w:sz="4" w:space="0" w:color="auto"/>
              <w:bottom w:val="single" w:sz="4" w:space="0" w:color="auto"/>
              <w:right w:val="single" w:sz="4" w:space="0" w:color="auto"/>
            </w:tcBorders>
            <w:noWrap/>
            <w:vAlign w:val="bottom"/>
            <w:hideMark/>
          </w:tcPr>
          <w:p w14:paraId="454E56A8" w14:textId="77777777" w:rsidR="00A4290D" w:rsidRPr="00A4290D" w:rsidRDefault="00A4290D">
            <w:pPr>
              <w:tabs>
                <w:tab w:val="clear" w:pos="0"/>
              </w:tabs>
              <w:spacing w:after="0"/>
              <w:jc w:val="center"/>
              <w:rPr>
                <w:color w:val="000000"/>
                <w:lang w:val="en-US"/>
              </w:rPr>
            </w:pPr>
            <w:r w:rsidRPr="00A4290D">
              <w:rPr>
                <w:color w:val="000000"/>
                <w:lang w:val="en-US"/>
              </w:rPr>
              <w:t>Largest</w:t>
            </w:r>
          </w:p>
        </w:tc>
        <w:tc>
          <w:tcPr>
            <w:tcW w:w="1606" w:type="pct"/>
            <w:tcBorders>
              <w:top w:val="nil"/>
              <w:left w:val="nil"/>
              <w:bottom w:val="single" w:sz="4" w:space="0" w:color="auto"/>
              <w:right w:val="single" w:sz="4" w:space="0" w:color="auto"/>
            </w:tcBorders>
            <w:noWrap/>
            <w:vAlign w:val="bottom"/>
            <w:hideMark/>
          </w:tcPr>
          <w:p w14:paraId="695F4FE2" w14:textId="77777777" w:rsidR="00A4290D" w:rsidRPr="00A4290D" w:rsidRDefault="00A4290D">
            <w:pPr>
              <w:tabs>
                <w:tab w:val="clear" w:pos="0"/>
              </w:tabs>
              <w:spacing w:after="0"/>
              <w:jc w:val="center"/>
              <w:rPr>
                <w:color w:val="000000"/>
                <w:lang w:val="en-US"/>
              </w:rPr>
            </w:pPr>
            <w:r w:rsidRPr="00A4290D">
              <w:rPr>
                <w:color w:val="000000"/>
                <w:lang w:val="en-US"/>
              </w:rPr>
              <w:t>907</w:t>
            </w:r>
          </w:p>
        </w:tc>
        <w:tc>
          <w:tcPr>
            <w:tcW w:w="1728" w:type="pct"/>
            <w:tcBorders>
              <w:top w:val="nil"/>
              <w:left w:val="nil"/>
              <w:bottom w:val="single" w:sz="4" w:space="0" w:color="auto"/>
              <w:right w:val="single" w:sz="4" w:space="0" w:color="auto"/>
            </w:tcBorders>
            <w:noWrap/>
            <w:vAlign w:val="bottom"/>
            <w:hideMark/>
          </w:tcPr>
          <w:p w14:paraId="08887DAD" w14:textId="77777777" w:rsidR="00A4290D" w:rsidRPr="00A4290D" w:rsidRDefault="00A4290D">
            <w:pPr>
              <w:tabs>
                <w:tab w:val="clear" w:pos="0"/>
              </w:tabs>
              <w:spacing w:after="0"/>
              <w:jc w:val="center"/>
              <w:rPr>
                <w:color w:val="000000"/>
                <w:lang w:val="en-US"/>
              </w:rPr>
            </w:pPr>
            <w:r w:rsidRPr="00A4290D">
              <w:rPr>
                <w:color w:val="000000"/>
                <w:lang w:val="en-US"/>
              </w:rPr>
              <w:t>907</w:t>
            </w:r>
          </w:p>
        </w:tc>
      </w:tr>
      <w:tr w:rsidR="00A4290D" w:rsidRPr="00A4290D" w14:paraId="7524927D" w14:textId="77777777" w:rsidTr="4BCEE662">
        <w:trPr>
          <w:trHeight w:val="320"/>
        </w:trPr>
        <w:tc>
          <w:tcPr>
            <w:tcW w:w="1667" w:type="pct"/>
            <w:tcBorders>
              <w:top w:val="nil"/>
              <w:left w:val="single" w:sz="4" w:space="0" w:color="auto"/>
              <w:bottom w:val="single" w:sz="4" w:space="0" w:color="auto"/>
              <w:right w:val="single" w:sz="4" w:space="0" w:color="auto"/>
            </w:tcBorders>
            <w:noWrap/>
            <w:vAlign w:val="bottom"/>
            <w:hideMark/>
          </w:tcPr>
          <w:p w14:paraId="6F76D9C2" w14:textId="2F48A431" w:rsidR="00A4290D" w:rsidRPr="00A4290D" w:rsidRDefault="274D2446">
            <w:pPr>
              <w:tabs>
                <w:tab w:val="clear" w:pos="0"/>
              </w:tabs>
              <w:spacing w:after="0"/>
              <w:jc w:val="center"/>
              <w:rPr>
                <w:color w:val="000000"/>
                <w:lang w:val="en-US"/>
              </w:rPr>
            </w:pPr>
            <w:r w:rsidRPr="274D2446">
              <w:rPr>
                <w:lang w:val="en-US"/>
              </w:rPr>
              <w:t>Top 10</w:t>
            </w:r>
          </w:p>
        </w:tc>
        <w:tc>
          <w:tcPr>
            <w:tcW w:w="1606" w:type="pct"/>
            <w:tcBorders>
              <w:top w:val="nil"/>
              <w:left w:val="nil"/>
              <w:bottom w:val="single" w:sz="4" w:space="0" w:color="auto"/>
              <w:right w:val="single" w:sz="4" w:space="0" w:color="auto"/>
            </w:tcBorders>
            <w:noWrap/>
            <w:vAlign w:val="bottom"/>
            <w:hideMark/>
          </w:tcPr>
          <w:p w14:paraId="3D8CED13" w14:textId="77777777" w:rsidR="00A4290D" w:rsidRPr="00A4290D" w:rsidRDefault="00A4290D">
            <w:pPr>
              <w:tabs>
                <w:tab w:val="clear" w:pos="0"/>
              </w:tabs>
              <w:spacing w:after="0"/>
              <w:jc w:val="center"/>
              <w:rPr>
                <w:color w:val="000000"/>
                <w:lang w:val="en-US"/>
              </w:rPr>
            </w:pPr>
            <w:r w:rsidRPr="00A4290D">
              <w:rPr>
                <w:color w:val="000000"/>
                <w:lang w:val="en-US"/>
              </w:rPr>
              <w:t>374</w:t>
            </w:r>
          </w:p>
        </w:tc>
        <w:tc>
          <w:tcPr>
            <w:tcW w:w="1728" w:type="pct"/>
            <w:tcBorders>
              <w:top w:val="nil"/>
              <w:left w:val="nil"/>
              <w:bottom w:val="single" w:sz="4" w:space="0" w:color="auto"/>
              <w:right w:val="single" w:sz="4" w:space="0" w:color="auto"/>
            </w:tcBorders>
            <w:noWrap/>
            <w:vAlign w:val="bottom"/>
            <w:hideMark/>
          </w:tcPr>
          <w:p w14:paraId="626FC6A5" w14:textId="77777777" w:rsidR="00A4290D" w:rsidRPr="00A4290D" w:rsidRDefault="00A4290D">
            <w:pPr>
              <w:tabs>
                <w:tab w:val="clear" w:pos="0"/>
              </w:tabs>
              <w:spacing w:after="0"/>
              <w:jc w:val="center"/>
              <w:rPr>
                <w:color w:val="000000"/>
                <w:lang w:val="en-US"/>
              </w:rPr>
            </w:pPr>
            <w:r w:rsidRPr="00A4290D">
              <w:rPr>
                <w:color w:val="000000"/>
                <w:lang w:val="en-US"/>
              </w:rPr>
              <w:t>374</w:t>
            </w:r>
          </w:p>
        </w:tc>
      </w:tr>
      <w:tr w:rsidR="00A4290D" w:rsidRPr="00A4290D" w14:paraId="04BBC029" w14:textId="77777777" w:rsidTr="4BCEE662">
        <w:trPr>
          <w:trHeight w:val="310"/>
        </w:trPr>
        <w:tc>
          <w:tcPr>
            <w:tcW w:w="1667" w:type="pct"/>
            <w:tcBorders>
              <w:top w:val="nil"/>
              <w:left w:val="single" w:sz="4" w:space="0" w:color="auto"/>
              <w:bottom w:val="single" w:sz="4" w:space="0" w:color="auto"/>
              <w:right w:val="single" w:sz="4" w:space="0" w:color="auto"/>
            </w:tcBorders>
            <w:noWrap/>
            <w:vAlign w:val="bottom"/>
            <w:hideMark/>
          </w:tcPr>
          <w:p w14:paraId="1714AA7E" w14:textId="77777777" w:rsidR="00A4290D" w:rsidRPr="00A4290D" w:rsidRDefault="00A4290D">
            <w:pPr>
              <w:tabs>
                <w:tab w:val="clear" w:pos="0"/>
              </w:tabs>
              <w:spacing w:after="0"/>
              <w:jc w:val="center"/>
              <w:rPr>
                <w:color w:val="000000"/>
                <w:lang w:val="en-US"/>
              </w:rPr>
            </w:pPr>
            <w:r w:rsidRPr="00A4290D">
              <w:rPr>
                <w:color w:val="000000"/>
                <w:lang w:val="en-US"/>
              </w:rPr>
              <w:t>Group 2</w:t>
            </w:r>
          </w:p>
        </w:tc>
        <w:tc>
          <w:tcPr>
            <w:tcW w:w="1606" w:type="pct"/>
            <w:tcBorders>
              <w:top w:val="nil"/>
              <w:left w:val="nil"/>
              <w:bottom w:val="single" w:sz="4" w:space="0" w:color="auto"/>
              <w:right w:val="single" w:sz="4" w:space="0" w:color="auto"/>
            </w:tcBorders>
            <w:noWrap/>
            <w:vAlign w:val="bottom"/>
            <w:hideMark/>
          </w:tcPr>
          <w:p w14:paraId="0EDD589A" w14:textId="77777777" w:rsidR="00A4290D" w:rsidRPr="00A4290D" w:rsidRDefault="00A4290D">
            <w:pPr>
              <w:tabs>
                <w:tab w:val="clear" w:pos="0"/>
              </w:tabs>
              <w:spacing w:after="0"/>
              <w:jc w:val="center"/>
              <w:rPr>
                <w:color w:val="000000"/>
                <w:lang w:val="en-US"/>
              </w:rPr>
            </w:pPr>
            <w:r w:rsidRPr="00A4290D">
              <w:rPr>
                <w:color w:val="000000"/>
                <w:lang w:val="en-US"/>
              </w:rPr>
              <w:t>254</w:t>
            </w:r>
          </w:p>
        </w:tc>
        <w:tc>
          <w:tcPr>
            <w:tcW w:w="1728" w:type="pct"/>
            <w:tcBorders>
              <w:top w:val="nil"/>
              <w:left w:val="nil"/>
              <w:bottom w:val="single" w:sz="4" w:space="0" w:color="auto"/>
              <w:right w:val="single" w:sz="4" w:space="0" w:color="auto"/>
            </w:tcBorders>
            <w:noWrap/>
            <w:vAlign w:val="bottom"/>
            <w:hideMark/>
          </w:tcPr>
          <w:p w14:paraId="5C9CC198" w14:textId="77777777" w:rsidR="00A4290D" w:rsidRPr="00A4290D" w:rsidRDefault="00A4290D">
            <w:pPr>
              <w:tabs>
                <w:tab w:val="clear" w:pos="0"/>
              </w:tabs>
              <w:spacing w:after="0"/>
              <w:jc w:val="center"/>
              <w:rPr>
                <w:color w:val="000000"/>
                <w:lang w:val="en-US"/>
              </w:rPr>
            </w:pPr>
            <w:r w:rsidRPr="00A4290D">
              <w:rPr>
                <w:color w:val="000000"/>
                <w:lang w:val="en-US"/>
              </w:rPr>
              <w:t>330</w:t>
            </w:r>
          </w:p>
        </w:tc>
      </w:tr>
      <w:tr w:rsidR="00A4290D" w:rsidRPr="00A4290D" w14:paraId="720A1046" w14:textId="77777777" w:rsidTr="4BCEE662">
        <w:trPr>
          <w:trHeight w:val="290"/>
        </w:trPr>
        <w:tc>
          <w:tcPr>
            <w:tcW w:w="1667" w:type="pct"/>
            <w:tcBorders>
              <w:top w:val="nil"/>
              <w:left w:val="single" w:sz="4" w:space="0" w:color="auto"/>
              <w:bottom w:val="single" w:sz="4" w:space="0" w:color="auto"/>
              <w:right w:val="single" w:sz="4" w:space="0" w:color="auto"/>
            </w:tcBorders>
            <w:noWrap/>
            <w:vAlign w:val="bottom"/>
            <w:hideMark/>
          </w:tcPr>
          <w:p w14:paraId="31C79380" w14:textId="77777777" w:rsidR="00A4290D" w:rsidRPr="00A4290D" w:rsidRDefault="00A4290D">
            <w:pPr>
              <w:tabs>
                <w:tab w:val="clear" w:pos="0"/>
              </w:tabs>
              <w:spacing w:after="0"/>
              <w:jc w:val="center"/>
              <w:rPr>
                <w:color w:val="000000"/>
                <w:lang w:val="en-US"/>
              </w:rPr>
            </w:pPr>
            <w:r w:rsidRPr="00A4290D">
              <w:rPr>
                <w:color w:val="000000"/>
                <w:lang w:val="en-US"/>
              </w:rPr>
              <w:t>Other</w:t>
            </w:r>
          </w:p>
        </w:tc>
        <w:tc>
          <w:tcPr>
            <w:tcW w:w="1606" w:type="pct"/>
            <w:tcBorders>
              <w:top w:val="nil"/>
              <w:left w:val="nil"/>
              <w:bottom w:val="single" w:sz="4" w:space="0" w:color="auto"/>
              <w:right w:val="single" w:sz="4" w:space="0" w:color="auto"/>
            </w:tcBorders>
            <w:noWrap/>
            <w:vAlign w:val="bottom"/>
            <w:hideMark/>
          </w:tcPr>
          <w:p w14:paraId="50726E97" w14:textId="77777777" w:rsidR="00A4290D" w:rsidRPr="00A4290D" w:rsidRDefault="00A4290D">
            <w:pPr>
              <w:tabs>
                <w:tab w:val="clear" w:pos="0"/>
              </w:tabs>
              <w:spacing w:after="0"/>
              <w:jc w:val="center"/>
              <w:rPr>
                <w:color w:val="000000"/>
                <w:lang w:val="en-US"/>
              </w:rPr>
            </w:pPr>
            <w:r w:rsidRPr="00A4290D">
              <w:rPr>
                <w:color w:val="000000"/>
                <w:lang w:val="en-US"/>
              </w:rPr>
              <w:t>167</w:t>
            </w:r>
          </w:p>
        </w:tc>
        <w:tc>
          <w:tcPr>
            <w:tcW w:w="1728" w:type="pct"/>
            <w:tcBorders>
              <w:top w:val="nil"/>
              <w:left w:val="nil"/>
              <w:bottom w:val="single" w:sz="4" w:space="0" w:color="auto"/>
              <w:right w:val="single" w:sz="4" w:space="0" w:color="auto"/>
            </w:tcBorders>
            <w:noWrap/>
            <w:vAlign w:val="bottom"/>
            <w:hideMark/>
          </w:tcPr>
          <w:p w14:paraId="51096F92" w14:textId="77777777" w:rsidR="00A4290D" w:rsidRPr="00A4290D" w:rsidRDefault="00A4290D">
            <w:pPr>
              <w:tabs>
                <w:tab w:val="clear" w:pos="0"/>
              </w:tabs>
              <w:spacing w:after="0"/>
              <w:jc w:val="center"/>
              <w:rPr>
                <w:color w:val="000000"/>
                <w:lang w:val="en-US"/>
              </w:rPr>
            </w:pPr>
            <w:r w:rsidRPr="00A4290D">
              <w:rPr>
                <w:color w:val="000000"/>
                <w:lang w:val="en-US"/>
              </w:rPr>
              <w:t>171</w:t>
            </w:r>
          </w:p>
        </w:tc>
      </w:tr>
      <w:tr w:rsidR="00A4290D" w:rsidRPr="00A4290D" w14:paraId="3B66E9FB" w14:textId="77777777" w:rsidTr="4BCEE662">
        <w:trPr>
          <w:trHeight w:val="290"/>
        </w:trPr>
        <w:tc>
          <w:tcPr>
            <w:tcW w:w="1667" w:type="pct"/>
            <w:tcBorders>
              <w:top w:val="nil"/>
              <w:left w:val="single" w:sz="4" w:space="0" w:color="auto"/>
              <w:bottom w:val="single" w:sz="4" w:space="0" w:color="auto"/>
              <w:right w:val="single" w:sz="4" w:space="0" w:color="auto"/>
            </w:tcBorders>
            <w:noWrap/>
            <w:vAlign w:val="bottom"/>
            <w:hideMark/>
          </w:tcPr>
          <w:p w14:paraId="071F3E47" w14:textId="77777777" w:rsidR="00A4290D" w:rsidRPr="00A4290D" w:rsidRDefault="00A4290D">
            <w:pPr>
              <w:tabs>
                <w:tab w:val="clear" w:pos="0"/>
              </w:tabs>
              <w:spacing w:after="0"/>
              <w:jc w:val="center"/>
              <w:rPr>
                <w:color w:val="000000"/>
                <w:lang w:val="en-US"/>
              </w:rPr>
            </w:pPr>
            <w:r w:rsidRPr="00A4290D">
              <w:rPr>
                <w:color w:val="000000"/>
                <w:lang w:val="en-US"/>
              </w:rPr>
              <w:t>LVC</w:t>
            </w:r>
          </w:p>
        </w:tc>
        <w:tc>
          <w:tcPr>
            <w:tcW w:w="1606" w:type="pct"/>
            <w:tcBorders>
              <w:top w:val="nil"/>
              <w:left w:val="nil"/>
              <w:bottom w:val="single" w:sz="4" w:space="0" w:color="auto"/>
              <w:right w:val="single" w:sz="4" w:space="0" w:color="auto"/>
            </w:tcBorders>
            <w:noWrap/>
            <w:vAlign w:val="bottom"/>
            <w:hideMark/>
          </w:tcPr>
          <w:p w14:paraId="54A4CC2F" w14:textId="77777777" w:rsidR="00A4290D" w:rsidRPr="00A4290D" w:rsidRDefault="00A4290D">
            <w:pPr>
              <w:tabs>
                <w:tab w:val="clear" w:pos="0"/>
              </w:tabs>
              <w:spacing w:after="0"/>
              <w:jc w:val="center"/>
              <w:rPr>
                <w:color w:val="000000"/>
                <w:lang w:val="en-US"/>
              </w:rPr>
            </w:pPr>
            <w:r w:rsidRPr="00A4290D">
              <w:rPr>
                <w:color w:val="000000"/>
                <w:lang w:val="en-US"/>
              </w:rPr>
              <w:t>32</w:t>
            </w:r>
          </w:p>
        </w:tc>
        <w:tc>
          <w:tcPr>
            <w:tcW w:w="1728" w:type="pct"/>
            <w:tcBorders>
              <w:top w:val="nil"/>
              <w:left w:val="nil"/>
              <w:bottom w:val="single" w:sz="4" w:space="0" w:color="auto"/>
              <w:right w:val="single" w:sz="4" w:space="0" w:color="auto"/>
            </w:tcBorders>
            <w:noWrap/>
            <w:vAlign w:val="bottom"/>
            <w:hideMark/>
          </w:tcPr>
          <w:p w14:paraId="513A0F39" w14:textId="77777777" w:rsidR="00A4290D" w:rsidRPr="00A4290D" w:rsidRDefault="00A4290D">
            <w:pPr>
              <w:tabs>
                <w:tab w:val="clear" w:pos="0"/>
              </w:tabs>
              <w:spacing w:after="0"/>
              <w:jc w:val="center"/>
              <w:rPr>
                <w:color w:val="000000"/>
                <w:lang w:val="en-US"/>
              </w:rPr>
            </w:pPr>
            <w:r w:rsidRPr="00A4290D">
              <w:rPr>
                <w:color w:val="000000"/>
                <w:lang w:val="en-US"/>
              </w:rPr>
              <w:t>33</w:t>
            </w:r>
          </w:p>
        </w:tc>
      </w:tr>
      <w:tr w:rsidR="00A4290D" w:rsidRPr="00A4290D" w14:paraId="361570B7" w14:textId="77777777" w:rsidTr="4BCEE662">
        <w:trPr>
          <w:trHeight w:val="290"/>
        </w:trPr>
        <w:tc>
          <w:tcPr>
            <w:tcW w:w="1667"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62B07B7" w14:textId="77777777" w:rsidR="00A4290D" w:rsidRPr="00A4290D" w:rsidRDefault="00A4290D">
            <w:pPr>
              <w:tabs>
                <w:tab w:val="clear" w:pos="0"/>
              </w:tabs>
              <w:spacing w:after="0"/>
              <w:jc w:val="center"/>
              <w:rPr>
                <w:color w:val="000000"/>
                <w:lang w:val="en-US"/>
              </w:rPr>
            </w:pPr>
            <w:r w:rsidRPr="00A4290D">
              <w:rPr>
                <w:color w:val="000000"/>
                <w:lang w:val="en-US"/>
              </w:rPr>
              <w:t>Total</w:t>
            </w:r>
          </w:p>
        </w:tc>
        <w:tc>
          <w:tcPr>
            <w:tcW w:w="1606" w:type="pct"/>
            <w:tcBorders>
              <w:top w:val="nil"/>
              <w:left w:val="nil"/>
              <w:bottom w:val="single" w:sz="4" w:space="0" w:color="auto"/>
              <w:right w:val="single" w:sz="4" w:space="0" w:color="auto"/>
            </w:tcBorders>
            <w:shd w:val="clear" w:color="auto" w:fill="B4C6E7" w:themeFill="accent1" w:themeFillTint="66"/>
            <w:noWrap/>
            <w:vAlign w:val="bottom"/>
            <w:hideMark/>
          </w:tcPr>
          <w:p w14:paraId="6BD3E6E6" w14:textId="77777777" w:rsidR="00A4290D" w:rsidRPr="00A4290D" w:rsidRDefault="00A4290D">
            <w:pPr>
              <w:tabs>
                <w:tab w:val="clear" w:pos="0"/>
              </w:tabs>
              <w:spacing w:after="0"/>
              <w:jc w:val="center"/>
              <w:rPr>
                <w:color w:val="000000"/>
                <w:lang w:val="en-US"/>
              </w:rPr>
            </w:pPr>
            <w:r w:rsidRPr="00A4290D">
              <w:rPr>
                <w:color w:val="000000"/>
                <w:lang w:val="en-US"/>
              </w:rPr>
              <w:t>1734</w:t>
            </w:r>
          </w:p>
        </w:tc>
        <w:tc>
          <w:tcPr>
            <w:tcW w:w="1728" w:type="pct"/>
            <w:tcBorders>
              <w:top w:val="nil"/>
              <w:left w:val="nil"/>
              <w:bottom w:val="single" w:sz="4" w:space="0" w:color="auto"/>
              <w:right w:val="single" w:sz="4" w:space="0" w:color="auto"/>
            </w:tcBorders>
            <w:shd w:val="clear" w:color="auto" w:fill="B4C6E7" w:themeFill="accent1" w:themeFillTint="66"/>
            <w:noWrap/>
            <w:vAlign w:val="bottom"/>
            <w:hideMark/>
          </w:tcPr>
          <w:p w14:paraId="3B4DE34A" w14:textId="77777777" w:rsidR="00A4290D" w:rsidRPr="00A4290D" w:rsidRDefault="00A4290D">
            <w:pPr>
              <w:tabs>
                <w:tab w:val="clear" w:pos="0"/>
              </w:tabs>
              <w:spacing w:after="0"/>
              <w:jc w:val="center"/>
              <w:rPr>
                <w:color w:val="000000"/>
                <w:lang w:val="en-US"/>
              </w:rPr>
            </w:pPr>
            <w:r w:rsidRPr="00A4290D">
              <w:rPr>
                <w:color w:val="000000"/>
                <w:lang w:val="en-US"/>
              </w:rPr>
              <w:t>1812</w:t>
            </w:r>
          </w:p>
        </w:tc>
      </w:tr>
    </w:tbl>
    <w:p w14:paraId="49F77291" w14:textId="77777777" w:rsidR="00460004" w:rsidRDefault="00460004" w:rsidP="00460004">
      <w:pPr>
        <w:spacing w:after="0"/>
      </w:pPr>
    </w:p>
    <w:p w14:paraId="7600AB4A" w14:textId="77777777" w:rsidR="0047697B" w:rsidRDefault="0047697B" w:rsidP="002B5153">
      <w:pPr>
        <w:spacing w:after="0"/>
        <w:rPr>
          <w:rFonts w:eastAsia="Calibri"/>
        </w:rPr>
      </w:pPr>
    </w:p>
    <w:p w14:paraId="5EC6C753" w14:textId="5180429A" w:rsidR="004B4B85" w:rsidRDefault="4BCEE662" w:rsidP="274D2446">
      <w:pPr>
        <w:spacing w:after="0"/>
        <w:rPr>
          <w:rFonts w:eastAsia="Calibri"/>
        </w:rPr>
      </w:pPr>
      <w:r w:rsidRPr="4BCEE662">
        <w:rPr>
          <w:rFonts w:eastAsia="Calibri"/>
        </w:rPr>
        <w:t>CE thresholds vary by sector. Sector data is not reported through A7 reporting. CP reporting is by sector but data are incomplete, and RTF analysis identified inconsistencies (e.g., chemical consumption in an unexpected sector). RTF used CP sectors by percentage of chemical by cluster to apply to A7 data to estimate manufacturing sectors. This sector data was combined with CE values where available to calculate funding. Table 3.3 below indicates results of analysis made by RTF based on sector distribution of consumption.</w:t>
      </w:r>
    </w:p>
    <w:p w14:paraId="11EBF57B" w14:textId="0F4C95A0" w:rsidR="00946256" w:rsidRDefault="00946256" w:rsidP="0D0BC6F9">
      <w:pPr>
        <w:spacing w:after="0"/>
        <w:rPr>
          <w:rFonts w:eastAsia="Calibri"/>
          <w:lang w:val="en-US"/>
        </w:rPr>
      </w:pPr>
      <w:r>
        <w:rPr>
          <w:rFonts w:eastAsia="Calibri"/>
          <w:lang w:val="en-US"/>
        </w:rPr>
        <w:br w:type="page"/>
      </w:r>
    </w:p>
    <w:p w14:paraId="0814C59D" w14:textId="77777777" w:rsidR="00514B7F" w:rsidRDefault="00514B7F" w:rsidP="0D0BC6F9">
      <w:pPr>
        <w:spacing w:after="0"/>
        <w:rPr>
          <w:rFonts w:eastAsia="Calibri"/>
          <w:lang w:val="en-US"/>
        </w:rPr>
      </w:pPr>
    </w:p>
    <w:p w14:paraId="3909B069" w14:textId="6C2FAD39" w:rsidR="3E1EC0C4" w:rsidRPr="006E6220" w:rsidRDefault="00A4290D" w:rsidP="002135B0">
      <w:pPr>
        <w:tabs>
          <w:tab w:val="left" w:pos="1418"/>
        </w:tabs>
        <w:spacing w:after="120"/>
        <w:ind w:left="1418" w:hanging="1418"/>
        <w:rPr>
          <w:rFonts w:eastAsiaTheme="minorEastAsia"/>
          <w:b/>
          <w:highlight w:val="yellow"/>
        </w:rPr>
      </w:pPr>
      <w:r w:rsidRPr="222ABFFA">
        <w:rPr>
          <w:rFonts w:eastAsiaTheme="minorEastAsia"/>
          <w:b/>
          <w:bCs/>
        </w:rPr>
        <w:t xml:space="preserve">Table </w:t>
      </w:r>
      <w:r>
        <w:rPr>
          <w:rFonts w:eastAsiaTheme="minorEastAsia"/>
          <w:b/>
          <w:bCs/>
        </w:rPr>
        <w:t>3</w:t>
      </w:r>
      <w:r w:rsidRPr="222ABFFA">
        <w:rPr>
          <w:rFonts w:eastAsiaTheme="minorEastAsia"/>
          <w:b/>
          <w:bCs/>
        </w:rPr>
        <w:t>.</w:t>
      </w:r>
      <w:r>
        <w:rPr>
          <w:rFonts w:eastAsiaTheme="minorEastAsia"/>
          <w:b/>
          <w:bCs/>
        </w:rPr>
        <w:t>3</w:t>
      </w:r>
      <w:r>
        <w:tab/>
      </w:r>
      <w:r w:rsidR="006E6220" w:rsidRPr="006E6220">
        <w:rPr>
          <w:rFonts w:eastAsiaTheme="minorEastAsia"/>
          <w:b/>
          <w:bCs/>
        </w:rPr>
        <w:t xml:space="preserve">Percentage </w:t>
      </w:r>
      <w:r w:rsidR="006E6220">
        <w:rPr>
          <w:rFonts w:eastAsiaTheme="minorEastAsia"/>
          <w:b/>
          <w:bCs/>
        </w:rPr>
        <w:t>s</w:t>
      </w:r>
      <w:r w:rsidR="006E6220" w:rsidRPr="006E6220">
        <w:rPr>
          <w:rFonts w:eastAsiaTheme="minorEastAsia"/>
          <w:b/>
          <w:bCs/>
        </w:rPr>
        <w:t xml:space="preserve">ector </w:t>
      </w:r>
      <w:r w:rsidR="006E6220">
        <w:rPr>
          <w:rFonts w:eastAsiaTheme="minorEastAsia"/>
          <w:b/>
          <w:bCs/>
        </w:rPr>
        <w:t>d</w:t>
      </w:r>
      <w:r w:rsidR="006E6220" w:rsidRPr="006E6220">
        <w:rPr>
          <w:rFonts w:eastAsiaTheme="minorEastAsia"/>
          <w:b/>
          <w:bCs/>
        </w:rPr>
        <w:t xml:space="preserve">istribution </w:t>
      </w:r>
      <w:r w:rsidR="006E6220">
        <w:rPr>
          <w:rFonts w:eastAsiaTheme="minorEastAsia"/>
          <w:b/>
          <w:bCs/>
        </w:rPr>
        <w:t>used for the consumption sector</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600" w:firstRow="0" w:lastRow="0" w:firstColumn="0" w:lastColumn="0" w:noHBand="1" w:noVBand="1"/>
      </w:tblPr>
      <w:tblGrid>
        <w:gridCol w:w="1087"/>
        <w:gridCol w:w="674"/>
        <w:gridCol w:w="584"/>
        <w:gridCol w:w="629"/>
        <w:gridCol w:w="591"/>
        <w:gridCol w:w="581"/>
        <w:gridCol w:w="620"/>
        <w:gridCol w:w="502"/>
        <w:gridCol w:w="896"/>
        <w:gridCol w:w="775"/>
        <w:gridCol w:w="652"/>
        <w:gridCol w:w="818"/>
        <w:gridCol w:w="645"/>
      </w:tblGrid>
      <w:tr w:rsidR="3E1EC0C4" w14:paraId="1F5C6D45" w14:textId="77777777" w:rsidTr="274D2446">
        <w:trPr>
          <w:trHeight w:val="1050"/>
          <w:tblHeader/>
        </w:trPr>
        <w:tc>
          <w:tcPr>
            <w:tcW w:w="600" w:type="pct"/>
            <w:tcBorders>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36DA6567" w14:textId="189ABC67"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Percentage Sector distribution/ country cluster (%)</w:t>
            </w:r>
          </w:p>
        </w:tc>
        <w:tc>
          <w:tcPr>
            <w:tcW w:w="364"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538FF821" w14:textId="27D0AD56"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Aerosol</w:t>
            </w:r>
          </w:p>
        </w:tc>
        <w:tc>
          <w:tcPr>
            <w:tcW w:w="327"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24395524" w14:textId="1AA4A81D"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 xml:space="preserve">Foam </w:t>
            </w:r>
          </w:p>
        </w:tc>
        <w:tc>
          <w:tcPr>
            <w:tcW w:w="352"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2809DCCC" w14:textId="09EDC4EF"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Fire Ext.</w:t>
            </w:r>
          </w:p>
        </w:tc>
        <w:tc>
          <w:tcPr>
            <w:tcW w:w="331"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19486226" w14:textId="29DCC2B7"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Dom. Ref.</w:t>
            </w:r>
          </w:p>
        </w:tc>
        <w:tc>
          <w:tcPr>
            <w:tcW w:w="325"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19A84B97" w14:textId="07851FCE"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Res.</w:t>
            </w:r>
          </w:p>
          <w:p w14:paraId="5E515C84" w14:textId="5A7F965A"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AC</w:t>
            </w:r>
          </w:p>
        </w:tc>
        <w:tc>
          <w:tcPr>
            <w:tcW w:w="346"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00F2F4E5" w14:textId="190BE8F5"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Com Ref.</w:t>
            </w:r>
          </w:p>
        </w:tc>
        <w:tc>
          <w:tcPr>
            <w:tcW w:w="281"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43573A49" w14:textId="00858E1D"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Com AC</w:t>
            </w:r>
          </w:p>
        </w:tc>
        <w:tc>
          <w:tcPr>
            <w:tcW w:w="484"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30E66BA5" w14:textId="54307358"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Ind. Transport Ref</w:t>
            </w:r>
          </w:p>
        </w:tc>
        <w:tc>
          <w:tcPr>
            <w:tcW w:w="432"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0358E58B" w14:textId="62227C86"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RAC Manuf.</w:t>
            </w:r>
          </w:p>
          <w:p w14:paraId="3E6E9855" w14:textId="4365FCB7"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 xml:space="preserve">Other </w:t>
            </w:r>
          </w:p>
        </w:tc>
        <w:tc>
          <w:tcPr>
            <w:tcW w:w="356"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13704DCD" w14:textId="192C8390"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Solvent</w:t>
            </w:r>
          </w:p>
        </w:tc>
        <w:tc>
          <w:tcPr>
            <w:tcW w:w="442" w:type="pct"/>
            <w:tcBorders>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9" w:type="dxa"/>
              <w:left w:w="9" w:type="dxa"/>
              <w:right w:w="9" w:type="dxa"/>
            </w:tcMar>
            <w:vAlign w:val="center"/>
          </w:tcPr>
          <w:p w14:paraId="7EF51F77" w14:textId="713A5E45"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Servicing</w:t>
            </w:r>
          </w:p>
        </w:tc>
        <w:tc>
          <w:tcPr>
            <w:tcW w:w="360" w:type="pct"/>
            <w:tcBorders>
              <w:left w:val="single" w:sz="4" w:space="0" w:color="000000" w:themeColor="text1"/>
              <w:bottom w:val="single" w:sz="4" w:space="0" w:color="000000" w:themeColor="text1"/>
            </w:tcBorders>
            <w:shd w:val="clear" w:color="auto" w:fill="D9E2F3" w:themeFill="accent1" w:themeFillTint="33"/>
            <w:tcMar>
              <w:top w:w="9" w:type="dxa"/>
              <w:left w:w="9" w:type="dxa"/>
              <w:right w:w="9" w:type="dxa"/>
            </w:tcMar>
            <w:vAlign w:val="center"/>
          </w:tcPr>
          <w:p w14:paraId="1DE10C58" w14:textId="65D541D2" w:rsidR="3E1EC0C4" w:rsidRPr="00D9636A" w:rsidRDefault="274D2446" w:rsidP="274D2446">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 xml:space="preserve">Other </w:t>
            </w:r>
          </w:p>
        </w:tc>
      </w:tr>
      <w:tr w:rsidR="3E1EC0C4" w14:paraId="4D0458DD" w14:textId="77777777" w:rsidTr="274D2446">
        <w:trPr>
          <w:trHeight w:val="345"/>
        </w:trPr>
        <w:tc>
          <w:tcPr>
            <w:tcW w:w="600" w:type="pct"/>
            <w:tcBorders>
              <w:top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492883D3" w14:textId="23FCE6BF" w:rsidR="3E1EC0C4" w:rsidRDefault="3E1EC0C4" w:rsidP="3E1EC0C4">
            <w:pPr>
              <w:spacing w:after="0"/>
              <w:rPr>
                <w:rFonts w:ascii="Times New Roman_MSFontService" w:eastAsia="Times New Roman_MSFontService" w:hAnsi="Times New Roman_MSFontService" w:cs="Times New Roman_MSFontService"/>
                <w:b/>
                <w:bCs/>
                <w:sz w:val="20"/>
                <w:szCs w:val="20"/>
              </w:rPr>
            </w:pPr>
            <w:r w:rsidRPr="3E1EC0C4">
              <w:rPr>
                <w:rFonts w:ascii="Times New Roman_MSFontService" w:eastAsia="Times New Roman_MSFontService" w:hAnsi="Times New Roman_MSFontService" w:cs="Times New Roman_MSFontService"/>
                <w:b/>
                <w:bCs/>
                <w:sz w:val="20"/>
                <w:szCs w:val="20"/>
              </w:rPr>
              <w:t>Highest</w:t>
            </w:r>
          </w:p>
        </w:tc>
        <w:tc>
          <w:tcPr>
            <w:tcW w:w="3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6E81C3D0" w14:textId="6632B4C4" w:rsidR="3E1EC0C4" w:rsidRDefault="62B1DC72" w:rsidP="3E1EC0C4">
            <w:pPr>
              <w:spacing w:after="0"/>
              <w:jc w:val="center"/>
              <w:rPr>
                <w:rFonts w:ascii="Times New Roman_MSFontService" w:eastAsia="Times New Roman_MSFontService" w:hAnsi="Times New Roman_MSFontService" w:cs="Times New Roman_MSFontService"/>
                <w:b/>
                <w:bCs/>
                <w:sz w:val="20"/>
                <w:szCs w:val="20"/>
              </w:rPr>
            </w:pPr>
            <w:r w:rsidRPr="01B3D131">
              <w:rPr>
                <w:rFonts w:ascii="Times New Roman_MSFontService" w:eastAsia="Times New Roman_MSFontService" w:hAnsi="Times New Roman_MSFontService" w:cs="Times New Roman_MSFontService"/>
                <w:b/>
                <w:bCs/>
                <w:sz w:val="20"/>
                <w:szCs w:val="20"/>
              </w:rPr>
              <w:t>1.1</w:t>
            </w:r>
          </w:p>
        </w:tc>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64004AF3" w14:textId="731DC103"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2.8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07A46349" w14:textId="021E33E8"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7.5</w:t>
            </w:r>
          </w:p>
        </w:tc>
        <w:tc>
          <w:tcPr>
            <w:tcW w:w="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5F7A1896" w14:textId="6EDDA9A3"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555D7990">
              <w:rPr>
                <w:rFonts w:ascii="Times New Roman_MSFontService" w:eastAsia="Times New Roman_MSFontService" w:hAnsi="Times New Roman_MSFontService" w:cs="Times New Roman_MSFontService"/>
                <w:b/>
                <w:bCs/>
                <w:sz w:val="20"/>
                <w:szCs w:val="20"/>
              </w:rPr>
              <w:t>9.7%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2ED8669C" w14:textId="0AC1A5C5"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19.7</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089504BC" w14:textId="03AC933A"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15.3</w:t>
            </w:r>
          </w:p>
        </w:tc>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381FD23B" w14:textId="531C9DA0"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19.7</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45F1298A" w14:textId="090DA649"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2.8</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7CD6018A" w14:textId="28FA04E8"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0.9</w:t>
            </w:r>
          </w:p>
        </w:tc>
        <w:tc>
          <w:tcPr>
            <w:tcW w:w="3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76F27B2C" w14:textId="37EC6FB7"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0.6</w:t>
            </w:r>
          </w:p>
        </w:tc>
        <w:tc>
          <w:tcPr>
            <w:tcW w:w="4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190E071A" w14:textId="08BE7D65"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19.6</w:t>
            </w:r>
          </w:p>
        </w:tc>
        <w:tc>
          <w:tcPr>
            <w:tcW w:w="360" w:type="pct"/>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Mar>
              <w:top w:w="9" w:type="dxa"/>
              <w:left w:w="9" w:type="dxa"/>
              <w:right w:w="9" w:type="dxa"/>
            </w:tcMar>
            <w:vAlign w:val="bottom"/>
          </w:tcPr>
          <w:p w14:paraId="02E2A0C5" w14:textId="5C3CA66E"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0.3</w:t>
            </w:r>
          </w:p>
        </w:tc>
      </w:tr>
      <w:tr w:rsidR="3E1EC0C4" w14:paraId="06F99D52" w14:textId="77777777" w:rsidTr="274D2446">
        <w:trPr>
          <w:trHeight w:val="345"/>
        </w:trPr>
        <w:tc>
          <w:tcPr>
            <w:tcW w:w="600" w:type="pct"/>
            <w:tcBorders>
              <w:top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03A9F2CE" w14:textId="28DBD3F8" w:rsidR="3E1EC0C4" w:rsidRDefault="3E1EC0C4" w:rsidP="3E1EC0C4">
            <w:pPr>
              <w:spacing w:after="0"/>
              <w:rPr>
                <w:rFonts w:ascii="Times New Roman_MSFontService" w:eastAsia="Times New Roman_MSFontService" w:hAnsi="Times New Roman_MSFontService" w:cs="Times New Roman_MSFontService"/>
                <w:b/>
                <w:bCs/>
                <w:sz w:val="20"/>
                <w:szCs w:val="20"/>
              </w:rPr>
            </w:pPr>
            <w:r w:rsidRPr="3E1EC0C4">
              <w:rPr>
                <w:rFonts w:ascii="Times New Roman_MSFontService" w:eastAsia="Times New Roman_MSFontService" w:hAnsi="Times New Roman_MSFontService" w:cs="Times New Roman_MSFontService"/>
                <w:b/>
                <w:bCs/>
                <w:sz w:val="20"/>
                <w:szCs w:val="20"/>
              </w:rPr>
              <w:t>Top 10</w:t>
            </w:r>
          </w:p>
        </w:tc>
        <w:tc>
          <w:tcPr>
            <w:tcW w:w="36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0AA1C1F0" w14:textId="38038C3B" w:rsidR="3E1EC0C4" w:rsidRDefault="62B1DC72" w:rsidP="3E1EC0C4">
            <w:pPr>
              <w:spacing w:after="0"/>
              <w:jc w:val="center"/>
              <w:rPr>
                <w:rFonts w:ascii="Times New Roman_MSFontService" w:eastAsia="Times New Roman_MSFontService" w:hAnsi="Times New Roman_MSFontService" w:cs="Times New Roman_MSFontService"/>
                <w:b/>
                <w:bCs/>
                <w:sz w:val="20"/>
                <w:szCs w:val="20"/>
              </w:rPr>
            </w:pPr>
            <w:r w:rsidRPr="01B3D131">
              <w:rPr>
                <w:rFonts w:ascii="Times New Roman_MSFontService" w:eastAsia="Times New Roman_MSFontService" w:hAnsi="Times New Roman_MSFontService" w:cs="Times New Roman_MSFontService"/>
                <w:b/>
                <w:bCs/>
                <w:sz w:val="20"/>
                <w:szCs w:val="20"/>
              </w:rPr>
              <w:t>6.2</w:t>
            </w:r>
          </w:p>
        </w:tc>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7684D318" w14:textId="07F9A026"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2.6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03260B9B" w14:textId="3F16ECD8"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2.3</w:t>
            </w:r>
          </w:p>
        </w:tc>
        <w:tc>
          <w:tcPr>
            <w:tcW w:w="33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74BAE047" w14:textId="21DD0A3F"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2.4</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2792A2C3" w14:textId="546BAF67"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13.4</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33592760" w14:textId="633D10C4"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3.8</w:t>
            </w:r>
          </w:p>
        </w:tc>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51C6682D" w14:textId="612C1BD5" w:rsidR="3E1EC0C4" w:rsidRDefault="274D2446" w:rsidP="3E1EC0C4">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13.4</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44AE6D14" w14:textId="5E3468D1"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0.7</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3453D22B" w14:textId="01A422B9"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1.3</w:t>
            </w:r>
          </w:p>
        </w:tc>
        <w:tc>
          <w:tcPr>
            <w:tcW w:w="3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48C692B6" w14:textId="517B1928"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0.3</w:t>
            </w:r>
          </w:p>
        </w:tc>
        <w:tc>
          <w:tcPr>
            <w:tcW w:w="44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58981000" w14:textId="0A0304D8"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51.2</w:t>
            </w:r>
          </w:p>
        </w:tc>
        <w:tc>
          <w:tcPr>
            <w:tcW w:w="360" w:type="pct"/>
            <w:tcBorders>
              <w:top w:val="single" w:sz="4" w:space="0" w:color="000000" w:themeColor="text1"/>
              <w:left w:val="single" w:sz="4" w:space="0" w:color="000000" w:themeColor="text1"/>
              <w:bottom w:val="single" w:sz="4" w:space="0" w:color="000000" w:themeColor="text1"/>
            </w:tcBorders>
            <w:tcMar>
              <w:top w:w="9" w:type="dxa"/>
              <w:left w:w="9" w:type="dxa"/>
              <w:right w:w="9" w:type="dxa"/>
            </w:tcMar>
            <w:vAlign w:val="bottom"/>
          </w:tcPr>
          <w:p w14:paraId="1F7BC15D" w14:textId="354F8F53"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72DBB332">
              <w:rPr>
                <w:rFonts w:ascii="Times New Roman_MSFontService" w:eastAsia="Times New Roman_MSFontService" w:hAnsi="Times New Roman_MSFontService" w:cs="Times New Roman_MSFontService"/>
                <w:b/>
                <w:bCs/>
                <w:sz w:val="20"/>
                <w:szCs w:val="20"/>
              </w:rPr>
              <w:t>2.4</w:t>
            </w:r>
          </w:p>
        </w:tc>
      </w:tr>
      <w:tr w:rsidR="3E1EC0C4" w14:paraId="49FDC020" w14:textId="77777777" w:rsidTr="274D2446">
        <w:trPr>
          <w:trHeight w:val="345"/>
        </w:trPr>
        <w:tc>
          <w:tcPr>
            <w:tcW w:w="600" w:type="pct"/>
            <w:tcBorders>
              <w:top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208FBFC5" w14:textId="193909C3" w:rsidR="3E1EC0C4" w:rsidRDefault="3E1EC0C4" w:rsidP="3E1EC0C4">
            <w:pPr>
              <w:spacing w:after="0"/>
              <w:rPr>
                <w:rFonts w:ascii="Times New Roman_MSFontService" w:eastAsia="Times New Roman_MSFontService" w:hAnsi="Times New Roman_MSFontService" w:cs="Times New Roman_MSFontService"/>
                <w:b/>
                <w:bCs/>
                <w:sz w:val="20"/>
                <w:szCs w:val="20"/>
              </w:rPr>
            </w:pPr>
            <w:r w:rsidRPr="3E1EC0C4">
              <w:rPr>
                <w:rFonts w:ascii="Times New Roman_MSFontService" w:eastAsia="Times New Roman_MSFontService" w:hAnsi="Times New Roman_MSFontService" w:cs="Times New Roman_MSFontService"/>
                <w:b/>
                <w:bCs/>
                <w:sz w:val="20"/>
                <w:szCs w:val="20"/>
              </w:rPr>
              <w:t>Group 2</w:t>
            </w:r>
          </w:p>
        </w:tc>
        <w:tc>
          <w:tcPr>
            <w:tcW w:w="3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52454A17" w14:textId="6200FD0F"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6.1</w:t>
            </w:r>
          </w:p>
        </w:tc>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72FD21E2" w14:textId="0D5C9A85" w:rsidR="3E1EC0C4" w:rsidRDefault="274D2446" w:rsidP="3E1EC0C4">
            <w:pPr>
              <w:spacing w:after="0"/>
              <w:jc w:val="center"/>
              <w:rPr>
                <w:rFonts w:ascii="Times New Roman_MSFontService" w:eastAsia="Times New Roman_MSFontService" w:hAnsi="Times New Roman_MSFontService" w:cs="Times New Roman_MSFontService"/>
                <w:b/>
                <w:bCs/>
                <w:sz w:val="20"/>
                <w:szCs w:val="20"/>
              </w:rPr>
            </w:pPr>
            <w:r w:rsidRPr="274D2446">
              <w:rPr>
                <w:rFonts w:ascii="Times New Roman_MSFontService" w:eastAsia="Times New Roman_MSFontService" w:hAnsi="Times New Roman_MSFontService" w:cs="Times New Roman_MSFontService"/>
                <w:b/>
                <w:bCs/>
                <w:sz w:val="20"/>
                <w:szCs w:val="20"/>
              </w:rPr>
              <w:t>7.1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58ADBC16" w14:textId="67E11960"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1.1</w:t>
            </w:r>
          </w:p>
        </w:tc>
        <w:tc>
          <w:tcPr>
            <w:tcW w:w="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2A157C3E" w14:textId="3D9524D1"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2.7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08459A9B" w14:textId="1301BBFC"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22.8</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0D91BB6D" w14:textId="3B7212E6"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4.2</w:t>
            </w:r>
          </w:p>
        </w:tc>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3EA35CAA" w14:textId="11D44994"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22.8</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433EC0AC" w14:textId="657E098D"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0.8</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493CA9CB" w14:textId="08E1AE7B"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0.1</w:t>
            </w:r>
          </w:p>
        </w:tc>
        <w:tc>
          <w:tcPr>
            <w:tcW w:w="3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23E96AD6" w14:textId="74CB2AE4"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0.0</w:t>
            </w:r>
          </w:p>
        </w:tc>
        <w:tc>
          <w:tcPr>
            <w:tcW w:w="4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382AA731" w14:textId="70EE221A"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28.4</w:t>
            </w:r>
          </w:p>
        </w:tc>
        <w:tc>
          <w:tcPr>
            <w:tcW w:w="360" w:type="pct"/>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Mar>
              <w:top w:w="9" w:type="dxa"/>
              <w:left w:w="9" w:type="dxa"/>
              <w:right w:w="9" w:type="dxa"/>
            </w:tcMar>
            <w:vAlign w:val="bottom"/>
          </w:tcPr>
          <w:p w14:paraId="0664DCBE" w14:textId="2E7805A4"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4.1</w:t>
            </w:r>
          </w:p>
        </w:tc>
      </w:tr>
      <w:tr w:rsidR="3E1EC0C4" w14:paraId="35640AE3" w14:textId="77777777" w:rsidTr="274D2446">
        <w:trPr>
          <w:trHeight w:val="345"/>
        </w:trPr>
        <w:tc>
          <w:tcPr>
            <w:tcW w:w="600" w:type="pct"/>
            <w:tcBorders>
              <w:top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0C2CE511" w14:textId="20EF9F37" w:rsidR="3E1EC0C4" w:rsidRDefault="3E1EC0C4" w:rsidP="3E1EC0C4">
            <w:pPr>
              <w:spacing w:after="0"/>
              <w:rPr>
                <w:rFonts w:ascii="Times New Roman_MSFontService" w:eastAsia="Times New Roman_MSFontService" w:hAnsi="Times New Roman_MSFontService" w:cs="Times New Roman_MSFontService"/>
                <w:b/>
                <w:bCs/>
                <w:sz w:val="20"/>
                <w:szCs w:val="20"/>
              </w:rPr>
            </w:pPr>
            <w:r w:rsidRPr="3E1EC0C4">
              <w:rPr>
                <w:rFonts w:ascii="Times New Roman_MSFontService" w:eastAsia="Times New Roman_MSFontService" w:hAnsi="Times New Roman_MSFontService" w:cs="Times New Roman_MSFontService"/>
                <w:b/>
                <w:bCs/>
                <w:sz w:val="20"/>
                <w:szCs w:val="20"/>
              </w:rPr>
              <w:t>Other</w:t>
            </w:r>
          </w:p>
        </w:tc>
        <w:tc>
          <w:tcPr>
            <w:tcW w:w="36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4DB79DA5" w14:textId="40E1DD5D" w:rsidR="3E1EC0C4" w:rsidRDefault="62B1DC72" w:rsidP="3E1EC0C4">
            <w:pPr>
              <w:spacing w:after="0"/>
              <w:jc w:val="center"/>
              <w:rPr>
                <w:rFonts w:ascii="Times New Roman_MSFontService" w:eastAsia="Times New Roman_MSFontService" w:hAnsi="Times New Roman_MSFontService" w:cs="Times New Roman_MSFontService"/>
                <w:b/>
                <w:bCs/>
                <w:sz w:val="20"/>
                <w:szCs w:val="20"/>
              </w:rPr>
            </w:pPr>
            <w:r w:rsidRPr="01B3D131">
              <w:rPr>
                <w:rFonts w:ascii="Times New Roman_MSFontService" w:eastAsia="Times New Roman_MSFontService" w:hAnsi="Times New Roman_MSFontService" w:cs="Times New Roman_MSFontService"/>
                <w:b/>
                <w:bCs/>
                <w:sz w:val="20"/>
                <w:szCs w:val="20"/>
              </w:rPr>
              <w:t>1.7</w:t>
            </w:r>
          </w:p>
        </w:tc>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07EC5421" w14:textId="2794B36B"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5FA97684" w14:textId="0C1C7A83"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0.7</w:t>
            </w:r>
          </w:p>
        </w:tc>
        <w:tc>
          <w:tcPr>
            <w:tcW w:w="33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67EECA8A" w14:textId="2CFD0958"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735E5B1A" w14:textId="759DF40A"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2.6</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3DBBEF51" w14:textId="382532F9"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0.5</w:t>
            </w:r>
          </w:p>
        </w:tc>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483048B9" w14:textId="0A5BC731"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2.6</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3C8152B8" w14:textId="03833628"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0.1</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7F9AFEBD" w14:textId="11D96FA3"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1.6</w:t>
            </w:r>
          </w:p>
        </w:tc>
        <w:tc>
          <w:tcPr>
            <w:tcW w:w="3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76B60130" w14:textId="5AB9F8B4"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0.0</w:t>
            </w:r>
          </w:p>
        </w:tc>
        <w:tc>
          <w:tcPr>
            <w:tcW w:w="44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 w:type="dxa"/>
              <w:left w:w="9" w:type="dxa"/>
              <w:right w:w="9" w:type="dxa"/>
            </w:tcMar>
            <w:vAlign w:val="bottom"/>
          </w:tcPr>
          <w:p w14:paraId="3997F11A" w14:textId="26067F52"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87.6</w:t>
            </w:r>
          </w:p>
        </w:tc>
        <w:tc>
          <w:tcPr>
            <w:tcW w:w="360" w:type="pct"/>
            <w:tcBorders>
              <w:top w:val="single" w:sz="4" w:space="0" w:color="000000" w:themeColor="text1"/>
              <w:left w:val="single" w:sz="4" w:space="0" w:color="000000" w:themeColor="text1"/>
              <w:bottom w:val="single" w:sz="4" w:space="0" w:color="000000" w:themeColor="text1"/>
            </w:tcBorders>
            <w:tcMar>
              <w:top w:w="9" w:type="dxa"/>
              <w:left w:w="9" w:type="dxa"/>
              <w:right w:w="9" w:type="dxa"/>
            </w:tcMar>
            <w:vAlign w:val="bottom"/>
          </w:tcPr>
          <w:p w14:paraId="539CA10F" w14:textId="568F71DF"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1.5</w:t>
            </w:r>
          </w:p>
        </w:tc>
      </w:tr>
      <w:tr w:rsidR="3E1EC0C4" w14:paraId="792DAEDB" w14:textId="77777777" w:rsidTr="274D2446">
        <w:trPr>
          <w:trHeight w:val="345"/>
        </w:trPr>
        <w:tc>
          <w:tcPr>
            <w:tcW w:w="600" w:type="pct"/>
            <w:tcBorders>
              <w:top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3779BFC4" w14:textId="3A3B1F5B" w:rsidR="3E1EC0C4" w:rsidRDefault="3E1EC0C4" w:rsidP="3E1EC0C4">
            <w:pPr>
              <w:spacing w:after="0"/>
              <w:rPr>
                <w:rFonts w:ascii="Times New Roman_MSFontService" w:eastAsia="Times New Roman_MSFontService" w:hAnsi="Times New Roman_MSFontService" w:cs="Times New Roman_MSFontService"/>
                <w:b/>
                <w:bCs/>
                <w:sz w:val="20"/>
                <w:szCs w:val="20"/>
              </w:rPr>
            </w:pPr>
            <w:r w:rsidRPr="3E1EC0C4">
              <w:rPr>
                <w:rFonts w:ascii="Times New Roman_MSFontService" w:eastAsia="Times New Roman_MSFontService" w:hAnsi="Times New Roman_MSFontService" w:cs="Times New Roman_MSFontService"/>
                <w:b/>
                <w:bCs/>
                <w:sz w:val="20"/>
                <w:szCs w:val="20"/>
              </w:rPr>
              <w:t>LVCs</w:t>
            </w:r>
          </w:p>
        </w:tc>
        <w:tc>
          <w:tcPr>
            <w:tcW w:w="364"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70406699" w14:textId="476B7B43"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1.0</w:t>
            </w:r>
          </w:p>
        </w:tc>
        <w:tc>
          <w:tcPr>
            <w:tcW w:w="327"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5F842100" w14:textId="72C46EBA"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3.3</w:t>
            </w:r>
          </w:p>
        </w:tc>
        <w:tc>
          <w:tcPr>
            <w:tcW w:w="352"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6D2554A9" w14:textId="25976F24"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0.3</w:t>
            </w:r>
          </w:p>
        </w:tc>
        <w:tc>
          <w:tcPr>
            <w:tcW w:w="331"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7B06714A" w14:textId="6456E4AC"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0.4</w:t>
            </w:r>
          </w:p>
        </w:tc>
        <w:tc>
          <w:tcPr>
            <w:tcW w:w="325"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391FADB0" w14:textId="227F4BFD"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0.1</w:t>
            </w:r>
          </w:p>
        </w:tc>
        <w:tc>
          <w:tcPr>
            <w:tcW w:w="346"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7E811924" w14:textId="17D9BE0A"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0.7</w:t>
            </w:r>
          </w:p>
        </w:tc>
        <w:tc>
          <w:tcPr>
            <w:tcW w:w="281"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6FEBF095" w14:textId="3A6DDD5E"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0.1</w:t>
            </w:r>
          </w:p>
        </w:tc>
        <w:tc>
          <w:tcPr>
            <w:tcW w:w="484"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4328B723" w14:textId="644D08F2"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0.1</w:t>
            </w:r>
          </w:p>
        </w:tc>
        <w:tc>
          <w:tcPr>
            <w:tcW w:w="432"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131BE5D4" w14:textId="2AEBEC17"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0.3</w:t>
            </w:r>
          </w:p>
        </w:tc>
        <w:tc>
          <w:tcPr>
            <w:tcW w:w="356"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417CA423" w14:textId="310D0065"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0.0</w:t>
            </w:r>
          </w:p>
        </w:tc>
        <w:tc>
          <w:tcPr>
            <w:tcW w:w="442" w:type="pc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Mar>
              <w:top w:w="9" w:type="dxa"/>
              <w:left w:w="9" w:type="dxa"/>
              <w:right w:w="9" w:type="dxa"/>
            </w:tcMar>
            <w:vAlign w:val="bottom"/>
          </w:tcPr>
          <w:p w14:paraId="44E73B6D" w14:textId="7BB7A506"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92.9</w:t>
            </w:r>
          </w:p>
        </w:tc>
        <w:tc>
          <w:tcPr>
            <w:tcW w:w="360" w:type="pct"/>
            <w:tcBorders>
              <w:top w:val="single" w:sz="4" w:space="0" w:color="000000" w:themeColor="text1"/>
              <w:left w:val="single" w:sz="4" w:space="0" w:color="000000" w:themeColor="text1"/>
            </w:tcBorders>
            <w:shd w:val="clear" w:color="auto" w:fill="F2F2F2" w:themeFill="background1" w:themeFillShade="F2"/>
            <w:tcMar>
              <w:top w:w="9" w:type="dxa"/>
              <w:left w:w="9" w:type="dxa"/>
              <w:right w:w="9" w:type="dxa"/>
            </w:tcMar>
            <w:vAlign w:val="bottom"/>
          </w:tcPr>
          <w:p w14:paraId="1AA996BA" w14:textId="68B342BC" w:rsidR="3E1EC0C4" w:rsidRDefault="3E1EC0C4" w:rsidP="3E1EC0C4">
            <w:pPr>
              <w:spacing w:after="0"/>
              <w:jc w:val="center"/>
              <w:rPr>
                <w:rFonts w:ascii="Times New Roman_MSFontService" w:eastAsia="Times New Roman_MSFontService" w:hAnsi="Times New Roman_MSFontService" w:cs="Times New Roman_MSFontService"/>
                <w:b/>
                <w:bCs/>
                <w:sz w:val="20"/>
                <w:szCs w:val="20"/>
              </w:rPr>
            </w:pPr>
            <w:r w:rsidRPr="0D0BC6F9">
              <w:rPr>
                <w:rFonts w:ascii="Times New Roman_MSFontService" w:eastAsia="Times New Roman_MSFontService" w:hAnsi="Times New Roman_MSFontService" w:cs="Times New Roman_MSFontService"/>
                <w:b/>
                <w:bCs/>
                <w:sz w:val="20"/>
                <w:szCs w:val="20"/>
              </w:rPr>
              <w:t>0.7</w:t>
            </w:r>
          </w:p>
        </w:tc>
      </w:tr>
    </w:tbl>
    <w:p w14:paraId="0F2488F4" w14:textId="2AAC10EB" w:rsidR="3E1EC0C4" w:rsidRDefault="3E1EC0C4" w:rsidP="3E1EC0C4">
      <w:pPr>
        <w:spacing w:after="0"/>
        <w:jc w:val="both"/>
        <w:rPr>
          <w:rFonts w:ascii="Times New Roman_MSFontService" w:eastAsia="Times New Roman_MSFontService" w:hAnsi="Times New Roman_MSFontService" w:cs="Times New Roman_MSFontService"/>
          <w:b/>
          <w:bCs/>
          <w:sz w:val="20"/>
          <w:szCs w:val="20"/>
          <w:lang w:val="en-US"/>
        </w:rPr>
      </w:pPr>
    </w:p>
    <w:p w14:paraId="06E3AF51" w14:textId="6AD0B556" w:rsidR="00096BE4" w:rsidRPr="00F206C1" w:rsidRDefault="00096BE4" w:rsidP="007C77CF">
      <w:pPr>
        <w:pStyle w:val="Heading3"/>
        <w:rPr>
          <w:lang w:val="en-US"/>
        </w:rPr>
      </w:pPr>
      <w:bookmarkStart w:id="195" w:name="_Toc230099082"/>
      <w:r w:rsidRPr="00F206C1">
        <w:rPr>
          <w:lang w:val="en-US"/>
        </w:rPr>
        <w:t>3.</w:t>
      </w:r>
      <w:r w:rsidR="001E26AC">
        <w:rPr>
          <w:lang w:val="en-US"/>
        </w:rPr>
        <w:t>4</w:t>
      </w:r>
      <w:r w:rsidRPr="00F206C1">
        <w:rPr>
          <w:lang w:val="en-US"/>
        </w:rPr>
        <w:t>.</w:t>
      </w:r>
      <w:r w:rsidR="001E26AC">
        <w:rPr>
          <w:lang w:val="en-US"/>
        </w:rPr>
        <w:t>3</w:t>
      </w:r>
      <w:r w:rsidRPr="00F206C1">
        <w:tab/>
      </w:r>
      <w:r w:rsidR="004A2A09">
        <w:t>Resource allocation schedules</w:t>
      </w:r>
      <w:bookmarkEnd w:id="195"/>
      <w:r w:rsidRPr="00F206C1">
        <w:rPr>
          <w:lang w:val="en-US"/>
        </w:rPr>
        <w:t xml:space="preserve"> </w:t>
      </w:r>
    </w:p>
    <w:p w14:paraId="5687A5E7" w14:textId="193886AD" w:rsidR="00296C6F" w:rsidRPr="004A2A09" w:rsidRDefault="4BCEE662" w:rsidP="4BCEE662">
      <w:pPr>
        <w:spacing w:after="0" w:line="259" w:lineRule="auto"/>
        <w:rPr>
          <w:lang w:val="en-US"/>
        </w:rPr>
      </w:pPr>
      <w:r w:rsidRPr="4BCEE662">
        <w:rPr>
          <w:lang w:val="en-US"/>
        </w:rPr>
        <w:t xml:space="preserve">As mentioned earlier, for this assessment, the RTF calculated total funding required for parties to reach Stage I and Stage II targets for G1, and Stage I, for G2 parties. For each of the “Model” steps, RTF presented funding estimates for two CE-based scenarios, and for each scenario, the total estimated funding for KIP Stages I and II (G1); and Stage I (G2), is then split according to two resource allocation proposals (A and B), such as in Table 3.4, for the different triennia. </w:t>
      </w:r>
    </w:p>
    <w:p w14:paraId="6B94FD70" w14:textId="77777777" w:rsidR="004A2A09" w:rsidRPr="004A2A09" w:rsidRDefault="004A2A09" w:rsidP="779DC3C8">
      <w:pPr>
        <w:spacing w:after="0"/>
        <w:rPr>
          <w:lang w:val="en-US"/>
        </w:rPr>
      </w:pPr>
    </w:p>
    <w:p w14:paraId="1E5D133E" w14:textId="06E3E25A" w:rsidR="1FA59DED" w:rsidRDefault="2C16D34B" w:rsidP="1FA59DED">
      <w:pPr>
        <w:spacing w:after="0"/>
        <w:rPr>
          <w:lang w:val="en-US"/>
        </w:rPr>
      </w:pPr>
      <w:r w:rsidRPr="004A2A09">
        <w:rPr>
          <w:lang w:val="en-US"/>
        </w:rPr>
        <w:t xml:space="preserve">That means, the model database was set for each individual party and shows each agreed reduction from the baseline in the previous approved KIP </w:t>
      </w:r>
      <w:r w:rsidR="002743BF">
        <w:rPr>
          <w:lang w:val="en-US"/>
        </w:rPr>
        <w:t>s</w:t>
      </w:r>
      <w:r w:rsidRPr="004A2A09">
        <w:rPr>
          <w:lang w:val="en-US"/>
        </w:rPr>
        <w:t xml:space="preserve">tage. Any additional funding </w:t>
      </w:r>
      <w:r w:rsidR="00FA7E5A">
        <w:rPr>
          <w:lang w:val="en-US"/>
        </w:rPr>
        <w:t xml:space="preserve">needed to meet a compliance target </w:t>
      </w:r>
      <w:r w:rsidRPr="004A2A09">
        <w:rPr>
          <w:lang w:val="en-US"/>
        </w:rPr>
        <w:t>is then calculated based only on the consumption not yet addressed for that party</w:t>
      </w:r>
      <w:r w:rsidRPr="0D0BC6F9">
        <w:rPr>
          <w:lang w:val="en-US"/>
        </w:rPr>
        <w:t>.</w:t>
      </w:r>
      <w:r w:rsidR="00416C28">
        <w:rPr>
          <w:lang w:val="en-US"/>
        </w:rPr>
        <w:t xml:space="preserve"> </w:t>
      </w:r>
      <w:r w:rsidR="17F49863" w:rsidRPr="0D0BC6F9">
        <w:rPr>
          <w:lang w:val="en-US"/>
        </w:rPr>
        <w:t xml:space="preserve">RTF assumed </w:t>
      </w:r>
      <w:r w:rsidR="00416C28">
        <w:rPr>
          <w:lang w:val="en-US"/>
        </w:rPr>
        <w:t xml:space="preserve">that </w:t>
      </w:r>
      <w:r w:rsidR="00AF291D">
        <w:rPr>
          <w:lang w:val="en-US"/>
        </w:rPr>
        <w:t>KA</w:t>
      </w:r>
      <w:r w:rsidR="00416C28">
        <w:rPr>
          <w:lang w:val="en-US"/>
        </w:rPr>
        <w:t xml:space="preserve"> </w:t>
      </w:r>
      <w:r w:rsidR="17F49863" w:rsidRPr="0D0BC6F9">
        <w:rPr>
          <w:lang w:val="en-US"/>
        </w:rPr>
        <w:t xml:space="preserve">ratification for all parties will happen </w:t>
      </w:r>
      <w:r w:rsidR="548BBB9B" w:rsidRPr="548BBB9B">
        <w:rPr>
          <w:lang w:val="en-US"/>
        </w:rPr>
        <w:t>by 2029.</w:t>
      </w:r>
    </w:p>
    <w:p w14:paraId="1A9F0489" w14:textId="7D2D2D01" w:rsidR="548BBB9B" w:rsidRDefault="548BBB9B" w:rsidP="00E3229F">
      <w:pPr>
        <w:tabs>
          <w:tab w:val="left" w:pos="1418"/>
        </w:tabs>
        <w:rPr>
          <w:rFonts w:eastAsiaTheme="minorEastAsia"/>
          <w:b/>
          <w:bCs/>
        </w:rPr>
      </w:pPr>
    </w:p>
    <w:p w14:paraId="361041D7" w14:textId="1D4B0311" w:rsidR="004A2A09" w:rsidRDefault="274D2446" w:rsidP="002135B0">
      <w:pPr>
        <w:tabs>
          <w:tab w:val="left" w:pos="1134"/>
        </w:tabs>
        <w:spacing w:after="120"/>
        <w:ind w:left="1418" w:hanging="1418"/>
        <w:rPr>
          <w:b/>
          <w:bCs/>
        </w:rPr>
      </w:pPr>
      <w:r w:rsidRPr="274D2446">
        <w:rPr>
          <w:rFonts w:eastAsiaTheme="minorEastAsia"/>
          <w:b/>
          <w:bCs/>
        </w:rPr>
        <w:t>Table 3.4</w:t>
      </w:r>
      <w:r w:rsidR="002507B3">
        <w:rPr>
          <w:rFonts w:eastAsiaTheme="minorEastAsia"/>
          <w:b/>
          <w:bCs/>
        </w:rPr>
        <w:t>:</w:t>
      </w:r>
      <w:r w:rsidR="004A2A09">
        <w:tab/>
      </w:r>
      <w:r w:rsidRPr="274D2446">
        <w:rPr>
          <w:b/>
          <w:bCs/>
        </w:rPr>
        <w:t>Resource allocation schedule A and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305"/>
        <w:gridCol w:w="2305"/>
        <w:gridCol w:w="2060"/>
      </w:tblGrid>
      <w:tr w:rsidR="004A2A09" w14:paraId="638BFB40" w14:textId="77777777" w:rsidTr="00FB32DE">
        <w:trPr>
          <w:trHeight w:val="495"/>
        </w:trPr>
        <w:tc>
          <w:tcPr>
            <w:tcW w:w="1325" w:type="pct"/>
            <w:shd w:val="clear" w:color="auto" w:fill="D9E2F3" w:themeFill="accent1" w:themeFillTint="33"/>
            <w:vAlign w:val="center"/>
          </w:tcPr>
          <w:p w14:paraId="28BAADAC" w14:textId="77777777" w:rsidR="004A2A09" w:rsidRPr="00D11316" w:rsidRDefault="004A2A09" w:rsidP="00FB32DE">
            <w:pPr>
              <w:spacing w:after="0"/>
              <w:rPr>
                <w:b/>
                <w:bCs/>
                <w:lang w:val="en-US"/>
              </w:rPr>
            </w:pPr>
            <w:r w:rsidRPr="00D11316">
              <w:rPr>
                <w:b/>
                <w:bCs/>
                <w:lang w:val="en-US"/>
              </w:rPr>
              <w:t xml:space="preserve">Group </w:t>
            </w:r>
          </w:p>
        </w:tc>
        <w:tc>
          <w:tcPr>
            <w:tcW w:w="1270" w:type="pct"/>
            <w:shd w:val="clear" w:color="auto" w:fill="D9E2F3" w:themeFill="accent1" w:themeFillTint="33"/>
            <w:vAlign w:val="center"/>
          </w:tcPr>
          <w:p w14:paraId="1CA56DC9" w14:textId="77777777" w:rsidR="004A2A09" w:rsidRPr="00D11316" w:rsidRDefault="004A2A09" w:rsidP="00FB32DE">
            <w:pPr>
              <w:spacing w:after="0"/>
              <w:jc w:val="center"/>
              <w:rPr>
                <w:b/>
                <w:bCs/>
                <w:lang w:val="en-US"/>
              </w:rPr>
            </w:pPr>
            <w:r>
              <w:rPr>
                <w:b/>
                <w:bCs/>
                <w:lang w:val="en-US"/>
              </w:rPr>
              <w:t>KIP Stage</w:t>
            </w:r>
          </w:p>
        </w:tc>
        <w:tc>
          <w:tcPr>
            <w:tcW w:w="1270" w:type="pct"/>
            <w:shd w:val="clear" w:color="auto" w:fill="C5E0B3" w:themeFill="accent6" w:themeFillTint="66"/>
            <w:vAlign w:val="center"/>
          </w:tcPr>
          <w:p w14:paraId="11718ABE" w14:textId="77777777" w:rsidR="004A2A09" w:rsidRPr="00D11316" w:rsidRDefault="004A2A09" w:rsidP="00FB32DE">
            <w:pPr>
              <w:spacing w:after="0"/>
              <w:rPr>
                <w:b/>
                <w:bCs/>
                <w:lang w:val="en-US"/>
              </w:rPr>
            </w:pPr>
            <w:r w:rsidRPr="00D11316">
              <w:rPr>
                <w:b/>
                <w:bCs/>
                <w:lang w:val="en-US"/>
              </w:rPr>
              <w:t xml:space="preserve">Schedule A  </w:t>
            </w:r>
          </w:p>
          <w:p w14:paraId="4BE462E1" w14:textId="77777777" w:rsidR="004A2A09" w:rsidRPr="00D11316" w:rsidRDefault="004A2A09" w:rsidP="00FB32DE">
            <w:pPr>
              <w:spacing w:after="0"/>
              <w:rPr>
                <w:b/>
                <w:bCs/>
                <w:lang w:val="en-US"/>
              </w:rPr>
            </w:pPr>
            <w:r w:rsidRPr="00D11316">
              <w:rPr>
                <w:b/>
                <w:bCs/>
                <w:lang w:val="en-US"/>
              </w:rPr>
              <w:t xml:space="preserve">(% per triennium) </w:t>
            </w:r>
          </w:p>
        </w:tc>
        <w:tc>
          <w:tcPr>
            <w:tcW w:w="1135" w:type="pct"/>
            <w:shd w:val="clear" w:color="auto" w:fill="FFE599" w:themeFill="accent4" w:themeFillTint="66"/>
            <w:vAlign w:val="center"/>
          </w:tcPr>
          <w:p w14:paraId="13B23300" w14:textId="19B421E2" w:rsidR="004A2A09" w:rsidRPr="00D11316" w:rsidRDefault="004A2A09" w:rsidP="00FB32DE">
            <w:pPr>
              <w:spacing w:after="0"/>
              <w:rPr>
                <w:b/>
                <w:bCs/>
                <w:lang w:val="en-US"/>
              </w:rPr>
            </w:pPr>
            <w:r w:rsidRPr="00D11316">
              <w:rPr>
                <w:b/>
                <w:bCs/>
                <w:lang w:val="en-US"/>
              </w:rPr>
              <w:t xml:space="preserve">Schedule B </w:t>
            </w:r>
          </w:p>
          <w:p w14:paraId="365B31A3" w14:textId="77777777" w:rsidR="004A2A09" w:rsidRPr="00D11316" w:rsidRDefault="004A2A09" w:rsidP="00FB32DE">
            <w:pPr>
              <w:spacing w:after="0"/>
              <w:rPr>
                <w:b/>
                <w:bCs/>
                <w:lang w:val="en-US"/>
              </w:rPr>
            </w:pPr>
            <w:r w:rsidRPr="00D11316">
              <w:rPr>
                <w:b/>
                <w:bCs/>
                <w:lang w:val="en-US"/>
              </w:rPr>
              <w:t xml:space="preserve">(% per triennium) </w:t>
            </w:r>
          </w:p>
        </w:tc>
      </w:tr>
      <w:tr w:rsidR="004A2A09" w14:paraId="76598F27" w14:textId="77777777" w:rsidTr="00FB32DE">
        <w:trPr>
          <w:trHeight w:val="495"/>
        </w:trPr>
        <w:tc>
          <w:tcPr>
            <w:tcW w:w="1325" w:type="pct"/>
            <w:vMerge w:val="restart"/>
            <w:vAlign w:val="center"/>
          </w:tcPr>
          <w:p w14:paraId="0C32B991" w14:textId="77777777" w:rsidR="004A2A09" w:rsidRDefault="004A2A09" w:rsidP="00FB32DE">
            <w:pPr>
              <w:spacing w:after="0"/>
              <w:rPr>
                <w:lang w:val="en-US"/>
              </w:rPr>
            </w:pPr>
            <w:r w:rsidRPr="4DBB2B28">
              <w:rPr>
                <w:lang w:val="en-US"/>
              </w:rPr>
              <w:t>G1 parties without KIPs</w:t>
            </w:r>
            <w:r w:rsidRPr="4DBB2B28">
              <w:t xml:space="preserve"> </w:t>
            </w:r>
            <w:r w:rsidRPr="4DBB2B28">
              <w:rPr>
                <w:lang w:val="en-US"/>
              </w:rPr>
              <w:t xml:space="preserve"> </w:t>
            </w:r>
          </w:p>
          <w:p w14:paraId="1105B80F" w14:textId="77777777" w:rsidR="004A2A09" w:rsidRDefault="004A2A09" w:rsidP="00FB32DE">
            <w:pPr>
              <w:spacing w:after="0"/>
              <w:rPr>
                <w:lang w:val="en-US"/>
              </w:rPr>
            </w:pPr>
          </w:p>
        </w:tc>
        <w:tc>
          <w:tcPr>
            <w:tcW w:w="1270" w:type="pct"/>
            <w:vAlign w:val="center"/>
          </w:tcPr>
          <w:p w14:paraId="2372DCC3" w14:textId="77777777" w:rsidR="004A2A09" w:rsidRPr="4DBB2B28" w:rsidRDefault="004A2A09" w:rsidP="00FB32DE">
            <w:pPr>
              <w:spacing w:after="0"/>
              <w:jc w:val="center"/>
              <w:rPr>
                <w:lang w:val="en-US"/>
              </w:rPr>
            </w:pPr>
            <w:r>
              <w:rPr>
                <w:lang w:val="en-US"/>
              </w:rPr>
              <w:t>I</w:t>
            </w:r>
          </w:p>
        </w:tc>
        <w:tc>
          <w:tcPr>
            <w:tcW w:w="1270" w:type="pct"/>
            <w:shd w:val="clear" w:color="auto" w:fill="E2EFD9" w:themeFill="accent6" w:themeFillTint="33"/>
            <w:vAlign w:val="center"/>
          </w:tcPr>
          <w:p w14:paraId="088BD8FE" w14:textId="77777777" w:rsidR="004A2A09" w:rsidRDefault="004A2A09" w:rsidP="00FB32DE">
            <w:pPr>
              <w:spacing w:after="0"/>
              <w:rPr>
                <w:lang w:val="en-US"/>
              </w:rPr>
            </w:pPr>
            <w:r w:rsidRPr="4DBB2B28">
              <w:rPr>
                <w:lang w:val="en-US"/>
              </w:rPr>
              <w:t>100% - 2027-2029</w:t>
            </w:r>
            <w:r w:rsidRPr="4DBB2B28">
              <w:t xml:space="preserve"> </w:t>
            </w:r>
            <w:r w:rsidRPr="4DBB2B28">
              <w:rPr>
                <w:lang w:val="en-US"/>
              </w:rPr>
              <w:t xml:space="preserve"> </w:t>
            </w:r>
          </w:p>
        </w:tc>
        <w:tc>
          <w:tcPr>
            <w:tcW w:w="1135" w:type="pct"/>
            <w:shd w:val="clear" w:color="auto" w:fill="FFF2CC" w:themeFill="accent4" w:themeFillTint="33"/>
            <w:vAlign w:val="center"/>
          </w:tcPr>
          <w:p w14:paraId="78104BEE" w14:textId="77777777" w:rsidR="004A2A09" w:rsidRDefault="004A2A09" w:rsidP="00FB32DE">
            <w:pPr>
              <w:spacing w:after="0"/>
              <w:rPr>
                <w:lang w:val="en-US"/>
              </w:rPr>
            </w:pPr>
            <w:r w:rsidRPr="4DBB2B28">
              <w:rPr>
                <w:lang w:val="en-US"/>
              </w:rPr>
              <w:t>90% - 2027-2029</w:t>
            </w:r>
            <w:r w:rsidRPr="4DBB2B28">
              <w:t xml:space="preserve"> </w:t>
            </w:r>
          </w:p>
          <w:p w14:paraId="243DEA7D" w14:textId="77777777" w:rsidR="004A2A09" w:rsidRDefault="004A2A09" w:rsidP="00FB32DE">
            <w:pPr>
              <w:spacing w:after="0"/>
              <w:rPr>
                <w:lang w:val="en-US"/>
              </w:rPr>
            </w:pPr>
            <w:r w:rsidRPr="4DBB2B28">
              <w:rPr>
                <w:lang w:val="en-US"/>
              </w:rPr>
              <w:t>10% - 2030-2032</w:t>
            </w:r>
            <w:r w:rsidRPr="4DBB2B28">
              <w:t xml:space="preserve"> </w:t>
            </w:r>
          </w:p>
        </w:tc>
      </w:tr>
      <w:tr w:rsidR="004A2A09" w14:paraId="01BE882F" w14:textId="77777777" w:rsidTr="00FB32DE">
        <w:trPr>
          <w:trHeight w:val="420"/>
        </w:trPr>
        <w:tc>
          <w:tcPr>
            <w:tcW w:w="1325" w:type="pct"/>
            <w:vMerge/>
            <w:vAlign w:val="center"/>
          </w:tcPr>
          <w:p w14:paraId="64D5D1E3" w14:textId="77777777" w:rsidR="004A2A09" w:rsidRDefault="004A2A09" w:rsidP="00FB32DE">
            <w:pPr>
              <w:spacing w:after="0"/>
              <w:rPr>
                <w:lang w:val="en-US"/>
              </w:rPr>
            </w:pPr>
          </w:p>
        </w:tc>
        <w:tc>
          <w:tcPr>
            <w:tcW w:w="1270" w:type="pct"/>
            <w:vAlign w:val="center"/>
          </w:tcPr>
          <w:p w14:paraId="79E1E214" w14:textId="77777777" w:rsidR="004A2A09" w:rsidRPr="4DBB2B28" w:rsidRDefault="004A2A09" w:rsidP="00FB32DE">
            <w:pPr>
              <w:spacing w:after="0"/>
              <w:jc w:val="center"/>
              <w:rPr>
                <w:lang w:val="en-US"/>
              </w:rPr>
            </w:pPr>
            <w:r>
              <w:rPr>
                <w:lang w:val="en-US"/>
              </w:rPr>
              <w:t>II</w:t>
            </w:r>
          </w:p>
        </w:tc>
        <w:tc>
          <w:tcPr>
            <w:tcW w:w="1270" w:type="pct"/>
            <w:shd w:val="clear" w:color="auto" w:fill="E2EFD9" w:themeFill="accent6" w:themeFillTint="33"/>
            <w:vAlign w:val="center"/>
          </w:tcPr>
          <w:p w14:paraId="69AB19B1" w14:textId="77777777" w:rsidR="004A2A09" w:rsidRDefault="004A2A09" w:rsidP="00FB32DE">
            <w:pPr>
              <w:spacing w:after="0"/>
              <w:rPr>
                <w:lang w:val="en-US"/>
              </w:rPr>
            </w:pPr>
            <w:r w:rsidRPr="4DBB2B28">
              <w:rPr>
                <w:lang w:val="en-US"/>
              </w:rPr>
              <w:t>60% - 2030-2032</w:t>
            </w:r>
            <w:r w:rsidRPr="4DBB2B28">
              <w:t xml:space="preserve"> </w:t>
            </w:r>
            <w:r w:rsidRPr="4DBB2B28">
              <w:rPr>
                <w:lang w:val="en-US"/>
              </w:rPr>
              <w:t xml:space="preserve"> </w:t>
            </w:r>
          </w:p>
          <w:p w14:paraId="64058207" w14:textId="77777777" w:rsidR="004A2A09" w:rsidRDefault="004A2A09" w:rsidP="00FB32DE">
            <w:pPr>
              <w:spacing w:after="0"/>
              <w:rPr>
                <w:lang w:val="en-US"/>
              </w:rPr>
            </w:pPr>
            <w:r w:rsidRPr="4DBB2B28">
              <w:t>40% - 2033-2035</w:t>
            </w:r>
            <w:r w:rsidRPr="4DBB2B28">
              <w:rPr>
                <w:lang w:val="en-US"/>
              </w:rPr>
              <w:t xml:space="preserve"> </w:t>
            </w:r>
          </w:p>
        </w:tc>
        <w:tc>
          <w:tcPr>
            <w:tcW w:w="1135" w:type="pct"/>
            <w:shd w:val="clear" w:color="auto" w:fill="E2EFD9" w:themeFill="accent6" w:themeFillTint="33"/>
            <w:vAlign w:val="center"/>
          </w:tcPr>
          <w:p w14:paraId="425A2182" w14:textId="77777777" w:rsidR="004A2A09" w:rsidRDefault="004A2A09" w:rsidP="00FB32DE">
            <w:pPr>
              <w:spacing w:after="0"/>
              <w:rPr>
                <w:lang w:val="en-US"/>
              </w:rPr>
            </w:pPr>
            <w:r w:rsidRPr="4DBB2B28">
              <w:rPr>
                <w:lang w:val="en-US"/>
              </w:rPr>
              <w:t>60% - 2030-2032</w:t>
            </w:r>
            <w:r w:rsidRPr="4DBB2B28">
              <w:t xml:space="preserve"> </w:t>
            </w:r>
          </w:p>
          <w:p w14:paraId="16C43F56" w14:textId="77777777" w:rsidR="004A2A09" w:rsidRDefault="004A2A09" w:rsidP="00FB32DE">
            <w:pPr>
              <w:spacing w:after="0"/>
              <w:rPr>
                <w:lang w:val="en-US"/>
              </w:rPr>
            </w:pPr>
            <w:r w:rsidRPr="4DBB2B28">
              <w:t>40% - 2033-2035</w:t>
            </w:r>
            <w:r w:rsidRPr="4DBB2B28">
              <w:rPr>
                <w:lang w:val="en-US"/>
              </w:rPr>
              <w:t xml:space="preserve"> </w:t>
            </w:r>
          </w:p>
        </w:tc>
      </w:tr>
      <w:tr w:rsidR="004A2A09" w14:paraId="51C2DCF1" w14:textId="77777777" w:rsidTr="00FB32DE">
        <w:trPr>
          <w:trHeight w:val="390"/>
        </w:trPr>
        <w:tc>
          <w:tcPr>
            <w:tcW w:w="1325" w:type="pct"/>
            <w:vAlign w:val="center"/>
          </w:tcPr>
          <w:p w14:paraId="057B208F" w14:textId="77777777" w:rsidR="004A2A09" w:rsidRPr="000F7E13" w:rsidRDefault="274D2446" w:rsidP="00FB32DE">
            <w:pPr>
              <w:spacing w:after="0"/>
              <w:rPr>
                <w:lang w:val="en-US"/>
              </w:rPr>
            </w:pPr>
            <w:r w:rsidRPr="274D2446">
              <w:rPr>
                <w:lang w:val="en-US"/>
              </w:rPr>
              <w:t>G1 parties with KIPs</w:t>
            </w:r>
            <w:r>
              <w:t xml:space="preserve"> </w:t>
            </w:r>
            <w:r w:rsidRPr="274D2446">
              <w:rPr>
                <w:lang w:val="en-US"/>
              </w:rPr>
              <w:t xml:space="preserve"> </w:t>
            </w:r>
          </w:p>
        </w:tc>
        <w:tc>
          <w:tcPr>
            <w:tcW w:w="1270" w:type="pct"/>
            <w:vAlign w:val="center"/>
          </w:tcPr>
          <w:p w14:paraId="5F9CCB3E" w14:textId="77777777" w:rsidR="004A2A09" w:rsidRPr="4DBB2B28" w:rsidRDefault="004A2A09" w:rsidP="00FB32DE">
            <w:pPr>
              <w:spacing w:after="0"/>
              <w:jc w:val="center"/>
              <w:rPr>
                <w:lang w:val="en-US"/>
              </w:rPr>
            </w:pPr>
            <w:r>
              <w:rPr>
                <w:lang w:val="en-US"/>
              </w:rPr>
              <w:t>II</w:t>
            </w:r>
          </w:p>
        </w:tc>
        <w:tc>
          <w:tcPr>
            <w:tcW w:w="1270" w:type="pct"/>
            <w:shd w:val="clear" w:color="auto" w:fill="E2EFD9" w:themeFill="accent6" w:themeFillTint="33"/>
            <w:vAlign w:val="center"/>
          </w:tcPr>
          <w:p w14:paraId="1D2DEA53" w14:textId="77777777" w:rsidR="004A2A09" w:rsidRDefault="004A2A09" w:rsidP="00FB32DE">
            <w:pPr>
              <w:spacing w:after="0"/>
              <w:rPr>
                <w:lang w:val="en-US"/>
              </w:rPr>
            </w:pPr>
            <w:r w:rsidRPr="4DBB2B28">
              <w:rPr>
                <w:lang w:val="en-US"/>
              </w:rPr>
              <w:t>60% - 2027-2029</w:t>
            </w:r>
            <w:r w:rsidRPr="4DBB2B28">
              <w:t xml:space="preserve"> </w:t>
            </w:r>
            <w:r w:rsidRPr="4DBB2B28">
              <w:rPr>
                <w:lang w:val="en-US"/>
              </w:rPr>
              <w:t xml:space="preserve"> </w:t>
            </w:r>
          </w:p>
          <w:p w14:paraId="0583306C" w14:textId="77777777" w:rsidR="004A2A09" w:rsidRDefault="004A2A09" w:rsidP="00FB32DE">
            <w:pPr>
              <w:spacing w:after="0"/>
              <w:rPr>
                <w:lang w:val="en-US"/>
              </w:rPr>
            </w:pPr>
            <w:r w:rsidRPr="4DBB2B28">
              <w:t>40% - 2030-2032</w:t>
            </w:r>
            <w:r w:rsidRPr="4DBB2B28">
              <w:rPr>
                <w:lang w:val="en-US"/>
              </w:rPr>
              <w:t xml:space="preserve"> </w:t>
            </w:r>
          </w:p>
        </w:tc>
        <w:tc>
          <w:tcPr>
            <w:tcW w:w="1135" w:type="pct"/>
            <w:shd w:val="clear" w:color="auto" w:fill="FFF2CC" w:themeFill="accent4" w:themeFillTint="33"/>
            <w:vAlign w:val="center"/>
          </w:tcPr>
          <w:p w14:paraId="14E5508A" w14:textId="77777777" w:rsidR="004A2A09" w:rsidRDefault="004A2A09" w:rsidP="00FB32DE">
            <w:pPr>
              <w:spacing w:after="0"/>
              <w:rPr>
                <w:lang w:val="en-US"/>
              </w:rPr>
            </w:pPr>
            <w:r w:rsidRPr="4DBB2B28">
              <w:rPr>
                <w:lang w:val="en-US"/>
              </w:rPr>
              <w:t>60% - 2030-2032</w:t>
            </w:r>
            <w:r w:rsidRPr="4DBB2B28">
              <w:t xml:space="preserve"> </w:t>
            </w:r>
          </w:p>
          <w:p w14:paraId="3C4F858A" w14:textId="77777777" w:rsidR="004A2A09" w:rsidRDefault="004A2A09" w:rsidP="00FB32DE">
            <w:pPr>
              <w:spacing w:after="0"/>
              <w:rPr>
                <w:lang w:val="en-US"/>
              </w:rPr>
            </w:pPr>
            <w:r w:rsidRPr="4DBB2B28">
              <w:t>40% - 2033-2035</w:t>
            </w:r>
            <w:r w:rsidRPr="4DBB2B28">
              <w:rPr>
                <w:lang w:val="en-US"/>
              </w:rPr>
              <w:t xml:space="preserve"> </w:t>
            </w:r>
          </w:p>
        </w:tc>
      </w:tr>
      <w:tr w:rsidR="004A2A09" w14:paraId="1AEBEDF6" w14:textId="77777777" w:rsidTr="00FB32DE">
        <w:trPr>
          <w:trHeight w:val="285"/>
        </w:trPr>
        <w:tc>
          <w:tcPr>
            <w:tcW w:w="1325" w:type="pct"/>
            <w:vAlign w:val="center"/>
          </w:tcPr>
          <w:p w14:paraId="3BA2F346" w14:textId="77777777" w:rsidR="004A2A09" w:rsidRDefault="004A2A09" w:rsidP="00FB32DE">
            <w:pPr>
              <w:spacing w:after="0"/>
              <w:rPr>
                <w:lang w:val="en-US"/>
              </w:rPr>
            </w:pPr>
            <w:r w:rsidRPr="4DBB2B28">
              <w:rPr>
                <w:lang w:val="en-US"/>
              </w:rPr>
              <w:t>G2 parties without KIPs</w:t>
            </w:r>
            <w:r w:rsidRPr="4DBB2B28">
              <w:t xml:space="preserve"> </w:t>
            </w:r>
            <w:r w:rsidRPr="4DBB2B28">
              <w:rPr>
                <w:lang w:val="en-US"/>
              </w:rPr>
              <w:t xml:space="preserve"> </w:t>
            </w:r>
          </w:p>
        </w:tc>
        <w:tc>
          <w:tcPr>
            <w:tcW w:w="1270" w:type="pct"/>
            <w:vAlign w:val="center"/>
          </w:tcPr>
          <w:p w14:paraId="755BA994" w14:textId="77777777" w:rsidR="004A2A09" w:rsidRPr="4DBB2B28" w:rsidRDefault="004A2A09" w:rsidP="00FB32DE">
            <w:pPr>
              <w:spacing w:after="0"/>
              <w:jc w:val="center"/>
              <w:rPr>
                <w:lang w:val="en-US"/>
              </w:rPr>
            </w:pPr>
            <w:r>
              <w:rPr>
                <w:lang w:val="en-US"/>
              </w:rPr>
              <w:t>I</w:t>
            </w:r>
          </w:p>
        </w:tc>
        <w:tc>
          <w:tcPr>
            <w:tcW w:w="1270" w:type="pct"/>
            <w:shd w:val="clear" w:color="auto" w:fill="E2EFD9" w:themeFill="accent6" w:themeFillTint="33"/>
            <w:vAlign w:val="center"/>
          </w:tcPr>
          <w:p w14:paraId="58859B35" w14:textId="77777777" w:rsidR="004A2A09" w:rsidRDefault="004A2A09" w:rsidP="00FB32DE">
            <w:pPr>
              <w:spacing w:after="0"/>
              <w:rPr>
                <w:lang w:val="en-US"/>
              </w:rPr>
            </w:pPr>
            <w:r w:rsidRPr="4DBB2B28">
              <w:rPr>
                <w:lang w:val="en-US"/>
              </w:rPr>
              <w:t>60% - 2027-2029</w:t>
            </w:r>
            <w:r w:rsidRPr="4DBB2B28">
              <w:t xml:space="preserve"> </w:t>
            </w:r>
            <w:r w:rsidRPr="4DBB2B28">
              <w:rPr>
                <w:lang w:val="en-US"/>
              </w:rPr>
              <w:t xml:space="preserve"> </w:t>
            </w:r>
          </w:p>
          <w:p w14:paraId="18A0379E" w14:textId="77777777" w:rsidR="004A2A09" w:rsidRDefault="004A2A09" w:rsidP="00FB32DE">
            <w:pPr>
              <w:spacing w:after="0"/>
              <w:rPr>
                <w:lang w:val="en-US"/>
              </w:rPr>
            </w:pPr>
            <w:r w:rsidRPr="53A93E24">
              <w:t>40% - 2030-2032</w:t>
            </w:r>
            <w:r w:rsidRPr="4DBB2B28">
              <w:rPr>
                <w:lang w:val="en-US"/>
              </w:rPr>
              <w:t xml:space="preserve"> </w:t>
            </w:r>
          </w:p>
        </w:tc>
        <w:tc>
          <w:tcPr>
            <w:tcW w:w="1135" w:type="pct"/>
            <w:shd w:val="clear" w:color="auto" w:fill="FFF2CC" w:themeFill="accent4" w:themeFillTint="33"/>
            <w:vAlign w:val="center"/>
          </w:tcPr>
          <w:p w14:paraId="5582696F" w14:textId="77777777" w:rsidR="004A2A09" w:rsidRDefault="004A2A09" w:rsidP="00FB32DE">
            <w:pPr>
              <w:spacing w:after="0"/>
              <w:rPr>
                <w:lang w:val="en-US"/>
              </w:rPr>
            </w:pPr>
            <w:r w:rsidRPr="4DBB2B28">
              <w:rPr>
                <w:lang w:val="en-US"/>
              </w:rPr>
              <w:t>90% - 2030-2032</w:t>
            </w:r>
          </w:p>
          <w:p w14:paraId="0713BAA5" w14:textId="77777777" w:rsidR="004A2A09" w:rsidRDefault="004A2A09" w:rsidP="00FB32DE">
            <w:pPr>
              <w:spacing w:after="0"/>
              <w:rPr>
                <w:lang w:val="en-US"/>
              </w:rPr>
            </w:pPr>
            <w:r w:rsidRPr="7127C3C4">
              <w:t>10% - 2033-2035</w:t>
            </w:r>
          </w:p>
        </w:tc>
      </w:tr>
    </w:tbl>
    <w:p w14:paraId="5617289B" w14:textId="77777777" w:rsidR="00B3752A" w:rsidRDefault="00B3752A" w:rsidP="00B3752A"/>
    <w:p w14:paraId="53BA0613" w14:textId="70FEEC5D" w:rsidR="01B3D131" w:rsidRPr="00B3752A" w:rsidRDefault="004A2A09" w:rsidP="00B3752A">
      <w:r>
        <w:t xml:space="preserve">The two resource allocation schedules differ in the percentage of the KIP funding to be allocated to each different triennium. </w:t>
      </w:r>
    </w:p>
    <w:p w14:paraId="154819E3" w14:textId="74D1EC1F" w:rsidR="004A2A09" w:rsidRPr="00F206C1" w:rsidRDefault="274D2446" w:rsidP="007C77CF">
      <w:pPr>
        <w:pStyle w:val="Heading3"/>
        <w:rPr>
          <w:lang w:val="en-US"/>
        </w:rPr>
      </w:pPr>
      <w:bookmarkStart w:id="196" w:name="_Toc230099083"/>
      <w:r w:rsidRPr="274D2446">
        <w:rPr>
          <w:lang w:val="en-US"/>
        </w:rPr>
        <w:t>3.</w:t>
      </w:r>
      <w:r w:rsidR="001E26AC">
        <w:rPr>
          <w:lang w:val="en-US"/>
        </w:rPr>
        <w:t>4</w:t>
      </w:r>
      <w:r w:rsidRPr="274D2446">
        <w:rPr>
          <w:lang w:val="en-US"/>
        </w:rPr>
        <w:t>.</w:t>
      </w:r>
      <w:r w:rsidR="001E26AC">
        <w:rPr>
          <w:lang w:val="en-US"/>
        </w:rPr>
        <w:t>5</w:t>
      </w:r>
      <w:r w:rsidR="004A2A09" w:rsidRPr="002135B0">
        <w:rPr>
          <w:lang w:val="en-US"/>
        </w:rPr>
        <w:tab/>
      </w:r>
      <w:r w:rsidR="00E3229F" w:rsidRPr="002135B0">
        <w:rPr>
          <w:lang w:val="en-US"/>
        </w:rPr>
        <w:t xml:space="preserve">HFC </w:t>
      </w:r>
      <w:r w:rsidRPr="002135B0">
        <w:rPr>
          <w:lang w:val="en-US"/>
        </w:rPr>
        <w:t>Scenario 1: Applying CE from cost guidelines</w:t>
      </w:r>
      <w:bookmarkEnd w:id="196"/>
      <w:r w:rsidRPr="274D2446">
        <w:rPr>
          <w:lang w:val="en-US"/>
        </w:rPr>
        <w:t xml:space="preserve"> </w:t>
      </w:r>
    </w:p>
    <w:p w14:paraId="21194C4D" w14:textId="2031590F" w:rsidR="006F2FE5" w:rsidRDefault="274D2446">
      <w:pPr>
        <w:tabs>
          <w:tab w:val="clear" w:pos="0"/>
        </w:tabs>
        <w:spacing w:after="0"/>
        <w:rPr>
          <w:rFonts w:eastAsiaTheme="minorEastAsia"/>
          <w:b/>
          <w:bCs/>
        </w:rPr>
      </w:pPr>
      <w:r w:rsidRPr="274D2446">
        <w:rPr>
          <w:lang w:val="en-US"/>
        </w:rPr>
        <w:t>The methodology used for new funding calculations</w:t>
      </w:r>
      <w:r w:rsidR="00766634">
        <w:rPr>
          <w:lang w:val="en-US"/>
        </w:rPr>
        <w:t>,</w:t>
      </w:r>
      <w:r w:rsidRPr="274D2446">
        <w:rPr>
          <w:lang w:val="en-US"/>
        </w:rPr>
        <w:t xml:space="preserve"> </w:t>
      </w:r>
      <w:r w:rsidR="00E3229F">
        <w:rPr>
          <w:b/>
          <w:bCs/>
          <w:lang w:val="en-US"/>
        </w:rPr>
        <w:t>HFC</w:t>
      </w:r>
      <w:r w:rsidR="00766634">
        <w:rPr>
          <w:b/>
          <w:bCs/>
          <w:lang w:val="en-US"/>
        </w:rPr>
        <w:t xml:space="preserve"> </w:t>
      </w:r>
      <w:r w:rsidRPr="274D2446">
        <w:rPr>
          <w:b/>
          <w:bCs/>
          <w:lang w:val="en-US"/>
        </w:rPr>
        <w:t>Scenario</w:t>
      </w:r>
      <w:r w:rsidR="00766634">
        <w:rPr>
          <w:b/>
          <w:bCs/>
          <w:lang w:val="en-US"/>
        </w:rPr>
        <w:t xml:space="preserve"> 1,</w:t>
      </w:r>
      <w:r w:rsidRPr="274D2446">
        <w:rPr>
          <w:b/>
          <w:bCs/>
          <w:lang w:val="en-US"/>
        </w:rPr>
        <w:t xml:space="preserve"> </w:t>
      </w:r>
      <w:r w:rsidRPr="274D2446">
        <w:rPr>
          <w:lang w:val="en-US"/>
        </w:rPr>
        <w:t xml:space="preserve">was based on cost guidelines sector CEs applied to sector remaining consumption (converted to metric tonnes), and according to the reduction target for each individual party (bearing in mind the consumption already addressed by approved KIP </w:t>
      </w:r>
      <w:r w:rsidR="002743BF">
        <w:rPr>
          <w:lang w:val="en-US"/>
        </w:rPr>
        <w:t>Stage</w:t>
      </w:r>
      <w:r w:rsidRPr="274D2446">
        <w:rPr>
          <w:lang w:val="en-US"/>
        </w:rPr>
        <w:t xml:space="preserve"> I). The CE values applied are shown in Table below.</w:t>
      </w:r>
    </w:p>
    <w:p w14:paraId="42E2692B" w14:textId="77777777" w:rsidR="002507B3" w:rsidRDefault="002507B3" w:rsidP="274D2446">
      <w:pPr>
        <w:tabs>
          <w:tab w:val="left" w:pos="1418"/>
        </w:tabs>
        <w:ind w:left="1418" w:hanging="1418"/>
        <w:rPr>
          <w:rFonts w:eastAsiaTheme="minorEastAsia"/>
          <w:b/>
          <w:bCs/>
        </w:rPr>
      </w:pPr>
    </w:p>
    <w:p w14:paraId="0D9EBCBB" w14:textId="6837C6A0" w:rsidR="00B3752A" w:rsidRDefault="274D2446" w:rsidP="002135B0">
      <w:pPr>
        <w:tabs>
          <w:tab w:val="left" w:pos="1276"/>
        </w:tabs>
        <w:spacing w:after="120"/>
        <w:ind w:left="1134" w:hanging="1134"/>
        <w:rPr>
          <w:b/>
          <w:bCs/>
        </w:rPr>
      </w:pPr>
      <w:r w:rsidRPr="274D2446">
        <w:rPr>
          <w:rFonts w:eastAsiaTheme="minorEastAsia"/>
          <w:b/>
          <w:bCs/>
        </w:rPr>
        <w:lastRenderedPageBreak/>
        <w:t>Table 3.5</w:t>
      </w:r>
      <w:r w:rsidR="002507B3">
        <w:rPr>
          <w:rFonts w:eastAsiaTheme="minorEastAsia"/>
          <w:b/>
          <w:bCs/>
        </w:rPr>
        <w:t>:</w:t>
      </w:r>
      <w:r w:rsidR="00B3752A">
        <w:tab/>
      </w:r>
      <w:r w:rsidRPr="274D2446">
        <w:rPr>
          <w:b/>
          <w:bCs/>
        </w:rPr>
        <w:t xml:space="preserve">CE thresholds used for </w:t>
      </w:r>
      <w:r w:rsidR="00642D19">
        <w:rPr>
          <w:b/>
          <w:bCs/>
        </w:rPr>
        <w:t>HFC</w:t>
      </w:r>
      <w:r w:rsidRPr="274D2446">
        <w:rPr>
          <w:b/>
          <w:bCs/>
        </w:rPr>
        <w:t xml:space="preserve"> Scenario 1</w:t>
      </w:r>
      <w:r w:rsidRPr="274D2446">
        <w:rPr>
          <w:lang w:val="en-US"/>
        </w:rPr>
        <w:t>*</w:t>
      </w:r>
    </w:p>
    <w:p w14:paraId="0232E6A9" w14:textId="240D743F" w:rsidR="00296C6F" w:rsidRDefault="72A53C31" w:rsidP="222ABFFA">
      <w:pPr>
        <w:spacing w:after="0"/>
        <w:jc w:val="both"/>
      </w:pPr>
      <w:r>
        <w:rPr>
          <w:noProof/>
        </w:rPr>
        <w:drawing>
          <wp:inline distT="0" distB="0" distL="0" distR="0" wp14:anchorId="43905CFC" wp14:editId="67BB2E87">
            <wp:extent cx="5962650" cy="1323975"/>
            <wp:effectExtent l="0" t="0" r="0" b="0"/>
            <wp:docPr id="5461139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13956" name="Picture 546113956"/>
                    <pic:cNvPicPr/>
                  </pic:nvPicPr>
                  <pic:blipFill>
                    <a:blip r:embed="rId31">
                      <a:extLst>
                        <a:ext uri="{28A0092B-C50C-407E-A947-70E740481C1C}">
                          <a14:useLocalDpi xmlns:a14="http://schemas.microsoft.com/office/drawing/2010/main"/>
                        </a:ext>
                      </a:extLst>
                    </a:blip>
                    <a:stretch>
                      <a:fillRect/>
                    </a:stretch>
                  </pic:blipFill>
                  <pic:spPr>
                    <a:xfrm>
                      <a:off x="0" y="0"/>
                      <a:ext cx="5962650" cy="1323975"/>
                    </a:xfrm>
                    <a:prstGeom prst="rect">
                      <a:avLst/>
                    </a:prstGeom>
                  </pic:spPr>
                </pic:pic>
              </a:graphicData>
            </a:graphic>
          </wp:inline>
        </w:drawing>
      </w:r>
    </w:p>
    <w:p w14:paraId="4EA8D84F" w14:textId="20FD68BB" w:rsidR="00AB7C1A" w:rsidRPr="00B90D55" w:rsidRDefault="4BCEE662" w:rsidP="00B90D55">
      <w:pPr>
        <w:spacing w:line="257" w:lineRule="auto"/>
        <w:jc w:val="both"/>
        <w:rPr>
          <w:sz w:val="18"/>
          <w:szCs w:val="18"/>
          <w:lang w:val="en-US"/>
        </w:rPr>
      </w:pPr>
      <w:r w:rsidRPr="4BCEE662">
        <w:rPr>
          <w:sz w:val="18"/>
          <w:szCs w:val="18"/>
          <w:lang w:val="en-US"/>
        </w:rPr>
        <w:t>*Case by case sector CEs: For industrial/transport refrigeration RTF used same CE as for commercial refrigeration (16.50 $/kg); for Solvents used average in Table 12 of document 89/10/Rev1 (10.13 $/kg); for Refr. and Air Conditioning (AC) manufacturing/other, used 15.75, that is the average of 10.50 and 15 (CEs for Com Refr. and Com. AC). Other case by case sectors, RTF suggested CEs (Aerosol, Fire Extinguishing. and Other). Same CEs for all countries/groups. RTF included mobile air conditioning (MAC) in Refrigeration AC Manufacturing/ Other.</w:t>
      </w:r>
    </w:p>
    <w:p w14:paraId="0CA91669" w14:textId="493C2989" w:rsidR="00296C6F" w:rsidRPr="002C494E" w:rsidRDefault="4BCEE662" w:rsidP="548BBB9B">
      <w:pPr>
        <w:spacing w:after="0"/>
        <w:jc w:val="both"/>
        <w:rPr>
          <w:lang w:val="en-US"/>
        </w:rPr>
      </w:pPr>
      <w:r w:rsidRPr="4BCEE662">
        <w:rPr>
          <w:lang w:val="en-US"/>
        </w:rPr>
        <w:t xml:space="preserve">The total funding estimates for three triennia (9 years) to reach Stage I (10% reduction by 2029), and Stage II (30% reduction by 2035), for CE Scenario I, are presented in Table 3.6, totaling </w:t>
      </w:r>
      <w:r w:rsidRPr="4BCEE662">
        <w:rPr>
          <w:b/>
          <w:bCs/>
          <w:lang w:val="en-US"/>
        </w:rPr>
        <w:t>US$ 2,190.44 million</w:t>
      </w:r>
      <w:r w:rsidRPr="4BCEE662">
        <w:rPr>
          <w:lang w:val="en-US"/>
        </w:rPr>
        <w:t xml:space="preserve"> (rounded). </w:t>
      </w:r>
    </w:p>
    <w:p w14:paraId="174873AD" w14:textId="77777777" w:rsidR="006D23FA" w:rsidRDefault="006D23FA" w:rsidP="548BBB9B">
      <w:pPr>
        <w:spacing w:after="0"/>
        <w:jc w:val="both"/>
        <w:rPr>
          <w:lang w:val="en-US"/>
        </w:rPr>
      </w:pPr>
    </w:p>
    <w:p w14:paraId="28CC1082" w14:textId="251F86A8" w:rsidR="006D23FA" w:rsidRPr="002C494E" w:rsidRDefault="4BCEE662" w:rsidP="548BBB9B">
      <w:pPr>
        <w:spacing w:after="0"/>
        <w:jc w:val="both"/>
        <w:rPr>
          <w:lang w:val="en-US"/>
        </w:rPr>
      </w:pPr>
      <w:r w:rsidRPr="4BCEE662">
        <w:rPr>
          <w:lang w:val="en-US"/>
        </w:rPr>
        <w:t>As in the case of HCFC, RTF did not add the cost of PMUs for non-LVC parties as explained in the caveats under section 1.6.10</w:t>
      </w:r>
    </w:p>
    <w:p w14:paraId="68209D68" w14:textId="77777777" w:rsidR="0042742A" w:rsidRDefault="0042742A" w:rsidP="5AD5DB8B">
      <w:pPr>
        <w:spacing w:after="0"/>
        <w:jc w:val="both"/>
        <w:rPr>
          <w:lang w:val="en-US"/>
        </w:rPr>
      </w:pPr>
    </w:p>
    <w:p w14:paraId="2B3FCEE2" w14:textId="46CD3D63" w:rsidR="00296C6F" w:rsidRPr="002C494E" w:rsidRDefault="4BCEE662" w:rsidP="5AD5DB8B">
      <w:pPr>
        <w:spacing w:after="0"/>
        <w:jc w:val="both"/>
        <w:rPr>
          <w:lang w:val="en-US"/>
        </w:rPr>
      </w:pPr>
      <w:r w:rsidRPr="4BCEE662">
        <w:rPr>
          <w:lang w:val="en-US"/>
        </w:rPr>
        <w:t>Please note that the column named "Output" refers to the Annex 4 HFC methodology indicating the flow-chart sequence of the analysis and outputs.</w:t>
      </w:r>
    </w:p>
    <w:p w14:paraId="602DD270" w14:textId="3EABF5B0" w:rsidR="00CC3D56" w:rsidRDefault="00CC3D56" w:rsidP="274D2446">
      <w:pPr>
        <w:spacing w:after="0"/>
        <w:jc w:val="both"/>
        <w:rPr>
          <w:lang w:val="en-US"/>
        </w:rPr>
        <w:sectPr w:rsidR="00CC3D56" w:rsidSect="00DB6AC7">
          <w:pgSz w:w="11906" w:h="16838"/>
          <w:pgMar w:top="1411" w:right="1411" w:bottom="1411" w:left="1411" w:header="706" w:footer="706" w:gutter="0"/>
          <w:cols w:space="708"/>
          <w:docGrid w:linePitch="360"/>
        </w:sectPr>
      </w:pPr>
    </w:p>
    <w:p w14:paraId="0D6B9756" w14:textId="04E9B2F5" w:rsidR="002D2C55" w:rsidRDefault="274D2446" w:rsidP="002135B0">
      <w:pPr>
        <w:tabs>
          <w:tab w:val="left" w:pos="1134"/>
        </w:tabs>
        <w:spacing w:after="120"/>
        <w:ind w:left="1418" w:hanging="1418"/>
        <w:rPr>
          <w:noProof/>
        </w:rPr>
      </w:pPr>
      <w:r w:rsidRPr="274D2446">
        <w:rPr>
          <w:rFonts w:eastAsiaTheme="minorEastAsia"/>
          <w:b/>
          <w:bCs/>
        </w:rPr>
        <w:lastRenderedPageBreak/>
        <w:t>Table 3.6</w:t>
      </w:r>
      <w:r w:rsidR="00F61273">
        <w:rPr>
          <w:rFonts w:eastAsiaTheme="minorEastAsia"/>
          <w:b/>
          <w:bCs/>
        </w:rPr>
        <w:t>:</w:t>
      </w:r>
      <w:r w:rsidR="002C494E">
        <w:tab/>
      </w:r>
      <w:r w:rsidRPr="274D2446">
        <w:rPr>
          <w:b/>
          <w:bCs/>
          <w:lang w:val="en-US"/>
        </w:rPr>
        <w:t xml:space="preserve">Funding Estimates for </w:t>
      </w:r>
      <w:r w:rsidR="002D2C55">
        <w:rPr>
          <w:b/>
          <w:bCs/>
          <w:lang w:val="en-US"/>
        </w:rPr>
        <w:t xml:space="preserve">HFC </w:t>
      </w:r>
      <w:r w:rsidRPr="274D2446">
        <w:rPr>
          <w:b/>
          <w:bCs/>
          <w:lang w:val="en-US"/>
        </w:rPr>
        <w:t>Scenario 1 considering Stage I and II Targets (US$ million)</w:t>
      </w:r>
      <w:r w:rsidR="002D2C55" w:rsidRPr="002D2C55">
        <w:rPr>
          <w:noProof/>
        </w:rPr>
        <w:t xml:space="preserve"> </w:t>
      </w:r>
    </w:p>
    <w:p w14:paraId="6565AAD2" w14:textId="72777D8A" w:rsidR="00296C6F" w:rsidRPr="002C494E" w:rsidRDefault="5B40C8FF" w:rsidP="01B3D131">
      <w:pPr>
        <w:spacing w:after="0"/>
        <w:jc w:val="both"/>
      </w:pPr>
      <w:r>
        <w:rPr>
          <w:noProof/>
        </w:rPr>
        <w:drawing>
          <wp:inline distT="0" distB="0" distL="0" distR="0" wp14:anchorId="17FB2A08" wp14:editId="0763BF79">
            <wp:extent cx="9345959" cy="4485686"/>
            <wp:effectExtent l="0" t="0" r="0" b="0"/>
            <wp:docPr id="17469616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61630" name="Picture 1746961630"/>
                    <pic:cNvPicPr/>
                  </pic:nvPicPr>
                  <pic:blipFill>
                    <a:blip r:embed="rId32">
                      <a:extLst>
                        <a:ext uri="{28A0092B-C50C-407E-A947-70E740481C1C}">
                          <a14:useLocalDpi xmlns:a14="http://schemas.microsoft.com/office/drawing/2010/main"/>
                        </a:ext>
                      </a:extLst>
                    </a:blip>
                    <a:stretch>
                      <a:fillRect/>
                    </a:stretch>
                  </pic:blipFill>
                  <pic:spPr>
                    <a:xfrm>
                      <a:off x="0" y="0"/>
                      <a:ext cx="9345959" cy="4485686"/>
                    </a:xfrm>
                    <a:prstGeom prst="rect">
                      <a:avLst/>
                    </a:prstGeom>
                  </pic:spPr>
                </pic:pic>
              </a:graphicData>
            </a:graphic>
          </wp:inline>
        </w:drawing>
      </w:r>
    </w:p>
    <w:p w14:paraId="1C1EC8D6" w14:textId="77777777" w:rsidR="002C494E" w:rsidRDefault="002C494E" w:rsidP="01B3D131">
      <w:pPr>
        <w:spacing w:after="0"/>
        <w:jc w:val="both"/>
        <w:rPr>
          <w:b/>
          <w:bCs/>
          <w:lang w:val="en-US"/>
        </w:rPr>
      </w:pPr>
    </w:p>
    <w:p w14:paraId="016FA0C5" w14:textId="77777777" w:rsidR="002C494E" w:rsidRDefault="002C494E" w:rsidP="01B3D131">
      <w:pPr>
        <w:spacing w:after="0"/>
        <w:jc w:val="both"/>
        <w:rPr>
          <w:b/>
          <w:bCs/>
          <w:lang w:val="en-US"/>
        </w:rPr>
      </w:pPr>
    </w:p>
    <w:p w14:paraId="5E116830" w14:textId="150F334B" w:rsidR="00944202" w:rsidRDefault="00944202" w:rsidP="4BCEE662">
      <w:pPr>
        <w:tabs>
          <w:tab w:val="clear" w:pos="0"/>
        </w:tabs>
        <w:spacing w:after="0"/>
        <w:rPr>
          <w:b/>
          <w:bCs/>
          <w:lang w:val="en-US"/>
        </w:rPr>
        <w:sectPr w:rsidR="00944202" w:rsidSect="00CC3D56">
          <w:pgSz w:w="16838" w:h="11906" w:orient="landscape"/>
          <w:pgMar w:top="1411" w:right="1411" w:bottom="1411" w:left="1411" w:header="706" w:footer="706" w:gutter="0"/>
          <w:cols w:space="708"/>
          <w:docGrid w:linePitch="360"/>
        </w:sectPr>
      </w:pPr>
    </w:p>
    <w:p w14:paraId="310A612E" w14:textId="175C6C5F" w:rsidR="00296C6F" w:rsidRPr="002D0DA2" w:rsidRDefault="274D2446" w:rsidP="007A66C5">
      <w:pPr>
        <w:spacing w:after="0"/>
        <w:rPr>
          <w:lang w:val="en-US"/>
        </w:rPr>
      </w:pPr>
      <w:r w:rsidRPr="274D2446">
        <w:rPr>
          <w:lang w:val="en-US"/>
        </w:rPr>
        <w:lastRenderedPageBreak/>
        <w:t xml:space="preserve">The funding per triennium for the </w:t>
      </w:r>
      <w:r w:rsidR="00DA5253">
        <w:rPr>
          <w:lang w:val="en-US"/>
        </w:rPr>
        <w:t xml:space="preserve">HFC </w:t>
      </w:r>
      <w:r w:rsidRPr="274D2446">
        <w:rPr>
          <w:lang w:val="en-US"/>
        </w:rPr>
        <w:t>Scenario 1, applying resource allocation schedule A is in Table 3.7 below.</w:t>
      </w:r>
    </w:p>
    <w:p w14:paraId="6A506EDC" w14:textId="77C7CA08" w:rsidR="00296C6F" w:rsidRDefault="00296C6F" w:rsidP="01B3D131">
      <w:pPr>
        <w:spacing w:after="0"/>
        <w:jc w:val="both"/>
        <w:rPr>
          <w:lang w:val="en-US"/>
        </w:rPr>
      </w:pPr>
    </w:p>
    <w:p w14:paraId="32BBA0CD" w14:textId="48542836" w:rsidR="00296C6F" w:rsidRPr="00D5258A" w:rsidRDefault="274D2446" w:rsidP="002135B0">
      <w:pPr>
        <w:tabs>
          <w:tab w:val="left" w:pos="1134"/>
        </w:tabs>
        <w:spacing w:after="120"/>
        <w:ind w:left="1418" w:hanging="1418"/>
        <w:rPr>
          <w:b/>
          <w:bCs/>
        </w:rPr>
      </w:pPr>
      <w:r w:rsidRPr="274D2446">
        <w:rPr>
          <w:rFonts w:eastAsiaTheme="minorEastAsia"/>
          <w:b/>
          <w:bCs/>
        </w:rPr>
        <w:t>Table 3.7</w:t>
      </w:r>
      <w:r w:rsidR="00F61273">
        <w:rPr>
          <w:rFonts w:eastAsiaTheme="minorEastAsia"/>
          <w:b/>
          <w:bCs/>
        </w:rPr>
        <w:t>:</w:t>
      </w:r>
      <w:r w:rsidR="00D5258A">
        <w:tab/>
      </w:r>
      <w:r w:rsidRPr="274D2446">
        <w:rPr>
          <w:b/>
          <w:bCs/>
          <w:lang w:val="en-US"/>
        </w:rPr>
        <w:t xml:space="preserve">Resource Allocation A proposed by RTF for </w:t>
      </w:r>
      <w:r w:rsidR="00DA5253">
        <w:rPr>
          <w:b/>
          <w:bCs/>
          <w:lang w:val="en-US"/>
        </w:rPr>
        <w:t xml:space="preserve">HFC Scenario </w:t>
      </w:r>
      <w:r w:rsidRPr="274D2446">
        <w:rPr>
          <w:b/>
          <w:bCs/>
          <w:lang w:val="en-US"/>
        </w:rPr>
        <w:t>1 (US$ million)</w:t>
      </w:r>
    </w:p>
    <w:p w14:paraId="033B662C" w14:textId="1C303D47" w:rsidR="00296C6F" w:rsidRDefault="34C24B82" w:rsidP="6FA71381">
      <w:pPr>
        <w:spacing w:after="0"/>
      </w:pPr>
      <w:r>
        <w:rPr>
          <w:noProof/>
        </w:rPr>
        <w:drawing>
          <wp:inline distT="0" distB="0" distL="0" distR="0" wp14:anchorId="488E61F4" wp14:editId="6CF65150">
            <wp:extent cx="5762625" cy="2476500"/>
            <wp:effectExtent l="0" t="0" r="0" b="0"/>
            <wp:docPr id="9879015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01533" name="Picture 987901533"/>
                    <pic:cNvPicPr/>
                  </pic:nvPicPr>
                  <pic:blipFill>
                    <a:blip r:embed="rId33">
                      <a:extLst>
                        <a:ext uri="{28A0092B-C50C-407E-A947-70E740481C1C}">
                          <a14:useLocalDpi xmlns:a14="http://schemas.microsoft.com/office/drawing/2010/main"/>
                        </a:ext>
                      </a:extLst>
                    </a:blip>
                    <a:stretch>
                      <a:fillRect/>
                    </a:stretch>
                  </pic:blipFill>
                  <pic:spPr>
                    <a:xfrm>
                      <a:off x="0" y="0"/>
                      <a:ext cx="5762625" cy="2476500"/>
                    </a:xfrm>
                    <a:prstGeom prst="rect">
                      <a:avLst/>
                    </a:prstGeom>
                  </pic:spPr>
                </pic:pic>
              </a:graphicData>
            </a:graphic>
          </wp:inline>
        </w:drawing>
      </w:r>
    </w:p>
    <w:p w14:paraId="2D577E18" w14:textId="77777777" w:rsidR="00812C90" w:rsidRDefault="00812C90" w:rsidP="336453E5">
      <w:pPr>
        <w:spacing w:after="0" w:line="259" w:lineRule="auto"/>
        <w:rPr>
          <w:b/>
          <w:bCs/>
          <w:lang w:val="en-US"/>
        </w:rPr>
      </w:pPr>
    </w:p>
    <w:p w14:paraId="6286BE11" w14:textId="0ACA6D35" w:rsidR="779DC3C8" w:rsidRDefault="0078225A" w:rsidP="336453E5">
      <w:pPr>
        <w:spacing w:after="0" w:line="259" w:lineRule="auto"/>
        <w:rPr>
          <w:lang w:val="en-US"/>
        </w:rPr>
      </w:pPr>
      <w:r>
        <w:rPr>
          <w:lang w:val="en-US"/>
        </w:rPr>
        <w:t xml:space="preserve">Applying </w:t>
      </w:r>
      <w:r w:rsidRPr="0078225A">
        <w:rPr>
          <w:b/>
          <w:bCs/>
          <w:lang w:val="en-US"/>
        </w:rPr>
        <w:t>r</w:t>
      </w:r>
      <w:r w:rsidR="007A66C5" w:rsidRPr="0078225A">
        <w:rPr>
          <w:b/>
          <w:bCs/>
          <w:lang w:val="en-US"/>
        </w:rPr>
        <w:t xml:space="preserve">esource </w:t>
      </w:r>
      <w:r w:rsidR="65681A02" w:rsidRPr="0078225A">
        <w:rPr>
          <w:b/>
          <w:bCs/>
          <w:lang w:val="en-US"/>
        </w:rPr>
        <w:t xml:space="preserve">allocation </w:t>
      </w:r>
      <w:r w:rsidR="007A66C5" w:rsidRPr="0078225A">
        <w:rPr>
          <w:b/>
          <w:bCs/>
          <w:lang w:val="en-US"/>
        </w:rPr>
        <w:t xml:space="preserve">schedule </w:t>
      </w:r>
      <w:r w:rsidR="0022127E" w:rsidRPr="0078225A">
        <w:rPr>
          <w:b/>
          <w:bCs/>
          <w:lang w:val="en-US"/>
        </w:rPr>
        <w:t>A</w:t>
      </w:r>
      <w:r w:rsidR="65681A02" w:rsidRPr="00812C90">
        <w:rPr>
          <w:lang w:val="en-US"/>
        </w:rPr>
        <w:t xml:space="preserve">, </w:t>
      </w:r>
      <w:r>
        <w:rPr>
          <w:lang w:val="en-US"/>
        </w:rPr>
        <w:t xml:space="preserve">the </w:t>
      </w:r>
      <w:r w:rsidR="3EB38A08" w:rsidRPr="00812C90">
        <w:rPr>
          <w:lang w:val="en-US"/>
        </w:rPr>
        <w:t xml:space="preserve">new </w:t>
      </w:r>
      <w:r w:rsidR="65681A02" w:rsidRPr="00812C90">
        <w:rPr>
          <w:lang w:val="en-US"/>
        </w:rPr>
        <w:t xml:space="preserve">funding estimates for each triennium for </w:t>
      </w:r>
      <w:r w:rsidR="00DA5253">
        <w:rPr>
          <w:lang w:val="en-US"/>
        </w:rPr>
        <w:t>HFC Sce</w:t>
      </w:r>
      <w:r w:rsidR="65681A02" w:rsidRPr="00812C90">
        <w:rPr>
          <w:lang w:val="en-US"/>
        </w:rPr>
        <w:t xml:space="preserve">nario 1 </w:t>
      </w:r>
      <w:r w:rsidR="2EF592D9" w:rsidRPr="00812C90">
        <w:rPr>
          <w:lang w:val="en-US"/>
        </w:rPr>
        <w:t>are</w:t>
      </w:r>
      <w:r w:rsidR="65681A02" w:rsidRPr="00812C90">
        <w:rPr>
          <w:lang w:val="en-US"/>
        </w:rPr>
        <w:t>:</w:t>
      </w:r>
    </w:p>
    <w:p w14:paraId="3DE5EE6B" w14:textId="77777777" w:rsidR="00077174" w:rsidRPr="00077174" w:rsidRDefault="00077174" w:rsidP="00077174">
      <w:pPr>
        <w:pStyle w:val="ListParagraph"/>
        <w:numPr>
          <w:ilvl w:val="0"/>
          <w:numId w:val="80"/>
        </w:numPr>
        <w:spacing w:after="0" w:line="259" w:lineRule="auto"/>
        <w:rPr>
          <w:b/>
          <w:bCs/>
          <w:lang w:val="en-US"/>
        </w:rPr>
      </w:pPr>
      <w:r w:rsidRPr="00077174">
        <w:rPr>
          <w:b/>
          <w:bCs/>
          <w:lang w:val="en-US"/>
        </w:rPr>
        <w:t>2027-2029: US$ 853.01 million</w:t>
      </w:r>
    </w:p>
    <w:p w14:paraId="38F84DEC" w14:textId="77777777" w:rsidR="00077174" w:rsidRPr="00077174" w:rsidRDefault="00077174" w:rsidP="00077174">
      <w:pPr>
        <w:pStyle w:val="ListParagraph"/>
        <w:numPr>
          <w:ilvl w:val="0"/>
          <w:numId w:val="80"/>
        </w:numPr>
        <w:spacing w:after="0" w:line="259" w:lineRule="auto"/>
        <w:rPr>
          <w:b/>
          <w:bCs/>
          <w:lang w:val="en-US"/>
        </w:rPr>
      </w:pPr>
      <w:r w:rsidRPr="00077174">
        <w:rPr>
          <w:b/>
          <w:bCs/>
          <w:lang w:val="en-US"/>
        </w:rPr>
        <w:t>2030-2032: US$ 858.61 million</w:t>
      </w:r>
    </w:p>
    <w:p w14:paraId="77ABBD04" w14:textId="28D2226A" w:rsidR="00077174" w:rsidRPr="00077174" w:rsidRDefault="00077174" w:rsidP="00077174">
      <w:pPr>
        <w:pStyle w:val="ListParagraph"/>
        <w:numPr>
          <w:ilvl w:val="0"/>
          <w:numId w:val="80"/>
        </w:numPr>
        <w:spacing w:after="0" w:line="259" w:lineRule="auto"/>
        <w:rPr>
          <w:b/>
          <w:bCs/>
          <w:lang w:val="en-US"/>
        </w:rPr>
      </w:pPr>
      <w:r w:rsidRPr="00077174">
        <w:rPr>
          <w:b/>
          <w:bCs/>
          <w:lang w:val="en-US"/>
        </w:rPr>
        <w:t>2033-2035: US$ 478.82 million</w:t>
      </w:r>
    </w:p>
    <w:p w14:paraId="6957855C" w14:textId="77777777" w:rsidR="00077174" w:rsidRDefault="00077174" w:rsidP="01B3D131">
      <w:pPr>
        <w:spacing w:after="0"/>
        <w:rPr>
          <w:lang w:val="en-US"/>
        </w:rPr>
      </w:pPr>
    </w:p>
    <w:p w14:paraId="500479C1" w14:textId="59EF056D" w:rsidR="336453E5" w:rsidRDefault="28D4C929" w:rsidP="01B3D131">
      <w:pPr>
        <w:spacing w:after="0"/>
        <w:rPr>
          <w:lang w:val="en-US"/>
        </w:rPr>
      </w:pPr>
      <w:r w:rsidRPr="01B3D131">
        <w:rPr>
          <w:lang w:val="en-US"/>
        </w:rPr>
        <w:t xml:space="preserve">As per </w:t>
      </w:r>
      <w:r w:rsidR="0022127E">
        <w:rPr>
          <w:lang w:val="en-US"/>
        </w:rPr>
        <w:t xml:space="preserve">resource allocation </w:t>
      </w:r>
      <w:r w:rsidRPr="01B3D131">
        <w:rPr>
          <w:lang w:val="en-US"/>
        </w:rPr>
        <w:t xml:space="preserve">schedule </w:t>
      </w:r>
      <w:r w:rsidR="00812C90">
        <w:rPr>
          <w:lang w:val="en-US"/>
        </w:rPr>
        <w:t>A</w:t>
      </w:r>
      <w:r w:rsidRPr="01B3D131">
        <w:rPr>
          <w:lang w:val="en-US"/>
        </w:rPr>
        <w:t>, f</w:t>
      </w:r>
      <w:r w:rsidR="51E06A0E" w:rsidRPr="01B3D131">
        <w:rPr>
          <w:lang w:val="en-US"/>
        </w:rPr>
        <w:t xml:space="preserve">or Stage I G1 parties </w:t>
      </w:r>
      <w:r w:rsidR="51E06A0E" w:rsidRPr="01B3D131">
        <w:rPr>
          <w:u w:val="single"/>
          <w:lang w:val="en-US"/>
        </w:rPr>
        <w:t xml:space="preserve">without </w:t>
      </w:r>
      <w:r w:rsidR="51E06A0E" w:rsidRPr="01B3D131">
        <w:rPr>
          <w:lang w:val="en-US"/>
        </w:rPr>
        <w:t>approved KIPs, the allocation is set at 100% for the period 2027–2029. This reflects the need to provide full support during the initial implementation phase for parties that have not yet developed or approved their implementation plans to achieve the 10% reduction target by 2029.</w:t>
      </w:r>
    </w:p>
    <w:p w14:paraId="75499080" w14:textId="77777777" w:rsidR="00812C90" w:rsidRDefault="00812C90" w:rsidP="01B3D131">
      <w:pPr>
        <w:spacing w:after="0"/>
        <w:rPr>
          <w:lang w:val="en-US"/>
        </w:rPr>
      </w:pPr>
    </w:p>
    <w:p w14:paraId="4FDA8C8F" w14:textId="41211759" w:rsidR="336453E5" w:rsidRDefault="51E06A0E" w:rsidP="01B3D131">
      <w:pPr>
        <w:spacing w:after="0"/>
        <w:rPr>
          <w:lang w:val="en-US"/>
        </w:rPr>
      </w:pPr>
      <w:r w:rsidRPr="01B3D131">
        <w:rPr>
          <w:lang w:val="en-US"/>
        </w:rPr>
        <w:t xml:space="preserve">For Stage II G1 parties </w:t>
      </w:r>
      <w:r w:rsidRPr="01B3D131">
        <w:rPr>
          <w:u w:val="single"/>
          <w:lang w:val="en-US"/>
        </w:rPr>
        <w:t xml:space="preserve">without </w:t>
      </w:r>
      <w:r w:rsidRPr="01B3D131">
        <w:rPr>
          <w:lang w:val="en-US"/>
        </w:rPr>
        <w:t>approved KIPs as of 97</w:t>
      </w:r>
      <w:r w:rsidRPr="01B3D131">
        <w:rPr>
          <w:vertAlign w:val="superscript"/>
          <w:lang w:val="en-US"/>
        </w:rPr>
        <w:t>th</w:t>
      </w:r>
      <w:r w:rsidRPr="01B3D131">
        <w:rPr>
          <w:lang w:val="en-US"/>
        </w:rPr>
        <w:t xml:space="preserve"> ExCom, the allocation is divided into two phases: 60% upfront during 2030–2032 and the remaining 40% during 2033–2035. This phased distribution is intended to ensure continuity of support while aligning with the longer-term </w:t>
      </w:r>
      <w:r w:rsidRPr="00185C72">
        <w:rPr>
          <w:lang w:val="en-US"/>
        </w:rPr>
        <w:t xml:space="preserve">implementation schedule, in accordance with ExCom Decision 94/59, which states that “Article 5 countries could submit the final funding tranche for </w:t>
      </w:r>
      <w:r w:rsidR="002743BF">
        <w:rPr>
          <w:lang w:val="en-US"/>
        </w:rPr>
        <w:t>S</w:t>
      </w:r>
      <w:r w:rsidRPr="00185C72">
        <w:rPr>
          <w:lang w:val="en-US"/>
        </w:rPr>
        <w:t xml:space="preserve">tage I of KIPs, at the earliest, two years prior to the last year of the plan for which a consumption target had been established, on the understanding that the first tranche of </w:t>
      </w:r>
      <w:r w:rsidR="002743BF">
        <w:rPr>
          <w:lang w:val="en-US"/>
        </w:rPr>
        <w:t>Stage</w:t>
      </w:r>
      <w:r w:rsidRPr="00185C72">
        <w:rPr>
          <w:lang w:val="en-US"/>
        </w:rPr>
        <w:t xml:space="preserve"> I of their KIP should be at a funding level not higher than 60 per cent of the total funding for the plan.”</w:t>
      </w:r>
    </w:p>
    <w:p w14:paraId="6BC19527" w14:textId="77777777" w:rsidR="00812C90" w:rsidRDefault="00812C90" w:rsidP="01B3D131">
      <w:pPr>
        <w:spacing w:after="0"/>
        <w:rPr>
          <w:lang w:val="en-US"/>
        </w:rPr>
      </w:pPr>
    </w:p>
    <w:p w14:paraId="5E1B36B8" w14:textId="31A03FF0" w:rsidR="336453E5" w:rsidRDefault="51E06A0E" w:rsidP="01B3D131">
      <w:pPr>
        <w:spacing w:after="0"/>
        <w:rPr>
          <w:lang w:val="en-US"/>
        </w:rPr>
      </w:pPr>
      <w:r w:rsidRPr="01B3D131">
        <w:rPr>
          <w:lang w:val="en-US"/>
        </w:rPr>
        <w:t xml:space="preserve">For Stage II G1 parties </w:t>
      </w:r>
      <w:r w:rsidRPr="01B3D131">
        <w:rPr>
          <w:u w:val="single"/>
          <w:lang w:val="en-US"/>
        </w:rPr>
        <w:t xml:space="preserve">with </w:t>
      </w:r>
      <w:r w:rsidRPr="01B3D131">
        <w:rPr>
          <w:lang w:val="en-US"/>
        </w:rPr>
        <w:t>approved KIPs as of 97</w:t>
      </w:r>
      <w:r w:rsidRPr="01B3D131">
        <w:rPr>
          <w:vertAlign w:val="superscript"/>
          <w:lang w:val="en-US"/>
        </w:rPr>
        <w:t>th</w:t>
      </w:r>
      <w:r w:rsidRPr="01B3D131">
        <w:rPr>
          <w:lang w:val="en-US"/>
        </w:rPr>
        <w:t xml:space="preserve"> ExCom, the allocation is brought forward to an earlier implementation period, with 60% allocated during 2027–2029 and 40% during 2030–2032, also in line with ExCom Decision 94/59. This approach recognizes that parties with approved KIPs are better positioned to initiate implementation activities earlier.</w:t>
      </w:r>
    </w:p>
    <w:p w14:paraId="7BF6F281" w14:textId="77777777" w:rsidR="00812C90" w:rsidRDefault="00812C90" w:rsidP="01B3D131">
      <w:pPr>
        <w:spacing w:after="0"/>
        <w:rPr>
          <w:lang w:val="en-US"/>
        </w:rPr>
      </w:pPr>
    </w:p>
    <w:p w14:paraId="693BA57A" w14:textId="7984EFF8" w:rsidR="336453E5" w:rsidRDefault="51E06A0E" w:rsidP="01B3D131">
      <w:pPr>
        <w:spacing w:after="0"/>
        <w:rPr>
          <w:lang w:val="en-US"/>
        </w:rPr>
      </w:pPr>
      <w:r w:rsidRPr="01B3D131">
        <w:rPr>
          <w:lang w:val="en-US"/>
        </w:rPr>
        <w:t>For Stage I G2 parties, the allocation follows a similar phased approach, with 60% allocated during 2027–2029 and 40% during 2030–2032. This structure supports an orderly transition and implementation process following the freeze target in 2028.</w:t>
      </w:r>
    </w:p>
    <w:p w14:paraId="08D77E45" w14:textId="77777777" w:rsidR="00812C90" w:rsidRDefault="00812C90" w:rsidP="01B3D131">
      <w:pPr>
        <w:spacing w:after="0"/>
        <w:rPr>
          <w:lang w:val="en-US"/>
        </w:rPr>
      </w:pPr>
    </w:p>
    <w:p w14:paraId="35A593DD" w14:textId="786A32EC" w:rsidR="00296C6F" w:rsidRDefault="51E06A0E" w:rsidP="222ABFFA">
      <w:pPr>
        <w:spacing w:after="0"/>
        <w:rPr>
          <w:b/>
          <w:bCs/>
          <w:lang w:val="en-US"/>
        </w:rPr>
      </w:pPr>
      <w:r w:rsidRPr="01B3D131">
        <w:rPr>
          <w:lang w:val="en-US"/>
        </w:rPr>
        <w:t>Overall, the allocation framework is designed to balance readiness, implementation capacity, and the timing of approved plans, while ensuring a gradual, predictable, and equitable distribution of resources.</w:t>
      </w:r>
      <w:r w:rsidRPr="01B3D131">
        <w:rPr>
          <w:b/>
          <w:bCs/>
          <w:lang w:val="en-US"/>
        </w:rPr>
        <w:t xml:space="preserve"> </w:t>
      </w:r>
    </w:p>
    <w:p w14:paraId="15840C0B" w14:textId="77777777" w:rsidR="004C7CDC" w:rsidRDefault="004C7CDC" w:rsidP="222ABFFA">
      <w:pPr>
        <w:spacing w:after="0"/>
        <w:rPr>
          <w:b/>
          <w:bCs/>
          <w:lang w:val="en-US"/>
        </w:rPr>
      </w:pPr>
    </w:p>
    <w:p w14:paraId="69EBC866" w14:textId="2BB082A3" w:rsidR="004C7CDC" w:rsidRPr="004C7CDC" w:rsidRDefault="4BCEE662" w:rsidP="222ABFFA">
      <w:pPr>
        <w:spacing w:after="0"/>
        <w:rPr>
          <w:lang w:val="en-US"/>
        </w:rPr>
      </w:pPr>
      <w:r w:rsidRPr="4BCEE662">
        <w:rPr>
          <w:lang w:val="en-US"/>
        </w:rPr>
        <w:lastRenderedPageBreak/>
        <w:t>The funding per triennium, for HFC Scenario 1, applying resource allocation schedule B is presented in Table 3.8 below.</w:t>
      </w:r>
    </w:p>
    <w:p w14:paraId="17AB7450" w14:textId="77777777" w:rsidR="004C7CDC" w:rsidRPr="00812C90" w:rsidRDefault="004C7CDC" w:rsidP="222ABFFA">
      <w:pPr>
        <w:spacing w:after="0"/>
        <w:rPr>
          <w:b/>
          <w:bCs/>
          <w:lang w:val="en-US"/>
        </w:rPr>
      </w:pPr>
    </w:p>
    <w:p w14:paraId="328F20A7" w14:textId="219B67A8" w:rsidR="00812C90" w:rsidRPr="00D5258A" w:rsidRDefault="00812C90" w:rsidP="002135B0">
      <w:pPr>
        <w:tabs>
          <w:tab w:val="left" w:pos="1134"/>
        </w:tabs>
        <w:spacing w:after="120"/>
        <w:ind w:left="1418" w:hanging="1418"/>
        <w:rPr>
          <w:b/>
          <w:bCs/>
        </w:rPr>
      </w:pPr>
      <w:r w:rsidRPr="239CCF04">
        <w:rPr>
          <w:rFonts w:eastAsiaTheme="minorEastAsia"/>
          <w:b/>
          <w:bCs/>
        </w:rPr>
        <w:t>Table 3.8</w:t>
      </w:r>
      <w:r w:rsidR="00F61273">
        <w:rPr>
          <w:rFonts w:eastAsiaTheme="minorEastAsia"/>
          <w:b/>
          <w:bCs/>
        </w:rPr>
        <w:t>:</w:t>
      </w:r>
      <w:r>
        <w:tab/>
      </w:r>
      <w:r w:rsidRPr="00D5258A">
        <w:rPr>
          <w:b/>
          <w:bCs/>
          <w:lang w:val="en-US"/>
        </w:rPr>
        <w:t xml:space="preserve">Resource Allocation </w:t>
      </w:r>
      <w:r>
        <w:rPr>
          <w:b/>
          <w:bCs/>
          <w:lang w:val="en-US"/>
        </w:rPr>
        <w:t>B</w:t>
      </w:r>
      <w:r w:rsidRPr="00D5258A">
        <w:rPr>
          <w:b/>
          <w:bCs/>
          <w:lang w:val="en-US"/>
        </w:rPr>
        <w:t xml:space="preserve"> proposed by RTF for</w:t>
      </w:r>
      <w:r w:rsidR="002D6C77">
        <w:rPr>
          <w:b/>
          <w:bCs/>
          <w:lang w:val="en-US"/>
        </w:rPr>
        <w:t xml:space="preserve"> HFC </w:t>
      </w:r>
      <w:r w:rsidRPr="00D5258A">
        <w:rPr>
          <w:b/>
          <w:bCs/>
          <w:lang w:val="en-US"/>
        </w:rPr>
        <w:t>Scenario 1 (US$ million)</w:t>
      </w:r>
    </w:p>
    <w:p w14:paraId="78CAE71B" w14:textId="7A0C0FDB" w:rsidR="00296C6F" w:rsidRDefault="1A2951D3" w:rsidP="779DC3C8">
      <w:pPr>
        <w:spacing w:after="0"/>
        <w:rPr>
          <w:lang w:val="en-US"/>
        </w:rPr>
      </w:pPr>
      <w:r>
        <w:rPr>
          <w:noProof/>
        </w:rPr>
        <w:drawing>
          <wp:inline distT="0" distB="0" distL="0" distR="0" wp14:anchorId="68ECDF40" wp14:editId="384526D4">
            <wp:extent cx="5762625" cy="2600325"/>
            <wp:effectExtent l="0" t="0" r="0" b="0"/>
            <wp:docPr id="18359491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49144" name="Picture 1835949144"/>
                    <pic:cNvPicPr/>
                  </pic:nvPicPr>
                  <pic:blipFill>
                    <a:blip r:embed="rId34">
                      <a:extLst>
                        <a:ext uri="{28A0092B-C50C-407E-A947-70E740481C1C}">
                          <a14:useLocalDpi xmlns:a14="http://schemas.microsoft.com/office/drawing/2010/main"/>
                        </a:ext>
                      </a:extLst>
                    </a:blip>
                    <a:stretch>
                      <a:fillRect/>
                    </a:stretch>
                  </pic:blipFill>
                  <pic:spPr>
                    <a:xfrm>
                      <a:off x="0" y="0"/>
                      <a:ext cx="5762625" cy="2600325"/>
                    </a:xfrm>
                    <a:prstGeom prst="rect">
                      <a:avLst/>
                    </a:prstGeom>
                  </pic:spPr>
                </pic:pic>
              </a:graphicData>
            </a:graphic>
          </wp:inline>
        </w:drawing>
      </w:r>
    </w:p>
    <w:p w14:paraId="192971C5" w14:textId="77777777" w:rsidR="00D23365" w:rsidRDefault="00D23365" w:rsidP="336453E5">
      <w:pPr>
        <w:spacing w:after="0" w:line="259" w:lineRule="auto"/>
        <w:rPr>
          <w:lang w:val="en-US"/>
        </w:rPr>
      </w:pPr>
    </w:p>
    <w:p w14:paraId="76326BE4" w14:textId="728B3D28" w:rsidR="23681A94" w:rsidRDefault="274D2446" w:rsidP="000819CF">
      <w:pPr>
        <w:spacing w:after="120" w:line="259" w:lineRule="auto"/>
        <w:rPr>
          <w:lang w:val="en-US"/>
        </w:rPr>
      </w:pPr>
      <w:r w:rsidRPr="274D2446">
        <w:rPr>
          <w:lang w:val="en-US"/>
        </w:rPr>
        <w:t xml:space="preserve">Applying </w:t>
      </w:r>
      <w:r w:rsidRPr="274D2446">
        <w:rPr>
          <w:b/>
          <w:bCs/>
          <w:lang w:val="en-US"/>
        </w:rPr>
        <w:t>resource allocation schedule B</w:t>
      </w:r>
      <w:r w:rsidRPr="274D2446">
        <w:rPr>
          <w:lang w:val="en-US"/>
        </w:rPr>
        <w:t>, the new funding estimates for the</w:t>
      </w:r>
      <w:r w:rsidR="002D6C77">
        <w:rPr>
          <w:lang w:val="en-US"/>
        </w:rPr>
        <w:t xml:space="preserve"> HFC</w:t>
      </w:r>
      <w:r w:rsidRPr="274D2446">
        <w:rPr>
          <w:lang w:val="en-US"/>
        </w:rPr>
        <w:t xml:space="preserve"> Scenario 1 are:</w:t>
      </w:r>
    </w:p>
    <w:p w14:paraId="5D597697" w14:textId="031CD52A" w:rsidR="00D23365" w:rsidRPr="00D23365" w:rsidRDefault="00D23365" w:rsidP="000819CF">
      <w:pPr>
        <w:pStyle w:val="ListParagraph"/>
        <w:numPr>
          <w:ilvl w:val="0"/>
          <w:numId w:val="81"/>
        </w:numPr>
        <w:spacing w:after="120" w:line="259" w:lineRule="auto"/>
        <w:rPr>
          <w:b/>
          <w:bCs/>
          <w:lang w:val="en-US"/>
        </w:rPr>
      </w:pPr>
      <w:r w:rsidRPr="00D23365">
        <w:rPr>
          <w:b/>
          <w:bCs/>
          <w:lang w:val="en-US"/>
        </w:rPr>
        <w:t>2027-2029: US$ 585.50 million</w:t>
      </w:r>
    </w:p>
    <w:p w14:paraId="28AEA4AE" w14:textId="0C2E2627" w:rsidR="00D23365" w:rsidRPr="00D23365" w:rsidRDefault="00D23365" w:rsidP="000819CF">
      <w:pPr>
        <w:pStyle w:val="ListParagraph"/>
        <w:numPr>
          <w:ilvl w:val="0"/>
          <w:numId w:val="81"/>
        </w:numPr>
        <w:spacing w:after="120" w:line="259" w:lineRule="auto"/>
        <w:rPr>
          <w:b/>
          <w:bCs/>
          <w:lang w:val="en-US"/>
        </w:rPr>
      </w:pPr>
      <w:r w:rsidRPr="00D23365">
        <w:rPr>
          <w:b/>
          <w:bCs/>
          <w:lang w:val="en-US"/>
        </w:rPr>
        <w:t>2030-2032: US$ 1,031.12 million</w:t>
      </w:r>
    </w:p>
    <w:p w14:paraId="32FF6CB0" w14:textId="22501B74" w:rsidR="00D23365" w:rsidRPr="00D23365" w:rsidRDefault="00D23365" w:rsidP="000819CF">
      <w:pPr>
        <w:pStyle w:val="ListParagraph"/>
        <w:numPr>
          <w:ilvl w:val="0"/>
          <w:numId w:val="81"/>
        </w:numPr>
        <w:spacing w:after="120" w:line="259" w:lineRule="auto"/>
        <w:rPr>
          <w:b/>
          <w:bCs/>
          <w:lang w:val="en-US"/>
        </w:rPr>
      </w:pPr>
      <w:r w:rsidRPr="00D23365">
        <w:rPr>
          <w:b/>
          <w:bCs/>
          <w:lang w:val="en-US"/>
        </w:rPr>
        <w:t>2033-2035: US$ 573.81 million</w:t>
      </w:r>
    </w:p>
    <w:p w14:paraId="67A53CD8" w14:textId="77777777" w:rsidR="00812C90" w:rsidRDefault="00812C90" w:rsidP="01B3D131">
      <w:pPr>
        <w:spacing w:after="0" w:line="259" w:lineRule="auto"/>
        <w:rPr>
          <w:lang w:val="en-US"/>
        </w:rPr>
      </w:pPr>
    </w:p>
    <w:p w14:paraId="228AB161" w14:textId="5D2A78D7" w:rsidR="00296C6F" w:rsidRPr="00BE568E" w:rsidRDefault="2E3EE83F" w:rsidP="01B3D131">
      <w:pPr>
        <w:spacing w:after="0" w:line="259" w:lineRule="auto"/>
        <w:rPr>
          <w:lang w:val="en-US"/>
        </w:rPr>
      </w:pPr>
      <w:r w:rsidRPr="7D71EDA9">
        <w:rPr>
          <w:lang w:val="en-US"/>
        </w:rPr>
        <w:t xml:space="preserve">As per </w:t>
      </w:r>
      <w:r w:rsidR="00812C90">
        <w:rPr>
          <w:lang w:val="en-US"/>
        </w:rPr>
        <w:t xml:space="preserve">resource </w:t>
      </w:r>
      <w:r w:rsidRPr="7D71EDA9">
        <w:rPr>
          <w:lang w:val="en-US"/>
        </w:rPr>
        <w:t xml:space="preserve">allocation </w:t>
      </w:r>
      <w:r w:rsidR="7A067A7B" w:rsidRPr="76CD94C5">
        <w:rPr>
          <w:lang w:val="en-US"/>
        </w:rPr>
        <w:t>schedule</w:t>
      </w:r>
      <w:r w:rsidRPr="7D71EDA9">
        <w:rPr>
          <w:lang w:val="en-US"/>
        </w:rPr>
        <w:t xml:space="preserve"> B, for Stage I G1 parties </w:t>
      </w:r>
      <w:r w:rsidRPr="7D71EDA9">
        <w:rPr>
          <w:u w:val="single"/>
          <w:lang w:val="en-US"/>
        </w:rPr>
        <w:t xml:space="preserve">without </w:t>
      </w:r>
      <w:r w:rsidRPr="7D71EDA9">
        <w:rPr>
          <w:lang w:val="en-US"/>
        </w:rPr>
        <w:t>approved KIPs, the allocation is distributed with 90% during 2027–2029 and the remaining 10% during 2030–2032. This allocation approach reflects the need to provide the majority of support during the initial implementation phase while maintaining a smaller portion of funding for follow-up activities and completion of implementation targets.</w:t>
      </w:r>
    </w:p>
    <w:p w14:paraId="5BBA09DA" w14:textId="7B54B251" w:rsidR="00296C6F" w:rsidRPr="00BE568E" w:rsidRDefault="00296C6F" w:rsidP="336453E5">
      <w:pPr>
        <w:spacing w:after="0" w:line="259" w:lineRule="auto"/>
      </w:pPr>
    </w:p>
    <w:p w14:paraId="76B5E9AB" w14:textId="72D7135A" w:rsidR="00296C6F" w:rsidRPr="00BE568E" w:rsidRDefault="2E3EE83F" w:rsidP="336453E5">
      <w:pPr>
        <w:spacing w:after="0" w:line="259" w:lineRule="auto"/>
      </w:pPr>
      <w:r w:rsidRPr="7D71EDA9">
        <w:rPr>
          <w:lang w:val="en-US"/>
        </w:rPr>
        <w:t xml:space="preserve">For Stage II G1 parties </w:t>
      </w:r>
      <w:r w:rsidRPr="7D71EDA9">
        <w:rPr>
          <w:u w:val="single"/>
          <w:lang w:val="en-US"/>
        </w:rPr>
        <w:t>without</w:t>
      </w:r>
      <w:r w:rsidRPr="7D71EDA9">
        <w:rPr>
          <w:lang w:val="en-US"/>
        </w:rPr>
        <w:t xml:space="preserve"> approved KIPs, the allocation is divided into two phases: 60% during 2030–2032 and 40% during 2033–2035. This phased distribution is intended to ensure continuity of support while aligning with the longer-term implementation schedule, in accordance with ExCom Decision 94/59 regarding the submission and funding structure of KIPs.</w:t>
      </w:r>
    </w:p>
    <w:p w14:paraId="49D8DBFC" w14:textId="77777777" w:rsidR="00812C90" w:rsidRDefault="00812C90" w:rsidP="336453E5">
      <w:pPr>
        <w:spacing w:after="0" w:line="259" w:lineRule="auto"/>
        <w:rPr>
          <w:lang w:val="en-US"/>
        </w:rPr>
      </w:pPr>
    </w:p>
    <w:p w14:paraId="39EE58F1" w14:textId="0EC22A2E" w:rsidR="00296C6F" w:rsidRPr="00BE568E" w:rsidRDefault="2E3EE83F" w:rsidP="336453E5">
      <w:pPr>
        <w:spacing w:after="0" w:line="259" w:lineRule="auto"/>
      </w:pPr>
      <w:r w:rsidRPr="0D0BC6F9">
        <w:rPr>
          <w:lang w:val="en-US"/>
        </w:rPr>
        <w:t xml:space="preserve">For Stage II G1 parties </w:t>
      </w:r>
      <w:r w:rsidRPr="0D0BC6F9">
        <w:rPr>
          <w:u w:val="single"/>
          <w:lang w:val="en-US"/>
        </w:rPr>
        <w:t>with</w:t>
      </w:r>
      <w:r w:rsidRPr="0D0BC6F9">
        <w:rPr>
          <w:lang w:val="en-US"/>
        </w:rPr>
        <w:t xml:space="preserve"> approved KIPs, the allocation also follows a phased structure, with 60% allocated during 2030–2032 and the remaining 40% during 2033–2035. This approach recognizes that parties with approved KIPs are positioned to proceed with implementation activities according to the established Stage II schedule.</w:t>
      </w:r>
    </w:p>
    <w:p w14:paraId="315F2AE5" w14:textId="77777777" w:rsidR="00812C90" w:rsidRDefault="00812C90" w:rsidP="01B3D131">
      <w:pPr>
        <w:spacing w:after="0" w:line="259" w:lineRule="auto"/>
        <w:rPr>
          <w:lang w:val="en-US"/>
        </w:rPr>
      </w:pPr>
    </w:p>
    <w:p w14:paraId="79C3867E" w14:textId="3129F315" w:rsidR="00296C6F" w:rsidRPr="00BE568E" w:rsidRDefault="2E3EE83F" w:rsidP="01B3D131">
      <w:pPr>
        <w:spacing w:after="0" w:line="259" w:lineRule="auto"/>
        <w:rPr>
          <w:highlight w:val="yellow"/>
          <w:lang w:val="en-US"/>
        </w:rPr>
      </w:pPr>
      <w:r w:rsidRPr="0D0BC6F9">
        <w:rPr>
          <w:lang w:val="en-US"/>
        </w:rPr>
        <w:t xml:space="preserve">For Stage I G2 parties </w:t>
      </w:r>
      <w:r w:rsidRPr="0D0BC6F9">
        <w:rPr>
          <w:u w:val="single"/>
          <w:lang w:val="en-US"/>
        </w:rPr>
        <w:t>without</w:t>
      </w:r>
      <w:r w:rsidRPr="0D0BC6F9">
        <w:rPr>
          <w:lang w:val="en-US"/>
        </w:rPr>
        <w:t xml:space="preserve"> KIPs, the allocation provides 90% during</w:t>
      </w:r>
      <w:r w:rsidRPr="0D0BC6F9">
        <w:rPr>
          <w:color w:val="auto"/>
          <w:lang w:val="en-US"/>
        </w:rPr>
        <w:t xml:space="preserve"> 2030–2032 </w:t>
      </w:r>
      <w:r w:rsidRPr="0D0BC6F9">
        <w:rPr>
          <w:lang w:val="en-US"/>
        </w:rPr>
        <w:t>and the remaining 10% during 2033–2035. This structure may bring delay</w:t>
      </w:r>
      <w:r w:rsidR="00917A83" w:rsidRPr="0D0BC6F9">
        <w:rPr>
          <w:lang w:val="en-US"/>
        </w:rPr>
        <w:t>s</w:t>
      </w:r>
      <w:r w:rsidRPr="0D0BC6F9">
        <w:rPr>
          <w:lang w:val="en-US"/>
        </w:rPr>
        <w:t xml:space="preserve"> in support for implementation activities that will assist the freeze and 10% reduction by 2032. </w:t>
      </w:r>
    </w:p>
    <w:p w14:paraId="763FBD1A" w14:textId="77777777" w:rsidR="00812C90" w:rsidRDefault="00812C90" w:rsidP="01B3D131">
      <w:pPr>
        <w:spacing w:after="0" w:line="259" w:lineRule="auto"/>
        <w:rPr>
          <w:lang w:val="en-US"/>
        </w:rPr>
      </w:pPr>
    </w:p>
    <w:p w14:paraId="4FE0522C" w14:textId="101A4F41" w:rsidR="00296C6F" w:rsidRPr="00BE568E" w:rsidRDefault="2E3EE83F" w:rsidP="01B3D131">
      <w:pPr>
        <w:spacing w:after="0" w:line="259" w:lineRule="auto"/>
        <w:rPr>
          <w:highlight w:val="yellow"/>
          <w:lang w:val="en-US"/>
        </w:rPr>
      </w:pPr>
      <w:r w:rsidRPr="0D0BC6F9">
        <w:rPr>
          <w:lang w:val="en-US"/>
        </w:rPr>
        <w:t xml:space="preserve">For </w:t>
      </w:r>
      <w:r w:rsidR="002743BF">
        <w:rPr>
          <w:lang w:val="en-US"/>
        </w:rPr>
        <w:t>Stage</w:t>
      </w:r>
      <w:r w:rsidR="1BC56F81" w:rsidRPr="0D0BC6F9">
        <w:rPr>
          <w:lang w:val="en-US"/>
        </w:rPr>
        <w:t xml:space="preserve"> I </w:t>
      </w:r>
      <w:r w:rsidRPr="0D0BC6F9">
        <w:rPr>
          <w:lang w:val="en-US"/>
        </w:rPr>
        <w:t>G1 parties</w:t>
      </w:r>
      <w:r w:rsidR="5F1EC158" w:rsidRPr="0D0BC6F9">
        <w:rPr>
          <w:lang w:val="en-US"/>
        </w:rPr>
        <w:t>,</w:t>
      </w:r>
      <w:r w:rsidRPr="0D0BC6F9">
        <w:rPr>
          <w:lang w:val="en-US"/>
        </w:rPr>
        <w:t xml:space="preserve"> </w:t>
      </w:r>
      <w:r w:rsidR="55097768" w:rsidRPr="0D0BC6F9">
        <w:rPr>
          <w:lang w:val="en-US"/>
        </w:rPr>
        <w:t xml:space="preserve">that have not ratified, </w:t>
      </w:r>
      <w:r w:rsidRPr="0D0BC6F9">
        <w:rPr>
          <w:lang w:val="en-US"/>
        </w:rPr>
        <w:t>RTF assumed they “will-ratify by 2029” and the allocation for Stage I follows the same approach as “Stage I G1 parties without approved KIPs”, with 90% allocated during 2027–2029 and 10% during 2030–2032. This allocation assumes that these parties will complete ratification and begin implementation activities during the initial funding period.</w:t>
      </w:r>
    </w:p>
    <w:p w14:paraId="58DA0960" w14:textId="4BA7591E" w:rsidR="00296C6F" w:rsidRPr="00BE568E" w:rsidRDefault="4BCEE662" w:rsidP="336453E5">
      <w:pPr>
        <w:spacing w:after="0" w:line="259" w:lineRule="auto"/>
      </w:pPr>
      <w:r w:rsidRPr="4BCEE662">
        <w:rPr>
          <w:lang w:val="en-US"/>
        </w:rPr>
        <w:lastRenderedPageBreak/>
        <w:t xml:space="preserve">For </w:t>
      </w:r>
      <w:r w:rsidR="002743BF">
        <w:rPr>
          <w:lang w:val="en-US"/>
        </w:rPr>
        <w:t>Stage</w:t>
      </w:r>
      <w:r w:rsidRPr="4BCEE662">
        <w:rPr>
          <w:lang w:val="en-US"/>
        </w:rPr>
        <w:t xml:space="preserve"> II G1 parties, RTF assumed they “will-ratify by 2029” and the allocation for Stage II is structured with 60% during 2030–2032 and 40% during 2033–2035, consistent with the phased implementation approach applied to Stage II activities.</w:t>
      </w:r>
    </w:p>
    <w:p w14:paraId="3BCE6D49" w14:textId="77777777" w:rsidR="00812C90" w:rsidRDefault="00812C90" w:rsidP="01B3D131">
      <w:pPr>
        <w:spacing w:after="0" w:line="259" w:lineRule="auto"/>
        <w:rPr>
          <w:lang w:val="en-US"/>
        </w:rPr>
      </w:pPr>
    </w:p>
    <w:p w14:paraId="046A0C6B" w14:textId="5F6EC882" w:rsidR="00296C6F" w:rsidRPr="00BE568E" w:rsidRDefault="4BCEE662" w:rsidP="4BCEE662">
      <w:pPr>
        <w:spacing w:after="0" w:line="259" w:lineRule="auto"/>
        <w:rPr>
          <w:lang w:val="en-US"/>
        </w:rPr>
      </w:pPr>
      <w:r w:rsidRPr="4BCEE662">
        <w:rPr>
          <w:lang w:val="en-US"/>
        </w:rPr>
        <w:t xml:space="preserve">For </w:t>
      </w:r>
      <w:r w:rsidR="002743BF">
        <w:rPr>
          <w:lang w:val="en-US"/>
        </w:rPr>
        <w:t>Stage</w:t>
      </w:r>
      <w:r w:rsidRPr="4BCEE662">
        <w:rPr>
          <w:lang w:val="en-US"/>
        </w:rPr>
        <w:t xml:space="preserve"> I, G2 parties that have not ratified, RTF assumed they “will-ratify by 2029”, and the allocation follows a similar pattern to Stage I G2 parties, without a KIP, with 90% allocated during 2030–2032 and the remaining 10% during 2033–2035. </w:t>
      </w:r>
    </w:p>
    <w:p w14:paraId="4D016E4C" w14:textId="77777777" w:rsidR="00812C90" w:rsidRDefault="00812C90" w:rsidP="01B3D131">
      <w:pPr>
        <w:spacing w:after="0" w:line="259" w:lineRule="auto"/>
        <w:rPr>
          <w:lang w:val="en-US"/>
        </w:rPr>
      </w:pPr>
    </w:p>
    <w:p w14:paraId="74BB8CEF" w14:textId="69A8E016" w:rsidR="00296C6F" w:rsidRPr="00BE568E" w:rsidRDefault="2E3EE83F" w:rsidP="01B3D131">
      <w:pPr>
        <w:spacing w:after="0" w:line="259" w:lineRule="auto"/>
        <w:rPr>
          <w:lang w:val="en-US"/>
        </w:rPr>
      </w:pPr>
      <w:r w:rsidRPr="7D71EDA9">
        <w:rPr>
          <w:lang w:val="en-US"/>
        </w:rPr>
        <w:t>Overall,</w:t>
      </w:r>
      <w:r w:rsidRPr="7D71EDA9">
        <w:rPr>
          <w:b/>
          <w:bCs/>
          <w:lang w:val="en-US"/>
        </w:rPr>
        <w:t xml:space="preserve"> Resource Allocation </w:t>
      </w:r>
      <w:r w:rsidR="00812C90">
        <w:rPr>
          <w:b/>
          <w:bCs/>
          <w:lang w:val="en-US"/>
        </w:rPr>
        <w:t xml:space="preserve">Schedule </w:t>
      </w:r>
      <w:r w:rsidRPr="7D71EDA9">
        <w:rPr>
          <w:b/>
          <w:bCs/>
          <w:lang w:val="en-US"/>
        </w:rPr>
        <w:t xml:space="preserve">B </w:t>
      </w:r>
      <w:r w:rsidRPr="7D71EDA9">
        <w:rPr>
          <w:lang w:val="en-US"/>
        </w:rPr>
        <w:t xml:space="preserve">is designed to provide implementation support while maintaining sufficient funding. The framework also reflects potential implementation lag, KIP approval status, and expected ratification timelines but may bring delay for some G2 parties that have ratified and are ready to start KIP Stage I implementation in the next triennium. </w:t>
      </w:r>
    </w:p>
    <w:p w14:paraId="2D94A976" w14:textId="53D58E8F" w:rsidR="7D71EDA9" w:rsidRDefault="7D71EDA9" w:rsidP="7D71EDA9">
      <w:pPr>
        <w:spacing w:after="0" w:line="259" w:lineRule="auto"/>
        <w:rPr>
          <w:i/>
          <w:iCs/>
          <w:lang w:val="en-US"/>
        </w:rPr>
      </w:pPr>
    </w:p>
    <w:p w14:paraId="37AE3568" w14:textId="43CD42F8" w:rsidR="0089731E" w:rsidRPr="00F206C1" w:rsidRDefault="0089731E" w:rsidP="007C77CF">
      <w:pPr>
        <w:pStyle w:val="Heading3"/>
        <w:rPr>
          <w:lang w:val="en-US"/>
        </w:rPr>
      </w:pPr>
      <w:bookmarkStart w:id="197" w:name="_Toc230099084"/>
      <w:r w:rsidRPr="00F206C1">
        <w:rPr>
          <w:lang w:val="en-US"/>
        </w:rPr>
        <w:t>3.</w:t>
      </w:r>
      <w:r w:rsidR="001E26AC">
        <w:rPr>
          <w:lang w:val="en-US"/>
        </w:rPr>
        <w:t>4</w:t>
      </w:r>
      <w:r w:rsidRPr="00F206C1">
        <w:rPr>
          <w:lang w:val="en-US"/>
        </w:rPr>
        <w:t>.</w:t>
      </w:r>
      <w:r w:rsidR="001E26AC">
        <w:rPr>
          <w:lang w:val="en-US"/>
        </w:rPr>
        <w:t>6</w:t>
      </w:r>
      <w:r w:rsidRPr="00F206C1">
        <w:tab/>
      </w:r>
      <w:r w:rsidR="00A92FC3">
        <w:t>HFC Scenario 2</w:t>
      </w:r>
      <w:r>
        <w:t>: Applying CE</w:t>
      </w:r>
      <w:r w:rsidR="00125B0A">
        <w:t>s</w:t>
      </w:r>
      <w:r>
        <w:t xml:space="preserve"> </w:t>
      </w:r>
      <w:r w:rsidR="00125B0A">
        <w:t>for SMEs’ participation</w:t>
      </w:r>
      <w:bookmarkEnd w:id="197"/>
      <w:r w:rsidRPr="00F206C1">
        <w:rPr>
          <w:lang w:val="en-US"/>
        </w:rPr>
        <w:t xml:space="preserve"> </w:t>
      </w:r>
    </w:p>
    <w:p w14:paraId="0C34BF8B" w14:textId="54160B6D" w:rsidR="00296C6F" w:rsidRDefault="4A3D949B" w:rsidP="222ABFFA">
      <w:pPr>
        <w:spacing w:after="0"/>
      </w:pPr>
      <w:r w:rsidRPr="222ABFFA">
        <w:rPr>
          <w:lang w:val="en-US"/>
        </w:rPr>
        <w:t xml:space="preserve">Decision 95/87 defines “SMEs in the commercial RAC manufacturing sector as enterprises with HFC consumption of 15 metric tonnes or less, and 20 metric tonnes for polyurethane foam” with certain considerations and limitations. The decision accorded SMEs “32 per cent above the CE threshold” for RAC enterprises with HFC consumption of 15 metric tonnes or less, and 40 per cent for polyurethane foam enterprises with 20 metric tonnes or less.” </w:t>
      </w:r>
    </w:p>
    <w:p w14:paraId="28E53D82" w14:textId="3EEB804C" w:rsidR="00296C6F" w:rsidRDefault="4A3D949B" w:rsidP="222ABFFA">
      <w:pPr>
        <w:spacing w:after="0"/>
      </w:pPr>
      <w:r w:rsidRPr="222ABFFA">
        <w:rPr>
          <w:lang w:val="en-US"/>
        </w:rPr>
        <w:t xml:space="preserve"> </w:t>
      </w:r>
    </w:p>
    <w:p w14:paraId="10518E17" w14:textId="6077A555" w:rsidR="00296C6F" w:rsidRDefault="4A3D949B" w:rsidP="222ABFFA">
      <w:pPr>
        <w:spacing w:after="0"/>
        <w:rPr>
          <w:lang w:val="en-US"/>
        </w:rPr>
      </w:pPr>
      <w:r w:rsidRPr="0D0BC6F9">
        <w:rPr>
          <w:lang w:val="en-US"/>
        </w:rPr>
        <w:t xml:space="preserve">RTF reviewed documents UNEP/OzL.Pro/ExCom/93/96, UNEP/OzL.Pro/ExCom/92/45, and UNEP/OzL.Pro/ExCom/92/46 for information on the number and percentage participation of SMEs in the different sectors but did not find such information which can feed a scenario on the impact of SME funding. RTF made its own estimation of the percentage participation of SMEs </w:t>
      </w:r>
      <w:r w:rsidR="0F423024" w:rsidRPr="0D0BC6F9">
        <w:rPr>
          <w:lang w:val="en-US"/>
        </w:rPr>
        <w:t xml:space="preserve">in some sectors </w:t>
      </w:r>
      <w:r w:rsidRPr="0D0BC6F9">
        <w:rPr>
          <w:lang w:val="en-US"/>
        </w:rPr>
        <w:t xml:space="preserve">based on TEAP/TOC and RTF sector </w:t>
      </w:r>
      <w:r w:rsidRPr="008A39A4">
        <w:rPr>
          <w:lang w:val="en-US"/>
        </w:rPr>
        <w:t xml:space="preserve">experts. Table </w:t>
      </w:r>
      <w:r w:rsidR="008A39A4" w:rsidRPr="008A39A4">
        <w:rPr>
          <w:lang w:val="en-US"/>
        </w:rPr>
        <w:t>3.9</w:t>
      </w:r>
      <w:r w:rsidRPr="008A39A4">
        <w:rPr>
          <w:lang w:val="en-US"/>
        </w:rPr>
        <w:t xml:space="preserve"> </w:t>
      </w:r>
      <w:r w:rsidR="220C69AF" w:rsidRPr="008A39A4">
        <w:rPr>
          <w:lang w:val="en-US"/>
        </w:rPr>
        <w:t>shows</w:t>
      </w:r>
      <w:r w:rsidRPr="0D0BC6F9">
        <w:rPr>
          <w:lang w:val="en-US"/>
        </w:rPr>
        <w:t xml:space="preserve"> the commercial refrigeration sector having the highest percentage at 55 per cent with other sectors in RAC, and foam polyurethane with up to 15 per cent participation of SMEs in the sector. RTF did not consider micro enterprises benefitting up to 2.5 times through umbrella projects as mentioned in sub-paragraph e) of decision 95/86.</w:t>
      </w:r>
    </w:p>
    <w:p w14:paraId="5719023C" w14:textId="3938A17C" w:rsidR="00296C6F" w:rsidRDefault="00296C6F" w:rsidP="50A878A3">
      <w:pPr>
        <w:spacing w:after="0" w:line="259" w:lineRule="auto"/>
        <w:rPr>
          <w:rFonts w:ascii="Times New Roman_MSFontService" w:eastAsia="Times New Roman_MSFontService" w:hAnsi="Times New Roman_MSFontService" w:cs="Times New Roman_MSFontService"/>
          <w:b/>
          <w:bCs/>
          <w:sz w:val="24"/>
          <w:szCs w:val="24"/>
          <w:lang w:val="en-US"/>
        </w:rPr>
      </w:pPr>
    </w:p>
    <w:p w14:paraId="3D0B16E7" w14:textId="45C6609B" w:rsidR="7E09EE1B" w:rsidRDefault="00125B0A" w:rsidP="002135B0">
      <w:pPr>
        <w:tabs>
          <w:tab w:val="left" w:pos="1134"/>
        </w:tabs>
        <w:spacing w:after="120"/>
        <w:ind w:left="1134" w:hanging="1134"/>
        <w:rPr>
          <w:b/>
          <w:bCs/>
          <w:lang w:val="en-US"/>
        </w:rPr>
      </w:pPr>
      <w:r w:rsidRPr="0C52B0CB">
        <w:rPr>
          <w:rFonts w:eastAsiaTheme="minorEastAsia"/>
          <w:b/>
        </w:rPr>
        <w:t xml:space="preserve">Table </w:t>
      </w:r>
      <w:r>
        <w:rPr>
          <w:rFonts w:eastAsiaTheme="minorEastAsia"/>
          <w:b/>
        </w:rPr>
        <w:t>3</w:t>
      </w:r>
      <w:r w:rsidRPr="0C52B0CB">
        <w:rPr>
          <w:rFonts w:eastAsiaTheme="minorEastAsia"/>
          <w:b/>
        </w:rPr>
        <w:t>.</w:t>
      </w:r>
      <w:r>
        <w:rPr>
          <w:rFonts w:eastAsiaTheme="minorEastAsia"/>
          <w:b/>
        </w:rPr>
        <w:t>9</w:t>
      </w:r>
      <w:r w:rsidR="00802DEB">
        <w:rPr>
          <w:rFonts w:eastAsiaTheme="minorEastAsia"/>
          <w:b/>
        </w:rPr>
        <w:t>:</w:t>
      </w:r>
      <w:r>
        <w:tab/>
      </w:r>
      <w:r w:rsidRPr="00125B0A">
        <w:rPr>
          <w:b/>
          <w:bCs/>
          <w:lang w:val="en-US"/>
        </w:rPr>
        <w:t>RTF Assumptions for SMEs’ Participation in some sectors and CE Thresholds Applied</w:t>
      </w:r>
      <w:r w:rsidR="00D141C3">
        <w:rPr>
          <w:b/>
          <w:bCs/>
          <w:lang w:val="en-US"/>
        </w:rPr>
        <w:t>*</w:t>
      </w:r>
    </w:p>
    <w:p w14:paraId="680C146C" w14:textId="69D7A93E" w:rsidR="000C419E" w:rsidRDefault="000C419E" w:rsidP="548BBB9B">
      <w:pPr>
        <w:tabs>
          <w:tab w:val="left" w:pos="1418"/>
        </w:tabs>
        <w:ind w:left="1418" w:hanging="1418"/>
        <w:jc w:val="center"/>
        <w:rPr>
          <w:b/>
        </w:rPr>
      </w:pPr>
      <w:r>
        <w:rPr>
          <w:noProof/>
        </w:rPr>
        <w:drawing>
          <wp:inline distT="0" distB="0" distL="0" distR="0" wp14:anchorId="118496EE" wp14:editId="6A0BEBCF">
            <wp:extent cx="5737034" cy="1622066"/>
            <wp:effectExtent l="0" t="0" r="0" b="0"/>
            <wp:docPr id="2730578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88455" cy="1636604"/>
                    </a:xfrm>
                    <a:prstGeom prst="rect">
                      <a:avLst/>
                    </a:prstGeom>
                    <a:noFill/>
                  </pic:spPr>
                </pic:pic>
              </a:graphicData>
            </a:graphic>
          </wp:inline>
        </w:drawing>
      </w:r>
    </w:p>
    <w:p w14:paraId="6EB80C6F" w14:textId="07231341" w:rsidR="50A878A3" w:rsidRPr="00D141C3" w:rsidRDefault="742C0431" w:rsidP="18E98FD0">
      <w:pPr>
        <w:spacing w:after="0"/>
        <w:rPr>
          <w:rFonts w:eastAsia="Times New Roman_MSFontService"/>
          <w:sz w:val="18"/>
          <w:szCs w:val="18"/>
          <w:lang w:val="en-US"/>
        </w:rPr>
      </w:pPr>
      <w:r w:rsidRPr="00D141C3">
        <w:rPr>
          <w:rFonts w:eastAsia="Times New Roman_MSFontService"/>
          <w:sz w:val="18"/>
          <w:szCs w:val="18"/>
        </w:rPr>
        <w:t xml:space="preserve">* Not considering </w:t>
      </w:r>
      <w:r w:rsidR="00D141C3">
        <w:rPr>
          <w:rFonts w:eastAsia="Times New Roman_MSFontService"/>
          <w:sz w:val="18"/>
          <w:szCs w:val="18"/>
        </w:rPr>
        <w:t>i</w:t>
      </w:r>
      <w:r w:rsidRPr="00D141C3">
        <w:rPr>
          <w:rFonts w:eastAsia="Times New Roman_MSFontService"/>
          <w:sz w:val="18"/>
          <w:szCs w:val="18"/>
        </w:rPr>
        <w:t xml:space="preserve">nstallation and </w:t>
      </w:r>
      <w:r w:rsidR="00D141C3">
        <w:rPr>
          <w:rFonts w:eastAsia="Times New Roman_MSFontService"/>
          <w:sz w:val="18"/>
          <w:szCs w:val="18"/>
        </w:rPr>
        <w:t>a</w:t>
      </w:r>
      <w:r w:rsidRPr="00D141C3">
        <w:rPr>
          <w:rFonts w:eastAsia="Times New Roman_MSFontService"/>
          <w:sz w:val="18"/>
          <w:szCs w:val="18"/>
        </w:rPr>
        <w:t>ssembly</w:t>
      </w:r>
    </w:p>
    <w:p w14:paraId="1755C9F5" w14:textId="0F7D469F" w:rsidR="00296C6F" w:rsidRDefault="00296C6F" w:rsidP="0D0BC6F9">
      <w:pPr>
        <w:spacing w:after="0"/>
        <w:rPr>
          <w:lang w:val="en-US"/>
        </w:rPr>
      </w:pPr>
    </w:p>
    <w:p w14:paraId="75824FED" w14:textId="379B8A7D" w:rsidR="00296C6F" w:rsidRDefault="4A3D949B" w:rsidP="18E98FD0">
      <w:pPr>
        <w:spacing w:after="0"/>
        <w:rPr>
          <w:lang w:val="en-US"/>
        </w:rPr>
      </w:pPr>
      <w:r w:rsidRPr="222ABFFA">
        <w:rPr>
          <w:lang w:val="en-US"/>
        </w:rPr>
        <w:t>Based on the above</w:t>
      </w:r>
      <w:r w:rsidR="2CC054FD" w:rsidRPr="4727615B">
        <w:rPr>
          <w:lang w:val="en-US"/>
        </w:rPr>
        <w:t xml:space="preserve"> </w:t>
      </w:r>
      <w:r w:rsidR="2CC054FD" w:rsidRPr="4B918325">
        <w:rPr>
          <w:lang w:val="en-US"/>
        </w:rPr>
        <w:t>considerations</w:t>
      </w:r>
      <w:r w:rsidRPr="222ABFFA">
        <w:rPr>
          <w:lang w:val="en-US"/>
        </w:rPr>
        <w:t xml:space="preserve">, a </w:t>
      </w:r>
      <w:r w:rsidR="000E7FCA" w:rsidRPr="000E7FCA">
        <w:rPr>
          <w:b/>
          <w:bCs/>
          <w:lang w:val="en-US"/>
        </w:rPr>
        <w:t xml:space="preserve">HFC </w:t>
      </w:r>
      <w:r w:rsidRPr="000E7FCA">
        <w:rPr>
          <w:b/>
          <w:bCs/>
          <w:lang w:val="en-US"/>
        </w:rPr>
        <w:t>Scenario</w:t>
      </w:r>
      <w:r w:rsidRPr="222ABFFA">
        <w:rPr>
          <w:b/>
          <w:bCs/>
          <w:lang w:val="en-US"/>
        </w:rPr>
        <w:t xml:space="preserve"> 2 </w:t>
      </w:r>
      <w:r w:rsidRPr="222ABFFA">
        <w:rPr>
          <w:lang w:val="en-US"/>
        </w:rPr>
        <w:t xml:space="preserve">was developed to estimate funding for both </w:t>
      </w:r>
      <w:r w:rsidR="008A39A4">
        <w:rPr>
          <w:lang w:val="en-US"/>
        </w:rPr>
        <w:t>S</w:t>
      </w:r>
      <w:r w:rsidRPr="222ABFFA">
        <w:rPr>
          <w:lang w:val="en-US"/>
        </w:rPr>
        <w:t>tage</w:t>
      </w:r>
      <w:r w:rsidR="008A39A4">
        <w:rPr>
          <w:lang w:val="en-US"/>
        </w:rPr>
        <w:t>s</w:t>
      </w:r>
      <w:r w:rsidRPr="222ABFFA">
        <w:rPr>
          <w:lang w:val="en-US"/>
        </w:rPr>
        <w:t xml:space="preserve"> I and II, considering </w:t>
      </w:r>
      <w:r w:rsidR="2CA49928" w:rsidRPr="5712CE23">
        <w:rPr>
          <w:lang w:val="en-US"/>
        </w:rPr>
        <w:t xml:space="preserve">higher </w:t>
      </w:r>
      <w:r w:rsidR="2C16D34B" w:rsidRPr="5712CE23">
        <w:rPr>
          <w:lang w:val="en-US"/>
        </w:rPr>
        <w:t>CEs</w:t>
      </w:r>
      <w:r w:rsidR="2C16D34B" w:rsidRPr="779DC3C8">
        <w:rPr>
          <w:lang w:val="en-US"/>
        </w:rPr>
        <w:t xml:space="preserve"> </w:t>
      </w:r>
      <w:r w:rsidR="2E3C4A19" w:rsidRPr="1DD41DB6">
        <w:rPr>
          <w:lang w:val="en-US"/>
        </w:rPr>
        <w:t>applied</w:t>
      </w:r>
      <w:r w:rsidRPr="222ABFFA">
        <w:rPr>
          <w:lang w:val="en-US"/>
        </w:rPr>
        <w:t xml:space="preserve"> for </w:t>
      </w:r>
      <w:r w:rsidR="2E3C4A19" w:rsidRPr="1DD41DB6">
        <w:rPr>
          <w:lang w:val="en-US"/>
        </w:rPr>
        <w:t xml:space="preserve">the </w:t>
      </w:r>
      <w:r w:rsidR="2E3C4A19" w:rsidRPr="15BFADDB">
        <w:rPr>
          <w:lang w:val="en-US"/>
        </w:rPr>
        <w:t xml:space="preserve">assigned percentage participation of </w:t>
      </w:r>
      <w:r w:rsidRPr="222ABFFA">
        <w:rPr>
          <w:lang w:val="en-US"/>
        </w:rPr>
        <w:t xml:space="preserve">SMEs in specific manufacturing sectors. </w:t>
      </w:r>
      <w:r w:rsidR="00F73A5D">
        <w:rPr>
          <w:lang w:val="en-US"/>
        </w:rPr>
        <w:t>Tables 3.10, 3.11, and 3.12 show the total estimated funding</w:t>
      </w:r>
      <w:r w:rsidR="00E4537C">
        <w:rPr>
          <w:lang w:val="en-US"/>
        </w:rPr>
        <w:t xml:space="preserve"> for Stage I and Stage II</w:t>
      </w:r>
      <w:r w:rsidR="2C16D34B" w:rsidRPr="4B918325">
        <w:rPr>
          <w:lang w:val="en-US"/>
        </w:rPr>
        <w:t xml:space="preserve"> </w:t>
      </w:r>
      <w:r w:rsidR="00007A92">
        <w:rPr>
          <w:lang w:val="en-US"/>
        </w:rPr>
        <w:t xml:space="preserve">and application of </w:t>
      </w:r>
      <w:r w:rsidR="00FD49C5">
        <w:rPr>
          <w:lang w:val="en-US"/>
        </w:rPr>
        <w:t>two</w:t>
      </w:r>
      <w:r w:rsidR="000819CF">
        <w:rPr>
          <w:lang w:val="en-US"/>
        </w:rPr>
        <w:t xml:space="preserve"> resource allocation schedules A and B.</w:t>
      </w:r>
    </w:p>
    <w:p w14:paraId="2D7E2537" w14:textId="79E671BC" w:rsidR="008A39A4" w:rsidRDefault="008A39A4">
      <w:pPr>
        <w:tabs>
          <w:tab w:val="clear" w:pos="0"/>
        </w:tabs>
        <w:spacing w:after="0"/>
        <w:rPr>
          <w:rFonts w:eastAsiaTheme="minorEastAsia"/>
          <w:b/>
        </w:rPr>
      </w:pPr>
    </w:p>
    <w:p w14:paraId="3A79EF65" w14:textId="77777777" w:rsidR="005E44FF" w:rsidRDefault="005E44FF">
      <w:pPr>
        <w:tabs>
          <w:tab w:val="clear" w:pos="0"/>
        </w:tabs>
        <w:spacing w:after="0"/>
        <w:rPr>
          <w:rFonts w:eastAsiaTheme="minorEastAsia"/>
          <w:b/>
        </w:rPr>
      </w:pPr>
    </w:p>
    <w:p w14:paraId="240C72C3" w14:textId="27FE39A6" w:rsidR="008A39A4" w:rsidRPr="00125B0A" w:rsidRDefault="008A39A4" w:rsidP="002135B0">
      <w:pPr>
        <w:tabs>
          <w:tab w:val="left" w:pos="1276"/>
        </w:tabs>
        <w:spacing w:after="120"/>
        <w:ind w:left="1276" w:hanging="1276"/>
        <w:rPr>
          <w:b/>
          <w:bCs/>
        </w:rPr>
      </w:pPr>
      <w:r w:rsidRPr="239CCF04">
        <w:rPr>
          <w:rFonts w:eastAsiaTheme="minorEastAsia"/>
          <w:b/>
          <w:bCs/>
        </w:rPr>
        <w:lastRenderedPageBreak/>
        <w:t>Table 3.10</w:t>
      </w:r>
      <w:r w:rsidR="005E44FF">
        <w:rPr>
          <w:rFonts w:eastAsiaTheme="minorEastAsia"/>
          <w:b/>
          <w:bCs/>
        </w:rPr>
        <w:t>:</w:t>
      </w:r>
      <w:r>
        <w:tab/>
      </w:r>
      <w:r w:rsidRPr="008A39A4">
        <w:rPr>
          <w:b/>
          <w:bCs/>
          <w:lang w:val="en-US"/>
        </w:rPr>
        <w:t xml:space="preserve">Funding Estimates for the </w:t>
      </w:r>
      <w:r w:rsidR="001D0798">
        <w:rPr>
          <w:b/>
          <w:bCs/>
          <w:lang w:val="en-US"/>
        </w:rPr>
        <w:t xml:space="preserve">HFC </w:t>
      </w:r>
      <w:r w:rsidRPr="008A39A4">
        <w:rPr>
          <w:b/>
          <w:bCs/>
          <w:lang w:val="en-US"/>
        </w:rPr>
        <w:t>Scenario 2 considering Stage I and II Targets (in US$ million)</w:t>
      </w:r>
    </w:p>
    <w:p w14:paraId="54F6500A" w14:textId="5B27E78F" w:rsidR="00296C6F" w:rsidRDefault="56ECD3BC" w:rsidP="76CD94C5">
      <w:pPr>
        <w:spacing w:after="0"/>
        <w:jc w:val="both"/>
      </w:pPr>
      <w:r>
        <w:rPr>
          <w:noProof/>
        </w:rPr>
        <w:drawing>
          <wp:inline distT="0" distB="0" distL="0" distR="0" wp14:anchorId="67276780" wp14:editId="1DFDA339">
            <wp:extent cx="5762625" cy="2771775"/>
            <wp:effectExtent l="0" t="0" r="0" b="0"/>
            <wp:docPr id="5719649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64967" name="Picture 571964967"/>
                    <pic:cNvPicPr/>
                  </pic:nvPicPr>
                  <pic:blipFill>
                    <a:blip r:embed="rId36">
                      <a:extLst>
                        <a:ext uri="{28A0092B-C50C-407E-A947-70E740481C1C}">
                          <a14:useLocalDpi xmlns:a14="http://schemas.microsoft.com/office/drawing/2010/main"/>
                        </a:ext>
                      </a:extLst>
                    </a:blip>
                    <a:stretch>
                      <a:fillRect/>
                    </a:stretch>
                  </pic:blipFill>
                  <pic:spPr>
                    <a:xfrm>
                      <a:off x="0" y="0"/>
                      <a:ext cx="5762625" cy="2771775"/>
                    </a:xfrm>
                    <a:prstGeom prst="rect">
                      <a:avLst/>
                    </a:prstGeom>
                  </pic:spPr>
                </pic:pic>
              </a:graphicData>
            </a:graphic>
          </wp:inline>
        </w:drawing>
      </w:r>
    </w:p>
    <w:p w14:paraId="70FCB5E8" w14:textId="77777777" w:rsidR="004C738E" w:rsidRDefault="004C738E" w:rsidP="222ABFFA">
      <w:pPr>
        <w:tabs>
          <w:tab w:val="left" w:pos="1500"/>
        </w:tabs>
        <w:spacing w:after="0"/>
        <w:rPr>
          <w:b/>
          <w:bCs/>
          <w:lang w:val="en-US"/>
        </w:rPr>
      </w:pPr>
    </w:p>
    <w:p w14:paraId="08B595F5" w14:textId="77777777" w:rsidR="004C738E" w:rsidRDefault="004C738E" w:rsidP="222ABFFA">
      <w:pPr>
        <w:tabs>
          <w:tab w:val="left" w:pos="1500"/>
        </w:tabs>
        <w:spacing w:after="0"/>
        <w:rPr>
          <w:b/>
          <w:bCs/>
          <w:lang w:val="en-US"/>
        </w:rPr>
      </w:pPr>
    </w:p>
    <w:p w14:paraId="7583F976" w14:textId="0C581937" w:rsidR="004C738E" w:rsidRPr="00125B0A" w:rsidRDefault="004C738E" w:rsidP="004C738E">
      <w:pPr>
        <w:tabs>
          <w:tab w:val="left" w:pos="1418"/>
        </w:tabs>
        <w:ind w:left="1418" w:hanging="1418"/>
        <w:rPr>
          <w:b/>
          <w:bCs/>
        </w:rPr>
      </w:pPr>
      <w:r w:rsidRPr="239CCF04">
        <w:rPr>
          <w:rFonts w:eastAsiaTheme="minorEastAsia"/>
          <w:b/>
          <w:bCs/>
        </w:rPr>
        <w:t>Table 3.11</w:t>
      </w:r>
      <w:r>
        <w:tab/>
      </w:r>
      <w:r w:rsidR="00425E00" w:rsidRPr="00425E00">
        <w:rPr>
          <w:b/>
          <w:bCs/>
        </w:rPr>
        <w:t xml:space="preserve">HFC </w:t>
      </w:r>
      <w:r w:rsidRPr="00425E00">
        <w:rPr>
          <w:b/>
          <w:bCs/>
          <w:lang w:val="en-US"/>
        </w:rPr>
        <w:t>Scenario</w:t>
      </w:r>
      <w:r w:rsidRPr="379A6835">
        <w:rPr>
          <w:b/>
          <w:bCs/>
          <w:lang w:val="en-US"/>
        </w:rPr>
        <w:t xml:space="preserve"> 2,</w:t>
      </w:r>
      <w:r w:rsidRPr="379A6835">
        <w:rPr>
          <w:lang w:val="en-US"/>
        </w:rPr>
        <w:t xml:space="preserve"> </w:t>
      </w:r>
      <w:r w:rsidRPr="0B732BC7">
        <w:rPr>
          <w:b/>
          <w:bCs/>
          <w:lang w:val="en-US"/>
        </w:rPr>
        <w:t xml:space="preserve">using </w:t>
      </w:r>
      <w:r w:rsidRPr="222ABFFA">
        <w:rPr>
          <w:b/>
          <w:bCs/>
          <w:lang w:val="en-US"/>
        </w:rPr>
        <w:t>Resource Allocation A</w:t>
      </w:r>
      <w:r w:rsidRPr="239CCF04">
        <w:rPr>
          <w:b/>
          <w:bCs/>
          <w:lang w:val="en-US"/>
        </w:rPr>
        <w:t xml:space="preserve"> considerations </w:t>
      </w:r>
      <w:r w:rsidRPr="7413B5C5">
        <w:rPr>
          <w:b/>
          <w:bCs/>
          <w:lang w:val="en-US"/>
        </w:rPr>
        <w:t xml:space="preserve">proposed by RTF </w:t>
      </w:r>
      <w:r w:rsidRPr="1D987275">
        <w:rPr>
          <w:b/>
          <w:bCs/>
          <w:lang w:val="en-US"/>
        </w:rPr>
        <w:t xml:space="preserve">(US$ </w:t>
      </w:r>
      <w:r w:rsidRPr="09C8F538">
        <w:rPr>
          <w:b/>
          <w:bCs/>
          <w:lang w:val="en-US"/>
        </w:rPr>
        <w:t>million)</w:t>
      </w:r>
    </w:p>
    <w:p w14:paraId="6F4F8456" w14:textId="21320D81" w:rsidR="00296C6F" w:rsidRDefault="0EAA9F60" w:rsidP="222ABFFA">
      <w:pPr>
        <w:tabs>
          <w:tab w:val="left" w:pos="1500"/>
        </w:tabs>
        <w:spacing w:after="0"/>
      </w:pPr>
      <w:r>
        <w:rPr>
          <w:noProof/>
        </w:rPr>
        <w:drawing>
          <wp:inline distT="0" distB="0" distL="0" distR="0" wp14:anchorId="5D20AA61" wp14:editId="434F0081">
            <wp:extent cx="5762625" cy="2886075"/>
            <wp:effectExtent l="0" t="0" r="0" b="0"/>
            <wp:docPr id="21185350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35060" name="Picture 2118535060"/>
                    <pic:cNvPicPr/>
                  </pic:nvPicPr>
                  <pic:blipFill>
                    <a:blip r:embed="rId37">
                      <a:extLst>
                        <a:ext uri="{28A0092B-C50C-407E-A947-70E740481C1C}">
                          <a14:useLocalDpi xmlns:a14="http://schemas.microsoft.com/office/drawing/2010/main"/>
                        </a:ext>
                      </a:extLst>
                    </a:blip>
                    <a:stretch>
                      <a:fillRect/>
                    </a:stretch>
                  </pic:blipFill>
                  <pic:spPr>
                    <a:xfrm>
                      <a:off x="0" y="0"/>
                      <a:ext cx="5762625" cy="2886075"/>
                    </a:xfrm>
                    <a:prstGeom prst="rect">
                      <a:avLst/>
                    </a:prstGeom>
                  </pic:spPr>
                </pic:pic>
              </a:graphicData>
            </a:graphic>
          </wp:inline>
        </w:drawing>
      </w:r>
    </w:p>
    <w:p w14:paraId="4BCCF70B" w14:textId="77777777" w:rsidR="004C738E" w:rsidRDefault="004C738E" w:rsidP="76CD94C5">
      <w:pPr>
        <w:tabs>
          <w:tab w:val="left" w:pos="1500"/>
        </w:tabs>
        <w:spacing w:after="0"/>
        <w:rPr>
          <w:b/>
          <w:bCs/>
          <w:lang w:val="en-US"/>
        </w:rPr>
      </w:pPr>
    </w:p>
    <w:p w14:paraId="7D44DBF4" w14:textId="34C43AA4" w:rsidR="00296C6F" w:rsidRDefault="274D2446" w:rsidP="000819CF">
      <w:pPr>
        <w:tabs>
          <w:tab w:val="left" w:pos="1500"/>
        </w:tabs>
        <w:spacing w:after="120"/>
        <w:rPr>
          <w:lang w:val="en-US"/>
        </w:rPr>
      </w:pPr>
      <w:r w:rsidRPr="274D2446">
        <w:rPr>
          <w:lang w:val="en-US"/>
        </w:rPr>
        <w:t xml:space="preserve">Applying </w:t>
      </w:r>
      <w:r w:rsidRPr="274D2446">
        <w:rPr>
          <w:b/>
          <w:bCs/>
          <w:lang w:val="en-US"/>
        </w:rPr>
        <w:t>resource allocation schedule A</w:t>
      </w:r>
      <w:r w:rsidRPr="274D2446">
        <w:rPr>
          <w:lang w:val="en-US"/>
        </w:rPr>
        <w:t xml:space="preserve">, the new funding estimates for each triennium for </w:t>
      </w:r>
      <w:r w:rsidR="007400F0">
        <w:rPr>
          <w:lang w:val="en-US"/>
        </w:rPr>
        <w:t>HFC S</w:t>
      </w:r>
      <w:r w:rsidRPr="274D2446">
        <w:rPr>
          <w:lang w:val="en-US"/>
        </w:rPr>
        <w:t>cenario 2 are:</w:t>
      </w:r>
    </w:p>
    <w:p w14:paraId="46AF27BF" w14:textId="2B1FD52D" w:rsidR="009916D0" w:rsidRPr="009916D0" w:rsidRDefault="009916D0" w:rsidP="000819CF">
      <w:pPr>
        <w:pStyle w:val="ListParagraph"/>
        <w:numPr>
          <w:ilvl w:val="0"/>
          <w:numId w:val="82"/>
        </w:numPr>
        <w:tabs>
          <w:tab w:val="left" w:pos="1500"/>
        </w:tabs>
        <w:spacing w:after="120"/>
        <w:rPr>
          <w:b/>
          <w:bCs/>
          <w:lang w:val="en-US"/>
        </w:rPr>
      </w:pPr>
      <w:r w:rsidRPr="009916D0">
        <w:rPr>
          <w:b/>
          <w:bCs/>
          <w:lang w:val="en-US"/>
        </w:rPr>
        <w:t>2027-2029: US$ 876.37 million</w:t>
      </w:r>
    </w:p>
    <w:p w14:paraId="07C68BC1" w14:textId="272D5B7A" w:rsidR="009916D0" w:rsidRPr="009916D0" w:rsidRDefault="009916D0" w:rsidP="000819CF">
      <w:pPr>
        <w:pStyle w:val="ListParagraph"/>
        <w:numPr>
          <w:ilvl w:val="0"/>
          <w:numId w:val="82"/>
        </w:numPr>
        <w:tabs>
          <w:tab w:val="left" w:pos="1500"/>
        </w:tabs>
        <w:spacing w:after="120"/>
        <w:rPr>
          <w:b/>
          <w:bCs/>
          <w:lang w:val="en-US"/>
        </w:rPr>
      </w:pPr>
      <w:r w:rsidRPr="009916D0">
        <w:rPr>
          <w:b/>
          <w:bCs/>
          <w:lang w:val="en-US"/>
        </w:rPr>
        <w:t>2030-2032: US$ 884.72 million</w:t>
      </w:r>
    </w:p>
    <w:p w14:paraId="228C4B8E" w14:textId="26971071" w:rsidR="009916D0" w:rsidRPr="009916D0" w:rsidRDefault="009916D0" w:rsidP="000819CF">
      <w:pPr>
        <w:pStyle w:val="ListParagraph"/>
        <w:numPr>
          <w:ilvl w:val="0"/>
          <w:numId w:val="82"/>
        </w:numPr>
        <w:tabs>
          <w:tab w:val="left" w:pos="1500"/>
        </w:tabs>
        <w:spacing w:after="120"/>
        <w:rPr>
          <w:b/>
          <w:bCs/>
          <w:lang w:val="en-US"/>
        </w:rPr>
      </w:pPr>
      <w:r w:rsidRPr="009916D0">
        <w:rPr>
          <w:b/>
          <w:bCs/>
          <w:lang w:val="en-US"/>
        </w:rPr>
        <w:t>2033-2035: US$ 49</w:t>
      </w:r>
      <w:r w:rsidR="007400F0">
        <w:rPr>
          <w:b/>
          <w:bCs/>
          <w:lang w:val="en-US"/>
        </w:rPr>
        <w:t>4</w:t>
      </w:r>
      <w:r w:rsidRPr="009916D0">
        <w:rPr>
          <w:b/>
          <w:bCs/>
          <w:lang w:val="en-US"/>
        </w:rPr>
        <w:t>.62 million</w:t>
      </w:r>
    </w:p>
    <w:p w14:paraId="05688F88" w14:textId="77777777" w:rsidR="009916D0" w:rsidRPr="004C738E" w:rsidRDefault="009916D0" w:rsidP="76CD94C5">
      <w:pPr>
        <w:tabs>
          <w:tab w:val="left" w:pos="1500"/>
        </w:tabs>
        <w:spacing w:after="0"/>
        <w:rPr>
          <w:lang w:val="en-US"/>
        </w:rPr>
      </w:pPr>
    </w:p>
    <w:p w14:paraId="3058E679" w14:textId="54D29B60" w:rsidR="0026249C" w:rsidRDefault="0026249C" w:rsidP="201F632A">
      <w:pPr>
        <w:spacing w:after="0"/>
        <w:rPr>
          <w:b/>
          <w:bCs/>
          <w:lang w:val="en-US"/>
        </w:rPr>
      </w:pPr>
      <w:r>
        <w:rPr>
          <w:b/>
          <w:bCs/>
          <w:lang w:val="en-US"/>
        </w:rPr>
        <w:br w:type="page"/>
      </w:r>
    </w:p>
    <w:p w14:paraId="1BBA0458" w14:textId="4B3401FF" w:rsidR="004C738E" w:rsidRPr="00125B0A" w:rsidRDefault="004C738E" w:rsidP="002135B0">
      <w:pPr>
        <w:tabs>
          <w:tab w:val="left" w:pos="1276"/>
        </w:tabs>
        <w:spacing w:after="120"/>
        <w:ind w:left="1276" w:hanging="1276"/>
        <w:rPr>
          <w:b/>
          <w:bCs/>
        </w:rPr>
      </w:pPr>
      <w:r w:rsidRPr="239CCF04">
        <w:rPr>
          <w:rFonts w:eastAsiaTheme="minorEastAsia"/>
          <w:b/>
          <w:bCs/>
        </w:rPr>
        <w:lastRenderedPageBreak/>
        <w:t>Table 3.12</w:t>
      </w:r>
      <w:r w:rsidR="005E44FF">
        <w:rPr>
          <w:rFonts w:eastAsiaTheme="minorEastAsia"/>
          <w:b/>
          <w:bCs/>
        </w:rPr>
        <w:t>:</w:t>
      </w:r>
      <w:r>
        <w:tab/>
      </w:r>
      <w:r w:rsidR="007400F0" w:rsidRPr="007400F0">
        <w:rPr>
          <w:b/>
          <w:bCs/>
        </w:rPr>
        <w:t xml:space="preserve">HFC </w:t>
      </w:r>
      <w:r w:rsidRPr="007400F0">
        <w:rPr>
          <w:b/>
          <w:bCs/>
          <w:lang w:val="en-US"/>
        </w:rPr>
        <w:t>Scenario</w:t>
      </w:r>
      <w:r w:rsidRPr="379A6835">
        <w:rPr>
          <w:b/>
          <w:bCs/>
          <w:lang w:val="en-US"/>
        </w:rPr>
        <w:t xml:space="preserve"> 2,</w:t>
      </w:r>
      <w:r w:rsidRPr="379A6835">
        <w:rPr>
          <w:lang w:val="en-US"/>
        </w:rPr>
        <w:t xml:space="preserve"> </w:t>
      </w:r>
      <w:r w:rsidRPr="0B732BC7">
        <w:rPr>
          <w:b/>
          <w:bCs/>
          <w:lang w:val="en-US"/>
        </w:rPr>
        <w:t xml:space="preserve">using </w:t>
      </w:r>
      <w:r w:rsidRPr="222ABFFA">
        <w:rPr>
          <w:b/>
          <w:bCs/>
          <w:lang w:val="en-US"/>
        </w:rPr>
        <w:t xml:space="preserve">Resource Allocation </w:t>
      </w:r>
      <w:r>
        <w:rPr>
          <w:b/>
          <w:bCs/>
          <w:lang w:val="en-US"/>
        </w:rPr>
        <w:t>B</w:t>
      </w:r>
      <w:r w:rsidRPr="239CCF04">
        <w:rPr>
          <w:b/>
          <w:bCs/>
          <w:lang w:val="en-US"/>
        </w:rPr>
        <w:t xml:space="preserve"> considerations </w:t>
      </w:r>
      <w:r w:rsidRPr="7413B5C5">
        <w:rPr>
          <w:b/>
          <w:bCs/>
          <w:lang w:val="en-US"/>
        </w:rPr>
        <w:t xml:space="preserve">proposed by RTF </w:t>
      </w:r>
      <w:r w:rsidRPr="1D987275">
        <w:rPr>
          <w:b/>
          <w:bCs/>
          <w:lang w:val="en-US"/>
        </w:rPr>
        <w:t xml:space="preserve">(US$ </w:t>
      </w:r>
      <w:r w:rsidRPr="09C8F538">
        <w:rPr>
          <w:b/>
          <w:bCs/>
          <w:lang w:val="en-US"/>
        </w:rPr>
        <w:t>million)</w:t>
      </w:r>
    </w:p>
    <w:p w14:paraId="5D7E19F4" w14:textId="2B6475F5" w:rsidR="3FB47B8C" w:rsidRDefault="3FB47B8C" w:rsidP="336453E5">
      <w:pPr>
        <w:rPr>
          <w:b/>
          <w:bCs/>
          <w:lang w:val="en-US"/>
        </w:rPr>
      </w:pPr>
      <w:r>
        <w:rPr>
          <w:noProof/>
        </w:rPr>
        <w:drawing>
          <wp:inline distT="0" distB="0" distL="0" distR="0" wp14:anchorId="0645E5CB" wp14:editId="5BF8C062">
            <wp:extent cx="5810250" cy="2658284"/>
            <wp:effectExtent l="0" t="0" r="0" b="0"/>
            <wp:docPr id="16771687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22343" name="Picture 772822343"/>
                    <pic:cNvPicPr/>
                  </pic:nvPicPr>
                  <pic:blipFill>
                    <a:blip r:embed="rId38">
                      <a:extLst>
                        <a:ext uri="{28A0092B-C50C-407E-A947-70E740481C1C}">
                          <a14:useLocalDpi xmlns:a14="http://schemas.microsoft.com/office/drawing/2010/main"/>
                        </a:ext>
                      </a:extLst>
                    </a:blip>
                    <a:stretch>
                      <a:fillRect/>
                    </a:stretch>
                  </pic:blipFill>
                  <pic:spPr>
                    <a:xfrm>
                      <a:off x="0" y="0"/>
                      <a:ext cx="5810250" cy="2658284"/>
                    </a:xfrm>
                    <a:prstGeom prst="rect">
                      <a:avLst/>
                    </a:prstGeom>
                  </pic:spPr>
                </pic:pic>
              </a:graphicData>
            </a:graphic>
          </wp:inline>
        </w:drawing>
      </w:r>
    </w:p>
    <w:p w14:paraId="06368ACA" w14:textId="14D9EB47" w:rsidR="79898C50" w:rsidRDefault="274D2446" w:rsidP="336453E5">
      <w:pPr>
        <w:rPr>
          <w:lang w:val="en-US"/>
        </w:rPr>
      </w:pPr>
      <w:r w:rsidRPr="274D2446">
        <w:rPr>
          <w:lang w:val="en-US"/>
        </w:rPr>
        <w:t xml:space="preserve">Applying </w:t>
      </w:r>
      <w:r w:rsidRPr="274D2446">
        <w:rPr>
          <w:b/>
          <w:bCs/>
          <w:lang w:val="en-US"/>
        </w:rPr>
        <w:t>resource allocation schedule B</w:t>
      </w:r>
      <w:r w:rsidRPr="274D2446">
        <w:rPr>
          <w:lang w:val="en-US"/>
        </w:rPr>
        <w:t xml:space="preserve">, the new funding estimates for each triennium for </w:t>
      </w:r>
      <w:r w:rsidR="007400F0">
        <w:rPr>
          <w:lang w:val="en-US"/>
        </w:rPr>
        <w:t xml:space="preserve">HFC </w:t>
      </w:r>
      <w:r w:rsidRPr="274D2446">
        <w:rPr>
          <w:lang w:val="en-US"/>
        </w:rPr>
        <w:t xml:space="preserve"> Scenario 2 are:</w:t>
      </w:r>
    </w:p>
    <w:p w14:paraId="2C703134" w14:textId="14DBC48D" w:rsidR="000819CF" w:rsidRPr="000819CF" w:rsidRDefault="000819CF" w:rsidP="000819CF">
      <w:pPr>
        <w:pStyle w:val="ListParagraph"/>
        <w:numPr>
          <w:ilvl w:val="0"/>
          <w:numId w:val="83"/>
        </w:numPr>
        <w:spacing w:after="120"/>
        <w:rPr>
          <w:b/>
          <w:bCs/>
          <w:lang w:val="en-US"/>
        </w:rPr>
      </w:pPr>
      <w:r w:rsidRPr="000819CF">
        <w:rPr>
          <w:b/>
          <w:bCs/>
          <w:lang w:val="en-US"/>
        </w:rPr>
        <w:t>2027-2029: US$ 603.28 million</w:t>
      </w:r>
    </w:p>
    <w:p w14:paraId="7F60B586" w14:textId="67549554" w:rsidR="000819CF" w:rsidRPr="000819CF" w:rsidRDefault="000819CF" w:rsidP="000819CF">
      <w:pPr>
        <w:pStyle w:val="ListParagraph"/>
        <w:numPr>
          <w:ilvl w:val="0"/>
          <w:numId w:val="83"/>
        </w:numPr>
        <w:spacing w:after="120"/>
        <w:rPr>
          <w:b/>
          <w:bCs/>
          <w:lang w:val="en-US"/>
        </w:rPr>
      </w:pPr>
      <w:r w:rsidRPr="000819CF">
        <w:rPr>
          <w:b/>
          <w:bCs/>
          <w:lang w:val="en-US"/>
        </w:rPr>
        <w:t>2030-2032: US$ 1,061.32 million</w:t>
      </w:r>
    </w:p>
    <w:p w14:paraId="69AC62B6" w14:textId="39F61F5B" w:rsidR="000819CF" w:rsidRDefault="000819CF" w:rsidP="0006403F">
      <w:pPr>
        <w:pStyle w:val="ListParagraph"/>
        <w:numPr>
          <w:ilvl w:val="0"/>
          <w:numId w:val="83"/>
        </w:numPr>
        <w:spacing w:after="360"/>
        <w:rPr>
          <w:b/>
          <w:bCs/>
          <w:lang w:val="en-US"/>
        </w:rPr>
      </w:pPr>
      <w:r w:rsidRPr="000819CF">
        <w:rPr>
          <w:b/>
          <w:bCs/>
          <w:lang w:val="en-US"/>
        </w:rPr>
        <w:t>2033-2035: US$ 591.11 million</w:t>
      </w:r>
    </w:p>
    <w:p w14:paraId="1A5966CC" w14:textId="348EF6D1" w:rsidR="004C738E" w:rsidRPr="0036129C" w:rsidRDefault="004C738E" w:rsidP="002D02B7">
      <w:pPr>
        <w:pStyle w:val="Heading2"/>
      </w:pPr>
      <w:bookmarkStart w:id="198" w:name="_Toc227477921"/>
      <w:bookmarkStart w:id="199" w:name="_Toc230099085"/>
      <w:bookmarkStart w:id="200" w:name="_Toc40367075"/>
      <w:bookmarkStart w:id="201" w:name="_Toc40367369"/>
      <w:r w:rsidRPr="0036129C">
        <w:t>3.</w:t>
      </w:r>
      <w:r w:rsidR="001E26AC">
        <w:t>5</w:t>
      </w:r>
      <w:r w:rsidRPr="0036129C">
        <w:rPr>
          <w:sz w:val="28"/>
          <w:szCs w:val="28"/>
        </w:rPr>
        <w:tab/>
      </w:r>
      <w:r w:rsidRPr="0036129C">
        <w:t>Verification</w:t>
      </w:r>
      <w:bookmarkEnd w:id="198"/>
      <w:r w:rsidR="0036129C" w:rsidRPr="0036129C">
        <w:t>:</w:t>
      </w:r>
      <w:r w:rsidRPr="0036129C">
        <w:t xml:space="preserve"> </w:t>
      </w:r>
      <w:r w:rsidR="00FB6D24" w:rsidRPr="002135B0">
        <w:t>c</w:t>
      </w:r>
      <w:r w:rsidRPr="002135B0">
        <w:t>onsumption</w:t>
      </w:r>
      <w:r w:rsidRPr="0036129C">
        <w:t xml:space="preserve"> </w:t>
      </w:r>
      <w:r w:rsidR="00FB6D24" w:rsidRPr="0036129C">
        <w:t>s</w:t>
      </w:r>
      <w:r w:rsidRPr="0036129C">
        <w:t>ector</w:t>
      </w:r>
      <w:bookmarkEnd w:id="199"/>
      <w:r w:rsidRPr="0036129C">
        <w:t xml:space="preserve"> </w:t>
      </w:r>
    </w:p>
    <w:p w14:paraId="0F2308FE" w14:textId="77777777" w:rsidR="007C778B" w:rsidRDefault="007C778B" w:rsidP="007C778B">
      <w:pPr>
        <w:spacing w:after="0"/>
      </w:pPr>
      <w:r>
        <w:t>Funding for KIP verification is normally requested to accompany submissions for stages or tranches,</w:t>
      </w:r>
    </w:p>
    <w:p w14:paraId="4E1CBC3C" w14:textId="77777777" w:rsidR="007C778B" w:rsidRDefault="007C778B" w:rsidP="007C778B">
      <w:pPr>
        <w:spacing w:after="0"/>
      </w:pPr>
      <w:r>
        <w:t>but can also be requested to be submitted yearly for certain parties according to the need. For instance,</w:t>
      </w:r>
    </w:p>
    <w:p w14:paraId="3F6E19F8" w14:textId="77777777" w:rsidR="007C778B" w:rsidRDefault="007C778B" w:rsidP="007C778B">
      <w:pPr>
        <w:spacing w:after="0"/>
      </w:pPr>
      <w:r>
        <w:t>for HCFCs, verification for 18 LVCs is done every year, according to RTF’s understanding of MLF</w:t>
      </w:r>
    </w:p>
    <w:p w14:paraId="7DE72691" w14:textId="77777777" w:rsidR="007C778B" w:rsidRDefault="007C778B" w:rsidP="007C778B">
      <w:pPr>
        <w:spacing w:after="120"/>
      </w:pPr>
      <w:r>
        <w:t>information available.</w:t>
      </w:r>
    </w:p>
    <w:p w14:paraId="66E2B6B8" w14:textId="77777777" w:rsidR="007C778B" w:rsidRDefault="007C778B" w:rsidP="007C778B">
      <w:pPr>
        <w:spacing w:after="0"/>
      </w:pPr>
    </w:p>
    <w:p w14:paraId="27BF82F6" w14:textId="77777777" w:rsidR="007C778B" w:rsidRDefault="007C778B" w:rsidP="007C778B">
      <w:pPr>
        <w:spacing w:after="0"/>
      </w:pPr>
      <w:r>
        <w:t>If it is considered that all 144 parties will have KIPs Stage I and II in the next 3 triennia, tranche</w:t>
      </w:r>
    </w:p>
    <w:p w14:paraId="0121F75A" w14:textId="251466C3" w:rsidR="007C778B" w:rsidRDefault="274D2446" w:rsidP="007C778B">
      <w:pPr>
        <w:spacing w:after="0"/>
      </w:pPr>
      <w:r>
        <w:t>verification costs will have to be thought accordingly. RTF considered for each triennium three tranches per party, and two tranche verification requests per triennium each, that is, six tranche verifications for the three triennia, for each of the 144 A5 parties. With this in mind, RTF estimated for three triennia (2027 to 2035 period), </w:t>
      </w:r>
      <w:r w:rsidRPr="274D2446">
        <w:rPr>
          <w:b/>
          <w:bCs/>
        </w:rPr>
        <w:t>around US$ 26 million in verification costs</w:t>
      </w:r>
      <w:r>
        <w:t> (at US$ 30,000 each, used for LVCs). RTF will have to deduct approvals in 2026.</w:t>
      </w:r>
    </w:p>
    <w:p w14:paraId="0584B90F" w14:textId="77777777" w:rsidR="007C778B" w:rsidRDefault="007C778B" w:rsidP="007C778B">
      <w:pPr>
        <w:spacing w:after="0"/>
      </w:pPr>
    </w:p>
    <w:p w14:paraId="0D4213B6" w14:textId="4CC7C52F" w:rsidR="00AF7E4A" w:rsidRDefault="007C778B" w:rsidP="007C778B">
      <w:pPr>
        <w:spacing w:after="0"/>
        <w:rPr>
          <w:b/>
          <w:bCs/>
          <w:noProof/>
          <w:highlight w:val="yellow"/>
        </w:rPr>
      </w:pPr>
      <w:r>
        <w:t xml:space="preserve">Without more information, including approvals at </w:t>
      </w:r>
      <w:r w:rsidR="00083716">
        <w:t>the upcoming ExCom-98</w:t>
      </w:r>
      <w:r>
        <w:t>, RTF is unable to provide a robust</w:t>
      </w:r>
      <w:r w:rsidR="00780CFA">
        <w:t xml:space="preserve"> </w:t>
      </w:r>
      <w:r>
        <w:t>cost figure, nor ascertain at this time the number of parties that will request verification funding. RTF</w:t>
      </w:r>
      <w:r w:rsidR="00780CFA">
        <w:t xml:space="preserve"> </w:t>
      </w:r>
      <w:r>
        <w:t xml:space="preserve">will have to come back with a more detailed analysis for the </w:t>
      </w:r>
      <w:r w:rsidR="004559D7">
        <w:t>s</w:t>
      </w:r>
      <w:r>
        <w:t>upplementa</w:t>
      </w:r>
      <w:r w:rsidR="00532F82">
        <w:t>ry</w:t>
      </w:r>
      <w:r>
        <w:t xml:space="preserve"> report, if instructed by</w:t>
      </w:r>
      <w:r w:rsidR="00780CFA">
        <w:t xml:space="preserve"> </w:t>
      </w:r>
      <w:r>
        <w:t>parties.</w:t>
      </w:r>
    </w:p>
    <w:p w14:paraId="5EA70739" w14:textId="6B9F77C8" w:rsidR="00FB6D24" w:rsidRDefault="00FB6D24" w:rsidP="002D02B7">
      <w:pPr>
        <w:pStyle w:val="Heading2"/>
        <w:rPr>
          <w:rFonts w:eastAsia="Times New Roman"/>
          <w:sz w:val="22"/>
          <w:szCs w:val="22"/>
        </w:rPr>
      </w:pPr>
      <w:bookmarkStart w:id="202" w:name="_Toc230099086"/>
      <w:r w:rsidRPr="2374FBE6">
        <w:rPr>
          <w:rFonts w:eastAsia="Times New Roman"/>
          <w:sz w:val="22"/>
          <w:szCs w:val="22"/>
        </w:rPr>
        <w:t>3.</w:t>
      </w:r>
      <w:r w:rsidR="001E26AC">
        <w:rPr>
          <w:rFonts w:eastAsia="Times New Roman"/>
          <w:sz w:val="22"/>
          <w:szCs w:val="22"/>
        </w:rPr>
        <w:t>6</w:t>
      </w:r>
      <w:r>
        <w:tab/>
      </w:r>
      <w:r w:rsidRPr="0036129C">
        <w:t>Project preparation</w:t>
      </w:r>
      <w:r w:rsidR="0036129C" w:rsidRPr="0036129C">
        <w:t>:</w:t>
      </w:r>
      <w:r w:rsidRPr="0036129C">
        <w:t xml:space="preserve"> </w:t>
      </w:r>
      <w:r w:rsidRPr="00E271FA">
        <w:t>c</w:t>
      </w:r>
      <w:r w:rsidRPr="002135B0">
        <w:t>onsumption</w:t>
      </w:r>
      <w:r w:rsidRPr="0036129C">
        <w:rPr>
          <w:rFonts w:eastAsia="Times New Roman"/>
        </w:rPr>
        <w:t xml:space="preserve"> sector</w:t>
      </w:r>
      <w:bookmarkEnd w:id="202"/>
      <w:r w:rsidRPr="779DC3C8">
        <w:rPr>
          <w:rFonts w:eastAsia="Times New Roman"/>
          <w:sz w:val="22"/>
          <w:szCs w:val="22"/>
        </w:rPr>
        <w:t xml:space="preserve"> </w:t>
      </w:r>
    </w:p>
    <w:p w14:paraId="2D4CA014" w14:textId="25328796" w:rsidR="004C738E" w:rsidRDefault="004C738E" w:rsidP="004C738E">
      <w:pPr>
        <w:spacing w:after="0"/>
        <w:rPr>
          <w:lang w:val="en-GB"/>
        </w:rPr>
      </w:pPr>
      <w:r w:rsidRPr="60B95D79">
        <w:rPr>
          <w:lang w:val="en-GB"/>
        </w:rPr>
        <w:t>For the forecast of PRP needs for the consumption sector in 2027-2029, RTF considered that for every new KIP to be submitted, the country can request project preparation. Several parties already received PRP as of the 97</w:t>
      </w:r>
      <w:r w:rsidRPr="60B95D79">
        <w:rPr>
          <w:vertAlign w:val="superscript"/>
          <w:lang w:val="en-GB"/>
        </w:rPr>
        <w:t>th</w:t>
      </w:r>
      <w:r w:rsidRPr="60B95D79">
        <w:rPr>
          <w:lang w:val="en-GB"/>
        </w:rPr>
        <w:t xml:space="preserve"> ExCom, according to the MLF Secretariat information provided.</w:t>
      </w:r>
    </w:p>
    <w:p w14:paraId="6FA5EA44" w14:textId="77777777" w:rsidR="004C738E" w:rsidRDefault="004C738E" w:rsidP="004C738E">
      <w:pPr>
        <w:spacing w:after="0"/>
        <w:rPr>
          <w:noProof/>
        </w:rPr>
      </w:pPr>
    </w:p>
    <w:p w14:paraId="4B192C16" w14:textId="5E03B3FD" w:rsidR="004C738E" w:rsidRDefault="004C738E" w:rsidP="004C738E">
      <w:pPr>
        <w:spacing w:after="0"/>
        <w:rPr>
          <w:noProof/>
        </w:rPr>
      </w:pPr>
      <w:r w:rsidRPr="60B95D79">
        <w:rPr>
          <w:lang w:val="en-GB"/>
        </w:rPr>
        <w:lastRenderedPageBreak/>
        <w:t xml:space="preserve">The list of remaining parties eligible for Stage I KIP PRP contains 29 parties without PRP request, and 19 of them have included PRP requests in the </w:t>
      </w:r>
      <w:r w:rsidR="00FC6392">
        <w:rPr>
          <w:lang w:val="en-GB"/>
        </w:rPr>
        <w:t>BP</w:t>
      </w:r>
      <w:r w:rsidRPr="60B95D79">
        <w:rPr>
          <w:lang w:val="en-GB"/>
        </w:rPr>
        <w:t>.</w:t>
      </w:r>
    </w:p>
    <w:p w14:paraId="1FBD2BB9" w14:textId="77777777" w:rsidR="004C738E" w:rsidRDefault="004C738E" w:rsidP="004C738E">
      <w:pPr>
        <w:spacing w:after="0"/>
        <w:rPr>
          <w:noProof/>
        </w:rPr>
      </w:pPr>
    </w:p>
    <w:p w14:paraId="374328FB" w14:textId="37AF2AB0" w:rsidR="004C738E" w:rsidRDefault="004C738E" w:rsidP="004C738E">
      <w:pPr>
        <w:spacing w:after="0"/>
        <w:rPr>
          <w:noProof/>
          <w:lang w:val="en-US"/>
        </w:rPr>
      </w:pPr>
      <w:r w:rsidRPr="60B95D79">
        <w:rPr>
          <w:lang w:val="en-GB"/>
        </w:rPr>
        <w:t xml:space="preserve">The total for 28 countries, not including China which is case-by-case, new requests is </w:t>
      </w:r>
      <w:r w:rsidRPr="60B95D79">
        <w:rPr>
          <w:b/>
          <w:bCs/>
          <w:lang w:val="en-GB"/>
        </w:rPr>
        <w:t xml:space="preserve">US </w:t>
      </w:r>
      <w:r w:rsidRPr="60B95D79">
        <w:rPr>
          <w:b/>
          <w:bCs/>
          <w:noProof/>
          <w:lang w:val="en-US"/>
        </w:rPr>
        <w:t>$ 5,074,480</w:t>
      </w:r>
      <w:r w:rsidRPr="60B95D79">
        <w:rPr>
          <w:noProof/>
          <w:lang w:val="en-US"/>
        </w:rPr>
        <w:t xml:space="preserve"> including 9.6% support costs if all is requested for the 2027-2029 triennium. </w:t>
      </w:r>
      <w:r w:rsidRPr="60B95D79">
        <w:rPr>
          <w:lang w:val="en-GB"/>
        </w:rPr>
        <w:t xml:space="preserve">If all the 29 parties request PRP in 2026, then no PRP for KIP Stage I would be needed and </w:t>
      </w:r>
      <w:r w:rsidRPr="60B95D79">
        <w:rPr>
          <w:noProof/>
          <w:lang w:val="en-US"/>
        </w:rPr>
        <w:t>RTF would have to update that figure for Supplementa</w:t>
      </w:r>
      <w:r w:rsidR="00FB6D24">
        <w:rPr>
          <w:noProof/>
          <w:lang w:val="en-US"/>
        </w:rPr>
        <w:t xml:space="preserve">ry </w:t>
      </w:r>
      <w:r w:rsidRPr="60B95D79">
        <w:rPr>
          <w:noProof/>
          <w:lang w:val="en-US"/>
        </w:rPr>
        <w:t>Report, after 98th ExCom in June 2026.</w:t>
      </w:r>
    </w:p>
    <w:p w14:paraId="4935A786" w14:textId="3A9CC3D4" w:rsidR="004C738E" w:rsidRPr="000B3B18" w:rsidRDefault="004C738E" w:rsidP="004C738E">
      <w:pPr>
        <w:spacing w:after="0" w:line="259" w:lineRule="auto"/>
        <w:rPr>
          <w:rFonts w:asciiTheme="majorBidi" w:eastAsia="Helvetica" w:hAnsiTheme="majorBidi" w:cstheme="majorBidi"/>
        </w:rPr>
      </w:pPr>
      <w:r>
        <w:br/>
      </w:r>
      <w:r w:rsidRPr="60B95D79">
        <w:rPr>
          <w:rFonts w:asciiTheme="majorBidi" w:eastAsia="Helvetica" w:hAnsiTheme="majorBidi" w:cstheme="majorBidi"/>
        </w:rPr>
        <w:t xml:space="preserve">Annex </w:t>
      </w:r>
      <w:r w:rsidR="003C69AD">
        <w:rPr>
          <w:rFonts w:asciiTheme="majorBidi" w:eastAsia="Helvetica" w:hAnsiTheme="majorBidi" w:cstheme="majorBidi"/>
        </w:rPr>
        <w:t>9</w:t>
      </w:r>
      <w:r w:rsidRPr="60B95D79">
        <w:rPr>
          <w:rFonts w:asciiTheme="majorBidi" w:eastAsia="Helvetica" w:hAnsiTheme="majorBidi" w:cstheme="majorBidi"/>
        </w:rPr>
        <w:t xml:space="preserve"> shows the details for the 29 countries for which </w:t>
      </w:r>
      <w:r w:rsidR="000106D5">
        <w:rPr>
          <w:rFonts w:asciiTheme="majorBidi" w:eastAsia="Helvetica" w:hAnsiTheme="majorBidi" w:cstheme="majorBidi"/>
        </w:rPr>
        <w:t>PRP</w:t>
      </w:r>
      <w:r w:rsidRPr="60B95D79">
        <w:rPr>
          <w:rFonts w:asciiTheme="majorBidi" w:eastAsia="Helvetica" w:hAnsiTheme="majorBidi" w:cstheme="majorBidi"/>
        </w:rPr>
        <w:t xml:space="preserve"> funding for KIP </w:t>
      </w:r>
      <w:r w:rsidR="000106D5">
        <w:rPr>
          <w:rFonts w:asciiTheme="majorBidi" w:eastAsia="Helvetica" w:hAnsiTheme="majorBidi" w:cstheme="majorBidi"/>
        </w:rPr>
        <w:t>S</w:t>
      </w:r>
      <w:r w:rsidRPr="60B95D79">
        <w:rPr>
          <w:rFonts w:asciiTheme="majorBidi" w:eastAsia="Helvetica" w:hAnsiTheme="majorBidi" w:cstheme="majorBidi"/>
        </w:rPr>
        <w:t>tage I is needed.</w:t>
      </w:r>
    </w:p>
    <w:p w14:paraId="66161F4F" w14:textId="77777777" w:rsidR="000106D5" w:rsidRDefault="000106D5" w:rsidP="004C738E">
      <w:pPr>
        <w:spacing w:after="0"/>
      </w:pPr>
    </w:p>
    <w:p w14:paraId="2A68AD4D" w14:textId="1B4FFD1F" w:rsidR="004C738E" w:rsidRPr="002A68A9" w:rsidRDefault="004C738E" w:rsidP="004C738E">
      <w:pPr>
        <w:spacing w:after="0"/>
      </w:pPr>
      <w:r>
        <w:t xml:space="preserve">For KIP </w:t>
      </w:r>
      <w:r w:rsidR="002743BF">
        <w:t>S</w:t>
      </w:r>
      <w:r>
        <w:t xml:space="preserve">tage II, RTF considered that all countries with approved project preparation funding for </w:t>
      </w:r>
      <w:r w:rsidR="002743BF">
        <w:t>Stage</w:t>
      </w:r>
      <w:r>
        <w:t xml:space="preserve"> I would be eligible for project preparation funding for KIP </w:t>
      </w:r>
      <w:r w:rsidR="00651F72">
        <w:t>S</w:t>
      </w:r>
      <w:r>
        <w:t xml:space="preserve">tage II since they would have progressed in their implementation of </w:t>
      </w:r>
      <w:r w:rsidR="00651F72">
        <w:t>S</w:t>
      </w:r>
      <w:r>
        <w:t xml:space="preserve">tage I and would be ready to submit requests for </w:t>
      </w:r>
      <w:r w:rsidR="00651F72">
        <w:t>S</w:t>
      </w:r>
      <w:r>
        <w:t xml:space="preserve">tage II, except for those countries that exceeded 30% reduction from their baseline or went beyond 2030 for </w:t>
      </w:r>
      <w:r w:rsidR="00651F72">
        <w:t>S</w:t>
      </w:r>
      <w:r>
        <w:t>tage I.</w:t>
      </w:r>
    </w:p>
    <w:p w14:paraId="0CCD32DA" w14:textId="45D7C470" w:rsidR="004C738E" w:rsidRDefault="004C738E" w:rsidP="004C738E">
      <w:pPr>
        <w:pStyle w:val="ListParagraph"/>
        <w:spacing w:after="0"/>
      </w:pPr>
      <w:r>
        <w:t xml:space="preserve">RTF considered those countries with approved project preparation funding for </w:t>
      </w:r>
      <w:r w:rsidR="00B86193">
        <w:t>S</w:t>
      </w:r>
      <w:r>
        <w:t xml:space="preserve">tage I eligible even if they have not submitted their KIP </w:t>
      </w:r>
      <w:r w:rsidR="002743BF">
        <w:t>Stage</w:t>
      </w:r>
      <w:r>
        <w:t xml:space="preserve"> I yet, i.e., those with blank spaces in the control measure column in the </w:t>
      </w:r>
      <w:r w:rsidR="00B86193">
        <w:t>Table A9.</w:t>
      </w:r>
      <w:r w:rsidR="001C5D10">
        <w:t>2</w:t>
      </w:r>
      <w:r w:rsidR="00627FD1">
        <w:t>.</w:t>
      </w:r>
      <w:r>
        <w:t xml:space="preserve"> The justification is that KIPs are normally submitted within one year maximum from approval of funding and hence their submission will fall either in 2026 or within the 2027-2029 triennium;</w:t>
      </w:r>
    </w:p>
    <w:p w14:paraId="37247A6F" w14:textId="7096FA91" w:rsidR="004C738E" w:rsidRPr="00023B49" w:rsidRDefault="274D2446" w:rsidP="004C738E">
      <w:pPr>
        <w:pStyle w:val="ListParagraph"/>
        <w:spacing w:after="0"/>
      </w:pPr>
      <w:r>
        <w:t xml:space="preserve">RTF considered that all countries who were included in the Table A9.1 for KIP Stage I, "not eligible" for project preparation funding for Stage II, including all G2 countries and those who have not ratified the </w:t>
      </w:r>
      <w:r w:rsidR="00FF0F7D">
        <w:t>KA</w:t>
      </w:r>
      <w:r>
        <w:t>;</w:t>
      </w:r>
    </w:p>
    <w:p w14:paraId="0D79D8BB" w14:textId="7D8B76A8" w:rsidR="004C738E" w:rsidRPr="00023B49" w:rsidRDefault="004C738E" w:rsidP="004C738E">
      <w:pPr>
        <w:pStyle w:val="ListParagraph"/>
      </w:pPr>
      <w:r>
        <w:t xml:space="preserve">RTF used </w:t>
      </w:r>
      <w:r w:rsidR="002268C9">
        <w:t xml:space="preserve">a </w:t>
      </w:r>
      <w:r>
        <w:t xml:space="preserve">similar costing schedule as for the consumption levels of KIP </w:t>
      </w:r>
      <w:r w:rsidR="007B5205">
        <w:t>S</w:t>
      </w:r>
      <w:r>
        <w:t>tage I</w:t>
      </w:r>
      <w:r w:rsidR="002268C9">
        <w:t xml:space="preserve"> </w:t>
      </w:r>
      <w:r w:rsidR="00480477">
        <w:t>harmonising the values</w:t>
      </w:r>
      <w:r w:rsidR="008A6EDA">
        <w:t xml:space="preserve"> for the different groups</w:t>
      </w:r>
      <w:r>
        <w:t>.</w:t>
      </w:r>
    </w:p>
    <w:p w14:paraId="167C40B3" w14:textId="112AD33A" w:rsidR="004C738E" w:rsidRDefault="004C738E" w:rsidP="004C738E">
      <w:pPr>
        <w:rPr>
          <w:rFonts w:asciiTheme="majorBidi" w:hAnsiTheme="majorBidi" w:cstheme="majorBidi"/>
          <w:noProof/>
          <w:lang w:eastAsia="en-CA"/>
        </w:rPr>
      </w:pPr>
      <w:r>
        <w:t>Table</w:t>
      </w:r>
      <w:r w:rsidR="005A0A9D">
        <w:t xml:space="preserve"> A9.2</w:t>
      </w:r>
      <w:r>
        <w:t xml:space="preserve"> shows a list of countries for which project preparation funding was calculated for KIP </w:t>
      </w:r>
      <w:r w:rsidR="00651F72">
        <w:t>S</w:t>
      </w:r>
      <w:r>
        <w:t xml:space="preserve">tage II in the 2027-2029 triennium. The total project preparation cost for KIP </w:t>
      </w:r>
      <w:r w:rsidR="00651F72">
        <w:t>S</w:t>
      </w:r>
      <w:r>
        <w:t>tage II is US</w:t>
      </w:r>
      <w:r w:rsidRPr="60B95D79">
        <w:rPr>
          <w:rFonts w:asciiTheme="majorBidi" w:hAnsiTheme="majorBidi" w:cstheme="majorBidi"/>
        </w:rPr>
        <w:t>$</w:t>
      </w:r>
      <w:r w:rsidR="00651F72">
        <w:rPr>
          <w:rFonts w:asciiTheme="majorBidi" w:hAnsiTheme="majorBidi" w:cstheme="majorBidi"/>
        </w:rPr>
        <w:t xml:space="preserve"> </w:t>
      </w:r>
      <w:r w:rsidRPr="60B95D79">
        <w:rPr>
          <w:rFonts w:asciiTheme="majorBidi" w:hAnsiTheme="majorBidi" w:cstheme="majorBidi"/>
          <w:noProof/>
          <w:lang w:eastAsia="en-CA"/>
        </w:rPr>
        <w:t xml:space="preserve">15,660,000, and cost including agency support cost is </w:t>
      </w:r>
      <w:r w:rsidRPr="00D608E4">
        <w:rPr>
          <w:rFonts w:asciiTheme="majorBidi" w:hAnsiTheme="majorBidi" w:cstheme="majorBidi"/>
          <w:b/>
          <w:bCs/>
          <w:noProof/>
          <w:lang w:eastAsia="en-CA"/>
        </w:rPr>
        <w:t>US$</w:t>
      </w:r>
      <w:r w:rsidR="00651F72" w:rsidRPr="00D608E4">
        <w:rPr>
          <w:rFonts w:asciiTheme="majorBidi" w:hAnsiTheme="majorBidi" w:cstheme="majorBidi"/>
          <w:b/>
          <w:bCs/>
          <w:noProof/>
          <w:lang w:eastAsia="en-CA"/>
        </w:rPr>
        <w:t xml:space="preserve"> </w:t>
      </w:r>
      <w:r w:rsidRPr="00D608E4">
        <w:rPr>
          <w:rFonts w:asciiTheme="majorBidi" w:hAnsiTheme="majorBidi" w:cstheme="majorBidi"/>
          <w:b/>
          <w:bCs/>
          <w:noProof/>
          <w:lang w:eastAsia="en-CA"/>
        </w:rPr>
        <w:t>17,163,360</w:t>
      </w:r>
      <w:r w:rsidRPr="60B95D79">
        <w:rPr>
          <w:rFonts w:asciiTheme="majorBidi" w:hAnsiTheme="majorBidi" w:cstheme="majorBidi"/>
          <w:noProof/>
          <w:lang w:eastAsia="en-CA"/>
        </w:rPr>
        <w:t>.</w:t>
      </w:r>
    </w:p>
    <w:p w14:paraId="37CAC06F" w14:textId="56D2E414" w:rsidR="004C738E" w:rsidRDefault="0057560F" w:rsidP="004C738E">
      <w:r>
        <w:t>Table 3.13 provides a summary of the estimated fund</w:t>
      </w:r>
      <w:r w:rsidR="007E520A">
        <w:t xml:space="preserve">ing requirement for PRP for </w:t>
      </w:r>
      <w:r w:rsidR="004C738E">
        <w:t xml:space="preserve">KIP </w:t>
      </w:r>
      <w:r w:rsidR="007E520A">
        <w:t>S</w:t>
      </w:r>
      <w:r w:rsidR="004C738E">
        <w:t xml:space="preserve">tages I </w:t>
      </w:r>
      <w:r w:rsidR="007E520A">
        <w:t xml:space="preserve">and </w:t>
      </w:r>
      <w:r w:rsidR="004C738E">
        <w:t>II</w:t>
      </w:r>
      <w:r w:rsidR="00587D04">
        <w:t xml:space="preserve"> in the 2027-2029 triennium.</w:t>
      </w:r>
    </w:p>
    <w:p w14:paraId="609C78AF" w14:textId="55940461" w:rsidR="0057560F" w:rsidRPr="0057560F" w:rsidRDefault="0057560F" w:rsidP="002135B0">
      <w:pPr>
        <w:tabs>
          <w:tab w:val="left" w:pos="1276"/>
        </w:tabs>
        <w:spacing w:after="120"/>
        <w:ind w:left="1418" w:hanging="1418"/>
        <w:rPr>
          <w:b/>
        </w:rPr>
      </w:pPr>
      <w:r w:rsidRPr="0C52B0CB">
        <w:rPr>
          <w:rFonts w:eastAsiaTheme="minorEastAsia"/>
          <w:b/>
        </w:rPr>
        <w:t xml:space="preserve">Table </w:t>
      </w:r>
      <w:r>
        <w:rPr>
          <w:rFonts w:eastAsiaTheme="minorEastAsia"/>
          <w:b/>
        </w:rPr>
        <w:t>3</w:t>
      </w:r>
      <w:r w:rsidRPr="0C52B0CB">
        <w:rPr>
          <w:rFonts w:eastAsiaTheme="minorEastAsia"/>
          <w:b/>
        </w:rPr>
        <w:t>.</w:t>
      </w:r>
      <w:r>
        <w:rPr>
          <w:rFonts w:eastAsiaTheme="minorEastAsia"/>
          <w:b/>
        </w:rPr>
        <w:t>13</w:t>
      </w:r>
      <w:r w:rsidR="00BB4FD2">
        <w:rPr>
          <w:rFonts w:eastAsiaTheme="minorEastAsia"/>
          <w:b/>
        </w:rPr>
        <w:t>:</w:t>
      </w:r>
      <w:r>
        <w:tab/>
      </w:r>
      <w:r w:rsidR="00587D04" w:rsidRPr="002F208B">
        <w:rPr>
          <w:b/>
          <w:bCs/>
        </w:rPr>
        <w:t>Estimated funding for PRP for KIP</w:t>
      </w:r>
      <w:r w:rsidR="001F5BFB" w:rsidRPr="002F208B">
        <w:rPr>
          <w:b/>
          <w:bCs/>
        </w:rPr>
        <w:t xml:space="preserve"> Stages 1 and II for 2027-2029</w:t>
      </w:r>
      <w:r w:rsidRPr="002F208B">
        <w:rPr>
          <w:b/>
          <w:bCs/>
          <w:lang w:val="en-US"/>
        </w:rPr>
        <w:t xml:space="preserve"> (</w:t>
      </w:r>
      <w:r w:rsidRPr="1D987275">
        <w:rPr>
          <w:b/>
          <w:bCs/>
          <w:lang w:val="en-US"/>
        </w:rPr>
        <w:t>US$</w:t>
      </w:r>
      <w:r w:rsidRPr="09C8F538">
        <w:rPr>
          <w:b/>
          <w:bCs/>
          <w:lang w:val="en-US"/>
        </w:rPr>
        <w:t>)</w:t>
      </w:r>
    </w:p>
    <w:tbl>
      <w:tblPr>
        <w:tblStyle w:val="TableGrid"/>
        <w:tblW w:w="0" w:type="auto"/>
        <w:tblLook w:val="04A0" w:firstRow="1" w:lastRow="0" w:firstColumn="1" w:lastColumn="0" w:noHBand="0" w:noVBand="1"/>
      </w:tblPr>
      <w:tblGrid>
        <w:gridCol w:w="3024"/>
        <w:gridCol w:w="3025"/>
        <w:gridCol w:w="3025"/>
      </w:tblGrid>
      <w:tr w:rsidR="004C738E" w14:paraId="527A2020" w14:textId="77777777" w:rsidTr="00EC6B8D">
        <w:tc>
          <w:tcPr>
            <w:tcW w:w="3024" w:type="dxa"/>
            <w:shd w:val="clear" w:color="auto" w:fill="D9E2F3" w:themeFill="accent1" w:themeFillTint="33"/>
          </w:tcPr>
          <w:p w14:paraId="78453F02" w14:textId="46D562B0" w:rsidR="004C738E" w:rsidRPr="001A6F91" w:rsidRDefault="002743BF">
            <w:pPr>
              <w:spacing w:after="0"/>
              <w:jc w:val="center"/>
              <w:rPr>
                <w:b/>
                <w:bCs/>
              </w:rPr>
            </w:pPr>
            <w:r>
              <w:rPr>
                <w:b/>
                <w:bCs/>
              </w:rPr>
              <w:t xml:space="preserve">KIP </w:t>
            </w:r>
            <w:r w:rsidR="004C738E" w:rsidRPr="60B95D79">
              <w:rPr>
                <w:b/>
                <w:bCs/>
              </w:rPr>
              <w:t>Stage</w:t>
            </w:r>
          </w:p>
        </w:tc>
        <w:tc>
          <w:tcPr>
            <w:tcW w:w="3025" w:type="dxa"/>
            <w:shd w:val="clear" w:color="auto" w:fill="D9E2F3" w:themeFill="accent1" w:themeFillTint="33"/>
          </w:tcPr>
          <w:p w14:paraId="138F2405" w14:textId="77777777" w:rsidR="004C738E" w:rsidRPr="001A6F91" w:rsidRDefault="004C738E">
            <w:pPr>
              <w:spacing w:after="0"/>
              <w:jc w:val="center"/>
              <w:rPr>
                <w:b/>
                <w:bCs/>
              </w:rPr>
            </w:pPr>
            <w:r w:rsidRPr="60B95D79">
              <w:rPr>
                <w:b/>
                <w:bCs/>
              </w:rPr>
              <w:t>Total project preparation cost (US$)</w:t>
            </w:r>
          </w:p>
        </w:tc>
        <w:tc>
          <w:tcPr>
            <w:tcW w:w="3025" w:type="dxa"/>
            <w:shd w:val="clear" w:color="auto" w:fill="D9E2F3" w:themeFill="accent1" w:themeFillTint="33"/>
          </w:tcPr>
          <w:p w14:paraId="756583B1" w14:textId="77777777" w:rsidR="004C738E" w:rsidRPr="001A6F91" w:rsidRDefault="004C738E">
            <w:pPr>
              <w:spacing w:after="0"/>
              <w:jc w:val="center"/>
              <w:rPr>
                <w:b/>
                <w:bCs/>
              </w:rPr>
            </w:pPr>
            <w:r w:rsidRPr="60B95D79">
              <w:rPr>
                <w:b/>
                <w:bCs/>
              </w:rPr>
              <w:t>Total including Agency Support Cost @ 9.6% (US$)</w:t>
            </w:r>
          </w:p>
        </w:tc>
      </w:tr>
      <w:tr w:rsidR="004C738E" w14:paraId="0F1B5E57" w14:textId="77777777">
        <w:tc>
          <w:tcPr>
            <w:tcW w:w="3024" w:type="dxa"/>
          </w:tcPr>
          <w:p w14:paraId="322F4B29" w14:textId="0337CC36" w:rsidR="004C738E" w:rsidRDefault="004C738E" w:rsidP="00FF36F2">
            <w:pPr>
              <w:spacing w:after="0"/>
              <w:jc w:val="center"/>
            </w:pPr>
            <w:r>
              <w:t>I</w:t>
            </w:r>
          </w:p>
        </w:tc>
        <w:tc>
          <w:tcPr>
            <w:tcW w:w="3025" w:type="dxa"/>
          </w:tcPr>
          <w:p w14:paraId="5B632E12" w14:textId="77777777" w:rsidR="004C738E" w:rsidRDefault="004C738E">
            <w:pPr>
              <w:spacing w:after="0"/>
              <w:jc w:val="right"/>
            </w:pPr>
            <w:r>
              <w:t>4,630,000</w:t>
            </w:r>
          </w:p>
        </w:tc>
        <w:tc>
          <w:tcPr>
            <w:tcW w:w="3025" w:type="dxa"/>
          </w:tcPr>
          <w:p w14:paraId="06EB6200" w14:textId="77777777" w:rsidR="004C738E" w:rsidRDefault="004C738E">
            <w:pPr>
              <w:spacing w:after="0"/>
              <w:jc w:val="right"/>
            </w:pPr>
            <w:r>
              <w:t>5,074,480</w:t>
            </w:r>
          </w:p>
        </w:tc>
      </w:tr>
      <w:tr w:rsidR="004C738E" w14:paraId="2167EF67" w14:textId="77777777">
        <w:tc>
          <w:tcPr>
            <w:tcW w:w="3024" w:type="dxa"/>
          </w:tcPr>
          <w:p w14:paraId="27FED5E5" w14:textId="45E583D6" w:rsidR="004C738E" w:rsidRDefault="004C738E" w:rsidP="00FF36F2">
            <w:pPr>
              <w:spacing w:after="0"/>
              <w:jc w:val="center"/>
            </w:pPr>
            <w:r>
              <w:t>II</w:t>
            </w:r>
          </w:p>
        </w:tc>
        <w:tc>
          <w:tcPr>
            <w:tcW w:w="3025" w:type="dxa"/>
          </w:tcPr>
          <w:p w14:paraId="7660850F" w14:textId="77777777" w:rsidR="004C738E" w:rsidRDefault="004C738E">
            <w:pPr>
              <w:spacing w:after="0"/>
              <w:jc w:val="right"/>
            </w:pPr>
            <w:r>
              <w:t>15,660,000</w:t>
            </w:r>
          </w:p>
        </w:tc>
        <w:tc>
          <w:tcPr>
            <w:tcW w:w="3025" w:type="dxa"/>
          </w:tcPr>
          <w:p w14:paraId="6FDD8C9A" w14:textId="77777777" w:rsidR="004C738E" w:rsidRDefault="004C738E">
            <w:pPr>
              <w:spacing w:after="0"/>
              <w:jc w:val="right"/>
            </w:pPr>
            <w:r>
              <w:t>17,163,360</w:t>
            </w:r>
          </w:p>
        </w:tc>
      </w:tr>
      <w:tr w:rsidR="004C738E" w14:paraId="20928E3C" w14:textId="77777777" w:rsidTr="00EC6B8D">
        <w:tc>
          <w:tcPr>
            <w:tcW w:w="3024" w:type="dxa"/>
            <w:shd w:val="clear" w:color="auto" w:fill="B4C6E7" w:themeFill="accent1" w:themeFillTint="66"/>
          </w:tcPr>
          <w:p w14:paraId="2B57F4D9" w14:textId="3EF6AE0A" w:rsidR="004C738E" w:rsidRPr="001A6F91" w:rsidRDefault="004C738E">
            <w:pPr>
              <w:spacing w:after="0"/>
              <w:rPr>
                <w:b/>
                <w:bCs/>
              </w:rPr>
            </w:pPr>
            <w:r w:rsidRPr="60B95D79">
              <w:rPr>
                <w:b/>
                <w:bCs/>
              </w:rPr>
              <w:t xml:space="preserve">Total for </w:t>
            </w:r>
            <w:r w:rsidR="00651F72">
              <w:rPr>
                <w:b/>
                <w:bCs/>
              </w:rPr>
              <w:t>S</w:t>
            </w:r>
            <w:r w:rsidRPr="60B95D79">
              <w:rPr>
                <w:b/>
                <w:bCs/>
              </w:rPr>
              <w:t>tages I &amp; II</w:t>
            </w:r>
          </w:p>
        </w:tc>
        <w:tc>
          <w:tcPr>
            <w:tcW w:w="3025" w:type="dxa"/>
            <w:shd w:val="clear" w:color="auto" w:fill="B4C6E7" w:themeFill="accent1" w:themeFillTint="66"/>
          </w:tcPr>
          <w:p w14:paraId="6858E5AC" w14:textId="11B9B333" w:rsidR="004C738E" w:rsidRPr="001A6F91" w:rsidRDefault="004C738E">
            <w:pPr>
              <w:spacing w:after="0"/>
              <w:jc w:val="right"/>
              <w:rPr>
                <w:b/>
                <w:bCs/>
              </w:rPr>
            </w:pPr>
            <w:r w:rsidRPr="60B95D79">
              <w:rPr>
                <w:b/>
                <w:bCs/>
              </w:rPr>
              <w:t>20,290,000</w:t>
            </w:r>
          </w:p>
        </w:tc>
        <w:tc>
          <w:tcPr>
            <w:tcW w:w="3025" w:type="dxa"/>
            <w:shd w:val="clear" w:color="auto" w:fill="B4C6E7" w:themeFill="accent1" w:themeFillTint="66"/>
          </w:tcPr>
          <w:p w14:paraId="356FE435" w14:textId="0CEEF894" w:rsidR="004C738E" w:rsidRPr="001A6F91" w:rsidRDefault="004C738E">
            <w:pPr>
              <w:spacing w:after="0"/>
              <w:jc w:val="right"/>
              <w:rPr>
                <w:b/>
                <w:bCs/>
              </w:rPr>
            </w:pPr>
            <w:r w:rsidRPr="60B95D79">
              <w:rPr>
                <w:b/>
                <w:bCs/>
              </w:rPr>
              <w:t>22,237,840</w:t>
            </w:r>
          </w:p>
        </w:tc>
      </w:tr>
    </w:tbl>
    <w:p w14:paraId="31676A7D" w14:textId="77777777" w:rsidR="004C738E" w:rsidRDefault="004C738E" w:rsidP="004C738E"/>
    <w:p w14:paraId="676D1D51" w14:textId="5FC314E9" w:rsidR="004C738E" w:rsidRDefault="004C738E" w:rsidP="002D02B7">
      <w:pPr>
        <w:pStyle w:val="Heading2"/>
        <w:rPr>
          <w:rFonts w:eastAsia="Times New Roman Bold"/>
        </w:rPr>
      </w:pPr>
      <w:bookmarkStart w:id="203" w:name="_Toc227477922"/>
      <w:bookmarkStart w:id="204" w:name="_Toc230099087"/>
      <w:r>
        <w:t>3.</w:t>
      </w:r>
      <w:r w:rsidR="001E26AC">
        <w:t>7</w:t>
      </w:r>
      <w:r>
        <w:tab/>
        <w:t xml:space="preserve">Energy </w:t>
      </w:r>
      <w:r w:rsidR="008715FC">
        <w:t>e</w:t>
      </w:r>
      <w:r>
        <w:t>fficiency</w:t>
      </w:r>
      <w:bookmarkEnd w:id="203"/>
      <w:bookmarkEnd w:id="204"/>
      <w:r>
        <w:t xml:space="preserve"> </w:t>
      </w:r>
    </w:p>
    <w:p w14:paraId="6ECD441A" w14:textId="12CB260B" w:rsidR="00C01CFD" w:rsidRDefault="000064ED" w:rsidP="004C738E">
      <w:pPr>
        <w:spacing w:after="0"/>
        <w:rPr>
          <w:rFonts w:eastAsia="Times New Roman Bold" w:cs="Times New Roman Bold"/>
          <w:lang w:val="en-US"/>
        </w:rPr>
      </w:pPr>
      <w:r w:rsidRPr="000064ED">
        <w:rPr>
          <w:rFonts w:eastAsia="Times New Roman Bold" w:cs="Times New Roman Bold"/>
          <w:lang w:val="en-US"/>
        </w:rPr>
        <w:t xml:space="preserve">Chapter 7 of this Report </w:t>
      </w:r>
      <w:r>
        <w:rPr>
          <w:rFonts w:eastAsia="Times New Roman Bold" w:cs="Times New Roman Bold"/>
          <w:lang w:val="en-US"/>
        </w:rPr>
        <w:t>discusses the relevant decisions related to funding for EE in this triennium, and those</w:t>
      </w:r>
      <w:r w:rsidR="00C01CFD">
        <w:rPr>
          <w:rFonts w:eastAsia="Times New Roman Bold" w:cs="Times New Roman Bold"/>
          <w:lang w:val="en-US"/>
        </w:rPr>
        <w:t xml:space="preserve"> related to HFC phase-down estimated funding requirements are discussed in this section.</w:t>
      </w:r>
      <w:r w:rsidR="006B2D6C">
        <w:rPr>
          <w:rFonts w:eastAsia="Times New Roman Bold" w:cs="Times New Roman Bold"/>
          <w:lang w:val="en-US"/>
        </w:rPr>
        <w:t xml:space="preserve"> It also </w:t>
      </w:r>
      <w:r w:rsidR="006B2D6C" w:rsidRPr="006B2D6C">
        <w:rPr>
          <w:rFonts w:eastAsia="Times New Roman Bold" w:cs="Times New Roman Bold"/>
          <w:lang w:val="en-US"/>
        </w:rPr>
        <w:t xml:space="preserve">provides examples of approaches in support of </w:t>
      </w:r>
      <w:r w:rsidR="00D02C1C">
        <w:rPr>
          <w:rFonts w:eastAsia="Times New Roman Bold" w:cs="Times New Roman Bold"/>
          <w:lang w:val="en-US"/>
        </w:rPr>
        <w:t>EE</w:t>
      </w:r>
      <w:r w:rsidR="006B2D6C" w:rsidRPr="006B2D6C">
        <w:rPr>
          <w:rFonts w:eastAsia="Times New Roman Bold" w:cs="Times New Roman Bold"/>
          <w:lang w:val="en-US"/>
        </w:rPr>
        <w:t xml:space="preserve"> that could be useful to inform consideration of the possibility of augmenting the funding window in the future and in ongoing discussions on HFC guidelines.</w:t>
      </w:r>
    </w:p>
    <w:p w14:paraId="160D32BE" w14:textId="77777777" w:rsidR="00C01CFD" w:rsidRDefault="00C01CFD" w:rsidP="004C738E">
      <w:pPr>
        <w:spacing w:after="0"/>
        <w:rPr>
          <w:rFonts w:eastAsia="Times New Roman Bold" w:cs="Times New Roman Bold"/>
          <w:lang w:val="en-US"/>
        </w:rPr>
      </w:pPr>
    </w:p>
    <w:p w14:paraId="4A5E1046" w14:textId="5C9478D1" w:rsidR="004C738E" w:rsidRDefault="004C738E" w:rsidP="004C738E">
      <w:pPr>
        <w:spacing w:after="0"/>
        <w:rPr>
          <w:rFonts w:eastAsia="Times New Roman Bold" w:cs="Times New Roman Bold"/>
          <w:lang w:val="en-US"/>
        </w:rPr>
      </w:pPr>
      <w:r w:rsidRPr="00060825">
        <w:rPr>
          <w:rFonts w:eastAsia="Times New Roman Bold" w:cs="Times New Roman Bold"/>
          <w:lang w:val="en-US"/>
        </w:rPr>
        <w:lastRenderedPageBreak/>
        <w:t>Decision 91/65</w:t>
      </w:r>
      <w:r w:rsidRPr="00060825">
        <w:rPr>
          <w:rFonts w:eastAsia="Times New Roman Bold" w:cs="Times New Roman Bold"/>
          <w:vertAlign w:val="superscript"/>
          <w:lang w:val="en-US"/>
        </w:rPr>
        <w:t xml:space="preserve"> </w:t>
      </w:r>
      <w:r w:rsidRPr="00060825">
        <w:rPr>
          <w:rFonts w:eastAsia="Times New Roman Bold" w:cs="Times New Roman Bold"/>
          <w:vertAlign w:val="superscript"/>
          <w:lang w:val="en-US"/>
        </w:rPr>
        <w:footnoteReference w:id="36"/>
      </w:r>
      <w:r w:rsidRPr="2374FBE6">
        <w:rPr>
          <w:rFonts w:eastAsia="Times New Roman Bold" w:cs="Times New Roman Bold"/>
          <w:lang w:val="en-US"/>
        </w:rPr>
        <w:t xml:space="preserve"> has established a “funding window for pilot projects in the amount of US $20 million with the possibility of augmenting that funding window at a future meeting to maintain and/or enhance energy efficiency in the context of HFC phase-down as specified in decision XXVIII/2, following the criteria identified in subparagraph(b).”</w:t>
      </w:r>
      <w:r w:rsidR="006B2D6C">
        <w:rPr>
          <w:rFonts w:eastAsia="Times New Roman Bold" w:cs="Times New Roman Bold"/>
          <w:lang w:val="en-US"/>
        </w:rPr>
        <w:t xml:space="preserve"> </w:t>
      </w:r>
      <w:r w:rsidRPr="006B2D6C">
        <w:rPr>
          <w:rFonts w:eastAsia="Times New Roman Bold" w:cs="Times New Roman Bold"/>
          <w:lang w:val="en-US"/>
        </w:rPr>
        <w:t xml:space="preserve">The </w:t>
      </w:r>
      <w:r w:rsidR="00FC6392">
        <w:rPr>
          <w:rFonts w:eastAsia="Times New Roman Bold" w:cs="Times New Roman Bold"/>
          <w:lang w:val="en-US"/>
        </w:rPr>
        <w:t>BP</w:t>
      </w:r>
      <w:r w:rsidRPr="006B2D6C">
        <w:rPr>
          <w:rFonts w:eastAsia="Times New Roman Bold" w:cs="Times New Roman Bold"/>
          <w:lang w:val="en-US"/>
        </w:rPr>
        <w:t xml:space="preserve"> estimates a total of US $15.83 million is included in the business plan under the funding window for pilot projects for </w:t>
      </w:r>
      <w:r w:rsidR="00D02C1C">
        <w:rPr>
          <w:rFonts w:eastAsia="Times New Roman Bold" w:cs="Times New Roman Bold"/>
          <w:lang w:val="en-US"/>
        </w:rPr>
        <w:t>EE</w:t>
      </w:r>
      <w:r w:rsidRPr="006B2D6C">
        <w:rPr>
          <w:rFonts w:eastAsia="Times New Roman Bold" w:cs="Times New Roman Bold"/>
          <w:lang w:val="en-US"/>
        </w:rPr>
        <w:t xml:space="preserve"> for 2026–2027 for 17 countries and two regions (Africa and the Pacific Island countries). In addition, a total of US $187,400 is included in the </w:t>
      </w:r>
      <w:r w:rsidR="00FC6392">
        <w:rPr>
          <w:rFonts w:eastAsia="Times New Roman Bold" w:cs="Times New Roman Bold"/>
          <w:lang w:val="en-US"/>
        </w:rPr>
        <w:t>BP</w:t>
      </w:r>
      <w:r w:rsidRPr="006B2D6C">
        <w:rPr>
          <w:rFonts w:eastAsia="Times New Roman Bold" w:cs="Times New Roman Bold"/>
          <w:lang w:val="en-US"/>
        </w:rPr>
        <w:t xml:space="preserve"> for project preparation for two countries and one region (Africa) for 2026. The RTF estimated funding for </w:t>
      </w:r>
      <w:r w:rsidR="00D02C1C">
        <w:rPr>
          <w:rFonts w:eastAsia="Times New Roman Bold" w:cs="Times New Roman Bold"/>
          <w:lang w:val="en-US"/>
        </w:rPr>
        <w:t>EE</w:t>
      </w:r>
      <w:r w:rsidRPr="006B2D6C">
        <w:rPr>
          <w:rFonts w:eastAsia="Times New Roman Bold" w:cs="Times New Roman Bold"/>
          <w:lang w:val="en-US"/>
        </w:rPr>
        <w:t xml:space="preserve"> pilot projects for 2027-2029 in the amount of </w:t>
      </w:r>
      <w:r w:rsidRPr="006B2D6C">
        <w:rPr>
          <w:rFonts w:eastAsia="Times New Roman Bold" w:cs="Times New Roman Bold"/>
          <w:b/>
          <w:bCs/>
          <w:lang w:val="en-US"/>
        </w:rPr>
        <w:t xml:space="preserve">US$ </w:t>
      </w:r>
      <w:r w:rsidR="006B2D6C" w:rsidRPr="006B2D6C">
        <w:rPr>
          <w:rFonts w:eastAsia="Times New Roman Bold" w:cs="Times New Roman Bold"/>
          <w:b/>
          <w:bCs/>
          <w:lang w:val="en-US"/>
        </w:rPr>
        <w:t>3.4 million</w:t>
      </w:r>
      <w:r w:rsidRPr="006B2D6C">
        <w:rPr>
          <w:rFonts w:eastAsia="Times New Roman Bold" w:cs="Times New Roman Bold"/>
          <w:lang w:val="en-US"/>
        </w:rPr>
        <w:t xml:space="preserve">. </w:t>
      </w:r>
    </w:p>
    <w:p w14:paraId="15A32ED7" w14:textId="77777777" w:rsidR="004C738E" w:rsidRDefault="004C738E" w:rsidP="004C738E">
      <w:pPr>
        <w:spacing w:after="0"/>
        <w:jc w:val="both"/>
      </w:pPr>
    </w:p>
    <w:p w14:paraId="21A31767" w14:textId="5D9409F1" w:rsidR="000064ED" w:rsidRPr="006B2D6C" w:rsidRDefault="000064ED" w:rsidP="003B2415">
      <w:pPr>
        <w:spacing w:after="120"/>
        <w:rPr>
          <w:rFonts w:eastAsia="Times New Roman Bold" w:cs="Times New Roman Bold"/>
        </w:rPr>
      </w:pPr>
      <w:r w:rsidRPr="00364F53">
        <w:rPr>
          <w:rFonts w:eastAsia="Times New Roman Bold" w:cs="Times New Roman Bold"/>
        </w:rPr>
        <w:t>Decision 94/60</w:t>
      </w:r>
      <w:r w:rsidRPr="00364F53">
        <w:rPr>
          <w:rFonts w:eastAsia="Times New Roman Bold" w:cs="Times New Roman Bold"/>
          <w:vertAlign w:val="superscript"/>
        </w:rPr>
        <w:footnoteReference w:id="37"/>
      </w:r>
      <w:r w:rsidRPr="00364F53">
        <w:rPr>
          <w:rFonts w:eastAsia="Times New Roman Bold" w:cs="Times New Roman Bold"/>
          <w:vertAlign w:val="superscript"/>
        </w:rPr>
        <w:t xml:space="preserve"> </w:t>
      </w:r>
      <w:r w:rsidRPr="00364F53">
        <w:rPr>
          <w:rFonts w:eastAsia="Times New Roman Bold" w:cs="Times New Roman Bold"/>
        </w:rPr>
        <w:t>has established a “a funding window of US$</w:t>
      </w:r>
      <w:r>
        <w:rPr>
          <w:rFonts w:eastAsia="Times New Roman Bold" w:cs="Times New Roman Bold"/>
        </w:rPr>
        <w:t xml:space="preserve"> </w:t>
      </w:r>
      <w:r w:rsidRPr="00364F53">
        <w:rPr>
          <w:rFonts w:eastAsia="Times New Roman Bold" w:cs="Times New Roman Bold"/>
        </w:rPr>
        <w:t>100 million for projects developed and implemented under the framework, subject to further augmentation by the Executive Committee</w:t>
      </w:r>
      <w:r>
        <w:rPr>
          <w:rFonts w:eastAsia="Times New Roman Bold" w:cs="Times New Roman Bold"/>
        </w:rPr>
        <w:t>.</w:t>
      </w:r>
      <w:r w:rsidRPr="00364F53">
        <w:rPr>
          <w:rFonts w:eastAsia="Times New Roman Bold" w:cs="Times New Roman Bold"/>
        </w:rPr>
        <w:t xml:space="preserve">” These projects focus on enhancing </w:t>
      </w:r>
      <w:r w:rsidR="00D02C1C">
        <w:rPr>
          <w:rFonts w:eastAsia="Times New Roman Bold" w:cs="Times New Roman Bold"/>
        </w:rPr>
        <w:t>EE</w:t>
      </w:r>
      <w:r w:rsidRPr="00364F53">
        <w:rPr>
          <w:rFonts w:eastAsia="Times New Roman Bold" w:cs="Times New Roman Bold"/>
        </w:rPr>
        <w:t xml:space="preserve"> when phasing down HFCs in the manufacturing of domestic refrigerators, commercial refrigeration display cabinets, commercial refrigeration chest freezers, residential air conditioners and commercial air conditioners. These activities were later extended to include compressors, heat exchangers, and heat pumps according to Decision 95/87</w:t>
      </w:r>
      <w:r w:rsidRPr="00364F53">
        <w:rPr>
          <w:rFonts w:eastAsia="Times New Roman Bold" w:cs="Times New Roman Bold"/>
          <w:vertAlign w:val="superscript"/>
        </w:rPr>
        <w:footnoteReference w:id="38"/>
      </w:r>
      <w:r w:rsidRPr="00364F53">
        <w:rPr>
          <w:rFonts w:eastAsia="Times New Roman Bold" w:cs="Times New Roman Bold"/>
        </w:rPr>
        <w:t xml:space="preserve"> paragraphs (b) and (c).</w:t>
      </w:r>
      <w:r w:rsidR="006B2D6C">
        <w:rPr>
          <w:rFonts w:eastAsia="Times New Roman Bold" w:cs="Times New Roman Bold"/>
        </w:rPr>
        <w:t xml:space="preserve"> </w:t>
      </w:r>
      <w:r w:rsidRPr="00364F53">
        <w:rPr>
          <w:rFonts w:eastAsia="Times New Roman Bold" w:cs="Times New Roman Bold"/>
        </w:rPr>
        <w:t>The current funding window suggests that a total of US$</w:t>
      </w:r>
      <w:r>
        <w:rPr>
          <w:rFonts w:eastAsia="Times New Roman Bold" w:cs="Times New Roman Bold"/>
        </w:rPr>
        <w:t xml:space="preserve"> </w:t>
      </w:r>
      <w:r w:rsidRPr="00364F53">
        <w:rPr>
          <w:rFonts w:eastAsia="Times New Roman Bold" w:cs="Times New Roman Bold"/>
        </w:rPr>
        <w:t xml:space="preserve">77,966,2000 is still available. Assuming two preparatory and two investment projects are approved in 2026 at the average cost of projects approved to date, an additional </w:t>
      </w:r>
      <w:r>
        <w:rPr>
          <w:rFonts w:eastAsia="Times New Roman Bold" w:cs="Times New Roman Bold"/>
        </w:rPr>
        <w:t>US</w:t>
      </w:r>
      <w:r w:rsidRPr="00364F53">
        <w:rPr>
          <w:rFonts w:eastAsia="Times New Roman Bold" w:cs="Times New Roman Bold"/>
        </w:rPr>
        <w:t>$</w:t>
      </w:r>
      <w:r>
        <w:rPr>
          <w:rFonts w:eastAsia="Times New Roman Bold" w:cs="Times New Roman Bold"/>
        </w:rPr>
        <w:t xml:space="preserve"> </w:t>
      </w:r>
      <w:r w:rsidRPr="00364F53">
        <w:rPr>
          <w:rFonts w:eastAsia="Times New Roman Bold" w:cs="Times New Roman Bold"/>
        </w:rPr>
        <w:t xml:space="preserve">8,772,554 of the remaining funding window would be used this triennium, leaving a remaining approximately </w:t>
      </w:r>
      <w:r>
        <w:rPr>
          <w:rFonts w:eastAsia="Times New Roman Bold" w:cs="Times New Roman Bold"/>
        </w:rPr>
        <w:t>US</w:t>
      </w:r>
      <w:r w:rsidRPr="00364F53">
        <w:rPr>
          <w:rFonts w:eastAsia="Times New Roman Bold" w:cs="Times New Roman Bold"/>
        </w:rPr>
        <w:t>$</w:t>
      </w:r>
      <w:r>
        <w:rPr>
          <w:rFonts w:eastAsia="Times New Roman Bold" w:cs="Times New Roman Bold"/>
        </w:rPr>
        <w:t xml:space="preserve"> </w:t>
      </w:r>
      <w:r w:rsidRPr="00364F53">
        <w:rPr>
          <w:rFonts w:eastAsia="Times New Roman Bold" w:cs="Times New Roman Bold"/>
        </w:rPr>
        <w:t xml:space="preserve">70,000,000 available in the window for the </w:t>
      </w:r>
      <w:r w:rsidRPr="006B2D6C">
        <w:rPr>
          <w:rFonts w:eastAsia="Times New Roman Bold" w:cs="Times New Roman Bold"/>
        </w:rPr>
        <w:t>next triennium. However, it is not clear what would be the countries’ submission in the next triennium. Below are 2 scenarios based on available trends.</w:t>
      </w:r>
    </w:p>
    <w:p w14:paraId="08C58E15" w14:textId="77119673" w:rsidR="000064ED" w:rsidRPr="006B2D6C" w:rsidRDefault="274D2446" w:rsidP="003B2415">
      <w:pPr>
        <w:pStyle w:val="ListParagraph"/>
        <w:spacing w:after="120"/>
        <w:contextualSpacing/>
        <w:rPr>
          <w:rFonts w:eastAsia="Times New Roman Bold" w:cs="Times New Roman Bold"/>
        </w:rPr>
      </w:pPr>
      <w:r w:rsidRPr="274D2446">
        <w:rPr>
          <w:rFonts w:eastAsia="Times New Roman Bold" w:cs="Times New Roman Bold"/>
        </w:rPr>
        <w:t xml:space="preserve">Scenario 1: Assume the same level of funding over the next three years; total needed funding = </w:t>
      </w:r>
      <w:r w:rsidRPr="274D2446">
        <w:rPr>
          <w:rFonts w:eastAsia="Times New Roman Bold" w:cs="Times New Roman Bold"/>
          <w:b/>
          <w:bCs/>
        </w:rPr>
        <w:t>US$ 66,101,400</w:t>
      </w:r>
      <w:r w:rsidRPr="274D2446">
        <w:rPr>
          <w:rFonts w:eastAsia="Times New Roman Bold" w:cs="Times New Roman Bold"/>
        </w:rPr>
        <w:t>.</w:t>
      </w:r>
    </w:p>
    <w:p w14:paraId="1DE86FEE" w14:textId="45E21E9B" w:rsidR="000064ED" w:rsidRPr="006B2D6C" w:rsidRDefault="274D2446" w:rsidP="274D2446">
      <w:pPr>
        <w:pStyle w:val="ListParagraph"/>
        <w:spacing w:after="0"/>
        <w:contextualSpacing/>
        <w:rPr>
          <w:rFonts w:eastAsia="Times New Roman Bold" w:cs="Times New Roman Bold"/>
        </w:rPr>
      </w:pPr>
      <w:r w:rsidRPr="274D2446">
        <w:rPr>
          <w:rFonts w:eastAsia="Times New Roman Bold" w:cs="Times New Roman Bold"/>
        </w:rPr>
        <w:t xml:space="preserve"> Scenario 2: countries ramp up their EE activities and deplete the funding window over the next triennium; total needed funding = </w:t>
      </w:r>
      <w:r w:rsidRPr="274D2446">
        <w:rPr>
          <w:rFonts w:eastAsia="Times New Roman Bold" w:cs="Times New Roman Bold"/>
          <w:b/>
          <w:bCs/>
        </w:rPr>
        <w:t>US$ 77,966,200</w:t>
      </w:r>
      <w:r w:rsidR="003F6BFD">
        <w:rPr>
          <w:rFonts w:eastAsia="Times New Roman Bold" w:cs="Times New Roman Bold"/>
          <w:b/>
          <w:bCs/>
        </w:rPr>
        <w:t xml:space="preserve"> </w:t>
      </w:r>
      <w:r w:rsidRPr="274D2446">
        <w:rPr>
          <w:rFonts w:eastAsia="Times New Roman Bold" w:cs="Times New Roman Bold"/>
        </w:rPr>
        <w:t>(</w:t>
      </w:r>
      <w:r w:rsidR="003B3116">
        <w:rPr>
          <w:rFonts w:eastAsia="Times New Roman Bold" w:cs="Times New Roman Bold"/>
        </w:rPr>
        <w:t>a</w:t>
      </w:r>
      <w:r w:rsidRPr="274D2446">
        <w:rPr>
          <w:rFonts w:eastAsia="Times New Roman Bold" w:cs="Times New Roman Bold"/>
        </w:rPr>
        <w:t>ssumes no additional activities approved in 2026)</w:t>
      </w:r>
    </w:p>
    <w:p w14:paraId="791ACF0E" w14:textId="77777777" w:rsidR="000064ED" w:rsidRDefault="000064ED" w:rsidP="000064ED">
      <w:pPr>
        <w:spacing w:after="0"/>
        <w:rPr>
          <w:rFonts w:eastAsia="Times New Roman Bold" w:cs="Times New Roman Bold"/>
        </w:rPr>
      </w:pPr>
    </w:p>
    <w:p w14:paraId="3AE1851F" w14:textId="23C53EAA" w:rsidR="000064ED" w:rsidRPr="00364F53" w:rsidRDefault="000064ED" w:rsidP="000064ED">
      <w:pPr>
        <w:spacing w:after="0"/>
        <w:rPr>
          <w:rFonts w:eastAsia="Times New Roman Bold" w:cs="Times New Roman Bold"/>
        </w:rPr>
      </w:pPr>
      <w:r w:rsidRPr="00364F53">
        <w:rPr>
          <w:rFonts w:eastAsia="Times New Roman Bold" w:cs="Times New Roman Bold"/>
        </w:rPr>
        <w:t>Decision 95/87</w:t>
      </w:r>
      <w:r w:rsidRPr="00364F53">
        <w:rPr>
          <w:rFonts w:eastAsia="Times New Roman Bold" w:cs="Times New Roman Bold"/>
          <w:vertAlign w:val="superscript"/>
        </w:rPr>
        <w:footnoteReference w:id="39"/>
      </w:r>
      <w:r w:rsidRPr="00364F53">
        <w:rPr>
          <w:rFonts w:eastAsia="Times New Roman Bold" w:cs="Times New Roman Bold"/>
          <w:vertAlign w:val="superscript"/>
        </w:rPr>
        <w:t xml:space="preserve"> </w:t>
      </w:r>
      <w:r w:rsidRPr="00364F53">
        <w:rPr>
          <w:rFonts w:eastAsia="Times New Roman Bold" w:cs="Times New Roman Bold"/>
        </w:rPr>
        <w:t xml:space="preserve"> established a “funding window of U</w:t>
      </w:r>
      <w:r>
        <w:rPr>
          <w:rFonts w:eastAsia="Times New Roman Bold" w:cs="Times New Roman Bold"/>
        </w:rPr>
        <w:t>S</w:t>
      </w:r>
      <w:r w:rsidRPr="00364F53">
        <w:rPr>
          <w:rFonts w:eastAsia="Times New Roman Bold" w:cs="Times New Roman Bold"/>
        </w:rPr>
        <w:t>$</w:t>
      </w:r>
      <w:r>
        <w:rPr>
          <w:rFonts w:eastAsia="Times New Roman Bold" w:cs="Times New Roman Bold"/>
        </w:rPr>
        <w:t xml:space="preserve"> </w:t>
      </w:r>
      <w:r w:rsidRPr="00364F53">
        <w:rPr>
          <w:rFonts w:eastAsia="Times New Roman Bold" w:cs="Times New Roman Bold"/>
        </w:rPr>
        <w:t xml:space="preserve">40 million for two energy-efficiency end-user projects using a revolving fund mechanism developed and supported by </w:t>
      </w:r>
      <w:r w:rsidR="00325F8D">
        <w:rPr>
          <w:rFonts w:eastAsia="Times New Roman Bold" w:cs="Times New Roman Bold"/>
        </w:rPr>
        <w:t>IAs</w:t>
      </w:r>
      <w:r w:rsidRPr="00364F53">
        <w:rPr>
          <w:rFonts w:eastAsia="Times New Roman Bold" w:cs="Times New Roman Bold"/>
        </w:rPr>
        <w:t xml:space="preserve">, over a duration of eight years, after which funds would be returned to the Multilateral Fund, on the understanding that it would not be operationalized until the </w:t>
      </w:r>
      <w:r w:rsidR="00AF291D">
        <w:rPr>
          <w:rFonts w:eastAsia="Times New Roman Bold" w:cs="Times New Roman Bold"/>
        </w:rPr>
        <w:t>ExCom</w:t>
      </w:r>
      <w:r w:rsidRPr="00364F53">
        <w:rPr>
          <w:rFonts w:eastAsia="Times New Roman Bold" w:cs="Times New Roman Bold"/>
        </w:rPr>
        <w:t xml:space="preserve"> had agreed on the modalities for operationalizing the revolving fund;” and in paragraph g agreed to “provide funding, for the preparation of no more than five projects, of no more than US$</w:t>
      </w:r>
      <w:r>
        <w:rPr>
          <w:rFonts w:eastAsia="Times New Roman Bold" w:cs="Times New Roman Bold"/>
        </w:rPr>
        <w:t xml:space="preserve"> </w:t>
      </w:r>
      <w:r w:rsidRPr="00364F53">
        <w:rPr>
          <w:rFonts w:eastAsia="Times New Roman Bold" w:cs="Times New Roman Bold"/>
        </w:rPr>
        <w:t>100,000 per project, on the understanding that those proposals would be submitted to the 96th meeting and that only up to two projects would be selected for the funding window referred to in subparagraph (f) above</w:t>
      </w:r>
      <w:r>
        <w:rPr>
          <w:rFonts w:eastAsia="Times New Roman Bold" w:cs="Times New Roman Bold"/>
        </w:rPr>
        <w:t>.</w:t>
      </w:r>
      <w:r w:rsidRPr="00364F53">
        <w:rPr>
          <w:rFonts w:eastAsia="Times New Roman Bold" w:cs="Times New Roman Bold"/>
        </w:rPr>
        <w:t>” Pending decisions at ExCom</w:t>
      </w:r>
      <w:r>
        <w:rPr>
          <w:rFonts w:eastAsia="Times New Roman Bold" w:cs="Times New Roman Bold"/>
        </w:rPr>
        <w:t>-</w:t>
      </w:r>
      <w:r w:rsidRPr="00364F53">
        <w:rPr>
          <w:rFonts w:eastAsia="Times New Roman Bold" w:cs="Times New Roman Bold"/>
        </w:rPr>
        <w:t xml:space="preserve">98 and </w:t>
      </w:r>
      <w:r>
        <w:rPr>
          <w:rFonts w:eastAsia="Times New Roman Bold" w:cs="Times New Roman Bold"/>
        </w:rPr>
        <w:t>-</w:t>
      </w:r>
      <w:r w:rsidRPr="00364F53">
        <w:rPr>
          <w:rFonts w:eastAsia="Times New Roman Bold" w:cs="Times New Roman Bold"/>
        </w:rPr>
        <w:t xml:space="preserve">99, the RTF currently assumes the full funding window amount of </w:t>
      </w:r>
      <w:r w:rsidRPr="006B2D6C">
        <w:rPr>
          <w:rFonts w:eastAsia="Times New Roman Bold" w:cs="Times New Roman Bold"/>
          <w:b/>
          <w:bCs/>
        </w:rPr>
        <w:t>US$ 42,800,000</w:t>
      </w:r>
      <w:r w:rsidRPr="00364F53">
        <w:rPr>
          <w:rFonts w:eastAsia="Times New Roman Bold" w:cs="Times New Roman Bold"/>
        </w:rPr>
        <w:t xml:space="preserve"> including support costs will be needed for the next triennium.</w:t>
      </w:r>
    </w:p>
    <w:p w14:paraId="0CC86093" w14:textId="5A062627" w:rsidR="004B32B5" w:rsidRDefault="004B32B5" w:rsidP="002D02B7">
      <w:pPr>
        <w:pStyle w:val="Heading2"/>
        <w:rPr>
          <w:rFonts w:eastAsia="Times New Roman Bold"/>
        </w:rPr>
      </w:pPr>
      <w:bookmarkStart w:id="205" w:name="_Toc230099088"/>
      <w:bookmarkStart w:id="206" w:name="_Toc41495043"/>
      <w:bookmarkStart w:id="207" w:name="_Toc41840011"/>
      <w:bookmarkStart w:id="208" w:name="_Toc41841101"/>
      <w:bookmarkStart w:id="209" w:name="_Toc227477923"/>
      <w:r>
        <w:t>3.</w:t>
      </w:r>
      <w:r w:rsidR="001E26AC">
        <w:t>8</w:t>
      </w:r>
      <w:r>
        <w:tab/>
      </w:r>
      <w:r w:rsidRPr="004B32B5">
        <w:t>Total Estimated Funding Requirement for the HFC Consumption Sector</w:t>
      </w:r>
      <w:bookmarkEnd w:id="205"/>
    </w:p>
    <w:bookmarkEnd w:id="200"/>
    <w:bookmarkEnd w:id="201"/>
    <w:bookmarkEnd w:id="206"/>
    <w:bookmarkEnd w:id="207"/>
    <w:bookmarkEnd w:id="208"/>
    <w:bookmarkEnd w:id="209"/>
    <w:p w14:paraId="490423C0" w14:textId="7BA106B6" w:rsidR="003878C3" w:rsidRDefault="274D2446" w:rsidP="009473D4">
      <w:pPr>
        <w:keepNext/>
        <w:keepLines/>
        <w:spacing w:before="240" w:after="0"/>
      </w:pPr>
      <w:r>
        <w:t xml:space="preserve">The summary of estimated funding requirements to address Stage I and Stage II for the HFC phasedown in the consumption sector based on </w:t>
      </w:r>
      <w:r w:rsidR="003B3116">
        <w:t xml:space="preserve">HFC </w:t>
      </w:r>
      <w:r>
        <w:t xml:space="preserve">Scenarios </w:t>
      </w:r>
      <w:r w:rsidR="003B3116">
        <w:t xml:space="preserve">1 and 2 </w:t>
      </w:r>
      <w:r>
        <w:t>and the resource allocation schedules A and B is presented in Tables 3.14 and 3.15.</w:t>
      </w:r>
    </w:p>
    <w:p w14:paraId="6B5C1FA7" w14:textId="77777777" w:rsidR="009473D4" w:rsidRPr="009473D4" w:rsidRDefault="009473D4" w:rsidP="009473D4">
      <w:pPr>
        <w:keepNext/>
        <w:keepLines/>
        <w:spacing w:before="240" w:after="0"/>
      </w:pPr>
    </w:p>
    <w:p w14:paraId="79DDF840" w14:textId="77777777" w:rsidR="00980675" w:rsidRDefault="00980675">
      <w:pPr>
        <w:tabs>
          <w:tab w:val="clear" w:pos="0"/>
        </w:tabs>
        <w:spacing w:after="0"/>
        <w:rPr>
          <w:rFonts w:eastAsiaTheme="minorEastAsia"/>
          <w:b/>
          <w:bCs/>
        </w:rPr>
      </w:pPr>
      <w:r>
        <w:rPr>
          <w:rFonts w:eastAsiaTheme="minorEastAsia"/>
          <w:b/>
          <w:bCs/>
        </w:rPr>
        <w:br w:type="page"/>
      </w:r>
    </w:p>
    <w:p w14:paraId="11BA84B1" w14:textId="1D362B6B" w:rsidR="00BA006E" w:rsidRDefault="4BCEE662" w:rsidP="002135B0">
      <w:pPr>
        <w:tabs>
          <w:tab w:val="left" w:pos="1276"/>
        </w:tabs>
        <w:spacing w:after="120"/>
        <w:ind w:left="1276" w:hanging="1276"/>
        <w:rPr>
          <w:b/>
          <w:bCs/>
          <w:lang w:val="en-US"/>
        </w:rPr>
      </w:pPr>
      <w:r w:rsidRPr="4BCEE662">
        <w:rPr>
          <w:rFonts w:eastAsiaTheme="minorEastAsia"/>
          <w:b/>
          <w:bCs/>
        </w:rPr>
        <w:lastRenderedPageBreak/>
        <w:t>Table 3.14</w:t>
      </w:r>
      <w:r w:rsidR="00E9732F">
        <w:rPr>
          <w:rFonts w:eastAsiaTheme="minorEastAsia"/>
          <w:b/>
          <w:bCs/>
        </w:rPr>
        <w:t>:</w:t>
      </w:r>
      <w:r w:rsidR="00BA006E">
        <w:tab/>
      </w:r>
      <w:r w:rsidRPr="4BCEE662">
        <w:rPr>
          <w:b/>
          <w:bCs/>
        </w:rPr>
        <w:t xml:space="preserve">Total funding estimate for HFC consumption sector for HFC Scenario 1 </w:t>
      </w:r>
      <w:r w:rsidRPr="4BCEE662">
        <w:rPr>
          <w:b/>
          <w:bCs/>
          <w:lang w:val="en-US"/>
        </w:rPr>
        <w:t>to address Stage I and II targets (US$ million)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80"/>
        <w:gridCol w:w="1584"/>
        <w:gridCol w:w="988"/>
        <w:gridCol w:w="810"/>
        <w:gridCol w:w="810"/>
        <w:gridCol w:w="810"/>
        <w:gridCol w:w="961"/>
        <w:gridCol w:w="821"/>
      </w:tblGrid>
      <w:tr w:rsidR="000319B6" w:rsidRPr="00FA202B" w14:paraId="1AAD546C" w14:textId="77777777" w:rsidTr="00D41A33">
        <w:trPr>
          <w:trHeight w:val="648"/>
        </w:trPr>
        <w:tc>
          <w:tcPr>
            <w:tcW w:w="1257" w:type="pct"/>
            <w:noWrap/>
            <w:vAlign w:val="center"/>
            <w:hideMark/>
          </w:tcPr>
          <w:p w14:paraId="41DE7211" w14:textId="77777777" w:rsidR="000319B6" w:rsidRPr="00FA202B" w:rsidRDefault="000319B6" w:rsidP="00D41A33">
            <w:pPr>
              <w:tabs>
                <w:tab w:val="clear" w:pos="0"/>
              </w:tabs>
              <w:spacing w:after="0"/>
              <w:jc w:val="center"/>
              <w:rPr>
                <w:b/>
                <w:bCs/>
                <w:color w:val="auto"/>
                <w:lang w:val="en-US" w:eastAsia="pt-BR"/>
              </w:rPr>
            </w:pPr>
            <w:r w:rsidRPr="00FA202B">
              <w:rPr>
                <w:b/>
                <w:bCs/>
                <w:color w:val="000000"/>
                <w:lang w:val="en-US" w:eastAsia="pt-BR"/>
              </w:rPr>
              <w:t>HFC CONSUMPTION SECTOR</w:t>
            </w:r>
          </w:p>
          <w:p w14:paraId="0DCAD63D" w14:textId="77777777" w:rsidR="000319B6" w:rsidRPr="00FA202B" w:rsidRDefault="000319B6" w:rsidP="00D41A33">
            <w:pPr>
              <w:tabs>
                <w:tab w:val="clear" w:pos="0"/>
              </w:tabs>
              <w:spacing w:after="0"/>
              <w:jc w:val="center"/>
              <w:rPr>
                <w:b/>
                <w:bCs/>
                <w:color w:val="auto"/>
                <w:lang w:val="en-US" w:eastAsia="pt-BR"/>
              </w:rPr>
            </w:pPr>
          </w:p>
        </w:tc>
        <w:tc>
          <w:tcPr>
            <w:tcW w:w="874" w:type="pct"/>
            <w:noWrap/>
            <w:vAlign w:val="center"/>
            <w:hideMark/>
          </w:tcPr>
          <w:p w14:paraId="6D7528F0" w14:textId="77777777" w:rsidR="000319B6" w:rsidRPr="009D17AE" w:rsidRDefault="000319B6" w:rsidP="00D41A33">
            <w:pPr>
              <w:tabs>
                <w:tab w:val="clear" w:pos="0"/>
              </w:tabs>
              <w:spacing w:after="0"/>
              <w:jc w:val="center"/>
              <w:rPr>
                <w:b/>
                <w:bCs/>
                <w:color w:val="auto"/>
                <w:lang w:val="en-US" w:eastAsia="pt-BR"/>
              </w:rPr>
            </w:pPr>
            <w:r w:rsidRPr="009D17AE">
              <w:rPr>
                <w:b/>
                <w:bCs/>
                <w:color w:val="auto"/>
                <w:lang w:val="en-US" w:eastAsia="pt-BR"/>
              </w:rPr>
              <w:t>Total for 3 Triennia</w:t>
            </w:r>
          </w:p>
          <w:p w14:paraId="42B06C82" w14:textId="70730659" w:rsidR="000319B6" w:rsidRPr="009D17AE" w:rsidRDefault="4BCEE662" w:rsidP="00D41A33">
            <w:pPr>
              <w:tabs>
                <w:tab w:val="clear" w:pos="0"/>
              </w:tabs>
              <w:spacing w:after="0"/>
              <w:jc w:val="center"/>
              <w:rPr>
                <w:b/>
                <w:bCs/>
                <w:color w:val="auto"/>
                <w:lang w:val="en-US" w:eastAsia="pt-BR"/>
              </w:rPr>
            </w:pPr>
            <w:r w:rsidRPr="009D17AE">
              <w:rPr>
                <w:b/>
                <w:bCs/>
                <w:color w:val="auto"/>
                <w:lang w:val="en-US" w:eastAsia="pt-BR"/>
              </w:rPr>
              <w:t>(2027 to 2035 period)</w:t>
            </w:r>
          </w:p>
        </w:tc>
        <w:tc>
          <w:tcPr>
            <w:tcW w:w="1438" w:type="pct"/>
            <w:gridSpan w:val="3"/>
            <w:shd w:val="clear" w:color="auto" w:fill="DAE9F8"/>
            <w:noWrap/>
            <w:vAlign w:val="center"/>
            <w:hideMark/>
          </w:tcPr>
          <w:p w14:paraId="65B94F58" w14:textId="0A656104" w:rsidR="000319B6" w:rsidRPr="00FA202B" w:rsidRDefault="000319B6" w:rsidP="00D41A33">
            <w:pPr>
              <w:tabs>
                <w:tab w:val="clear" w:pos="0"/>
              </w:tabs>
              <w:spacing w:after="0"/>
              <w:jc w:val="center"/>
              <w:rPr>
                <w:b/>
                <w:bCs/>
                <w:color w:val="000000"/>
                <w:lang w:val="en-US" w:eastAsia="pt-BR"/>
              </w:rPr>
            </w:pPr>
            <w:r w:rsidRPr="00FA202B">
              <w:rPr>
                <w:b/>
                <w:bCs/>
                <w:color w:val="000000"/>
                <w:lang w:val="en-US" w:eastAsia="pt-BR"/>
              </w:rPr>
              <w:t>Resource Allocation A</w:t>
            </w:r>
          </w:p>
        </w:tc>
        <w:tc>
          <w:tcPr>
            <w:tcW w:w="1431" w:type="pct"/>
            <w:gridSpan w:val="3"/>
            <w:shd w:val="clear" w:color="auto" w:fill="F2CEEF"/>
            <w:noWrap/>
            <w:vAlign w:val="center"/>
            <w:hideMark/>
          </w:tcPr>
          <w:p w14:paraId="03C43EE4" w14:textId="2EF39DB7" w:rsidR="000319B6" w:rsidRPr="00FA202B" w:rsidRDefault="000319B6" w:rsidP="00D41A33">
            <w:pPr>
              <w:tabs>
                <w:tab w:val="clear" w:pos="0"/>
              </w:tabs>
              <w:spacing w:after="0"/>
              <w:jc w:val="center"/>
              <w:rPr>
                <w:b/>
                <w:bCs/>
                <w:color w:val="000000"/>
                <w:lang w:val="en-US" w:eastAsia="pt-BR"/>
              </w:rPr>
            </w:pPr>
            <w:r w:rsidRPr="00FA202B">
              <w:rPr>
                <w:b/>
                <w:bCs/>
                <w:color w:val="000000"/>
                <w:lang w:val="en-US" w:eastAsia="pt-BR"/>
              </w:rPr>
              <w:t>Resource Allocation B</w:t>
            </w:r>
          </w:p>
        </w:tc>
      </w:tr>
      <w:tr w:rsidR="000319B6" w:rsidRPr="00FA202B" w14:paraId="47600E59" w14:textId="77777777" w:rsidTr="00D41A33">
        <w:trPr>
          <w:trHeight w:val="1068"/>
        </w:trPr>
        <w:tc>
          <w:tcPr>
            <w:tcW w:w="1257" w:type="pct"/>
            <w:noWrap/>
            <w:vAlign w:val="center"/>
            <w:hideMark/>
          </w:tcPr>
          <w:p w14:paraId="068C716E" w14:textId="300BDB93" w:rsidR="000319B6" w:rsidRPr="00FA202B" w:rsidRDefault="00A57D29" w:rsidP="00D41A33">
            <w:pPr>
              <w:tabs>
                <w:tab w:val="clear" w:pos="0"/>
              </w:tabs>
              <w:spacing w:after="0"/>
              <w:jc w:val="center"/>
              <w:rPr>
                <w:b/>
                <w:bCs/>
                <w:color w:val="auto"/>
                <w:lang w:val="en-US" w:eastAsia="pt-BR"/>
              </w:rPr>
            </w:pPr>
            <w:r>
              <w:rPr>
                <w:b/>
                <w:bCs/>
                <w:color w:val="auto"/>
                <w:lang w:val="en-US" w:eastAsia="pt-BR"/>
              </w:rPr>
              <w:t xml:space="preserve">HFC </w:t>
            </w:r>
            <w:r w:rsidR="274D2446" w:rsidRPr="00FA202B">
              <w:rPr>
                <w:b/>
                <w:bCs/>
                <w:color w:val="auto"/>
                <w:lang w:val="en-US" w:eastAsia="pt-BR"/>
              </w:rPr>
              <w:t>Scenario 1</w:t>
            </w:r>
          </w:p>
          <w:p w14:paraId="54E8334B" w14:textId="546BD46A" w:rsidR="000319B6" w:rsidRPr="00FA202B" w:rsidRDefault="000319B6" w:rsidP="00D41A33">
            <w:pPr>
              <w:tabs>
                <w:tab w:val="clear" w:pos="0"/>
              </w:tabs>
              <w:spacing w:after="0"/>
              <w:jc w:val="center"/>
              <w:rPr>
                <w:b/>
                <w:bCs/>
                <w:color w:val="000000"/>
                <w:lang w:val="en-US" w:eastAsia="pt-BR"/>
              </w:rPr>
            </w:pPr>
            <w:r w:rsidRPr="00FA202B">
              <w:rPr>
                <w:b/>
                <w:bCs/>
                <w:color w:val="auto"/>
                <w:lang w:val="en-US" w:eastAsia="pt-BR"/>
              </w:rPr>
              <w:t>(CE in cost gudelines)</w:t>
            </w:r>
          </w:p>
        </w:tc>
        <w:tc>
          <w:tcPr>
            <w:tcW w:w="874" w:type="pct"/>
            <w:noWrap/>
            <w:vAlign w:val="center"/>
            <w:hideMark/>
          </w:tcPr>
          <w:p w14:paraId="2ECC3A27" w14:textId="7E6800EC" w:rsidR="000319B6" w:rsidRPr="00FA202B" w:rsidRDefault="000319B6" w:rsidP="00D41A33">
            <w:pPr>
              <w:tabs>
                <w:tab w:val="clear" w:pos="0"/>
              </w:tabs>
              <w:spacing w:after="0"/>
              <w:jc w:val="center"/>
              <w:rPr>
                <w:b/>
                <w:bCs/>
                <w:color w:val="000000"/>
                <w:lang w:val="en-US" w:eastAsia="pt-BR"/>
              </w:rPr>
            </w:pPr>
            <w:r w:rsidRPr="00FA202B">
              <w:rPr>
                <w:b/>
                <w:bCs/>
                <w:color w:val="000000"/>
                <w:lang w:val="en-US" w:eastAsia="pt-BR"/>
              </w:rPr>
              <w:t>Funding for Stage I and II</w:t>
            </w:r>
          </w:p>
        </w:tc>
        <w:tc>
          <w:tcPr>
            <w:tcW w:w="545" w:type="pct"/>
            <w:shd w:val="clear" w:color="auto" w:fill="DAE9F8"/>
            <w:noWrap/>
            <w:vAlign w:val="center"/>
            <w:hideMark/>
          </w:tcPr>
          <w:p w14:paraId="6BDFB11F" w14:textId="77777777" w:rsidR="000319B6" w:rsidRPr="00FA202B" w:rsidRDefault="000319B6" w:rsidP="00D41A33">
            <w:pPr>
              <w:tabs>
                <w:tab w:val="clear" w:pos="0"/>
              </w:tabs>
              <w:spacing w:after="0"/>
              <w:jc w:val="center"/>
              <w:rPr>
                <w:b/>
                <w:bCs/>
                <w:color w:val="000000"/>
                <w:lang w:val="pt-BR" w:eastAsia="pt-BR"/>
              </w:rPr>
            </w:pPr>
            <w:r w:rsidRPr="00FA202B">
              <w:rPr>
                <w:b/>
                <w:bCs/>
                <w:color w:val="000000"/>
                <w:lang w:val="pt-BR" w:eastAsia="pt-BR"/>
              </w:rPr>
              <w:t>2027-2029</w:t>
            </w:r>
          </w:p>
        </w:tc>
        <w:tc>
          <w:tcPr>
            <w:tcW w:w="447" w:type="pct"/>
            <w:shd w:val="clear" w:color="auto" w:fill="DAE9F8"/>
            <w:noWrap/>
            <w:vAlign w:val="center"/>
            <w:hideMark/>
          </w:tcPr>
          <w:p w14:paraId="7F9AF2FC" w14:textId="77777777" w:rsidR="000319B6" w:rsidRPr="00FA202B" w:rsidRDefault="000319B6" w:rsidP="00D41A33">
            <w:pPr>
              <w:tabs>
                <w:tab w:val="clear" w:pos="0"/>
              </w:tabs>
              <w:spacing w:after="0"/>
              <w:jc w:val="center"/>
              <w:rPr>
                <w:b/>
                <w:bCs/>
                <w:color w:val="000000"/>
                <w:lang w:val="pt-BR" w:eastAsia="pt-BR"/>
              </w:rPr>
            </w:pPr>
            <w:r w:rsidRPr="00FA202B">
              <w:rPr>
                <w:b/>
                <w:bCs/>
                <w:color w:val="000000"/>
                <w:lang w:val="pt-BR" w:eastAsia="pt-BR"/>
              </w:rPr>
              <w:t>2030-2032</w:t>
            </w:r>
          </w:p>
        </w:tc>
        <w:tc>
          <w:tcPr>
            <w:tcW w:w="447" w:type="pct"/>
            <w:shd w:val="clear" w:color="auto" w:fill="DAE9F8"/>
            <w:noWrap/>
            <w:vAlign w:val="center"/>
            <w:hideMark/>
          </w:tcPr>
          <w:p w14:paraId="7668B025" w14:textId="77777777" w:rsidR="000319B6" w:rsidRPr="00FA202B" w:rsidRDefault="000319B6" w:rsidP="00D41A33">
            <w:pPr>
              <w:tabs>
                <w:tab w:val="clear" w:pos="0"/>
              </w:tabs>
              <w:spacing w:after="0"/>
              <w:jc w:val="center"/>
              <w:rPr>
                <w:b/>
                <w:bCs/>
                <w:color w:val="000000"/>
                <w:lang w:val="pt-BR" w:eastAsia="pt-BR"/>
              </w:rPr>
            </w:pPr>
            <w:r w:rsidRPr="00FA202B">
              <w:rPr>
                <w:b/>
                <w:bCs/>
                <w:color w:val="000000"/>
                <w:lang w:val="pt-BR" w:eastAsia="pt-BR"/>
              </w:rPr>
              <w:t>2033-2035</w:t>
            </w:r>
          </w:p>
        </w:tc>
        <w:tc>
          <w:tcPr>
            <w:tcW w:w="447" w:type="pct"/>
            <w:shd w:val="clear" w:color="auto" w:fill="F2CEEF"/>
            <w:noWrap/>
            <w:vAlign w:val="center"/>
            <w:hideMark/>
          </w:tcPr>
          <w:p w14:paraId="293A6C5C" w14:textId="77777777" w:rsidR="000319B6" w:rsidRPr="00FA202B" w:rsidRDefault="000319B6" w:rsidP="00D41A33">
            <w:pPr>
              <w:tabs>
                <w:tab w:val="clear" w:pos="0"/>
              </w:tabs>
              <w:spacing w:after="0"/>
              <w:jc w:val="center"/>
              <w:rPr>
                <w:b/>
                <w:bCs/>
                <w:color w:val="000000"/>
                <w:lang w:val="pt-BR" w:eastAsia="pt-BR"/>
              </w:rPr>
            </w:pPr>
            <w:r w:rsidRPr="00FA202B">
              <w:rPr>
                <w:b/>
                <w:bCs/>
                <w:color w:val="000000"/>
                <w:lang w:val="pt-BR" w:eastAsia="pt-BR"/>
              </w:rPr>
              <w:t>2027-2029</w:t>
            </w:r>
          </w:p>
        </w:tc>
        <w:tc>
          <w:tcPr>
            <w:tcW w:w="530" w:type="pct"/>
            <w:shd w:val="clear" w:color="auto" w:fill="F2CEEF"/>
            <w:noWrap/>
            <w:vAlign w:val="center"/>
            <w:hideMark/>
          </w:tcPr>
          <w:p w14:paraId="415BD512" w14:textId="77777777" w:rsidR="000319B6" w:rsidRPr="00FA202B" w:rsidRDefault="000319B6" w:rsidP="00D41A33">
            <w:pPr>
              <w:tabs>
                <w:tab w:val="clear" w:pos="0"/>
              </w:tabs>
              <w:spacing w:after="0"/>
              <w:jc w:val="center"/>
              <w:rPr>
                <w:b/>
                <w:bCs/>
                <w:color w:val="000000"/>
                <w:lang w:val="pt-BR" w:eastAsia="pt-BR"/>
              </w:rPr>
            </w:pPr>
            <w:r w:rsidRPr="00FA202B">
              <w:rPr>
                <w:b/>
                <w:bCs/>
                <w:color w:val="000000"/>
                <w:lang w:val="pt-BR" w:eastAsia="pt-BR"/>
              </w:rPr>
              <w:t>2030-2032</w:t>
            </w:r>
          </w:p>
        </w:tc>
        <w:tc>
          <w:tcPr>
            <w:tcW w:w="454" w:type="pct"/>
            <w:shd w:val="clear" w:color="auto" w:fill="F2CEEF"/>
            <w:noWrap/>
            <w:vAlign w:val="center"/>
            <w:hideMark/>
          </w:tcPr>
          <w:p w14:paraId="7B09F099" w14:textId="77777777" w:rsidR="000319B6" w:rsidRPr="00FA202B" w:rsidRDefault="000319B6" w:rsidP="00D41A33">
            <w:pPr>
              <w:tabs>
                <w:tab w:val="clear" w:pos="0"/>
              </w:tabs>
              <w:spacing w:after="0"/>
              <w:jc w:val="center"/>
              <w:rPr>
                <w:b/>
                <w:bCs/>
                <w:color w:val="000000"/>
                <w:lang w:val="pt-BR" w:eastAsia="pt-BR"/>
              </w:rPr>
            </w:pPr>
            <w:r w:rsidRPr="00FA202B">
              <w:rPr>
                <w:b/>
                <w:bCs/>
                <w:color w:val="000000"/>
                <w:lang w:val="pt-BR" w:eastAsia="pt-BR"/>
              </w:rPr>
              <w:t>2033-2035</w:t>
            </w:r>
          </w:p>
        </w:tc>
      </w:tr>
      <w:tr w:rsidR="000319B6" w:rsidRPr="00FA202B" w14:paraId="369D93AF" w14:textId="77777777" w:rsidTr="4BCEE662">
        <w:trPr>
          <w:trHeight w:val="468"/>
        </w:trPr>
        <w:tc>
          <w:tcPr>
            <w:tcW w:w="1257" w:type="pct"/>
            <w:shd w:val="clear" w:color="auto" w:fill="E2EFD9" w:themeFill="accent6" w:themeFillTint="33"/>
            <w:vAlign w:val="center"/>
            <w:hideMark/>
          </w:tcPr>
          <w:p w14:paraId="4B135468" w14:textId="77777777" w:rsidR="000319B6" w:rsidRPr="00FA202B" w:rsidRDefault="000319B6" w:rsidP="000319B6">
            <w:pPr>
              <w:tabs>
                <w:tab w:val="clear" w:pos="0"/>
              </w:tabs>
              <w:spacing w:after="0"/>
              <w:rPr>
                <w:b/>
                <w:bCs/>
                <w:color w:val="000000"/>
                <w:lang w:val="en-US" w:eastAsia="pt-BR"/>
              </w:rPr>
            </w:pPr>
            <w:r w:rsidRPr="00FA202B">
              <w:rPr>
                <w:color w:val="000000"/>
                <w:lang w:val="en-US" w:eastAsia="pt-BR"/>
              </w:rPr>
              <w:t xml:space="preserve">Funding </w:t>
            </w:r>
            <w:r w:rsidRPr="00FA202B">
              <w:rPr>
                <w:b/>
                <w:bCs/>
                <w:color w:val="000000"/>
                <w:lang w:val="en-US" w:eastAsia="pt-BR"/>
              </w:rPr>
              <w:t>Committed *</w:t>
            </w:r>
            <w:r w:rsidRPr="00FA202B">
              <w:rPr>
                <w:color w:val="000000"/>
                <w:lang w:val="en-US" w:eastAsia="pt-BR"/>
              </w:rPr>
              <w:t xml:space="preserve"> for Approved KIPs</w:t>
            </w:r>
          </w:p>
        </w:tc>
        <w:tc>
          <w:tcPr>
            <w:tcW w:w="874" w:type="pct"/>
            <w:noWrap/>
            <w:vAlign w:val="bottom"/>
            <w:hideMark/>
          </w:tcPr>
          <w:p w14:paraId="3F99FF16"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48.77</w:t>
            </w:r>
          </w:p>
        </w:tc>
        <w:tc>
          <w:tcPr>
            <w:tcW w:w="545" w:type="pct"/>
            <w:shd w:val="clear" w:color="auto" w:fill="DAE9F8"/>
            <w:noWrap/>
            <w:vAlign w:val="bottom"/>
            <w:hideMark/>
          </w:tcPr>
          <w:p w14:paraId="11DBB8A6"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46.83</w:t>
            </w:r>
          </w:p>
        </w:tc>
        <w:tc>
          <w:tcPr>
            <w:tcW w:w="447" w:type="pct"/>
            <w:shd w:val="clear" w:color="auto" w:fill="DAE9F8"/>
            <w:noWrap/>
            <w:vAlign w:val="bottom"/>
            <w:hideMark/>
          </w:tcPr>
          <w:p w14:paraId="354780FC"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1.94</w:t>
            </w:r>
          </w:p>
        </w:tc>
        <w:tc>
          <w:tcPr>
            <w:tcW w:w="447" w:type="pct"/>
            <w:shd w:val="clear" w:color="auto" w:fill="DAE9F8"/>
            <w:noWrap/>
            <w:vAlign w:val="bottom"/>
            <w:hideMark/>
          </w:tcPr>
          <w:p w14:paraId="132C24BB"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0.00</w:t>
            </w:r>
          </w:p>
        </w:tc>
        <w:tc>
          <w:tcPr>
            <w:tcW w:w="447" w:type="pct"/>
            <w:shd w:val="clear" w:color="auto" w:fill="F2CEEF"/>
            <w:noWrap/>
            <w:vAlign w:val="bottom"/>
            <w:hideMark/>
          </w:tcPr>
          <w:p w14:paraId="1F89E3F7"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46.83</w:t>
            </w:r>
          </w:p>
        </w:tc>
        <w:tc>
          <w:tcPr>
            <w:tcW w:w="530" w:type="pct"/>
            <w:shd w:val="clear" w:color="auto" w:fill="F2CEEF"/>
            <w:noWrap/>
            <w:vAlign w:val="bottom"/>
            <w:hideMark/>
          </w:tcPr>
          <w:p w14:paraId="07FB3FE5"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1.94</w:t>
            </w:r>
          </w:p>
        </w:tc>
        <w:tc>
          <w:tcPr>
            <w:tcW w:w="454" w:type="pct"/>
            <w:shd w:val="clear" w:color="auto" w:fill="F2CEEF"/>
            <w:noWrap/>
            <w:vAlign w:val="bottom"/>
            <w:hideMark/>
          </w:tcPr>
          <w:p w14:paraId="4CCEDA68"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0.00</w:t>
            </w:r>
          </w:p>
        </w:tc>
      </w:tr>
      <w:tr w:rsidR="000319B6" w:rsidRPr="00FA202B" w14:paraId="736F16E2" w14:textId="77777777" w:rsidTr="4BCEE662">
        <w:trPr>
          <w:trHeight w:val="468"/>
        </w:trPr>
        <w:tc>
          <w:tcPr>
            <w:tcW w:w="1257" w:type="pct"/>
            <w:shd w:val="clear" w:color="auto" w:fill="E2EFD9" w:themeFill="accent6" w:themeFillTint="33"/>
            <w:vAlign w:val="center"/>
            <w:hideMark/>
          </w:tcPr>
          <w:p w14:paraId="56377A7D" w14:textId="77777777" w:rsidR="000319B6" w:rsidRPr="00FA202B" w:rsidRDefault="000319B6" w:rsidP="000319B6">
            <w:pPr>
              <w:tabs>
                <w:tab w:val="clear" w:pos="0"/>
              </w:tabs>
              <w:spacing w:after="0"/>
              <w:rPr>
                <w:color w:val="000000"/>
                <w:lang w:val="en-US" w:eastAsia="pt-BR"/>
              </w:rPr>
            </w:pPr>
            <w:r w:rsidRPr="00FA202B">
              <w:rPr>
                <w:color w:val="000000"/>
                <w:lang w:val="en-US" w:eastAsia="pt-BR"/>
              </w:rPr>
              <w:t>Estimated New Funding to Address Stage II for parties with KIPs Stage I approved</w:t>
            </w:r>
          </w:p>
        </w:tc>
        <w:tc>
          <w:tcPr>
            <w:tcW w:w="874" w:type="pct"/>
            <w:noWrap/>
            <w:vAlign w:val="bottom"/>
            <w:hideMark/>
          </w:tcPr>
          <w:p w14:paraId="2962E60D"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201.29</w:t>
            </w:r>
          </w:p>
        </w:tc>
        <w:tc>
          <w:tcPr>
            <w:tcW w:w="545" w:type="pct"/>
            <w:shd w:val="clear" w:color="auto" w:fill="DAE9F8"/>
            <w:noWrap/>
            <w:vAlign w:val="bottom"/>
            <w:hideMark/>
          </w:tcPr>
          <w:p w14:paraId="522055FE"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120.77</w:t>
            </w:r>
          </w:p>
        </w:tc>
        <w:tc>
          <w:tcPr>
            <w:tcW w:w="447" w:type="pct"/>
            <w:shd w:val="clear" w:color="auto" w:fill="DAE9F8"/>
            <w:noWrap/>
            <w:vAlign w:val="bottom"/>
            <w:hideMark/>
          </w:tcPr>
          <w:p w14:paraId="3D8FBFE0"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80.52</w:t>
            </w:r>
          </w:p>
        </w:tc>
        <w:tc>
          <w:tcPr>
            <w:tcW w:w="447" w:type="pct"/>
            <w:shd w:val="clear" w:color="auto" w:fill="DAE9F8"/>
            <w:noWrap/>
            <w:vAlign w:val="bottom"/>
            <w:hideMark/>
          </w:tcPr>
          <w:p w14:paraId="4EC0BC9B"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0.00</w:t>
            </w:r>
          </w:p>
        </w:tc>
        <w:tc>
          <w:tcPr>
            <w:tcW w:w="447" w:type="pct"/>
            <w:shd w:val="clear" w:color="auto" w:fill="F2CEEF"/>
            <w:noWrap/>
            <w:vAlign w:val="bottom"/>
            <w:hideMark/>
          </w:tcPr>
          <w:p w14:paraId="5310640B"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0.00</w:t>
            </w:r>
          </w:p>
        </w:tc>
        <w:tc>
          <w:tcPr>
            <w:tcW w:w="530" w:type="pct"/>
            <w:shd w:val="clear" w:color="auto" w:fill="F2CEEF"/>
            <w:noWrap/>
            <w:vAlign w:val="bottom"/>
            <w:hideMark/>
          </w:tcPr>
          <w:p w14:paraId="36DADCC1"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120.77</w:t>
            </w:r>
          </w:p>
        </w:tc>
        <w:tc>
          <w:tcPr>
            <w:tcW w:w="454" w:type="pct"/>
            <w:shd w:val="clear" w:color="auto" w:fill="F2CEEF"/>
            <w:noWrap/>
            <w:vAlign w:val="bottom"/>
            <w:hideMark/>
          </w:tcPr>
          <w:p w14:paraId="05539B07"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80.52</w:t>
            </w:r>
          </w:p>
        </w:tc>
      </w:tr>
      <w:tr w:rsidR="000319B6" w:rsidRPr="00FA202B" w14:paraId="01841CAB" w14:textId="77777777" w:rsidTr="4BCEE662">
        <w:trPr>
          <w:trHeight w:val="468"/>
        </w:trPr>
        <w:tc>
          <w:tcPr>
            <w:tcW w:w="1257" w:type="pct"/>
            <w:shd w:val="clear" w:color="auto" w:fill="E2EFD9" w:themeFill="accent6" w:themeFillTint="33"/>
            <w:vAlign w:val="center"/>
            <w:hideMark/>
          </w:tcPr>
          <w:p w14:paraId="07CDD6EA" w14:textId="77777777" w:rsidR="000319B6" w:rsidRPr="00FA202B" w:rsidRDefault="000319B6" w:rsidP="000319B6">
            <w:pPr>
              <w:tabs>
                <w:tab w:val="clear" w:pos="0"/>
              </w:tabs>
              <w:spacing w:after="0"/>
              <w:rPr>
                <w:color w:val="000000"/>
                <w:lang w:val="en-US" w:eastAsia="pt-BR"/>
              </w:rPr>
            </w:pPr>
            <w:r w:rsidRPr="00FA202B">
              <w:rPr>
                <w:color w:val="000000"/>
                <w:lang w:val="en-US" w:eastAsia="pt-BR"/>
              </w:rPr>
              <w:t>Estimated New Funding to Address Stages I and II for parties without approved KIPs</w:t>
            </w:r>
          </w:p>
        </w:tc>
        <w:tc>
          <w:tcPr>
            <w:tcW w:w="874" w:type="pct"/>
            <w:noWrap/>
            <w:vAlign w:val="bottom"/>
            <w:hideMark/>
          </w:tcPr>
          <w:p w14:paraId="7EBA7764"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1,904.14</w:t>
            </w:r>
          </w:p>
        </w:tc>
        <w:tc>
          <w:tcPr>
            <w:tcW w:w="545" w:type="pct"/>
            <w:shd w:val="clear" w:color="auto" w:fill="DAE9F8"/>
            <w:noWrap/>
            <w:vAlign w:val="bottom"/>
            <w:hideMark/>
          </w:tcPr>
          <w:p w14:paraId="528333DC"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669.53</w:t>
            </w:r>
          </w:p>
        </w:tc>
        <w:tc>
          <w:tcPr>
            <w:tcW w:w="447" w:type="pct"/>
            <w:shd w:val="clear" w:color="auto" w:fill="DAE9F8"/>
            <w:noWrap/>
            <w:vAlign w:val="bottom"/>
            <w:hideMark/>
          </w:tcPr>
          <w:p w14:paraId="0E695491"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761.66</w:t>
            </w:r>
          </w:p>
        </w:tc>
        <w:tc>
          <w:tcPr>
            <w:tcW w:w="447" w:type="pct"/>
            <w:shd w:val="clear" w:color="auto" w:fill="DAE9F8"/>
            <w:noWrap/>
            <w:vAlign w:val="bottom"/>
            <w:hideMark/>
          </w:tcPr>
          <w:p w14:paraId="79DE09C0"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472.96</w:t>
            </w:r>
          </w:p>
        </w:tc>
        <w:tc>
          <w:tcPr>
            <w:tcW w:w="447" w:type="pct"/>
            <w:shd w:val="clear" w:color="auto" w:fill="F2CEEF"/>
            <w:noWrap/>
            <w:vAlign w:val="bottom"/>
            <w:hideMark/>
          </w:tcPr>
          <w:p w14:paraId="56290B1A"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532.07</w:t>
            </w:r>
          </w:p>
        </w:tc>
        <w:tc>
          <w:tcPr>
            <w:tcW w:w="530" w:type="pct"/>
            <w:shd w:val="clear" w:color="auto" w:fill="F2CEEF"/>
            <w:noWrap/>
            <w:vAlign w:val="bottom"/>
            <w:hideMark/>
          </w:tcPr>
          <w:p w14:paraId="7F9BC420"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886.06</w:t>
            </w:r>
          </w:p>
        </w:tc>
        <w:tc>
          <w:tcPr>
            <w:tcW w:w="454" w:type="pct"/>
            <w:shd w:val="clear" w:color="auto" w:fill="F2CEEF"/>
            <w:noWrap/>
            <w:vAlign w:val="bottom"/>
            <w:hideMark/>
          </w:tcPr>
          <w:p w14:paraId="15BFFE1B"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486.01</w:t>
            </w:r>
          </w:p>
        </w:tc>
      </w:tr>
      <w:tr w:rsidR="000319B6" w:rsidRPr="00FA202B" w14:paraId="60730101" w14:textId="77777777" w:rsidTr="4BCEE662">
        <w:trPr>
          <w:trHeight w:val="468"/>
        </w:trPr>
        <w:tc>
          <w:tcPr>
            <w:tcW w:w="1257" w:type="pct"/>
            <w:shd w:val="clear" w:color="auto" w:fill="E2EFD9" w:themeFill="accent6" w:themeFillTint="33"/>
            <w:vAlign w:val="center"/>
            <w:hideMark/>
          </w:tcPr>
          <w:p w14:paraId="444C6AD7" w14:textId="77777777" w:rsidR="000319B6" w:rsidRPr="00FA202B" w:rsidRDefault="000319B6" w:rsidP="000319B6">
            <w:pPr>
              <w:tabs>
                <w:tab w:val="clear" w:pos="0"/>
              </w:tabs>
              <w:spacing w:after="0"/>
              <w:rPr>
                <w:color w:val="000000"/>
                <w:lang w:val="en-US" w:eastAsia="pt-BR"/>
              </w:rPr>
            </w:pPr>
            <w:r w:rsidRPr="00FA202B">
              <w:rPr>
                <w:color w:val="000000"/>
                <w:lang w:val="en-US" w:eastAsia="pt-BR"/>
              </w:rPr>
              <w:t>Estimated New Funding to Address KIPS Stages I and II for countries pending ratification / RTF assumed all will ratify by 2029</w:t>
            </w:r>
          </w:p>
        </w:tc>
        <w:tc>
          <w:tcPr>
            <w:tcW w:w="874" w:type="pct"/>
            <w:noWrap/>
            <w:vAlign w:val="bottom"/>
            <w:hideMark/>
          </w:tcPr>
          <w:p w14:paraId="42ABA614"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36.23</w:t>
            </w:r>
          </w:p>
        </w:tc>
        <w:tc>
          <w:tcPr>
            <w:tcW w:w="545" w:type="pct"/>
            <w:shd w:val="clear" w:color="auto" w:fill="DAE9F8"/>
            <w:noWrap/>
            <w:vAlign w:val="bottom"/>
            <w:hideMark/>
          </w:tcPr>
          <w:p w14:paraId="4E0F28C1"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15.88</w:t>
            </w:r>
          </w:p>
        </w:tc>
        <w:tc>
          <w:tcPr>
            <w:tcW w:w="447" w:type="pct"/>
            <w:shd w:val="clear" w:color="auto" w:fill="DAE9F8"/>
            <w:noWrap/>
            <w:vAlign w:val="bottom"/>
            <w:hideMark/>
          </w:tcPr>
          <w:p w14:paraId="369B45A3"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14.49</w:t>
            </w:r>
          </w:p>
        </w:tc>
        <w:tc>
          <w:tcPr>
            <w:tcW w:w="447" w:type="pct"/>
            <w:shd w:val="clear" w:color="auto" w:fill="DAE9F8"/>
            <w:noWrap/>
            <w:vAlign w:val="bottom"/>
            <w:hideMark/>
          </w:tcPr>
          <w:p w14:paraId="7DCB49AA"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5.86</w:t>
            </w:r>
          </w:p>
        </w:tc>
        <w:tc>
          <w:tcPr>
            <w:tcW w:w="447" w:type="pct"/>
            <w:shd w:val="clear" w:color="auto" w:fill="F2CEEF"/>
            <w:noWrap/>
            <w:vAlign w:val="bottom"/>
            <w:hideMark/>
          </w:tcPr>
          <w:p w14:paraId="7AD5FB96"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6.59</w:t>
            </w:r>
          </w:p>
        </w:tc>
        <w:tc>
          <w:tcPr>
            <w:tcW w:w="530" w:type="pct"/>
            <w:shd w:val="clear" w:color="auto" w:fill="F2CEEF"/>
            <w:noWrap/>
            <w:vAlign w:val="bottom"/>
            <w:hideMark/>
          </w:tcPr>
          <w:p w14:paraId="7E219B01"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22.35</w:t>
            </w:r>
          </w:p>
        </w:tc>
        <w:tc>
          <w:tcPr>
            <w:tcW w:w="454" w:type="pct"/>
            <w:shd w:val="clear" w:color="auto" w:fill="F2CEEF"/>
            <w:noWrap/>
            <w:vAlign w:val="bottom"/>
            <w:hideMark/>
          </w:tcPr>
          <w:p w14:paraId="6A447CC2"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7.29</w:t>
            </w:r>
          </w:p>
        </w:tc>
      </w:tr>
      <w:tr w:rsidR="000319B6" w:rsidRPr="00FA202B" w14:paraId="44727AF2" w14:textId="77777777" w:rsidTr="4BCEE662">
        <w:trPr>
          <w:trHeight w:val="468"/>
        </w:trPr>
        <w:tc>
          <w:tcPr>
            <w:tcW w:w="1257" w:type="pct"/>
            <w:shd w:val="clear" w:color="auto" w:fill="E2EFD9" w:themeFill="accent6" w:themeFillTint="33"/>
            <w:vAlign w:val="center"/>
          </w:tcPr>
          <w:p w14:paraId="36FA7E19" w14:textId="77777777" w:rsidR="000319B6" w:rsidRPr="00FA202B" w:rsidRDefault="000319B6" w:rsidP="000319B6">
            <w:pPr>
              <w:tabs>
                <w:tab w:val="clear" w:pos="0"/>
              </w:tabs>
              <w:spacing w:after="0"/>
              <w:rPr>
                <w:color w:val="000000"/>
                <w:lang w:val="en-US" w:eastAsia="pt-BR"/>
              </w:rPr>
            </w:pPr>
            <w:r w:rsidRPr="00FA202B">
              <w:rPr>
                <w:b/>
                <w:lang w:val="pt-BR" w:eastAsia="pt-BR"/>
              </w:rPr>
              <w:t> Sub-Total 1</w:t>
            </w:r>
          </w:p>
        </w:tc>
        <w:tc>
          <w:tcPr>
            <w:tcW w:w="874" w:type="pct"/>
            <w:noWrap/>
            <w:vAlign w:val="bottom"/>
          </w:tcPr>
          <w:p w14:paraId="42C44CCA" w14:textId="77777777" w:rsidR="000319B6" w:rsidRPr="00FA202B" w:rsidRDefault="000319B6" w:rsidP="000319B6">
            <w:pPr>
              <w:tabs>
                <w:tab w:val="clear" w:pos="0"/>
              </w:tabs>
              <w:spacing w:after="0"/>
              <w:jc w:val="right"/>
              <w:rPr>
                <w:rFonts w:eastAsia="Aptos"/>
                <w:b/>
                <w:bCs/>
                <w:color w:val="000000"/>
                <w:kern w:val="2"/>
                <w:lang w:val="pt-BR"/>
                <w14:ligatures w14:val="standardContextual"/>
              </w:rPr>
            </w:pPr>
            <w:r w:rsidRPr="00FA202B">
              <w:rPr>
                <w:rFonts w:eastAsia="Aptos"/>
                <w:b/>
                <w:bCs/>
                <w:color w:val="000000"/>
                <w:kern w:val="2"/>
                <w:lang w:val="pt-BR"/>
                <w14:ligatures w14:val="standardContextual"/>
              </w:rPr>
              <w:t>2,190</w:t>
            </w:r>
          </w:p>
        </w:tc>
        <w:tc>
          <w:tcPr>
            <w:tcW w:w="545" w:type="pct"/>
            <w:shd w:val="clear" w:color="auto" w:fill="DAE9F8"/>
            <w:noWrap/>
            <w:vAlign w:val="bottom"/>
          </w:tcPr>
          <w:p w14:paraId="7FC2B4B3"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b/>
                <w:bCs/>
                <w:color w:val="000000"/>
                <w:kern w:val="2"/>
                <w:lang w:val="pt-BR"/>
                <w14:ligatures w14:val="standardContextual"/>
              </w:rPr>
              <w:t>853.01</w:t>
            </w:r>
          </w:p>
        </w:tc>
        <w:tc>
          <w:tcPr>
            <w:tcW w:w="447" w:type="pct"/>
            <w:shd w:val="clear" w:color="auto" w:fill="DAE9F8"/>
            <w:noWrap/>
            <w:vAlign w:val="bottom"/>
          </w:tcPr>
          <w:p w14:paraId="6B9B36A1"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b/>
                <w:bCs/>
                <w:color w:val="000000"/>
                <w:kern w:val="2"/>
                <w:lang w:val="pt-BR"/>
                <w14:ligatures w14:val="standardContextual"/>
              </w:rPr>
              <w:t>858.61</w:t>
            </w:r>
          </w:p>
        </w:tc>
        <w:tc>
          <w:tcPr>
            <w:tcW w:w="447" w:type="pct"/>
            <w:shd w:val="clear" w:color="auto" w:fill="DAE9F8"/>
            <w:noWrap/>
            <w:vAlign w:val="bottom"/>
          </w:tcPr>
          <w:p w14:paraId="3C8BA537"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b/>
                <w:bCs/>
                <w:color w:val="000000"/>
                <w:kern w:val="2"/>
                <w:lang w:val="pt-BR"/>
                <w14:ligatures w14:val="standardContextual"/>
              </w:rPr>
              <w:t>478.82</w:t>
            </w:r>
          </w:p>
        </w:tc>
        <w:tc>
          <w:tcPr>
            <w:tcW w:w="447" w:type="pct"/>
            <w:shd w:val="clear" w:color="auto" w:fill="F2CEEF"/>
            <w:noWrap/>
            <w:vAlign w:val="bottom"/>
          </w:tcPr>
          <w:p w14:paraId="544E0A04"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b/>
                <w:bCs/>
                <w:color w:val="000000"/>
                <w:kern w:val="2"/>
                <w:lang w:val="pt-BR"/>
                <w14:ligatures w14:val="standardContextual"/>
              </w:rPr>
              <w:t>585.50</w:t>
            </w:r>
          </w:p>
        </w:tc>
        <w:tc>
          <w:tcPr>
            <w:tcW w:w="530" w:type="pct"/>
            <w:shd w:val="clear" w:color="auto" w:fill="F2CEEF"/>
            <w:noWrap/>
            <w:vAlign w:val="bottom"/>
          </w:tcPr>
          <w:p w14:paraId="50E32FE4"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b/>
                <w:bCs/>
                <w:color w:val="000000"/>
                <w:kern w:val="2"/>
                <w:lang w:val="pt-BR"/>
                <w14:ligatures w14:val="standardContextual"/>
              </w:rPr>
              <w:t>1,031.12</w:t>
            </w:r>
          </w:p>
        </w:tc>
        <w:tc>
          <w:tcPr>
            <w:tcW w:w="454" w:type="pct"/>
            <w:shd w:val="clear" w:color="auto" w:fill="F2CEEF"/>
            <w:noWrap/>
            <w:vAlign w:val="bottom"/>
          </w:tcPr>
          <w:p w14:paraId="36B12202"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b/>
                <w:bCs/>
                <w:color w:val="000000"/>
                <w:kern w:val="2"/>
                <w:lang w:val="pt-BR"/>
                <w14:ligatures w14:val="standardContextual"/>
              </w:rPr>
              <w:t>573.81</w:t>
            </w:r>
          </w:p>
        </w:tc>
      </w:tr>
      <w:tr w:rsidR="000319B6" w:rsidRPr="00FA202B" w14:paraId="2BECB131" w14:textId="77777777" w:rsidTr="4BCEE662">
        <w:trPr>
          <w:trHeight w:val="468"/>
        </w:trPr>
        <w:tc>
          <w:tcPr>
            <w:tcW w:w="1257" w:type="pct"/>
            <w:shd w:val="clear" w:color="auto" w:fill="E2EFD9" w:themeFill="accent6" w:themeFillTint="33"/>
            <w:vAlign w:val="center"/>
          </w:tcPr>
          <w:p w14:paraId="76E3760B" w14:textId="77777777" w:rsidR="000319B6" w:rsidRPr="00FA202B" w:rsidRDefault="000319B6" w:rsidP="000319B6">
            <w:pPr>
              <w:tabs>
                <w:tab w:val="clear" w:pos="0"/>
              </w:tabs>
              <w:spacing w:after="0"/>
              <w:rPr>
                <w:color w:val="000000"/>
                <w:lang w:val="en-US" w:eastAsia="pt-BR"/>
              </w:rPr>
            </w:pPr>
          </w:p>
        </w:tc>
        <w:tc>
          <w:tcPr>
            <w:tcW w:w="874" w:type="pct"/>
            <w:noWrap/>
            <w:vAlign w:val="bottom"/>
          </w:tcPr>
          <w:p w14:paraId="0F3485ED" w14:textId="77777777" w:rsidR="000319B6" w:rsidRPr="00FA202B" w:rsidRDefault="000319B6" w:rsidP="000319B6">
            <w:pPr>
              <w:tabs>
                <w:tab w:val="clear" w:pos="0"/>
              </w:tabs>
              <w:spacing w:after="0"/>
              <w:jc w:val="right"/>
              <w:rPr>
                <w:rFonts w:eastAsia="Aptos"/>
                <w:color w:val="000000"/>
                <w:kern w:val="2"/>
                <w:lang w:val="pt-BR"/>
                <w14:ligatures w14:val="standardContextual"/>
              </w:rPr>
            </w:pPr>
          </w:p>
        </w:tc>
        <w:tc>
          <w:tcPr>
            <w:tcW w:w="1438" w:type="pct"/>
            <w:gridSpan w:val="3"/>
            <w:shd w:val="clear" w:color="auto" w:fill="DAE9F8"/>
            <w:noWrap/>
            <w:vAlign w:val="bottom"/>
          </w:tcPr>
          <w:p w14:paraId="6D02875F" w14:textId="77777777" w:rsidR="000319B6" w:rsidRPr="00FA202B" w:rsidRDefault="000319B6" w:rsidP="008D2DD2">
            <w:pPr>
              <w:tabs>
                <w:tab w:val="clear" w:pos="0"/>
              </w:tabs>
              <w:spacing w:after="0"/>
              <w:jc w:val="center"/>
              <w:rPr>
                <w:rFonts w:eastAsia="Aptos"/>
                <w:color w:val="000000"/>
                <w:kern w:val="2"/>
                <w:lang w:val="pt-BR"/>
                <w14:ligatures w14:val="standardContextual"/>
              </w:rPr>
            </w:pPr>
            <w:r w:rsidRPr="00FA202B">
              <w:rPr>
                <w:rFonts w:eastAsia="Aptos"/>
                <w:color w:val="000000"/>
                <w:kern w:val="2"/>
                <w:lang w:val="pt-BR"/>
                <w14:ligatures w14:val="standardContextual"/>
              </w:rPr>
              <w:t>2,190</w:t>
            </w:r>
          </w:p>
        </w:tc>
        <w:tc>
          <w:tcPr>
            <w:tcW w:w="1431" w:type="pct"/>
            <w:gridSpan w:val="3"/>
            <w:shd w:val="clear" w:color="auto" w:fill="F2CEEF"/>
            <w:noWrap/>
            <w:vAlign w:val="bottom"/>
          </w:tcPr>
          <w:p w14:paraId="15104325" w14:textId="77777777" w:rsidR="000319B6" w:rsidRPr="00FA202B" w:rsidRDefault="000319B6" w:rsidP="008D2DD2">
            <w:pPr>
              <w:tabs>
                <w:tab w:val="clear" w:pos="0"/>
              </w:tabs>
              <w:spacing w:after="0"/>
              <w:jc w:val="center"/>
              <w:rPr>
                <w:rFonts w:eastAsia="Aptos"/>
                <w:color w:val="000000"/>
                <w:kern w:val="2"/>
                <w:lang w:val="pt-BR"/>
                <w14:ligatures w14:val="standardContextual"/>
              </w:rPr>
            </w:pPr>
            <w:r w:rsidRPr="00FA202B">
              <w:rPr>
                <w:rFonts w:eastAsia="Aptos"/>
                <w:color w:val="000000"/>
                <w:kern w:val="2"/>
                <w:lang w:val="pt-BR"/>
                <w14:ligatures w14:val="standardContextual"/>
              </w:rPr>
              <w:t>2,190</w:t>
            </w:r>
          </w:p>
        </w:tc>
      </w:tr>
      <w:tr w:rsidR="000319B6" w:rsidRPr="00FA202B" w14:paraId="4A86CD79" w14:textId="77777777" w:rsidTr="4BCEE662">
        <w:trPr>
          <w:trHeight w:val="468"/>
        </w:trPr>
        <w:tc>
          <w:tcPr>
            <w:tcW w:w="1257" w:type="pct"/>
            <w:shd w:val="clear" w:color="auto" w:fill="E2EFD9" w:themeFill="accent6" w:themeFillTint="33"/>
            <w:vAlign w:val="center"/>
          </w:tcPr>
          <w:p w14:paraId="32567AF8" w14:textId="77777777" w:rsidR="000319B6" w:rsidRPr="00FA202B" w:rsidRDefault="000319B6" w:rsidP="000319B6">
            <w:pPr>
              <w:tabs>
                <w:tab w:val="clear" w:pos="0"/>
              </w:tabs>
              <w:spacing w:after="0"/>
              <w:rPr>
                <w:color w:val="000000"/>
                <w:lang w:val="en-US" w:eastAsia="pt-BR"/>
              </w:rPr>
            </w:pPr>
            <w:r w:rsidRPr="00FA202B">
              <w:rPr>
                <w:color w:val="000000"/>
                <w:lang w:val="en-US" w:eastAsia="pt-BR"/>
              </w:rPr>
              <w:t>Funding for Project Preparation (PRP)</w:t>
            </w:r>
          </w:p>
        </w:tc>
        <w:tc>
          <w:tcPr>
            <w:tcW w:w="874" w:type="pct"/>
            <w:noWrap/>
            <w:vAlign w:val="bottom"/>
          </w:tcPr>
          <w:p w14:paraId="3AB85196"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22.24</w:t>
            </w:r>
          </w:p>
        </w:tc>
        <w:tc>
          <w:tcPr>
            <w:tcW w:w="545" w:type="pct"/>
            <w:shd w:val="clear" w:color="auto" w:fill="DAE9F8"/>
            <w:noWrap/>
            <w:vAlign w:val="bottom"/>
          </w:tcPr>
          <w:p w14:paraId="4C1ECAFF"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22.24</w:t>
            </w:r>
          </w:p>
        </w:tc>
        <w:tc>
          <w:tcPr>
            <w:tcW w:w="447" w:type="pct"/>
            <w:shd w:val="clear" w:color="auto" w:fill="DAE9F8"/>
            <w:noWrap/>
            <w:vAlign w:val="bottom"/>
          </w:tcPr>
          <w:p w14:paraId="545E7ADE"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0.00</w:t>
            </w:r>
          </w:p>
        </w:tc>
        <w:tc>
          <w:tcPr>
            <w:tcW w:w="447" w:type="pct"/>
            <w:shd w:val="clear" w:color="auto" w:fill="DAE9F8"/>
            <w:noWrap/>
            <w:vAlign w:val="bottom"/>
          </w:tcPr>
          <w:p w14:paraId="479C7582"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0.00</w:t>
            </w:r>
          </w:p>
        </w:tc>
        <w:tc>
          <w:tcPr>
            <w:tcW w:w="447" w:type="pct"/>
            <w:shd w:val="clear" w:color="auto" w:fill="F2CEEF"/>
            <w:noWrap/>
            <w:vAlign w:val="bottom"/>
          </w:tcPr>
          <w:p w14:paraId="5854D46A"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22.24</w:t>
            </w:r>
          </w:p>
        </w:tc>
        <w:tc>
          <w:tcPr>
            <w:tcW w:w="530" w:type="pct"/>
            <w:shd w:val="clear" w:color="auto" w:fill="F2CEEF"/>
            <w:noWrap/>
            <w:vAlign w:val="bottom"/>
          </w:tcPr>
          <w:p w14:paraId="4965DEB1"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0.00</w:t>
            </w:r>
          </w:p>
        </w:tc>
        <w:tc>
          <w:tcPr>
            <w:tcW w:w="454" w:type="pct"/>
            <w:shd w:val="clear" w:color="auto" w:fill="F2CEEF"/>
            <w:noWrap/>
            <w:vAlign w:val="bottom"/>
          </w:tcPr>
          <w:p w14:paraId="641D13A0"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0.00</w:t>
            </w:r>
          </w:p>
        </w:tc>
      </w:tr>
      <w:tr w:rsidR="000319B6" w:rsidRPr="00FA202B" w14:paraId="6AD990B5" w14:textId="77777777" w:rsidTr="4BCEE662">
        <w:trPr>
          <w:trHeight w:val="468"/>
        </w:trPr>
        <w:tc>
          <w:tcPr>
            <w:tcW w:w="1257" w:type="pct"/>
            <w:shd w:val="clear" w:color="auto" w:fill="E2EFD9" w:themeFill="accent6" w:themeFillTint="33"/>
            <w:vAlign w:val="center"/>
            <w:hideMark/>
          </w:tcPr>
          <w:p w14:paraId="30856776" w14:textId="77777777" w:rsidR="000319B6" w:rsidRPr="00FA202B" w:rsidRDefault="000319B6" w:rsidP="000319B6">
            <w:pPr>
              <w:tabs>
                <w:tab w:val="clear" w:pos="0"/>
              </w:tabs>
              <w:spacing w:after="0"/>
              <w:rPr>
                <w:color w:val="000000"/>
                <w:lang w:val="en-US" w:eastAsia="pt-BR"/>
              </w:rPr>
            </w:pPr>
            <w:r w:rsidRPr="00FA202B">
              <w:rPr>
                <w:color w:val="000000"/>
                <w:lang w:val="en-US" w:eastAsia="pt-BR"/>
              </w:rPr>
              <w:t xml:space="preserve">Funding for KIP Verification </w:t>
            </w:r>
          </w:p>
        </w:tc>
        <w:tc>
          <w:tcPr>
            <w:tcW w:w="874" w:type="pct"/>
            <w:noWrap/>
            <w:vAlign w:val="bottom"/>
            <w:hideMark/>
          </w:tcPr>
          <w:p w14:paraId="08DEDECE" w14:textId="77777777" w:rsidR="000319B6" w:rsidRPr="00FA202B" w:rsidRDefault="000319B6" w:rsidP="000319B6">
            <w:pPr>
              <w:tabs>
                <w:tab w:val="clear" w:pos="0"/>
              </w:tabs>
              <w:spacing w:after="0"/>
              <w:jc w:val="right"/>
              <w:rPr>
                <w:color w:val="000000"/>
                <w:lang w:val="pt-BR" w:eastAsia="pt-BR"/>
              </w:rPr>
            </w:pPr>
            <w:r w:rsidRPr="00FA202B">
              <w:rPr>
                <w:color w:val="000000"/>
                <w:lang w:val="pt-BR" w:eastAsia="pt-BR"/>
              </w:rPr>
              <w:t>26</w:t>
            </w:r>
          </w:p>
        </w:tc>
        <w:tc>
          <w:tcPr>
            <w:tcW w:w="545" w:type="pct"/>
            <w:shd w:val="clear" w:color="auto" w:fill="DAE9F8"/>
            <w:noWrap/>
            <w:vAlign w:val="bottom"/>
            <w:hideMark/>
          </w:tcPr>
          <w:p w14:paraId="69163C81"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8.70</w:t>
            </w:r>
          </w:p>
        </w:tc>
        <w:tc>
          <w:tcPr>
            <w:tcW w:w="447" w:type="pct"/>
            <w:shd w:val="clear" w:color="auto" w:fill="DAE9F8"/>
            <w:noWrap/>
            <w:vAlign w:val="bottom"/>
            <w:hideMark/>
          </w:tcPr>
          <w:p w14:paraId="151C1F7F"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8.70</w:t>
            </w:r>
          </w:p>
        </w:tc>
        <w:tc>
          <w:tcPr>
            <w:tcW w:w="447" w:type="pct"/>
            <w:shd w:val="clear" w:color="auto" w:fill="DAE9F8"/>
            <w:noWrap/>
            <w:vAlign w:val="bottom"/>
            <w:hideMark/>
          </w:tcPr>
          <w:p w14:paraId="72F0FD90"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8.70</w:t>
            </w:r>
          </w:p>
        </w:tc>
        <w:tc>
          <w:tcPr>
            <w:tcW w:w="447" w:type="pct"/>
            <w:shd w:val="clear" w:color="auto" w:fill="F2CEEF"/>
            <w:noWrap/>
            <w:vAlign w:val="bottom"/>
            <w:hideMark/>
          </w:tcPr>
          <w:p w14:paraId="223C6085"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8.70</w:t>
            </w:r>
          </w:p>
        </w:tc>
        <w:tc>
          <w:tcPr>
            <w:tcW w:w="530" w:type="pct"/>
            <w:shd w:val="clear" w:color="auto" w:fill="F2CEEF"/>
            <w:noWrap/>
            <w:vAlign w:val="bottom"/>
            <w:hideMark/>
          </w:tcPr>
          <w:p w14:paraId="014F94AE"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8.70</w:t>
            </w:r>
          </w:p>
        </w:tc>
        <w:tc>
          <w:tcPr>
            <w:tcW w:w="454" w:type="pct"/>
            <w:shd w:val="clear" w:color="auto" w:fill="F2CEEF"/>
            <w:noWrap/>
            <w:vAlign w:val="bottom"/>
            <w:hideMark/>
          </w:tcPr>
          <w:p w14:paraId="650779D3"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8.70</w:t>
            </w:r>
          </w:p>
        </w:tc>
      </w:tr>
      <w:tr w:rsidR="000319B6" w:rsidRPr="00FA202B" w14:paraId="045406A3" w14:textId="77777777" w:rsidTr="4BCEE662">
        <w:trPr>
          <w:trHeight w:val="468"/>
        </w:trPr>
        <w:tc>
          <w:tcPr>
            <w:tcW w:w="1257" w:type="pct"/>
            <w:shd w:val="clear" w:color="auto" w:fill="E2EFD9" w:themeFill="accent6" w:themeFillTint="33"/>
            <w:vAlign w:val="center"/>
            <w:hideMark/>
          </w:tcPr>
          <w:p w14:paraId="37915B21" w14:textId="77777777" w:rsidR="000319B6" w:rsidRPr="00FA202B" w:rsidRDefault="000319B6" w:rsidP="000319B6">
            <w:pPr>
              <w:tabs>
                <w:tab w:val="clear" w:pos="0"/>
              </w:tabs>
              <w:spacing w:after="0"/>
              <w:rPr>
                <w:color w:val="000000"/>
                <w:lang w:val="en-US" w:eastAsia="pt-BR"/>
              </w:rPr>
            </w:pPr>
            <w:r w:rsidRPr="00FA202B">
              <w:rPr>
                <w:lang w:val="en-US" w:eastAsia="pt-BR"/>
              </w:rPr>
              <w:t>Energy Efficiency (</w:t>
            </w:r>
            <w:r w:rsidRPr="00FA202B">
              <w:rPr>
                <w:u w:val="single"/>
                <w:lang w:val="en-US" w:eastAsia="pt-BR"/>
              </w:rPr>
              <w:t>low-end option</w:t>
            </w:r>
            <w:r w:rsidRPr="00FA202B">
              <w:rPr>
                <w:lang w:val="en-US" w:eastAsia="pt-BR"/>
              </w:rPr>
              <w:t>)</w:t>
            </w:r>
          </w:p>
        </w:tc>
        <w:tc>
          <w:tcPr>
            <w:tcW w:w="874" w:type="pct"/>
            <w:noWrap/>
            <w:vAlign w:val="bottom"/>
            <w:hideMark/>
          </w:tcPr>
          <w:p w14:paraId="5E61BFB4" w14:textId="400D848D" w:rsidR="000319B6" w:rsidRPr="00FA202B" w:rsidRDefault="4BCEE662" w:rsidP="4BCEE662">
            <w:pPr>
              <w:tabs>
                <w:tab w:val="clear" w:pos="0"/>
              </w:tabs>
              <w:spacing w:after="0" w:line="259" w:lineRule="auto"/>
              <w:jc w:val="right"/>
            </w:pPr>
            <w:r w:rsidRPr="4BCEE662">
              <w:rPr>
                <w:lang w:val="pt-BR" w:eastAsia="pt-BR"/>
              </w:rPr>
              <w:t>73.26</w:t>
            </w:r>
          </w:p>
        </w:tc>
        <w:tc>
          <w:tcPr>
            <w:tcW w:w="545" w:type="pct"/>
            <w:shd w:val="clear" w:color="auto" w:fill="DAE9F8"/>
            <w:noWrap/>
            <w:vAlign w:val="bottom"/>
            <w:hideMark/>
          </w:tcPr>
          <w:p w14:paraId="67043780" w14:textId="0B405DFF" w:rsidR="000319B6" w:rsidRPr="00FA202B" w:rsidRDefault="4BCEE662" w:rsidP="4BCEE662">
            <w:pPr>
              <w:tabs>
                <w:tab w:val="clear" w:pos="0"/>
              </w:tabs>
              <w:spacing w:after="0" w:line="259" w:lineRule="auto"/>
              <w:jc w:val="right"/>
            </w:pPr>
            <w:r w:rsidRPr="4BCEE662">
              <w:rPr>
                <w:rFonts w:eastAsia="Aptos"/>
                <w:lang w:val="pt-BR"/>
              </w:rPr>
              <w:t>73.26</w:t>
            </w:r>
          </w:p>
        </w:tc>
        <w:tc>
          <w:tcPr>
            <w:tcW w:w="447" w:type="pct"/>
            <w:shd w:val="clear" w:color="auto" w:fill="DAE9F8"/>
            <w:noWrap/>
            <w:vAlign w:val="bottom"/>
            <w:hideMark/>
          </w:tcPr>
          <w:p w14:paraId="27D224E9"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0.00</w:t>
            </w:r>
          </w:p>
        </w:tc>
        <w:tc>
          <w:tcPr>
            <w:tcW w:w="447" w:type="pct"/>
            <w:shd w:val="clear" w:color="auto" w:fill="DAE9F8"/>
            <w:noWrap/>
            <w:vAlign w:val="bottom"/>
            <w:hideMark/>
          </w:tcPr>
          <w:p w14:paraId="43DEB857"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0.00</w:t>
            </w:r>
          </w:p>
        </w:tc>
        <w:tc>
          <w:tcPr>
            <w:tcW w:w="447" w:type="pct"/>
            <w:shd w:val="clear" w:color="auto" w:fill="F2CEEF"/>
            <w:noWrap/>
            <w:vAlign w:val="bottom"/>
            <w:hideMark/>
          </w:tcPr>
          <w:p w14:paraId="5252B633" w14:textId="0F863A01" w:rsidR="000319B6" w:rsidRPr="00FA202B" w:rsidRDefault="4BCEE662" w:rsidP="4BCEE662">
            <w:pPr>
              <w:tabs>
                <w:tab w:val="clear" w:pos="0"/>
              </w:tabs>
              <w:spacing w:after="0" w:line="259" w:lineRule="auto"/>
              <w:jc w:val="right"/>
            </w:pPr>
            <w:r w:rsidRPr="4BCEE662">
              <w:rPr>
                <w:rFonts w:eastAsia="Aptos"/>
                <w:lang w:val="pt-BR"/>
              </w:rPr>
              <w:t>73.26</w:t>
            </w:r>
          </w:p>
        </w:tc>
        <w:tc>
          <w:tcPr>
            <w:tcW w:w="530" w:type="pct"/>
            <w:shd w:val="clear" w:color="auto" w:fill="F2CEEF"/>
            <w:noWrap/>
            <w:vAlign w:val="bottom"/>
            <w:hideMark/>
          </w:tcPr>
          <w:p w14:paraId="4A249F23"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0.00</w:t>
            </w:r>
          </w:p>
        </w:tc>
        <w:tc>
          <w:tcPr>
            <w:tcW w:w="454" w:type="pct"/>
            <w:shd w:val="clear" w:color="auto" w:fill="F2CEEF"/>
            <w:noWrap/>
            <w:vAlign w:val="bottom"/>
            <w:hideMark/>
          </w:tcPr>
          <w:p w14:paraId="79F9EF08" w14:textId="77777777" w:rsidR="000319B6" w:rsidRPr="00FA202B" w:rsidRDefault="000319B6" w:rsidP="000319B6">
            <w:pPr>
              <w:tabs>
                <w:tab w:val="clear" w:pos="0"/>
              </w:tabs>
              <w:spacing w:after="0"/>
              <w:jc w:val="right"/>
              <w:rPr>
                <w:color w:val="000000"/>
                <w:lang w:val="pt-BR" w:eastAsia="pt-BR"/>
              </w:rPr>
            </w:pPr>
            <w:r w:rsidRPr="00FA202B">
              <w:rPr>
                <w:rFonts w:eastAsia="Aptos"/>
                <w:color w:val="000000"/>
                <w:kern w:val="2"/>
                <w:lang w:val="pt-BR"/>
                <w14:ligatures w14:val="standardContextual"/>
              </w:rPr>
              <w:t>0.00</w:t>
            </w:r>
          </w:p>
        </w:tc>
      </w:tr>
      <w:tr w:rsidR="000319B6" w:rsidRPr="00FA202B" w14:paraId="6EB65345" w14:textId="77777777" w:rsidTr="4BCEE662">
        <w:trPr>
          <w:trHeight w:val="468"/>
        </w:trPr>
        <w:tc>
          <w:tcPr>
            <w:tcW w:w="1257" w:type="pct"/>
            <w:shd w:val="clear" w:color="auto" w:fill="E2EFD9" w:themeFill="accent6" w:themeFillTint="33"/>
            <w:vAlign w:val="center"/>
          </w:tcPr>
          <w:p w14:paraId="268F5117" w14:textId="77777777" w:rsidR="000319B6" w:rsidRPr="00FA202B" w:rsidRDefault="000319B6" w:rsidP="000319B6">
            <w:pPr>
              <w:tabs>
                <w:tab w:val="clear" w:pos="0"/>
              </w:tabs>
              <w:spacing w:after="0"/>
              <w:rPr>
                <w:color w:val="000000"/>
                <w:lang w:val="en-US" w:eastAsia="pt-BR"/>
              </w:rPr>
            </w:pPr>
            <w:r w:rsidRPr="00FA202B">
              <w:rPr>
                <w:color w:val="000000"/>
                <w:lang w:val="en-US" w:eastAsia="pt-BR"/>
              </w:rPr>
              <w:t>Pilot Projects for Regional Atmospheric Monitoring</w:t>
            </w:r>
          </w:p>
        </w:tc>
        <w:tc>
          <w:tcPr>
            <w:tcW w:w="874" w:type="pct"/>
            <w:noWrap/>
            <w:vAlign w:val="bottom"/>
          </w:tcPr>
          <w:p w14:paraId="6326A9D5" w14:textId="77777777" w:rsidR="000319B6" w:rsidRPr="00FA202B" w:rsidRDefault="000319B6" w:rsidP="000319B6">
            <w:pPr>
              <w:tabs>
                <w:tab w:val="clear" w:pos="0"/>
              </w:tabs>
              <w:spacing w:after="0"/>
              <w:jc w:val="right"/>
              <w:rPr>
                <w:color w:val="000000"/>
                <w:lang w:val="pt-BR" w:eastAsia="pt-BR"/>
              </w:rPr>
            </w:pPr>
            <w:r w:rsidRPr="00FA202B">
              <w:rPr>
                <w:color w:val="000000"/>
                <w:lang w:val="pt-BR" w:eastAsia="pt-BR"/>
              </w:rPr>
              <w:t>9.72</w:t>
            </w:r>
          </w:p>
        </w:tc>
        <w:tc>
          <w:tcPr>
            <w:tcW w:w="545" w:type="pct"/>
            <w:shd w:val="clear" w:color="auto" w:fill="DAE9F8"/>
            <w:noWrap/>
            <w:vAlign w:val="bottom"/>
          </w:tcPr>
          <w:p w14:paraId="5D4E3F59"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0.85</w:t>
            </w:r>
          </w:p>
        </w:tc>
        <w:tc>
          <w:tcPr>
            <w:tcW w:w="447" w:type="pct"/>
            <w:shd w:val="clear" w:color="auto" w:fill="DAE9F8"/>
            <w:noWrap/>
            <w:vAlign w:val="bottom"/>
          </w:tcPr>
          <w:p w14:paraId="1DE1138C"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8.87</w:t>
            </w:r>
          </w:p>
        </w:tc>
        <w:tc>
          <w:tcPr>
            <w:tcW w:w="447" w:type="pct"/>
            <w:shd w:val="clear" w:color="auto" w:fill="DAE9F8"/>
            <w:noWrap/>
            <w:vAlign w:val="bottom"/>
          </w:tcPr>
          <w:p w14:paraId="5EB7B002"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0.00</w:t>
            </w:r>
          </w:p>
        </w:tc>
        <w:tc>
          <w:tcPr>
            <w:tcW w:w="447" w:type="pct"/>
            <w:shd w:val="clear" w:color="auto" w:fill="F2CEEF"/>
            <w:noWrap/>
            <w:vAlign w:val="bottom"/>
          </w:tcPr>
          <w:p w14:paraId="47E827E0"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0.85</w:t>
            </w:r>
          </w:p>
        </w:tc>
        <w:tc>
          <w:tcPr>
            <w:tcW w:w="530" w:type="pct"/>
            <w:shd w:val="clear" w:color="auto" w:fill="F2CEEF"/>
            <w:noWrap/>
            <w:vAlign w:val="bottom"/>
          </w:tcPr>
          <w:p w14:paraId="304E8C7A"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8.87</w:t>
            </w:r>
          </w:p>
        </w:tc>
        <w:tc>
          <w:tcPr>
            <w:tcW w:w="454" w:type="pct"/>
            <w:shd w:val="clear" w:color="auto" w:fill="F2CEEF"/>
            <w:noWrap/>
            <w:vAlign w:val="bottom"/>
          </w:tcPr>
          <w:p w14:paraId="506FDE77" w14:textId="77777777" w:rsidR="000319B6" w:rsidRPr="00FA202B" w:rsidRDefault="000319B6" w:rsidP="000319B6">
            <w:pPr>
              <w:tabs>
                <w:tab w:val="clear" w:pos="0"/>
              </w:tabs>
              <w:spacing w:after="0"/>
              <w:jc w:val="right"/>
              <w:rPr>
                <w:rFonts w:eastAsia="Aptos"/>
                <w:color w:val="000000"/>
                <w:kern w:val="2"/>
                <w:lang w:val="pt-BR"/>
                <w14:ligatures w14:val="standardContextual"/>
              </w:rPr>
            </w:pPr>
            <w:r w:rsidRPr="00FA202B">
              <w:rPr>
                <w:rFonts w:eastAsia="Aptos"/>
                <w:color w:val="000000"/>
                <w:kern w:val="2"/>
                <w:lang w:val="pt-BR"/>
                <w14:ligatures w14:val="standardContextual"/>
              </w:rPr>
              <w:t>0.00</w:t>
            </w:r>
          </w:p>
        </w:tc>
      </w:tr>
      <w:tr w:rsidR="000319B6" w:rsidRPr="00FA202B" w14:paraId="3072BCE7" w14:textId="77777777" w:rsidTr="4BCEE662">
        <w:trPr>
          <w:trHeight w:val="468"/>
        </w:trPr>
        <w:tc>
          <w:tcPr>
            <w:tcW w:w="1257" w:type="pct"/>
            <w:shd w:val="clear" w:color="auto" w:fill="E2EFD9" w:themeFill="accent6" w:themeFillTint="33"/>
            <w:vAlign w:val="center"/>
          </w:tcPr>
          <w:p w14:paraId="63A56850" w14:textId="77777777" w:rsidR="000319B6" w:rsidRPr="00FA202B" w:rsidRDefault="000319B6" w:rsidP="000319B6">
            <w:pPr>
              <w:tabs>
                <w:tab w:val="clear" w:pos="0"/>
              </w:tabs>
              <w:spacing w:after="0"/>
              <w:rPr>
                <w:b/>
                <w:bCs/>
                <w:color w:val="000000"/>
                <w:lang w:val="pt-BR" w:eastAsia="pt-BR"/>
              </w:rPr>
            </w:pPr>
            <w:r w:rsidRPr="00FA202B">
              <w:rPr>
                <w:b/>
                <w:lang w:val="pt-BR" w:eastAsia="pt-BR"/>
              </w:rPr>
              <w:t>Sub-Total 2</w:t>
            </w:r>
          </w:p>
        </w:tc>
        <w:tc>
          <w:tcPr>
            <w:tcW w:w="874" w:type="pct"/>
            <w:noWrap/>
            <w:vAlign w:val="bottom"/>
          </w:tcPr>
          <w:p w14:paraId="5B9FB4C7" w14:textId="77777777" w:rsidR="000319B6" w:rsidRPr="00FA202B" w:rsidRDefault="000319B6" w:rsidP="000319B6">
            <w:pPr>
              <w:tabs>
                <w:tab w:val="clear" w:pos="0"/>
              </w:tabs>
              <w:spacing w:after="0"/>
              <w:jc w:val="right"/>
              <w:rPr>
                <w:b/>
                <w:bCs/>
                <w:color w:val="000000"/>
                <w:lang w:val="pt-BR" w:eastAsia="pt-BR"/>
              </w:rPr>
            </w:pPr>
            <w:r w:rsidRPr="00FA202B">
              <w:rPr>
                <w:b/>
                <w:bCs/>
                <w:color w:val="000000"/>
                <w:lang w:val="pt-BR" w:eastAsia="pt-BR"/>
              </w:rPr>
              <w:t>131</w:t>
            </w:r>
          </w:p>
        </w:tc>
        <w:tc>
          <w:tcPr>
            <w:tcW w:w="545" w:type="pct"/>
            <w:shd w:val="clear" w:color="auto" w:fill="DAE9F8"/>
            <w:noWrap/>
            <w:vAlign w:val="bottom"/>
          </w:tcPr>
          <w:p w14:paraId="18E72FD4" w14:textId="77777777" w:rsidR="000319B6" w:rsidRPr="00FA202B" w:rsidRDefault="000319B6" w:rsidP="000319B6">
            <w:pPr>
              <w:tabs>
                <w:tab w:val="clear" w:pos="0"/>
              </w:tabs>
              <w:spacing w:after="0"/>
              <w:jc w:val="right"/>
              <w:rPr>
                <w:b/>
                <w:bCs/>
                <w:color w:val="000000"/>
                <w:lang w:val="pt-BR" w:eastAsia="pt-BR"/>
              </w:rPr>
            </w:pPr>
            <w:r w:rsidRPr="00FA202B">
              <w:rPr>
                <w:b/>
                <w:bCs/>
                <w:color w:val="000000"/>
                <w:lang w:val="pt-BR" w:eastAsia="pt-BR"/>
              </w:rPr>
              <w:t>104.56</w:t>
            </w:r>
          </w:p>
        </w:tc>
        <w:tc>
          <w:tcPr>
            <w:tcW w:w="447" w:type="pct"/>
            <w:shd w:val="clear" w:color="auto" w:fill="DAE9F8"/>
            <w:noWrap/>
            <w:vAlign w:val="bottom"/>
          </w:tcPr>
          <w:p w14:paraId="7822A351" w14:textId="77777777" w:rsidR="000319B6" w:rsidRPr="00FA202B" w:rsidRDefault="000319B6" w:rsidP="000319B6">
            <w:pPr>
              <w:tabs>
                <w:tab w:val="clear" w:pos="0"/>
              </w:tabs>
              <w:spacing w:after="0"/>
              <w:jc w:val="right"/>
              <w:rPr>
                <w:b/>
                <w:bCs/>
                <w:color w:val="000000"/>
                <w:lang w:val="pt-BR" w:eastAsia="pt-BR"/>
              </w:rPr>
            </w:pPr>
            <w:r w:rsidRPr="00FA202B">
              <w:rPr>
                <w:b/>
                <w:bCs/>
                <w:color w:val="000000"/>
                <w:lang w:val="pt-BR" w:eastAsia="pt-BR"/>
              </w:rPr>
              <w:t>17.57</w:t>
            </w:r>
          </w:p>
        </w:tc>
        <w:tc>
          <w:tcPr>
            <w:tcW w:w="447" w:type="pct"/>
            <w:shd w:val="clear" w:color="auto" w:fill="DAE9F8"/>
            <w:noWrap/>
            <w:vAlign w:val="bottom"/>
          </w:tcPr>
          <w:p w14:paraId="63E04951" w14:textId="77777777" w:rsidR="000319B6" w:rsidRPr="00FA202B" w:rsidRDefault="000319B6" w:rsidP="000319B6">
            <w:pPr>
              <w:tabs>
                <w:tab w:val="clear" w:pos="0"/>
              </w:tabs>
              <w:spacing w:after="0"/>
              <w:jc w:val="right"/>
              <w:rPr>
                <w:b/>
                <w:bCs/>
                <w:color w:val="000000"/>
                <w:lang w:val="pt-BR" w:eastAsia="pt-BR"/>
              </w:rPr>
            </w:pPr>
            <w:r w:rsidRPr="00FA202B">
              <w:rPr>
                <w:b/>
                <w:bCs/>
                <w:color w:val="000000"/>
                <w:lang w:val="pt-BR" w:eastAsia="pt-BR"/>
              </w:rPr>
              <w:t>8.70</w:t>
            </w:r>
          </w:p>
        </w:tc>
        <w:tc>
          <w:tcPr>
            <w:tcW w:w="447" w:type="pct"/>
            <w:shd w:val="clear" w:color="auto" w:fill="F2CEEF"/>
            <w:noWrap/>
            <w:vAlign w:val="bottom"/>
          </w:tcPr>
          <w:p w14:paraId="2E69A209" w14:textId="77777777" w:rsidR="000319B6" w:rsidRPr="00FA202B" w:rsidRDefault="000319B6" w:rsidP="000319B6">
            <w:pPr>
              <w:tabs>
                <w:tab w:val="clear" w:pos="0"/>
              </w:tabs>
              <w:spacing w:after="0"/>
              <w:jc w:val="right"/>
              <w:rPr>
                <w:b/>
                <w:bCs/>
                <w:color w:val="000000"/>
                <w:lang w:val="pt-BR" w:eastAsia="pt-BR"/>
              </w:rPr>
            </w:pPr>
            <w:r w:rsidRPr="00FA202B">
              <w:rPr>
                <w:b/>
                <w:bCs/>
                <w:color w:val="000000"/>
                <w:lang w:val="pt-BR" w:eastAsia="pt-BR"/>
              </w:rPr>
              <w:t>104.56</w:t>
            </w:r>
          </w:p>
        </w:tc>
        <w:tc>
          <w:tcPr>
            <w:tcW w:w="530" w:type="pct"/>
            <w:shd w:val="clear" w:color="auto" w:fill="F2CEEF"/>
            <w:noWrap/>
            <w:vAlign w:val="bottom"/>
          </w:tcPr>
          <w:p w14:paraId="257A058B" w14:textId="77777777" w:rsidR="000319B6" w:rsidRPr="00FA202B" w:rsidRDefault="000319B6" w:rsidP="000319B6">
            <w:pPr>
              <w:tabs>
                <w:tab w:val="clear" w:pos="0"/>
              </w:tabs>
              <w:spacing w:after="0"/>
              <w:jc w:val="right"/>
              <w:rPr>
                <w:b/>
                <w:bCs/>
                <w:color w:val="000000"/>
                <w:lang w:val="pt-BR" w:eastAsia="pt-BR"/>
              </w:rPr>
            </w:pPr>
            <w:r w:rsidRPr="00FA202B">
              <w:rPr>
                <w:b/>
                <w:bCs/>
                <w:color w:val="000000"/>
                <w:lang w:val="pt-BR" w:eastAsia="pt-BR"/>
              </w:rPr>
              <w:t>17.57</w:t>
            </w:r>
          </w:p>
        </w:tc>
        <w:tc>
          <w:tcPr>
            <w:tcW w:w="454" w:type="pct"/>
            <w:shd w:val="clear" w:color="auto" w:fill="F2CEEF"/>
            <w:noWrap/>
            <w:vAlign w:val="bottom"/>
          </w:tcPr>
          <w:p w14:paraId="553369E8" w14:textId="77777777" w:rsidR="000319B6" w:rsidRPr="00FA202B" w:rsidRDefault="000319B6" w:rsidP="000319B6">
            <w:pPr>
              <w:tabs>
                <w:tab w:val="clear" w:pos="0"/>
              </w:tabs>
              <w:spacing w:after="0"/>
              <w:jc w:val="right"/>
              <w:rPr>
                <w:b/>
                <w:bCs/>
                <w:color w:val="000000"/>
                <w:lang w:val="pt-BR" w:eastAsia="pt-BR"/>
              </w:rPr>
            </w:pPr>
            <w:r w:rsidRPr="00FA202B">
              <w:rPr>
                <w:b/>
                <w:bCs/>
                <w:color w:val="000000"/>
                <w:lang w:val="pt-BR" w:eastAsia="pt-BR"/>
              </w:rPr>
              <w:t>8.70</w:t>
            </w:r>
          </w:p>
        </w:tc>
      </w:tr>
      <w:tr w:rsidR="000319B6" w:rsidRPr="00FA202B" w14:paraId="7A53B75A" w14:textId="77777777" w:rsidTr="4BCEE662">
        <w:trPr>
          <w:trHeight w:val="468"/>
        </w:trPr>
        <w:tc>
          <w:tcPr>
            <w:tcW w:w="1257" w:type="pct"/>
            <w:shd w:val="clear" w:color="auto" w:fill="FFFF00"/>
            <w:vAlign w:val="center"/>
          </w:tcPr>
          <w:p w14:paraId="3CC5B8AB" w14:textId="77777777" w:rsidR="000319B6" w:rsidRPr="009D17AE" w:rsidRDefault="000319B6" w:rsidP="000319B6">
            <w:pPr>
              <w:tabs>
                <w:tab w:val="clear" w:pos="0"/>
              </w:tabs>
              <w:spacing w:after="0"/>
              <w:rPr>
                <w:b/>
                <w:bCs/>
                <w:color w:val="000000"/>
                <w:lang w:val="en-US" w:eastAsia="pt-BR"/>
              </w:rPr>
            </w:pPr>
            <w:r w:rsidRPr="00FA202B">
              <w:rPr>
                <w:b/>
                <w:bCs/>
                <w:color w:val="000000"/>
                <w:lang w:val="en-US" w:eastAsia="pt-BR"/>
              </w:rPr>
              <w:t>Total for HFC Consumption Sector</w:t>
            </w:r>
          </w:p>
        </w:tc>
        <w:tc>
          <w:tcPr>
            <w:tcW w:w="874" w:type="pct"/>
            <w:noWrap/>
            <w:vAlign w:val="bottom"/>
          </w:tcPr>
          <w:p w14:paraId="084A4E4B" w14:textId="77777777" w:rsidR="000319B6" w:rsidRPr="00FA202B" w:rsidRDefault="000319B6" w:rsidP="000319B6">
            <w:pPr>
              <w:tabs>
                <w:tab w:val="clear" w:pos="0"/>
              </w:tabs>
              <w:spacing w:after="0"/>
              <w:jc w:val="right"/>
              <w:rPr>
                <w:b/>
                <w:bCs/>
                <w:color w:val="000000"/>
                <w:lang w:val="pt-BR" w:eastAsia="pt-BR"/>
              </w:rPr>
            </w:pPr>
            <w:r w:rsidRPr="00FA202B">
              <w:rPr>
                <w:b/>
                <w:bCs/>
                <w:color w:val="000000"/>
                <w:lang w:val="en-US" w:eastAsia="pt-BR"/>
              </w:rPr>
              <w:t>2,321</w:t>
            </w:r>
          </w:p>
        </w:tc>
        <w:tc>
          <w:tcPr>
            <w:tcW w:w="545" w:type="pct"/>
            <w:shd w:val="clear" w:color="auto" w:fill="DAE9F8"/>
            <w:noWrap/>
            <w:vAlign w:val="bottom"/>
          </w:tcPr>
          <w:p w14:paraId="25AA4261" w14:textId="2476EA86" w:rsidR="000319B6" w:rsidRPr="00FA202B" w:rsidRDefault="4BCEE662" w:rsidP="4BCEE662">
            <w:pPr>
              <w:tabs>
                <w:tab w:val="clear" w:pos="0"/>
              </w:tabs>
              <w:spacing w:after="0" w:line="259" w:lineRule="auto"/>
              <w:jc w:val="right"/>
            </w:pPr>
            <w:r w:rsidRPr="4BCEE662">
              <w:rPr>
                <w:rFonts w:eastAsia="Aptos"/>
                <w:b/>
                <w:bCs/>
                <w:color w:val="auto"/>
                <w:lang w:val="pt-BR"/>
              </w:rPr>
              <w:t>958.06</w:t>
            </w:r>
          </w:p>
        </w:tc>
        <w:tc>
          <w:tcPr>
            <w:tcW w:w="447" w:type="pct"/>
            <w:shd w:val="clear" w:color="auto" w:fill="DAE9F8"/>
            <w:noWrap/>
            <w:vAlign w:val="bottom"/>
          </w:tcPr>
          <w:p w14:paraId="0FC14062" w14:textId="77777777" w:rsidR="000319B6" w:rsidRPr="00FA202B" w:rsidRDefault="000319B6" w:rsidP="000319B6">
            <w:pPr>
              <w:tabs>
                <w:tab w:val="clear" w:pos="0"/>
              </w:tabs>
              <w:spacing w:after="0"/>
              <w:jc w:val="right"/>
              <w:rPr>
                <w:b/>
                <w:bCs/>
                <w:color w:val="000000"/>
                <w:lang w:val="pt-BR" w:eastAsia="pt-BR"/>
              </w:rPr>
            </w:pPr>
            <w:r w:rsidRPr="00FA202B">
              <w:rPr>
                <w:rFonts w:eastAsia="Aptos"/>
                <w:b/>
                <w:bCs/>
                <w:color w:val="auto"/>
                <w:kern w:val="2"/>
                <w:lang w:val="pt-BR"/>
                <w14:ligatures w14:val="standardContextual"/>
              </w:rPr>
              <w:t>876.18</w:t>
            </w:r>
          </w:p>
        </w:tc>
        <w:tc>
          <w:tcPr>
            <w:tcW w:w="447" w:type="pct"/>
            <w:shd w:val="clear" w:color="auto" w:fill="DAE9F8"/>
            <w:noWrap/>
            <w:vAlign w:val="bottom"/>
          </w:tcPr>
          <w:p w14:paraId="03CFAB79" w14:textId="77777777" w:rsidR="000319B6" w:rsidRPr="00FA202B" w:rsidRDefault="000319B6" w:rsidP="000319B6">
            <w:pPr>
              <w:tabs>
                <w:tab w:val="clear" w:pos="0"/>
              </w:tabs>
              <w:spacing w:after="0"/>
              <w:jc w:val="right"/>
              <w:rPr>
                <w:b/>
                <w:bCs/>
                <w:color w:val="000000"/>
                <w:lang w:val="pt-BR" w:eastAsia="pt-BR"/>
              </w:rPr>
            </w:pPr>
            <w:r w:rsidRPr="00FA202B">
              <w:rPr>
                <w:rFonts w:eastAsia="Aptos"/>
                <w:b/>
                <w:bCs/>
                <w:color w:val="auto"/>
                <w:kern w:val="2"/>
                <w:lang w:val="pt-BR"/>
                <w14:ligatures w14:val="standardContextual"/>
              </w:rPr>
              <w:t>487.52</w:t>
            </w:r>
          </w:p>
        </w:tc>
        <w:tc>
          <w:tcPr>
            <w:tcW w:w="447" w:type="pct"/>
            <w:shd w:val="clear" w:color="auto" w:fill="F2CEEF"/>
            <w:noWrap/>
            <w:vAlign w:val="bottom"/>
          </w:tcPr>
          <w:p w14:paraId="50F1F974" w14:textId="554392F0" w:rsidR="000319B6" w:rsidRPr="00FA202B" w:rsidRDefault="000319B6" w:rsidP="4BCEE662">
            <w:pPr>
              <w:tabs>
                <w:tab w:val="clear" w:pos="0"/>
              </w:tabs>
              <w:spacing w:after="0" w:line="259" w:lineRule="auto"/>
              <w:jc w:val="right"/>
              <w:rPr>
                <w:b/>
                <w:bCs/>
                <w:lang w:val="pt-BR" w:eastAsia="pt-BR"/>
              </w:rPr>
            </w:pPr>
            <w:r w:rsidRPr="00FA202B">
              <w:rPr>
                <w:rFonts w:eastAsia="Aptos"/>
                <w:b/>
                <w:bCs/>
                <w:color w:val="auto"/>
                <w:kern w:val="2"/>
                <w:lang w:val="pt-BR"/>
                <w14:ligatures w14:val="standardContextual"/>
              </w:rPr>
              <w:t>690.</w:t>
            </w:r>
            <w:r w:rsidR="4BCEE662" w:rsidRPr="4BCEE662">
              <w:rPr>
                <w:rFonts w:eastAsia="Aptos"/>
                <w:b/>
                <w:bCs/>
                <w:color w:val="auto"/>
                <w:lang w:val="pt-BR"/>
              </w:rPr>
              <w:t>55</w:t>
            </w:r>
          </w:p>
        </w:tc>
        <w:tc>
          <w:tcPr>
            <w:tcW w:w="530" w:type="pct"/>
            <w:shd w:val="clear" w:color="auto" w:fill="F2CEEF"/>
            <w:noWrap/>
            <w:vAlign w:val="bottom"/>
          </w:tcPr>
          <w:p w14:paraId="6DFBAF54" w14:textId="77777777" w:rsidR="000319B6" w:rsidRPr="00FA202B" w:rsidRDefault="000319B6" w:rsidP="000319B6">
            <w:pPr>
              <w:tabs>
                <w:tab w:val="clear" w:pos="0"/>
              </w:tabs>
              <w:spacing w:after="0"/>
              <w:jc w:val="right"/>
              <w:rPr>
                <w:b/>
                <w:bCs/>
                <w:color w:val="000000"/>
                <w:lang w:val="pt-BR" w:eastAsia="pt-BR"/>
              </w:rPr>
            </w:pPr>
            <w:r w:rsidRPr="00FA202B">
              <w:rPr>
                <w:rFonts w:eastAsia="Aptos"/>
                <w:b/>
                <w:bCs/>
                <w:color w:val="auto"/>
                <w:kern w:val="2"/>
                <w:lang w:val="pt-BR"/>
                <w14:ligatures w14:val="standardContextual"/>
              </w:rPr>
              <w:t>1048.69</w:t>
            </w:r>
          </w:p>
        </w:tc>
        <w:tc>
          <w:tcPr>
            <w:tcW w:w="454" w:type="pct"/>
            <w:shd w:val="clear" w:color="auto" w:fill="F2CEEF"/>
            <w:noWrap/>
            <w:vAlign w:val="bottom"/>
          </w:tcPr>
          <w:p w14:paraId="6B8221B3" w14:textId="77777777" w:rsidR="000319B6" w:rsidRPr="00FA202B" w:rsidRDefault="000319B6" w:rsidP="000319B6">
            <w:pPr>
              <w:tabs>
                <w:tab w:val="clear" w:pos="0"/>
              </w:tabs>
              <w:spacing w:after="0"/>
              <w:jc w:val="right"/>
              <w:rPr>
                <w:b/>
                <w:bCs/>
                <w:color w:val="000000"/>
                <w:lang w:val="pt-BR" w:eastAsia="pt-BR"/>
              </w:rPr>
            </w:pPr>
            <w:r w:rsidRPr="00FA202B">
              <w:rPr>
                <w:rFonts w:eastAsia="Aptos"/>
                <w:b/>
                <w:bCs/>
                <w:color w:val="auto"/>
                <w:kern w:val="2"/>
                <w:lang w:val="pt-BR"/>
                <w14:ligatures w14:val="standardContextual"/>
              </w:rPr>
              <w:t>582.51</w:t>
            </w:r>
          </w:p>
        </w:tc>
      </w:tr>
    </w:tbl>
    <w:p w14:paraId="503DAE2C" w14:textId="77777777" w:rsidR="003236BA" w:rsidRDefault="003236BA" w:rsidP="00BA006E">
      <w:pPr>
        <w:tabs>
          <w:tab w:val="left" w:pos="1418"/>
        </w:tabs>
        <w:ind w:left="1418" w:hanging="1418"/>
        <w:rPr>
          <w:b/>
        </w:rPr>
      </w:pPr>
    </w:p>
    <w:p w14:paraId="5635F5EE" w14:textId="77777777" w:rsidR="00980675" w:rsidRDefault="00980675">
      <w:pPr>
        <w:tabs>
          <w:tab w:val="clear" w:pos="0"/>
        </w:tabs>
        <w:spacing w:after="0"/>
        <w:rPr>
          <w:rFonts w:eastAsiaTheme="minorEastAsia"/>
          <w:b/>
          <w:bCs/>
        </w:rPr>
      </w:pPr>
      <w:r>
        <w:rPr>
          <w:rFonts w:eastAsiaTheme="minorEastAsia"/>
          <w:b/>
          <w:bCs/>
        </w:rPr>
        <w:br w:type="page"/>
      </w:r>
    </w:p>
    <w:p w14:paraId="66C5EEE4" w14:textId="25301530" w:rsidR="00296C6F" w:rsidRDefault="4BCEE662" w:rsidP="002135B0">
      <w:pPr>
        <w:tabs>
          <w:tab w:val="left" w:pos="1276"/>
        </w:tabs>
        <w:spacing w:after="120"/>
        <w:ind w:left="1276" w:hanging="1276"/>
        <w:rPr>
          <w:lang w:val="en-US"/>
        </w:rPr>
      </w:pPr>
      <w:r w:rsidRPr="4BCEE662">
        <w:rPr>
          <w:rFonts w:eastAsiaTheme="minorEastAsia"/>
          <w:b/>
          <w:bCs/>
        </w:rPr>
        <w:lastRenderedPageBreak/>
        <w:t>Table 3.15</w:t>
      </w:r>
      <w:r w:rsidR="00A950BA">
        <w:rPr>
          <w:rFonts w:eastAsiaTheme="minorEastAsia"/>
          <w:b/>
          <w:bCs/>
        </w:rPr>
        <w:t>:</w:t>
      </w:r>
      <w:r w:rsidR="00B210B6">
        <w:tab/>
      </w:r>
      <w:r w:rsidRPr="4BCEE662">
        <w:rPr>
          <w:b/>
          <w:bCs/>
        </w:rPr>
        <w:t>Total funding estimate for HFC consumption sector for the HFC Scenario 2 to address Stage I and II targets (US$ million)</w:t>
      </w:r>
    </w:p>
    <w:tbl>
      <w:tblPr>
        <w:tblW w:w="92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10"/>
        <w:gridCol w:w="1515"/>
        <w:gridCol w:w="1026"/>
        <w:gridCol w:w="810"/>
        <w:gridCol w:w="885"/>
        <w:gridCol w:w="795"/>
        <w:gridCol w:w="1005"/>
        <w:gridCol w:w="854"/>
      </w:tblGrid>
      <w:tr w:rsidR="001036AF" w:rsidRPr="00CD1F0E" w14:paraId="55296612" w14:textId="77777777" w:rsidTr="00D41A33">
        <w:trPr>
          <w:trHeight w:val="648"/>
        </w:trPr>
        <w:tc>
          <w:tcPr>
            <w:tcW w:w="2310" w:type="dxa"/>
            <w:noWrap/>
            <w:vAlign w:val="center"/>
            <w:hideMark/>
          </w:tcPr>
          <w:p w14:paraId="3ABF0E76" w14:textId="77777777" w:rsidR="001036AF" w:rsidRPr="00CD1F0E" w:rsidRDefault="001036AF" w:rsidP="00D41A33">
            <w:pPr>
              <w:tabs>
                <w:tab w:val="clear" w:pos="0"/>
              </w:tabs>
              <w:spacing w:after="0"/>
              <w:jc w:val="center"/>
              <w:rPr>
                <w:b/>
                <w:bCs/>
                <w:color w:val="auto"/>
                <w:lang w:val="en-US" w:eastAsia="pt-BR"/>
              </w:rPr>
            </w:pPr>
            <w:r w:rsidRPr="00CD1F0E">
              <w:rPr>
                <w:b/>
                <w:bCs/>
                <w:color w:val="000000"/>
                <w:lang w:val="en-US" w:eastAsia="pt-BR"/>
              </w:rPr>
              <w:t>HFC CONSUMPTION SECTOR</w:t>
            </w:r>
          </w:p>
          <w:p w14:paraId="4E9A9497" w14:textId="77777777" w:rsidR="001036AF" w:rsidRPr="00CD1F0E" w:rsidRDefault="001036AF" w:rsidP="00D41A33">
            <w:pPr>
              <w:tabs>
                <w:tab w:val="clear" w:pos="0"/>
              </w:tabs>
              <w:spacing w:after="0"/>
              <w:jc w:val="center"/>
              <w:rPr>
                <w:b/>
                <w:bCs/>
                <w:color w:val="auto"/>
                <w:lang w:val="en-US" w:eastAsia="pt-BR"/>
              </w:rPr>
            </w:pPr>
          </w:p>
        </w:tc>
        <w:tc>
          <w:tcPr>
            <w:tcW w:w="1515" w:type="dxa"/>
            <w:noWrap/>
            <w:vAlign w:val="center"/>
            <w:hideMark/>
          </w:tcPr>
          <w:p w14:paraId="1B4348E3" w14:textId="77777777" w:rsidR="001036AF" w:rsidRPr="009D17AE" w:rsidRDefault="001036AF" w:rsidP="00D41A33">
            <w:pPr>
              <w:tabs>
                <w:tab w:val="clear" w:pos="0"/>
              </w:tabs>
              <w:spacing w:after="0"/>
              <w:jc w:val="center"/>
              <w:rPr>
                <w:b/>
                <w:bCs/>
                <w:color w:val="auto"/>
                <w:lang w:val="en-US" w:eastAsia="pt-BR"/>
              </w:rPr>
            </w:pPr>
            <w:r w:rsidRPr="009D17AE">
              <w:rPr>
                <w:b/>
                <w:bCs/>
                <w:color w:val="auto"/>
                <w:lang w:val="en-US" w:eastAsia="pt-BR"/>
              </w:rPr>
              <w:t>Total for 3 Triennia</w:t>
            </w:r>
          </w:p>
          <w:p w14:paraId="7F4FF2BE" w14:textId="774965E0" w:rsidR="001036AF" w:rsidRPr="00CD1F0E" w:rsidRDefault="4BCEE662" w:rsidP="00D41A33">
            <w:pPr>
              <w:tabs>
                <w:tab w:val="clear" w:pos="0"/>
              </w:tabs>
              <w:spacing w:after="0"/>
              <w:jc w:val="center"/>
              <w:rPr>
                <w:b/>
                <w:bCs/>
                <w:color w:val="auto"/>
                <w:lang w:val="en-US" w:eastAsia="pt-BR"/>
              </w:rPr>
            </w:pPr>
            <w:r w:rsidRPr="009D17AE">
              <w:rPr>
                <w:b/>
                <w:bCs/>
                <w:color w:val="auto"/>
                <w:lang w:val="en-US" w:eastAsia="pt-BR"/>
              </w:rPr>
              <w:t>(2027 to 2035 period)</w:t>
            </w:r>
          </w:p>
        </w:tc>
        <w:tc>
          <w:tcPr>
            <w:tcW w:w="2721" w:type="dxa"/>
            <w:gridSpan w:val="3"/>
            <w:shd w:val="clear" w:color="auto" w:fill="DAE9F8"/>
            <w:noWrap/>
            <w:vAlign w:val="center"/>
            <w:hideMark/>
          </w:tcPr>
          <w:p w14:paraId="392071C3" w14:textId="77777777" w:rsidR="001036AF" w:rsidRPr="00CD1F0E" w:rsidRDefault="001036AF" w:rsidP="00D41A33">
            <w:pPr>
              <w:tabs>
                <w:tab w:val="clear" w:pos="0"/>
              </w:tabs>
              <w:spacing w:after="0"/>
              <w:jc w:val="center"/>
              <w:rPr>
                <w:b/>
                <w:bCs/>
                <w:color w:val="000000"/>
                <w:lang w:val="pt-BR" w:eastAsia="pt-BR"/>
              </w:rPr>
            </w:pPr>
            <w:r w:rsidRPr="00CD1F0E">
              <w:rPr>
                <w:b/>
                <w:lang w:val="pt-BR" w:eastAsia="pt-BR"/>
              </w:rPr>
              <w:t>Resource Allocation A</w:t>
            </w:r>
          </w:p>
        </w:tc>
        <w:tc>
          <w:tcPr>
            <w:tcW w:w="2654" w:type="dxa"/>
            <w:gridSpan w:val="3"/>
            <w:shd w:val="clear" w:color="auto" w:fill="F2CEEF"/>
            <w:noWrap/>
            <w:vAlign w:val="center"/>
            <w:hideMark/>
          </w:tcPr>
          <w:p w14:paraId="2CB920BB" w14:textId="77777777" w:rsidR="001036AF" w:rsidRPr="00CD1F0E" w:rsidRDefault="001036AF" w:rsidP="00D41A33">
            <w:pPr>
              <w:tabs>
                <w:tab w:val="clear" w:pos="0"/>
              </w:tabs>
              <w:spacing w:after="0"/>
              <w:jc w:val="center"/>
              <w:rPr>
                <w:b/>
                <w:bCs/>
                <w:color w:val="000000"/>
                <w:lang w:val="pt-BR" w:eastAsia="pt-BR"/>
              </w:rPr>
            </w:pPr>
            <w:r w:rsidRPr="00CD1F0E">
              <w:rPr>
                <w:b/>
                <w:lang w:val="pt-BR" w:eastAsia="pt-BR"/>
              </w:rPr>
              <w:t>Resource Allocation B</w:t>
            </w:r>
          </w:p>
        </w:tc>
      </w:tr>
      <w:tr w:rsidR="001036AF" w:rsidRPr="00CD1F0E" w14:paraId="1D14395A" w14:textId="77777777" w:rsidTr="00D41A33">
        <w:trPr>
          <w:trHeight w:val="1068"/>
        </w:trPr>
        <w:tc>
          <w:tcPr>
            <w:tcW w:w="2310" w:type="dxa"/>
            <w:noWrap/>
            <w:vAlign w:val="center"/>
            <w:hideMark/>
          </w:tcPr>
          <w:p w14:paraId="303DACF6" w14:textId="7C847548" w:rsidR="001036AF" w:rsidRPr="00CD1F0E" w:rsidRDefault="00D570C8" w:rsidP="00D41A33">
            <w:pPr>
              <w:tabs>
                <w:tab w:val="clear" w:pos="0"/>
              </w:tabs>
              <w:spacing w:after="0"/>
              <w:jc w:val="center"/>
              <w:rPr>
                <w:b/>
                <w:bCs/>
                <w:color w:val="auto"/>
                <w:lang w:val="en-US" w:eastAsia="pt-BR"/>
              </w:rPr>
            </w:pPr>
            <w:r w:rsidRPr="00CD1F0E">
              <w:rPr>
                <w:b/>
                <w:bCs/>
                <w:color w:val="auto"/>
                <w:lang w:val="en-US" w:eastAsia="pt-BR"/>
              </w:rPr>
              <w:t>HFC S</w:t>
            </w:r>
            <w:r w:rsidR="274D2446" w:rsidRPr="00CD1F0E">
              <w:rPr>
                <w:b/>
                <w:bCs/>
                <w:color w:val="auto"/>
                <w:lang w:val="en-US" w:eastAsia="pt-BR"/>
              </w:rPr>
              <w:t>cenario</w:t>
            </w:r>
            <w:r w:rsidRPr="00CD1F0E">
              <w:rPr>
                <w:b/>
                <w:bCs/>
                <w:color w:val="auto"/>
                <w:lang w:val="en-US" w:eastAsia="pt-BR"/>
              </w:rPr>
              <w:t xml:space="preserve"> 2</w:t>
            </w:r>
          </w:p>
          <w:p w14:paraId="49212CD6" w14:textId="77777777" w:rsidR="001036AF" w:rsidRPr="00CD1F0E" w:rsidRDefault="001036AF" w:rsidP="00D41A33">
            <w:pPr>
              <w:tabs>
                <w:tab w:val="clear" w:pos="0"/>
              </w:tabs>
              <w:spacing w:after="0"/>
              <w:jc w:val="center"/>
              <w:rPr>
                <w:b/>
                <w:bCs/>
                <w:color w:val="000000"/>
                <w:lang w:val="en-US" w:eastAsia="pt-BR"/>
              </w:rPr>
            </w:pPr>
            <w:r w:rsidRPr="00CD1F0E">
              <w:rPr>
                <w:b/>
                <w:bCs/>
                <w:color w:val="auto"/>
                <w:lang w:val="en-US" w:eastAsia="pt-BR"/>
              </w:rPr>
              <w:t>(CEs for SMEs)</w:t>
            </w:r>
          </w:p>
        </w:tc>
        <w:tc>
          <w:tcPr>
            <w:tcW w:w="1515" w:type="dxa"/>
            <w:noWrap/>
            <w:vAlign w:val="center"/>
            <w:hideMark/>
          </w:tcPr>
          <w:p w14:paraId="63DDB9C7" w14:textId="58017F20" w:rsidR="001036AF" w:rsidRPr="00CD1F0E" w:rsidRDefault="001036AF" w:rsidP="00D41A33">
            <w:pPr>
              <w:tabs>
                <w:tab w:val="clear" w:pos="0"/>
              </w:tabs>
              <w:spacing w:after="0"/>
              <w:jc w:val="center"/>
              <w:rPr>
                <w:b/>
                <w:bCs/>
                <w:color w:val="000000"/>
                <w:lang w:val="en-US" w:eastAsia="pt-BR"/>
              </w:rPr>
            </w:pPr>
            <w:r w:rsidRPr="00CD1F0E">
              <w:rPr>
                <w:b/>
                <w:bCs/>
                <w:color w:val="000000"/>
                <w:lang w:val="en-US" w:eastAsia="pt-BR"/>
              </w:rPr>
              <w:t>Funding for Stage</w:t>
            </w:r>
            <w:r w:rsidR="00FF36F2">
              <w:rPr>
                <w:b/>
                <w:bCs/>
                <w:color w:val="000000"/>
                <w:lang w:val="en-US" w:eastAsia="pt-BR"/>
              </w:rPr>
              <w:t>s</w:t>
            </w:r>
            <w:r w:rsidRPr="00CD1F0E">
              <w:rPr>
                <w:b/>
                <w:bCs/>
                <w:color w:val="000000"/>
                <w:lang w:val="en-US" w:eastAsia="pt-BR"/>
              </w:rPr>
              <w:t xml:space="preserve"> I and II</w:t>
            </w:r>
          </w:p>
        </w:tc>
        <w:tc>
          <w:tcPr>
            <w:tcW w:w="1026" w:type="dxa"/>
            <w:shd w:val="clear" w:color="auto" w:fill="DAE9F8"/>
            <w:noWrap/>
            <w:vAlign w:val="center"/>
            <w:hideMark/>
          </w:tcPr>
          <w:p w14:paraId="4C2D0266" w14:textId="77777777" w:rsidR="001036AF" w:rsidRPr="00CD1F0E" w:rsidRDefault="001036AF" w:rsidP="00D41A33">
            <w:pPr>
              <w:tabs>
                <w:tab w:val="clear" w:pos="0"/>
              </w:tabs>
              <w:spacing w:after="0"/>
              <w:jc w:val="center"/>
              <w:rPr>
                <w:b/>
                <w:bCs/>
                <w:color w:val="000000"/>
                <w:lang w:val="pt-BR" w:eastAsia="pt-BR"/>
              </w:rPr>
            </w:pPr>
            <w:r w:rsidRPr="00CD1F0E">
              <w:rPr>
                <w:b/>
                <w:bCs/>
                <w:color w:val="000000"/>
                <w:lang w:val="pt-BR" w:eastAsia="pt-BR"/>
              </w:rPr>
              <w:t>2027-2029</w:t>
            </w:r>
          </w:p>
        </w:tc>
        <w:tc>
          <w:tcPr>
            <w:tcW w:w="810" w:type="dxa"/>
            <w:shd w:val="clear" w:color="auto" w:fill="DAE9F8"/>
            <w:noWrap/>
            <w:vAlign w:val="center"/>
            <w:hideMark/>
          </w:tcPr>
          <w:p w14:paraId="75C1ED9A" w14:textId="77777777" w:rsidR="001036AF" w:rsidRPr="00CD1F0E" w:rsidRDefault="001036AF" w:rsidP="00D41A33">
            <w:pPr>
              <w:tabs>
                <w:tab w:val="clear" w:pos="0"/>
              </w:tabs>
              <w:spacing w:after="0"/>
              <w:jc w:val="center"/>
              <w:rPr>
                <w:b/>
                <w:bCs/>
                <w:color w:val="000000"/>
                <w:lang w:val="pt-BR" w:eastAsia="pt-BR"/>
              </w:rPr>
            </w:pPr>
            <w:r w:rsidRPr="00CD1F0E">
              <w:rPr>
                <w:b/>
                <w:bCs/>
                <w:color w:val="000000"/>
                <w:lang w:val="pt-BR" w:eastAsia="pt-BR"/>
              </w:rPr>
              <w:t>2030-2032</w:t>
            </w:r>
          </w:p>
        </w:tc>
        <w:tc>
          <w:tcPr>
            <w:tcW w:w="885" w:type="dxa"/>
            <w:shd w:val="clear" w:color="auto" w:fill="DAE9F8"/>
            <w:noWrap/>
            <w:vAlign w:val="center"/>
            <w:hideMark/>
          </w:tcPr>
          <w:p w14:paraId="2BC51206" w14:textId="77777777" w:rsidR="001036AF" w:rsidRPr="00CD1F0E" w:rsidRDefault="001036AF" w:rsidP="00D41A33">
            <w:pPr>
              <w:tabs>
                <w:tab w:val="clear" w:pos="0"/>
              </w:tabs>
              <w:spacing w:after="0"/>
              <w:jc w:val="center"/>
              <w:rPr>
                <w:b/>
                <w:bCs/>
                <w:color w:val="000000"/>
                <w:lang w:val="pt-BR" w:eastAsia="pt-BR"/>
              </w:rPr>
            </w:pPr>
            <w:r w:rsidRPr="00CD1F0E">
              <w:rPr>
                <w:b/>
                <w:bCs/>
                <w:color w:val="000000"/>
                <w:lang w:val="pt-BR" w:eastAsia="pt-BR"/>
              </w:rPr>
              <w:t>2033-2035</w:t>
            </w:r>
          </w:p>
        </w:tc>
        <w:tc>
          <w:tcPr>
            <w:tcW w:w="795" w:type="dxa"/>
            <w:shd w:val="clear" w:color="auto" w:fill="F2CEEF"/>
            <w:noWrap/>
            <w:vAlign w:val="center"/>
            <w:hideMark/>
          </w:tcPr>
          <w:p w14:paraId="42514B5E" w14:textId="77777777" w:rsidR="001036AF" w:rsidRPr="00CD1F0E" w:rsidRDefault="001036AF" w:rsidP="00D41A33">
            <w:pPr>
              <w:tabs>
                <w:tab w:val="clear" w:pos="0"/>
              </w:tabs>
              <w:spacing w:after="0"/>
              <w:jc w:val="center"/>
              <w:rPr>
                <w:b/>
                <w:bCs/>
                <w:color w:val="000000"/>
                <w:lang w:val="pt-BR" w:eastAsia="pt-BR"/>
              </w:rPr>
            </w:pPr>
            <w:r w:rsidRPr="00CD1F0E">
              <w:rPr>
                <w:b/>
                <w:bCs/>
                <w:color w:val="000000"/>
                <w:lang w:val="pt-BR" w:eastAsia="pt-BR"/>
              </w:rPr>
              <w:t>2027-2029</w:t>
            </w:r>
          </w:p>
        </w:tc>
        <w:tc>
          <w:tcPr>
            <w:tcW w:w="1005" w:type="dxa"/>
            <w:shd w:val="clear" w:color="auto" w:fill="F2CEEF"/>
            <w:noWrap/>
            <w:vAlign w:val="center"/>
            <w:hideMark/>
          </w:tcPr>
          <w:p w14:paraId="43C53129" w14:textId="77777777" w:rsidR="001036AF" w:rsidRPr="00CD1F0E" w:rsidRDefault="001036AF" w:rsidP="00D41A33">
            <w:pPr>
              <w:tabs>
                <w:tab w:val="clear" w:pos="0"/>
              </w:tabs>
              <w:spacing w:after="0"/>
              <w:jc w:val="center"/>
              <w:rPr>
                <w:b/>
                <w:bCs/>
                <w:color w:val="000000"/>
                <w:lang w:val="pt-BR" w:eastAsia="pt-BR"/>
              </w:rPr>
            </w:pPr>
            <w:r w:rsidRPr="00CD1F0E">
              <w:rPr>
                <w:b/>
                <w:bCs/>
                <w:color w:val="000000"/>
                <w:lang w:val="pt-BR" w:eastAsia="pt-BR"/>
              </w:rPr>
              <w:t>2030-2032</w:t>
            </w:r>
          </w:p>
        </w:tc>
        <w:tc>
          <w:tcPr>
            <w:tcW w:w="854" w:type="dxa"/>
            <w:shd w:val="clear" w:color="auto" w:fill="F2CEEF"/>
            <w:noWrap/>
            <w:vAlign w:val="center"/>
            <w:hideMark/>
          </w:tcPr>
          <w:p w14:paraId="7EFBCDD4" w14:textId="77777777" w:rsidR="001036AF" w:rsidRPr="00CD1F0E" w:rsidRDefault="001036AF" w:rsidP="00D41A33">
            <w:pPr>
              <w:tabs>
                <w:tab w:val="clear" w:pos="0"/>
              </w:tabs>
              <w:spacing w:after="0"/>
              <w:jc w:val="center"/>
              <w:rPr>
                <w:b/>
                <w:bCs/>
                <w:color w:val="000000"/>
                <w:lang w:val="pt-BR" w:eastAsia="pt-BR"/>
              </w:rPr>
            </w:pPr>
            <w:r w:rsidRPr="00CD1F0E">
              <w:rPr>
                <w:b/>
                <w:bCs/>
                <w:color w:val="000000"/>
                <w:lang w:val="pt-BR" w:eastAsia="pt-BR"/>
              </w:rPr>
              <w:t>2033-2035</w:t>
            </w:r>
          </w:p>
        </w:tc>
      </w:tr>
      <w:tr w:rsidR="001036AF" w:rsidRPr="00CD1F0E" w14:paraId="4D9126FE" w14:textId="77777777" w:rsidTr="0006403F">
        <w:trPr>
          <w:trHeight w:val="468"/>
        </w:trPr>
        <w:tc>
          <w:tcPr>
            <w:tcW w:w="2310" w:type="dxa"/>
            <w:shd w:val="clear" w:color="auto" w:fill="E2EFD9" w:themeFill="accent6" w:themeFillTint="33"/>
            <w:vAlign w:val="center"/>
            <w:hideMark/>
          </w:tcPr>
          <w:p w14:paraId="2BE8E493" w14:textId="77777777" w:rsidR="001036AF" w:rsidRPr="00CD1F0E" w:rsidRDefault="001036AF" w:rsidP="001036AF">
            <w:pPr>
              <w:tabs>
                <w:tab w:val="clear" w:pos="0"/>
              </w:tabs>
              <w:spacing w:after="0"/>
              <w:rPr>
                <w:b/>
                <w:bCs/>
                <w:color w:val="000000"/>
                <w:lang w:val="en-US" w:eastAsia="pt-BR"/>
              </w:rPr>
            </w:pPr>
            <w:r w:rsidRPr="00CD1F0E">
              <w:rPr>
                <w:color w:val="000000"/>
                <w:lang w:val="en-US" w:eastAsia="pt-BR"/>
              </w:rPr>
              <w:t>Funding</w:t>
            </w:r>
            <w:r w:rsidRPr="00CD1F0E">
              <w:rPr>
                <w:b/>
                <w:bCs/>
                <w:color w:val="000000"/>
                <w:lang w:val="en-US" w:eastAsia="pt-BR"/>
              </w:rPr>
              <w:t xml:space="preserve"> Committed *</w:t>
            </w:r>
            <w:r w:rsidRPr="00CD1F0E">
              <w:rPr>
                <w:color w:val="000000"/>
                <w:lang w:val="en-US" w:eastAsia="pt-BR"/>
              </w:rPr>
              <w:t xml:space="preserve"> for Approved KIPs</w:t>
            </w:r>
          </w:p>
        </w:tc>
        <w:tc>
          <w:tcPr>
            <w:tcW w:w="1515" w:type="dxa"/>
            <w:noWrap/>
            <w:vAlign w:val="center"/>
            <w:hideMark/>
          </w:tcPr>
          <w:p w14:paraId="20959BB1"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48.77</w:t>
            </w:r>
          </w:p>
        </w:tc>
        <w:tc>
          <w:tcPr>
            <w:tcW w:w="1026" w:type="dxa"/>
            <w:shd w:val="clear" w:color="auto" w:fill="DAE9F8"/>
            <w:noWrap/>
            <w:vAlign w:val="center"/>
            <w:hideMark/>
          </w:tcPr>
          <w:p w14:paraId="2682A94C"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46.83</w:t>
            </w:r>
          </w:p>
        </w:tc>
        <w:tc>
          <w:tcPr>
            <w:tcW w:w="810" w:type="dxa"/>
            <w:shd w:val="clear" w:color="auto" w:fill="DAE9F8"/>
            <w:noWrap/>
            <w:vAlign w:val="center"/>
            <w:hideMark/>
          </w:tcPr>
          <w:p w14:paraId="7DA593D5"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1.94</w:t>
            </w:r>
          </w:p>
        </w:tc>
        <w:tc>
          <w:tcPr>
            <w:tcW w:w="885" w:type="dxa"/>
            <w:shd w:val="clear" w:color="auto" w:fill="DAE9F8"/>
            <w:noWrap/>
            <w:vAlign w:val="center"/>
            <w:hideMark/>
          </w:tcPr>
          <w:p w14:paraId="542560AB"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0.00</w:t>
            </w:r>
          </w:p>
        </w:tc>
        <w:tc>
          <w:tcPr>
            <w:tcW w:w="795" w:type="dxa"/>
            <w:shd w:val="clear" w:color="auto" w:fill="F2CEEF"/>
            <w:noWrap/>
            <w:vAlign w:val="center"/>
            <w:hideMark/>
          </w:tcPr>
          <w:p w14:paraId="38FA5790"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46.83</w:t>
            </w:r>
          </w:p>
        </w:tc>
        <w:tc>
          <w:tcPr>
            <w:tcW w:w="1005" w:type="dxa"/>
            <w:shd w:val="clear" w:color="auto" w:fill="F2CEEF"/>
            <w:noWrap/>
            <w:vAlign w:val="center"/>
            <w:hideMark/>
          </w:tcPr>
          <w:p w14:paraId="76FE082D"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1.94</w:t>
            </w:r>
          </w:p>
        </w:tc>
        <w:tc>
          <w:tcPr>
            <w:tcW w:w="854" w:type="dxa"/>
            <w:shd w:val="clear" w:color="auto" w:fill="F2CEEF"/>
            <w:noWrap/>
            <w:vAlign w:val="center"/>
            <w:hideMark/>
          </w:tcPr>
          <w:p w14:paraId="0A8C9086"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0.00</w:t>
            </w:r>
          </w:p>
        </w:tc>
      </w:tr>
      <w:tr w:rsidR="001036AF" w:rsidRPr="00CD1F0E" w14:paraId="10D38C28" w14:textId="77777777" w:rsidTr="0006403F">
        <w:trPr>
          <w:trHeight w:val="468"/>
        </w:trPr>
        <w:tc>
          <w:tcPr>
            <w:tcW w:w="2310" w:type="dxa"/>
            <w:shd w:val="clear" w:color="auto" w:fill="E2EFD9" w:themeFill="accent6" w:themeFillTint="33"/>
            <w:vAlign w:val="center"/>
            <w:hideMark/>
          </w:tcPr>
          <w:p w14:paraId="5491AE98" w14:textId="77777777" w:rsidR="001036AF" w:rsidRPr="00CD1F0E" w:rsidRDefault="001036AF" w:rsidP="001036AF">
            <w:pPr>
              <w:tabs>
                <w:tab w:val="clear" w:pos="0"/>
              </w:tabs>
              <w:spacing w:after="0"/>
              <w:rPr>
                <w:color w:val="000000"/>
                <w:lang w:val="en-US" w:eastAsia="pt-BR"/>
              </w:rPr>
            </w:pPr>
            <w:r w:rsidRPr="00CD1F0E">
              <w:rPr>
                <w:color w:val="000000"/>
                <w:lang w:val="en-US" w:eastAsia="pt-BR"/>
              </w:rPr>
              <w:t xml:space="preserve">Estimated New Funding to Address Stage II for parties with KIPs Stage I approved </w:t>
            </w:r>
          </w:p>
        </w:tc>
        <w:tc>
          <w:tcPr>
            <w:tcW w:w="1515" w:type="dxa"/>
            <w:noWrap/>
            <w:vAlign w:val="center"/>
            <w:hideMark/>
          </w:tcPr>
          <w:p w14:paraId="73E3F2A1"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204.27</w:t>
            </w:r>
          </w:p>
        </w:tc>
        <w:tc>
          <w:tcPr>
            <w:tcW w:w="1026" w:type="dxa"/>
            <w:shd w:val="clear" w:color="auto" w:fill="DAE9F8"/>
            <w:noWrap/>
            <w:vAlign w:val="center"/>
            <w:hideMark/>
          </w:tcPr>
          <w:p w14:paraId="0ADFFC88"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122.56</w:t>
            </w:r>
          </w:p>
        </w:tc>
        <w:tc>
          <w:tcPr>
            <w:tcW w:w="810" w:type="dxa"/>
            <w:shd w:val="clear" w:color="auto" w:fill="DAE9F8"/>
            <w:noWrap/>
            <w:vAlign w:val="center"/>
            <w:hideMark/>
          </w:tcPr>
          <w:p w14:paraId="4DE7B291"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81.71</w:t>
            </w:r>
          </w:p>
        </w:tc>
        <w:tc>
          <w:tcPr>
            <w:tcW w:w="885" w:type="dxa"/>
            <w:shd w:val="clear" w:color="auto" w:fill="DAE9F8"/>
            <w:noWrap/>
            <w:vAlign w:val="center"/>
            <w:hideMark/>
          </w:tcPr>
          <w:p w14:paraId="4CBA3141"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0.00</w:t>
            </w:r>
          </w:p>
        </w:tc>
        <w:tc>
          <w:tcPr>
            <w:tcW w:w="795" w:type="dxa"/>
            <w:shd w:val="clear" w:color="auto" w:fill="F2CEEF"/>
            <w:noWrap/>
            <w:vAlign w:val="center"/>
            <w:hideMark/>
          </w:tcPr>
          <w:p w14:paraId="1E005685"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0.00</w:t>
            </w:r>
          </w:p>
        </w:tc>
        <w:tc>
          <w:tcPr>
            <w:tcW w:w="1005" w:type="dxa"/>
            <w:shd w:val="clear" w:color="auto" w:fill="F2CEEF"/>
            <w:noWrap/>
            <w:vAlign w:val="center"/>
            <w:hideMark/>
          </w:tcPr>
          <w:p w14:paraId="0E03DFDF"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122.56</w:t>
            </w:r>
          </w:p>
        </w:tc>
        <w:tc>
          <w:tcPr>
            <w:tcW w:w="854" w:type="dxa"/>
            <w:shd w:val="clear" w:color="auto" w:fill="F2CEEF"/>
            <w:noWrap/>
            <w:vAlign w:val="center"/>
            <w:hideMark/>
          </w:tcPr>
          <w:p w14:paraId="45B0204A"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81.71</w:t>
            </w:r>
          </w:p>
        </w:tc>
      </w:tr>
      <w:tr w:rsidR="001036AF" w:rsidRPr="00CD1F0E" w14:paraId="6BAFFDE0" w14:textId="77777777" w:rsidTr="0006403F">
        <w:trPr>
          <w:trHeight w:val="468"/>
        </w:trPr>
        <w:tc>
          <w:tcPr>
            <w:tcW w:w="2310" w:type="dxa"/>
            <w:shd w:val="clear" w:color="auto" w:fill="E2EFD9" w:themeFill="accent6" w:themeFillTint="33"/>
            <w:vAlign w:val="center"/>
            <w:hideMark/>
          </w:tcPr>
          <w:p w14:paraId="1EB482C5" w14:textId="77777777" w:rsidR="001036AF" w:rsidRPr="00CD1F0E" w:rsidRDefault="001036AF" w:rsidP="001036AF">
            <w:pPr>
              <w:tabs>
                <w:tab w:val="clear" w:pos="0"/>
              </w:tabs>
              <w:spacing w:after="0"/>
              <w:rPr>
                <w:color w:val="000000"/>
                <w:lang w:val="en-US" w:eastAsia="pt-BR"/>
              </w:rPr>
            </w:pPr>
            <w:r w:rsidRPr="00CD1F0E">
              <w:rPr>
                <w:color w:val="000000"/>
                <w:lang w:val="en-US" w:eastAsia="pt-BR"/>
              </w:rPr>
              <w:t>Estimated New Funding to Address Stages I and II for parties without approved KIPs</w:t>
            </w:r>
          </w:p>
        </w:tc>
        <w:tc>
          <w:tcPr>
            <w:tcW w:w="1515" w:type="dxa"/>
            <w:noWrap/>
            <w:vAlign w:val="center"/>
            <w:hideMark/>
          </w:tcPr>
          <w:p w14:paraId="0E0987CD"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1,966.08</w:t>
            </w:r>
          </w:p>
        </w:tc>
        <w:tc>
          <w:tcPr>
            <w:tcW w:w="1026" w:type="dxa"/>
            <w:shd w:val="clear" w:color="auto" w:fill="DAE9F8"/>
            <w:noWrap/>
            <w:vAlign w:val="center"/>
            <w:hideMark/>
          </w:tcPr>
          <w:p w14:paraId="1EAB7AD9"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690.91</w:t>
            </w:r>
          </w:p>
        </w:tc>
        <w:tc>
          <w:tcPr>
            <w:tcW w:w="810" w:type="dxa"/>
            <w:shd w:val="clear" w:color="auto" w:fill="DAE9F8"/>
            <w:noWrap/>
            <w:vAlign w:val="center"/>
            <w:hideMark/>
          </w:tcPr>
          <w:p w14:paraId="3394933A"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786.43</w:t>
            </w:r>
          </w:p>
        </w:tc>
        <w:tc>
          <w:tcPr>
            <w:tcW w:w="885" w:type="dxa"/>
            <w:shd w:val="clear" w:color="auto" w:fill="DAE9F8"/>
            <w:noWrap/>
            <w:vAlign w:val="center"/>
            <w:hideMark/>
          </w:tcPr>
          <w:p w14:paraId="65E0DAFB"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488.74</w:t>
            </w:r>
          </w:p>
        </w:tc>
        <w:tc>
          <w:tcPr>
            <w:tcW w:w="795" w:type="dxa"/>
            <w:shd w:val="clear" w:color="auto" w:fill="F2CEEF"/>
            <w:noWrap/>
            <w:vAlign w:val="center"/>
            <w:hideMark/>
          </w:tcPr>
          <w:p w14:paraId="7E3DB0E3"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549.83</w:t>
            </w:r>
          </w:p>
        </w:tc>
        <w:tc>
          <w:tcPr>
            <w:tcW w:w="1005" w:type="dxa"/>
            <w:shd w:val="clear" w:color="auto" w:fill="F2CEEF"/>
            <w:noWrap/>
            <w:vAlign w:val="center"/>
            <w:hideMark/>
          </w:tcPr>
          <w:p w14:paraId="1FB7EF46"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914.18</w:t>
            </w:r>
          </w:p>
        </w:tc>
        <w:tc>
          <w:tcPr>
            <w:tcW w:w="854" w:type="dxa"/>
            <w:shd w:val="clear" w:color="auto" w:fill="F2CEEF"/>
            <w:noWrap/>
            <w:vAlign w:val="center"/>
            <w:hideMark/>
          </w:tcPr>
          <w:p w14:paraId="6E631F2D"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502.07</w:t>
            </w:r>
          </w:p>
        </w:tc>
      </w:tr>
      <w:tr w:rsidR="001036AF" w:rsidRPr="00CD1F0E" w14:paraId="028123C0" w14:textId="77777777" w:rsidTr="0006403F">
        <w:trPr>
          <w:trHeight w:val="468"/>
        </w:trPr>
        <w:tc>
          <w:tcPr>
            <w:tcW w:w="2310" w:type="dxa"/>
            <w:shd w:val="clear" w:color="auto" w:fill="E2EFD9" w:themeFill="accent6" w:themeFillTint="33"/>
            <w:vAlign w:val="center"/>
            <w:hideMark/>
          </w:tcPr>
          <w:p w14:paraId="59AB7661" w14:textId="77777777" w:rsidR="001036AF" w:rsidRPr="00CD1F0E" w:rsidRDefault="001036AF" w:rsidP="001036AF">
            <w:pPr>
              <w:tabs>
                <w:tab w:val="clear" w:pos="0"/>
              </w:tabs>
              <w:spacing w:after="0"/>
              <w:rPr>
                <w:color w:val="000000"/>
                <w:lang w:val="en-US" w:eastAsia="pt-BR"/>
              </w:rPr>
            </w:pPr>
            <w:r w:rsidRPr="00CD1F0E">
              <w:rPr>
                <w:color w:val="000000"/>
                <w:lang w:val="en-US" w:eastAsia="pt-BR"/>
              </w:rPr>
              <w:t>Estimated New Funding to Address KIPS Stages I and II for countries pending ratification / RTF assumed all will ratify by 2029</w:t>
            </w:r>
          </w:p>
        </w:tc>
        <w:tc>
          <w:tcPr>
            <w:tcW w:w="1515" w:type="dxa"/>
            <w:noWrap/>
            <w:vAlign w:val="center"/>
            <w:hideMark/>
          </w:tcPr>
          <w:p w14:paraId="21E958C2"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36.58</w:t>
            </w:r>
          </w:p>
        </w:tc>
        <w:tc>
          <w:tcPr>
            <w:tcW w:w="1026" w:type="dxa"/>
            <w:shd w:val="clear" w:color="auto" w:fill="DAE9F8"/>
            <w:noWrap/>
            <w:vAlign w:val="center"/>
            <w:hideMark/>
          </w:tcPr>
          <w:p w14:paraId="0FFEC513"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16.07</w:t>
            </w:r>
          </w:p>
        </w:tc>
        <w:tc>
          <w:tcPr>
            <w:tcW w:w="810" w:type="dxa"/>
            <w:shd w:val="clear" w:color="auto" w:fill="DAE9F8"/>
            <w:noWrap/>
            <w:vAlign w:val="center"/>
            <w:hideMark/>
          </w:tcPr>
          <w:p w14:paraId="3BDB1F07"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14.63</w:t>
            </w:r>
          </w:p>
        </w:tc>
        <w:tc>
          <w:tcPr>
            <w:tcW w:w="885" w:type="dxa"/>
            <w:shd w:val="clear" w:color="auto" w:fill="DAE9F8"/>
            <w:noWrap/>
            <w:vAlign w:val="center"/>
            <w:hideMark/>
          </w:tcPr>
          <w:p w14:paraId="60422110"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5.88</w:t>
            </w:r>
          </w:p>
        </w:tc>
        <w:tc>
          <w:tcPr>
            <w:tcW w:w="795" w:type="dxa"/>
            <w:shd w:val="clear" w:color="auto" w:fill="F2CEEF"/>
            <w:noWrap/>
            <w:vAlign w:val="center"/>
            <w:hideMark/>
          </w:tcPr>
          <w:p w14:paraId="63FB54A0"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6.61</w:t>
            </w:r>
          </w:p>
        </w:tc>
        <w:tc>
          <w:tcPr>
            <w:tcW w:w="1005" w:type="dxa"/>
            <w:shd w:val="clear" w:color="auto" w:fill="F2CEEF"/>
            <w:noWrap/>
            <w:vAlign w:val="center"/>
            <w:hideMark/>
          </w:tcPr>
          <w:p w14:paraId="3BEA7AF5"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22.64</w:t>
            </w:r>
          </w:p>
        </w:tc>
        <w:tc>
          <w:tcPr>
            <w:tcW w:w="854" w:type="dxa"/>
            <w:shd w:val="clear" w:color="auto" w:fill="F2CEEF"/>
            <w:noWrap/>
            <w:vAlign w:val="center"/>
            <w:hideMark/>
          </w:tcPr>
          <w:p w14:paraId="2D7BD402" w14:textId="77777777" w:rsidR="001036AF" w:rsidRPr="00CD1F0E" w:rsidRDefault="001036AF" w:rsidP="003754E1">
            <w:pPr>
              <w:tabs>
                <w:tab w:val="clear" w:pos="0"/>
              </w:tabs>
              <w:spacing w:after="0"/>
              <w:jc w:val="right"/>
              <w:rPr>
                <w:color w:val="000000"/>
                <w:lang w:val="pt-BR" w:eastAsia="pt-BR"/>
              </w:rPr>
            </w:pPr>
            <w:r w:rsidRPr="00CD1F0E">
              <w:rPr>
                <w:color w:val="000000"/>
                <w:lang w:val="pt-BR" w:eastAsia="pt-BR"/>
              </w:rPr>
              <w:t>7.33</w:t>
            </w:r>
          </w:p>
        </w:tc>
      </w:tr>
      <w:tr w:rsidR="001036AF" w:rsidRPr="00CD1F0E" w14:paraId="791A34DB" w14:textId="77777777" w:rsidTr="0006403F">
        <w:trPr>
          <w:trHeight w:val="468"/>
        </w:trPr>
        <w:tc>
          <w:tcPr>
            <w:tcW w:w="2310" w:type="dxa"/>
            <w:shd w:val="clear" w:color="auto" w:fill="E2EFD9" w:themeFill="accent6" w:themeFillTint="33"/>
            <w:vAlign w:val="center"/>
          </w:tcPr>
          <w:p w14:paraId="2F453A1E" w14:textId="77777777" w:rsidR="001036AF" w:rsidRPr="00CD1F0E" w:rsidRDefault="001036AF" w:rsidP="001036AF">
            <w:pPr>
              <w:tabs>
                <w:tab w:val="clear" w:pos="0"/>
              </w:tabs>
              <w:spacing w:after="0"/>
              <w:rPr>
                <w:b/>
                <w:bCs/>
                <w:color w:val="000000"/>
                <w:lang w:val="en-US" w:eastAsia="pt-BR"/>
              </w:rPr>
            </w:pPr>
            <w:r w:rsidRPr="00CD1F0E">
              <w:rPr>
                <w:b/>
                <w:bCs/>
                <w:color w:val="000000"/>
                <w:lang w:val="en-US" w:eastAsia="pt-BR"/>
              </w:rPr>
              <w:t>Sub-Total 1</w:t>
            </w:r>
          </w:p>
        </w:tc>
        <w:tc>
          <w:tcPr>
            <w:tcW w:w="1515" w:type="dxa"/>
            <w:noWrap/>
            <w:vAlign w:val="center"/>
          </w:tcPr>
          <w:p w14:paraId="0DD361AD" w14:textId="77777777" w:rsidR="001036AF" w:rsidRPr="00CD1F0E" w:rsidRDefault="001036AF" w:rsidP="003754E1">
            <w:pPr>
              <w:tabs>
                <w:tab w:val="clear" w:pos="0"/>
              </w:tabs>
              <w:spacing w:after="0"/>
              <w:jc w:val="right"/>
              <w:rPr>
                <w:color w:val="000000"/>
                <w:lang w:val="pt-BR" w:eastAsia="pt-BR"/>
              </w:rPr>
            </w:pPr>
            <w:r w:rsidRPr="00CD1F0E">
              <w:rPr>
                <w:b/>
                <w:bCs/>
                <w:color w:val="000000"/>
                <w:lang w:val="pt-BR" w:eastAsia="pt-BR"/>
              </w:rPr>
              <w:t>2,256</w:t>
            </w:r>
          </w:p>
        </w:tc>
        <w:tc>
          <w:tcPr>
            <w:tcW w:w="1026" w:type="dxa"/>
            <w:shd w:val="clear" w:color="auto" w:fill="DAE9F8"/>
            <w:noWrap/>
            <w:vAlign w:val="center"/>
          </w:tcPr>
          <w:p w14:paraId="0156ECFD" w14:textId="77777777" w:rsidR="001036AF" w:rsidRPr="00CD1F0E" w:rsidRDefault="001036AF" w:rsidP="003754E1">
            <w:pPr>
              <w:tabs>
                <w:tab w:val="clear" w:pos="0"/>
              </w:tabs>
              <w:spacing w:after="0"/>
              <w:jc w:val="right"/>
              <w:rPr>
                <w:color w:val="000000"/>
                <w:lang w:val="pt-BR" w:eastAsia="pt-BR"/>
              </w:rPr>
            </w:pPr>
            <w:r w:rsidRPr="00CD1F0E">
              <w:rPr>
                <w:b/>
                <w:bCs/>
                <w:color w:val="000000"/>
                <w:lang w:val="pt-BR" w:eastAsia="pt-BR"/>
              </w:rPr>
              <w:t>876.37</w:t>
            </w:r>
          </w:p>
        </w:tc>
        <w:tc>
          <w:tcPr>
            <w:tcW w:w="810" w:type="dxa"/>
            <w:shd w:val="clear" w:color="auto" w:fill="DAE9F8"/>
            <w:noWrap/>
            <w:vAlign w:val="center"/>
          </w:tcPr>
          <w:p w14:paraId="7ECE4FCB" w14:textId="77777777" w:rsidR="001036AF" w:rsidRPr="00CD1F0E" w:rsidRDefault="001036AF" w:rsidP="003754E1">
            <w:pPr>
              <w:tabs>
                <w:tab w:val="clear" w:pos="0"/>
              </w:tabs>
              <w:spacing w:after="0"/>
              <w:jc w:val="right"/>
              <w:rPr>
                <w:color w:val="000000"/>
                <w:lang w:val="pt-BR" w:eastAsia="pt-BR"/>
              </w:rPr>
            </w:pPr>
            <w:r w:rsidRPr="00CD1F0E">
              <w:rPr>
                <w:b/>
                <w:bCs/>
                <w:color w:val="000000"/>
                <w:lang w:val="pt-BR" w:eastAsia="pt-BR"/>
              </w:rPr>
              <w:t>884.72</w:t>
            </w:r>
          </w:p>
        </w:tc>
        <w:tc>
          <w:tcPr>
            <w:tcW w:w="885" w:type="dxa"/>
            <w:shd w:val="clear" w:color="auto" w:fill="DAE9F8"/>
            <w:noWrap/>
            <w:vAlign w:val="center"/>
          </w:tcPr>
          <w:p w14:paraId="4BD80D31" w14:textId="77777777" w:rsidR="001036AF" w:rsidRPr="00CD1F0E" w:rsidRDefault="001036AF" w:rsidP="003754E1">
            <w:pPr>
              <w:tabs>
                <w:tab w:val="clear" w:pos="0"/>
              </w:tabs>
              <w:spacing w:after="0"/>
              <w:jc w:val="right"/>
              <w:rPr>
                <w:color w:val="000000"/>
                <w:lang w:val="pt-BR" w:eastAsia="pt-BR"/>
              </w:rPr>
            </w:pPr>
            <w:r w:rsidRPr="00CD1F0E">
              <w:rPr>
                <w:b/>
                <w:bCs/>
                <w:color w:val="000000"/>
                <w:lang w:val="pt-BR" w:eastAsia="pt-BR"/>
              </w:rPr>
              <w:t>494.62</w:t>
            </w:r>
          </w:p>
        </w:tc>
        <w:tc>
          <w:tcPr>
            <w:tcW w:w="795" w:type="dxa"/>
            <w:shd w:val="clear" w:color="auto" w:fill="F2CEEF"/>
            <w:noWrap/>
            <w:vAlign w:val="center"/>
          </w:tcPr>
          <w:p w14:paraId="3A7EEC24" w14:textId="60D843AC" w:rsidR="001036AF" w:rsidRPr="00CD1F0E" w:rsidRDefault="274D2446" w:rsidP="003754E1">
            <w:pPr>
              <w:tabs>
                <w:tab w:val="clear" w:pos="0"/>
              </w:tabs>
              <w:spacing w:after="0"/>
              <w:jc w:val="right"/>
              <w:rPr>
                <w:color w:val="000000"/>
                <w:lang w:val="pt-BR" w:eastAsia="pt-BR"/>
              </w:rPr>
            </w:pPr>
            <w:r w:rsidRPr="00CD1F0E">
              <w:rPr>
                <w:b/>
                <w:bCs/>
                <w:lang w:val="pt-BR" w:eastAsia="pt-BR"/>
              </w:rPr>
              <w:t>603.28</w:t>
            </w:r>
          </w:p>
        </w:tc>
        <w:tc>
          <w:tcPr>
            <w:tcW w:w="1005" w:type="dxa"/>
            <w:shd w:val="clear" w:color="auto" w:fill="F2CEEF"/>
            <w:noWrap/>
            <w:vAlign w:val="center"/>
          </w:tcPr>
          <w:p w14:paraId="3235E4AA" w14:textId="77777777" w:rsidR="001036AF" w:rsidRPr="00CD1F0E" w:rsidRDefault="001036AF" w:rsidP="003754E1">
            <w:pPr>
              <w:tabs>
                <w:tab w:val="clear" w:pos="0"/>
              </w:tabs>
              <w:spacing w:after="0"/>
              <w:jc w:val="right"/>
              <w:rPr>
                <w:color w:val="000000"/>
                <w:lang w:val="pt-BR" w:eastAsia="pt-BR"/>
              </w:rPr>
            </w:pPr>
            <w:r w:rsidRPr="00CD1F0E">
              <w:rPr>
                <w:b/>
                <w:bCs/>
                <w:color w:val="000000"/>
                <w:lang w:val="pt-BR" w:eastAsia="pt-BR"/>
              </w:rPr>
              <w:t>1,061.32</w:t>
            </w:r>
          </w:p>
        </w:tc>
        <w:tc>
          <w:tcPr>
            <w:tcW w:w="854" w:type="dxa"/>
            <w:shd w:val="clear" w:color="auto" w:fill="F2CEEF"/>
            <w:noWrap/>
            <w:vAlign w:val="center"/>
          </w:tcPr>
          <w:p w14:paraId="58922174" w14:textId="7E6A01FF" w:rsidR="001036AF" w:rsidRPr="00CD1F0E" w:rsidRDefault="001036AF" w:rsidP="003754E1">
            <w:pPr>
              <w:tabs>
                <w:tab w:val="clear" w:pos="0"/>
              </w:tabs>
              <w:spacing w:after="0"/>
              <w:jc w:val="right"/>
              <w:rPr>
                <w:color w:val="000000"/>
                <w:lang w:val="pt-BR" w:eastAsia="pt-BR"/>
              </w:rPr>
            </w:pPr>
            <w:r w:rsidRPr="00CD1F0E">
              <w:rPr>
                <w:b/>
                <w:bCs/>
                <w:lang w:val="pt-BR" w:eastAsia="pt-BR"/>
              </w:rPr>
              <w:t>591.11</w:t>
            </w:r>
          </w:p>
        </w:tc>
      </w:tr>
      <w:tr w:rsidR="008D2DD2" w:rsidRPr="00CD1F0E" w14:paraId="7BD6659E" w14:textId="77777777" w:rsidTr="4BCEE662">
        <w:trPr>
          <w:trHeight w:val="468"/>
        </w:trPr>
        <w:tc>
          <w:tcPr>
            <w:tcW w:w="2310" w:type="dxa"/>
            <w:shd w:val="clear" w:color="auto" w:fill="E2EFD9" w:themeFill="accent6" w:themeFillTint="33"/>
            <w:vAlign w:val="center"/>
          </w:tcPr>
          <w:p w14:paraId="7D6AADF7" w14:textId="77777777" w:rsidR="008D2DD2" w:rsidRPr="00CD1F0E" w:rsidRDefault="008D2DD2" w:rsidP="001036AF">
            <w:pPr>
              <w:tabs>
                <w:tab w:val="clear" w:pos="0"/>
              </w:tabs>
              <w:spacing w:after="0"/>
              <w:rPr>
                <w:color w:val="000000"/>
                <w:lang w:val="en-US" w:eastAsia="pt-BR"/>
              </w:rPr>
            </w:pPr>
          </w:p>
        </w:tc>
        <w:tc>
          <w:tcPr>
            <w:tcW w:w="1515" w:type="dxa"/>
            <w:noWrap/>
            <w:vAlign w:val="bottom"/>
          </w:tcPr>
          <w:p w14:paraId="00A0D90A" w14:textId="77777777" w:rsidR="008D2DD2" w:rsidRPr="00CD1F0E" w:rsidRDefault="008D2DD2" w:rsidP="001036AF">
            <w:pPr>
              <w:tabs>
                <w:tab w:val="clear" w:pos="0"/>
              </w:tabs>
              <w:spacing w:after="0"/>
              <w:jc w:val="right"/>
              <w:rPr>
                <w:color w:val="000000"/>
                <w:lang w:val="pt-BR" w:eastAsia="pt-BR"/>
              </w:rPr>
            </w:pPr>
          </w:p>
        </w:tc>
        <w:tc>
          <w:tcPr>
            <w:tcW w:w="2721" w:type="dxa"/>
            <w:gridSpan w:val="3"/>
            <w:shd w:val="clear" w:color="auto" w:fill="DAE9F8"/>
            <w:noWrap/>
            <w:vAlign w:val="bottom"/>
          </w:tcPr>
          <w:p w14:paraId="15AF6F15" w14:textId="67B25B4F" w:rsidR="008D2DD2" w:rsidRPr="00CD1F0E" w:rsidRDefault="008D2DD2" w:rsidP="00887E6F">
            <w:pPr>
              <w:tabs>
                <w:tab w:val="clear" w:pos="0"/>
              </w:tabs>
              <w:spacing w:after="0"/>
              <w:jc w:val="center"/>
              <w:rPr>
                <w:color w:val="000000"/>
                <w:lang w:val="pt-BR" w:eastAsia="pt-BR"/>
              </w:rPr>
            </w:pPr>
            <w:r w:rsidRPr="00CD1F0E">
              <w:rPr>
                <w:color w:val="000000"/>
                <w:lang w:val="pt-BR" w:eastAsia="pt-BR"/>
              </w:rPr>
              <w:t>2,256</w:t>
            </w:r>
          </w:p>
        </w:tc>
        <w:tc>
          <w:tcPr>
            <w:tcW w:w="2654" w:type="dxa"/>
            <w:gridSpan w:val="3"/>
            <w:shd w:val="clear" w:color="auto" w:fill="F2CEEF"/>
            <w:noWrap/>
            <w:vAlign w:val="bottom"/>
          </w:tcPr>
          <w:p w14:paraId="6C00F57B" w14:textId="012DF55E" w:rsidR="008D2DD2" w:rsidRPr="00CD1F0E" w:rsidRDefault="008D2DD2" w:rsidP="00887E6F">
            <w:pPr>
              <w:tabs>
                <w:tab w:val="clear" w:pos="0"/>
              </w:tabs>
              <w:spacing w:after="0"/>
              <w:jc w:val="center"/>
              <w:rPr>
                <w:color w:val="000000"/>
                <w:lang w:val="pt-BR" w:eastAsia="pt-BR"/>
              </w:rPr>
            </w:pPr>
            <w:r w:rsidRPr="00CD1F0E">
              <w:rPr>
                <w:color w:val="000000"/>
                <w:lang w:val="pt-BR" w:eastAsia="pt-BR"/>
              </w:rPr>
              <w:t>2,256</w:t>
            </w:r>
          </w:p>
        </w:tc>
      </w:tr>
      <w:tr w:rsidR="001036AF" w:rsidRPr="00CD1F0E" w14:paraId="02808A10" w14:textId="77777777" w:rsidTr="0006403F">
        <w:trPr>
          <w:trHeight w:val="468"/>
        </w:trPr>
        <w:tc>
          <w:tcPr>
            <w:tcW w:w="2310" w:type="dxa"/>
            <w:shd w:val="clear" w:color="auto" w:fill="E2EFD9" w:themeFill="accent6" w:themeFillTint="33"/>
            <w:vAlign w:val="center"/>
          </w:tcPr>
          <w:p w14:paraId="6B055B00" w14:textId="77777777" w:rsidR="001036AF" w:rsidRPr="00CD1F0E" w:rsidRDefault="001036AF" w:rsidP="001036AF">
            <w:pPr>
              <w:tabs>
                <w:tab w:val="clear" w:pos="0"/>
              </w:tabs>
              <w:spacing w:after="0"/>
              <w:rPr>
                <w:color w:val="000000"/>
                <w:lang w:val="en-US" w:eastAsia="pt-BR"/>
              </w:rPr>
            </w:pPr>
            <w:r w:rsidRPr="00CD1F0E">
              <w:rPr>
                <w:color w:val="000000"/>
                <w:lang w:val="en-US" w:eastAsia="pt-BR"/>
              </w:rPr>
              <w:t>Funding for Project Preparation (PRP)</w:t>
            </w:r>
          </w:p>
        </w:tc>
        <w:tc>
          <w:tcPr>
            <w:tcW w:w="1515" w:type="dxa"/>
            <w:noWrap/>
            <w:vAlign w:val="center"/>
          </w:tcPr>
          <w:p w14:paraId="478111E6" w14:textId="77777777" w:rsidR="001036AF" w:rsidRPr="00CD1F0E" w:rsidRDefault="001036AF" w:rsidP="00997E95">
            <w:pPr>
              <w:tabs>
                <w:tab w:val="clear" w:pos="0"/>
              </w:tabs>
              <w:spacing w:after="0"/>
              <w:jc w:val="right"/>
              <w:rPr>
                <w:color w:val="000000"/>
                <w:lang w:val="en-US" w:eastAsia="pt-BR"/>
              </w:rPr>
            </w:pPr>
            <w:r w:rsidRPr="00CD1F0E">
              <w:rPr>
                <w:color w:val="000000"/>
                <w:lang w:val="en-US" w:eastAsia="pt-BR"/>
              </w:rPr>
              <w:t>22.24</w:t>
            </w:r>
          </w:p>
        </w:tc>
        <w:tc>
          <w:tcPr>
            <w:tcW w:w="1026" w:type="dxa"/>
            <w:shd w:val="clear" w:color="auto" w:fill="DAE9F8"/>
            <w:noWrap/>
            <w:vAlign w:val="center"/>
          </w:tcPr>
          <w:p w14:paraId="3D988AFB" w14:textId="77777777" w:rsidR="001036AF" w:rsidRPr="00CD1F0E" w:rsidRDefault="001036AF" w:rsidP="00997E95">
            <w:pPr>
              <w:tabs>
                <w:tab w:val="clear" w:pos="0"/>
              </w:tabs>
              <w:spacing w:after="0"/>
              <w:jc w:val="right"/>
              <w:rPr>
                <w:color w:val="000000"/>
                <w:lang w:val="en-US" w:eastAsia="pt-BR"/>
              </w:rPr>
            </w:pPr>
            <w:r w:rsidRPr="00CD1F0E">
              <w:rPr>
                <w:color w:val="000000"/>
                <w:lang w:val="en-US" w:eastAsia="pt-BR"/>
              </w:rPr>
              <w:t>22.24</w:t>
            </w:r>
          </w:p>
        </w:tc>
        <w:tc>
          <w:tcPr>
            <w:tcW w:w="810" w:type="dxa"/>
            <w:shd w:val="clear" w:color="auto" w:fill="DAE9F8"/>
            <w:noWrap/>
            <w:vAlign w:val="center"/>
          </w:tcPr>
          <w:p w14:paraId="2018A4A4" w14:textId="77777777" w:rsidR="001036AF" w:rsidRPr="00CD1F0E" w:rsidRDefault="001036AF" w:rsidP="00997E95">
            <w:pPr>
              <w:tabs>
                <w:tab w:val="clear" w:pos="0"/>
              </w:tabs>
              <w:spacing w:after="0"/>
              <w:jc w:val="right"/>
              <w:rPr>
                <w:rFonts w:eastAsia="Aptos"/>
                <w:noProof/>
                <w:color w:val="000000"/>
                <w:kern w:val="2"/>
                <w:lang w:val="en-US"/>
                <w14:ligatures w14:val="standardContextual"/>
              </w:rPr>
            </w:pPr>
            <w:r w:rsidRPr="00CD1F0E">
              <w:rPr>
                <w:rFonts w:eastAsia="Aptos"/>
                <w:noProof/>
                <w:color w:val="000000"/>
                <w:kern w:val="2"/>
                <w:lang w:val="en-US"/>
                <w14:ligatures w14:val="standardContextual"/>
              </w:rPr>
              <w:t>0.00</w:t>
            </w:r>
          </w:p>
        </w:tc>
        <w:tc>
          <w:tcPr>
            <w:tcW w:w="885" w:type="dxa"/>
            <w:shd w:val="clear" w:color="auto" w:fill="DAE9F8"/>
            <w:noWrap/>
            <w:vAlign w:val="center"/>
          </w:tcPr>
          <w:p w14:paraId="6C70D8CE" w14:textId="77777777" w:rsidR="001036AF" w:rsidRPr="00CD1F0E" w:rsidRDefault="001036AF" w:rsidP="00997E95">
            <w:pPr>
              <w:tabs>
                <w:tab w:val="clear" w:pos="0"/>
              </w:tabs>
              <w:spacing w:after="0"/>
              <w:jc w:val="right"/>
              <w:rPr>
                <w:color w:val="000000"/>
                <w:lang w:val="en-US" w:eastAsia="pt-BR"/>
              </w:rPr>
            </w:pPr>
            <w:r w:rsidRPr="00CD1F0E">
              <w:rPr>
                <w:color w:val="000000"/>
                <w:lang w:val="en-US" w:eastAsia="pt-BR"/>
              </w:rPr>
              <w:t>0.00</w:t>
            </w:r>
          </w:p>
        </w:tc>
        <w:tc>
          <w:tcPr>
            <w:tcW w:w="795" w:type="dxa"/>
            <w:shd w:val="clear" w:color="auto" w:fill="F2CEEF"/>
            <w:noWrap/>
            <w:vAlign w:val="center"/>
          </w:tcPr>
          <w:p w14:paraId="403A3DA3" w14:textId="77777777" w:rsidR="001036AF" w:rsidRPr="00CD1F0E" w:rsidRDefault="001036AF" w:rsidP="00997E95">
            <w:pPr>
              <w:tabs>
                <w:tab w:val="clear" w:pos="0"/>
              </w:tabs>
              <w:spacing w:after="0"/>
              <w:jc w:val="right"/>
              <w:rPr>
                <w:color w:val="000000"/>
                <w:lang w:val="en-US" w:eastAsia="pt-BR"/>
              </w:rPr>
            </w:pPr>
            <w:r w:rsidRPr="00CD1F0E">
              <w:rPr>
                <w:color w:val="000000"/>
                <w:lang w:val="en-US" w:eastAsia="pt-BR"/>
              </w:rPr>
              <w:t>22.24</w:t>
            </w:r>
          </w:p>
        </w:tc>
        <w:tc>
          <w:tcPr>
            <w:tcW w:w="1005" w:type="dxa"/>
            <w:shd w:val="clear" w:color="auto" w:fill="F2CEEF"/>
            <w:noWrap/>
            <w:vAlign w:val="center"/>
          </w:tcPr>
          <w:p w14:paraId="155B7826" w14:textId="77777777" w:rsidR="001036AF" w:rsidRPr="00CD1F0E" w:rsidRDefault="001036AF" w:rsidP="00997E95">
            <w:pPr>
              <w:tabs>
                <w:tab w:val="clear" w:pos="0"/>
              </w:tabs>
              <w:spacing w:after="0"/>
              <w:jc w:val="right"/>
              <w:rPr>
                <w:rFonts w:eastAsia="Aptos"/>
                <w:noProof/>
                <w:color w:val="000000"/>
                <w:kern w:val="2"/>
                <w:lang w:val="en-US"/>
                <w14:ligatures w14:val="standardContextual"/>
              </w:rPr>
            </w:pPr>
            <w:r w:rsidRPr="00CD1F0E">
              <w:rPr>
                <w:rFonts w:eastAsia="Aptos"/>
                <w:noProof/>
                <w:color w:val="000000"/>
                <w:kern w:val="2"/>
                <w:lang w:val="en-US"/>
                <w14:ligatures w14:val="standardContextual"/>
              </w:rPr>
              <w:t>0.00</w:t>
            </w:r>
          </w:p>
        </w:tc>
        <w:tc>
          <w:tcPr>
            <w:tcW w:w="854" w:type="dxa"/>
            <w:shd w:val="clear" w:color="auto" w:fill="F2CEEF"/>
            <w:noWrap/>
            <w:vAlign w:val="center"/>
          </w:tcPr>
          <w:p w14:paraId="711D0CCA" w14:textId="77777777" w:rsidR="001036AF" w:rsidRPr="00CD1F0E" w:rsidRDefault="001036AF" w:rsidP="00997E95">
            <w:pPr>
              <w:tabs>
                <w:tab w:val="clear" w:pos="0"/>
              </w:tabs>
              <w:spacing w:after="0"/>
              <w:jc w:val="right"/>
              <w:rPr>
                <w:color w:val="000000"/>
                <w:lang w:val="en-US" w:eastAsia="pt-BR"/>
              </w:rPr>
            </w:pPr>
            <w:r w:rsidRPr="00CD1F0E">
              <w:rPr>
                <w:color w:val="000000"/>
                <w:lang w:val="en-US" w:eastAsia="pt-BR"/>
              </w:rPr>
              <w:t>0.00</w:t>
            </w:r>
          </w:p>
        </w:tc>
      </w:tr>
      <w:tr w:rsidR="001036AF" w:rsidRPr="00CD1F0E" w14:paraId="1CE4300A" w14:textId="77777777" w:rsidTr="0006403F">
        <w:trPr>
          <w:trHeight w:val="468"/>
        </w:trPr>
        <w:tc>
          <w:tcPr>
            <w:tcW w:w="2310" w:type="dxa"/>
            <w:shd w:val="clear" w:color="auto" w:fill="E2EFD9" w:themeFill="accent6" w:themeFillTint="33"/>
            <w:vAlign w:val="center"/>
            <w:hideMark/>
          </w:tcPr>
          <w:p w14:paraId="183D31DA" w14:textId="77777777" w:rsidR="001036AF" w:rsidRPr="00CD1F0E" w:rsidRDefault="001036AF" w:rsidP="001036AF">
            <w:pPr>
              <w:tabs>
                <w:tab w:val="clear" w:pos="0"/>
              </w:tabs>
              <w:spacing w:after="0"/>
              <w:rPr>
                <w:color w:val="000000"/>
                <w:lang w:val="en-US" w:eastAsia="pt-BR"/>
              </w:rPr>
            </w:pPr>
            <w:r w:rsidRPr="00CD1F0E">
              <w:rPr>
                <w:color w:val="000000"/>
                <w:lang w:val="en-US" w:eastAsia="pt-BR"/>
              </w:rPr>
              <w:t xml:space="preserve">Funding for KIP Verification </w:t>
            </w:r>
          </w:p>
        </w:tc>
        <w:tc>
          <w:tcPr>
            <w:tcW w:w="1515" w:type="dxa"/>
            <w:noWrap/>
            <w:vAlign w:val="center"/>
            <w:hideMark/>
          </w:tcPr>
          <w:p w14:paraId="7EAE27D9"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26</w:t>
            </w:r>
          </w:p>
        </w:tc>
        <w:tc>
          <w:tcPr>
            <w:tcW w:w="1026" w:type="dxa"/>
            <w:shd w:val="clear" w:color="auto" w:fill="DAE9F8"/>
            <w:noWrap/>
            <w:vAlign w:val="center"/>
            <w:hideMark/>
          </w:tcPr>
          <w:p w14:paraId="7A3BB4C0"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8.70</w:t>
            </w:r>
          </w:p>
        </w:tc>
        <w:tc>
          <w:tcPr>
            <w:tcW w:w="810" w:type="dxa"/>
            <w:shd w:val="clear" w:color="auto" w:fill="DAE9F8"/>
            <w:noWrap/>
            <w:vAlign w:val="center"/>
            <w:hideMark/>
          </w:tcPr>
          <w:p w14:paraId="5F9232F1"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8.70</w:t>
            </w:r>
          </w:p>
        </w:tc>
        <w:tc>
          <w:tcPr>
            <w:tcW w:w="885" w:type="dxa"/>
            <w:shd w:val="clear" w:color="auto" w:fill="DAE9F8"/>
            <w:noWrap/>
            <w:vAlign w:val="center"/>
            <w:hideMark/>
          </w:tcPr>
          <w:p w14:paraId="06B937DF"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8.70</w:t>
            </w:r>
          </w:p>
        </w:tc>
        <w:tc>
          <w:tcPr>
            <w:tcW w:w="795" w:type="dxa"/>
            <w:shd w:val="clear" w:color="auto" w:fill="F2CEEF"/>
            <w:noWrap/>
            <w:vAlign w:val="center"/>
            <w:hideMark/>
          </w:tcPr>
          <w:p w14:paraId="0AA12435"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8.70</w:t>
            </w:r>
          </w:p>
        </w:tc>
        <w:tc>
          <w:tcPr>
            <w:tcW w:w="1005" w:type="dxa"/>
            <w:shd w:val="clear" w:color="auto" w:fill="F2CEEF"/>
            <w:noWrap/>
            <w:vAlign w:val="center"/>
            <w:hideMark/>
          </w:tcPr>
          <w:p w14:paraId="62F6AF96"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8.70</w:t>
            </w:r>
          </w:p>
        </w:tc>
        <w:tc>
          <w:tcPr>
            <w:tcW w:w="854" w:type="dxa"/>
            <w:shd w:val="clear" w:color="auto" w:fill="F2CEEF"/>
            <w:noWrap/>
            <w:vAlign w:val="center"/>
            <w:hideMark/>
          </w:tcPr>
          <w:p w14:paraId="2CBAFF62"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8.70</w:t>
            </w:r>
          </w:p>
        </w:tc>
      </w:tr>
      <w:tr w:rsidR="001036AF" w:rsidRPr="00CD1F0E" w14:paraId="5ED136D3" w14:textId="77777777" w:rsidTr="0006403F">
        <w:trPr>
          <w:trHeight w:val="468"/>
        </w:trPr>
        <w:tc>
          <w:tcPr>
            <w:tcW w:w="2310" w:type="dxa"/>
            <w:shd w:val="clear" w:color="auto" w:fill="E2EFD9" w:themeFill="accent6" w:themeFillTint="33"/>
            <w:vAlign w:val="center"/>
            <w:hideMark/>
          </w:tcPr>
          <w:p w14:paraId="7913B683" w14:textId="77777777" w:rsidR="001036AF" w:rsidRPr="00CD1F0E" w:rsidRDefault="001036AF" w:rsidP="001036AF">
            <w:pPr>
              <w:tabs>
                <w:tab w:val="clear" w:pos="0"/>
              </w:tabs>
              <w:spacing w:after="0"/>
              <w:rPr>
                <w:color w:val="000000"/>
                <w:lang w:val="en-US" w:eastAsia="pt-BR"/>
              </w:rPr>
            </w:pPr>
            <w:r w:rsidRPr="00CD1F0E">
              <w:rPr>
                <w:color w:val="000000"/>
                <w:lang w:val="en-US" w:eastAsia="pt-BR"/>
              </w:rPr>
              <w:t>Energy Efficiency (</w:t>
            </w:r>
            <w:r w:rsidRPr="00CD1F0E">
              <w:rPr>
                <w:color w:val="000000"/>
                <w:u w:val="single"/>
                <w:lang w:val="en-US" w:eastAsia="pt-BR"/>
              </w:rPr>
              <w:t>high-end option</w:t>
            </w:r>
            <w:r w:rsidRPr="00CD1F0E">
              <w:rPr>
                <w:color w:val="000000"/>
                <w:lang w:val="en-US" w:eastAsia="pt-BR"/>
              </w:rPr>
              <w:t>)</w:t>
            </w:r>
          </w:p>
        </w:tc>
        <w:tc>
          <w:tcPr>
            <w:tcW w:w="1515" w:type="dxa"/>
            <w:noWrap/>
            <w:vAlign w:val="center"/>
            <w:hideMark/>
          </w:tcPr>
          <w:p w14:paraId="044DB95A" w14:textId="4B94801A" w:rsidR="001036AF" w:rsidRPr="00CD1F0E" w:rsidRDefault="4BCEE662" w:rsidP="00997E95">
            <w:pPr>
              <w:tabs>
                <w:tab w:val="clear" w:pos="0"/>
              </w:tabs>
              <w:spacing w:after="0" w:line="259" w:lineRule="auto"/>
              <w:jc w:val="right"/>
              <w:rPr>
                <w:lang w:val="pt-BR" w:eastAsia="pt-BR"/>
              </w:rPr>
            </w:pPr>
            <w:r w:rsidRPr="4BCEE662">
              <w:rPr>
                <w:lang w:val="pt-BR" w:eastAsia="pt-BR"/>
              </w:rPr>
              <w:t xml:space="preserve">133.48 </w:t>
            </w:r>
          </w:p>
        </w:tc>
        <w:tc>
          <w:tcPr>
            <w:tcW w:w="1026" w:type="dxa"/>
            <w:shd w:val="clear" w:color="auto" w:fill="DAE9F8"/>
            <w:noWrap/>
            <w:vAlign w:val="center"/>
            <w:hideMark/>
          </w:tcPr>
          <w:p w14:paraId="34CC6B9E" w14:textId="7EAF818B" w:rsidR="001036AF" w:rsidRPr="00CD1F0E" w:rsidRDefault="4BCEE662" w:rsidP="00997E95">
            <w:pPr>
              <w:tabs>
                <w:tab w:val="clear" w:pos="0"/>
              </w:tabs>
              <w:spacing w:after="0" w:line="259" w:lineRule="auto"/>
              <w:jc w:val="right"/>
              <w:rPr>
                <w:lang w:val="pt-BR" w:eastAsia="pt-BR"/>
              </w:rPr>
            </w:pPr>
            <w:r w:rsidRPr="4BCEE662">
              <w:rPr>
                <w:lang w:val="pt-BR" w:eastAsia="pt-BR"/>
              </w:rPr>
              <w:t>133.48</w:t>
            </w:r>
          </w:p>
        </w:tc>
        <w:tc>
          <w:tcPr>
            <w:tcW w:w="810" w:type="dxa"/>
            <w:shd w:val="clear" w:color="auto" w:fill="DAE9F8"/>
            <w:noWrap/>
            <w:vAlign w:val="center"/>
            <w:hideMark/>
          </w:tcPr>
          <w:p w14:paraId="21494F89"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0.00</w:t>
            </w:r>
          </w:p>
        </w:tc>
        <w:tc>
          <w:tcPr>
            <w:tcW w:w="885" w:type="dxa"/>
            <w:shd w:val="clear" w:color="auto" w:fill="DAE9F8"/>
            <w:noWrap/>
            <w:vAlign w:val="center"/>
            <w:hideMark/>
          </w:tcPr>
          <w:p w14:paraId="147D0B05"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0.00</w:t>
            </w:r>
          </w:p>
        </w:tc>
        <w:tc>
          <w:tcPr>
            <w:tcW w:w="795" w:type="dxa"/>
            <w:shd w:val="clear" w:color="auto" w:fill="F2CEEF"/>
            <w:noWrap/>
            <w:vAlign w:val="center"/>
            <w:hideMark/>
          </w:tcPr>
          <w:p w14:paraId="1C1C86E6" w14:textId="2EC2C1A7" w:rsidR="001036AF" w:rsidRPr="00CD1F0E" w:rsidRDefault="4BCEE662" w:rsidP="00997E95">
            <w:pPr>
              <w:tabs>
                <w:tab w:val="clear" w:pos="0"/>
              </w:tabs>
              <w:spacing w:after="0" w:line="259" w:lineRule="auto"/>
              <w:jc w:val="right"/>
              <w:rPr>
                <w:lang w:val="pt-BR" w:eastAsia="pt-BR"/>
              </w:rPr>
            </w:pPr>
            <w:r w:rsidRPr="4BCEE662">
              <w:rPr>
                <w:lang w:val="pt-BR" w:eastAsia="pt-BR"/>
              </w:rPr>
              <w:t>133.48</w:t>
            </w:r>
          </w:p>
        </w:tc>
        <w:tc>
          <w:tcPr>
            <w:tcW w:w="1005" w:type="dxa"/>
            <w:shd w:val="clear" w:color="auto" w:fill="F2CEEF"/>
            <w:noWrap/>
            <w:vAlign w:val="center"/>
            <w:hideMark/>
          </w:tcPr>
          <w:p w14:paraId="0D6FF55B"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0.00</w:t>
            </w:r>
          </w:p>
        </w:tc>
        <w:tc>
          <w:tcPr>
            <w:tcW w:w="854" w:type="dxa"/>
            <w:shd w:val="clear" w:color="auto" w:fill="F2CEEF"/>
            <w:noWrap/>
            <w:vAlign w:val="center"/>
            <w:hideMark/>
          </w:tcPr>
          <w:p w14:paraId="1B2468B2"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0.00</w:t>
            </w:r>
          </w:p>
        </w:tc>
      </w:tr>
      <w:tr w:rsidR="001036AF" w:rsidRPr="00CD1F0E" w14:paraId="76E8DB82" w14:textId="77777777" w:rsidTr="0006403F">
        <w:trPr>
          <w:trHeight w:val="468"/>
        </w:trPr>
        <w:tc>
          <w:tcPr>
            <w:tcW w:w="2310" w:type="dxa"/>
            <w:shd w:val="clear" w:color="auto" w:fill="E2EFD9" w:themeFill="accent6" w:themeFillTint="33"/>
            <w:vAlign w:val="center"/>
          </w:tcPr>
          <w:p w14:paraId="1B312568" w14:textId="77777777" w:rsidR="001036AF" w:rsidRPr="00CD1F0E" w:rsidRDefault="001036AF" w:rsidP="001036AF">
            <w:pPr>
              <w:tabs>
                <w:tab w:val="clear" w:pos="0"/>
              </w:tabs>
              <w:spacing w:after="0"/>
              <w:rPr>
                <w:color w:val="000000"/>
                <w:lang w:val="en-US" w:eastAsia="pt-BR"/>
              </w:rPr>
            </w:pPr>
            <w:r w:rsidRPr="00CD1F0E">
              <w:rPr>
                <w:color w:val="000000"/>
                <w:lang w:val="en-US" w:eastAsia="pt-BR"/>
              </w:rPr>
              <w:t>Pilot Projects for Regional Atmospheric Monitoring</w:t>
            </w:r>
          </w:p>
        </w:tc>
        <w:tc>
          <w:tcPr>
            <w:tcW w:w="1515" w:type="dxa"/>
            <w:noWrap/>
            <w:vAlign w:val="center"/>
          </w:tcPr>
          <w:p w14:paraId="4774B7B6"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14.59</w:t>
            </w:r>
          </w:p>
        </w:tc>
        <w:tc>
          <w:tcPr>
            <w:tcW w:w="1026" w:type="dxa"/>
            <w:shd w:val="clear" w:color="auto" w:fill="DAE9F8"/>
            <w:noWrap/>
            <w:vAlign w:val="center"/>
          </w:tcPr>
          <w:p w14:paraId="63B88C0B"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0.85</w:t>
            </w:r>
          </w:p>
        </w:tc>
        <w:tc>
          <w:tcPr>
            <w:tcW w:w="810" w:type="dxa"/>
            <w:shd w:val="clear" w:color="auto" w:fill="DAE9F8"/>
            <w:noWrap/>
            <w:vAlign w:val="center"/>
          </w:tcPr>
          <w:p w14:paraId="39E1746A"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13.73</w:t>
            </w:r>
          </w:p>
        </w:tc>
        <w:tc>
          <w:tcPr>
            <w:tcW w:w="885" w:type="dxa"/>
            <w:shd w:val="clear" w:color="auto" w:fill="DAE9F8"/>
            <w:noWrap/>
            <w:vAlign w:val="center"/>
          </w:tcPr>
          <w:p w14:paraId="193BC7FF"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0.00</w:t>
            </w:r>
          </w:p>
        </w:tc>
        <w:tc>
          <w:tcPr>
            <w:tcW w:w="795" w:type="dxa"/>
            <w:shd w:val="clear" w:color="auto" w:fill="F2CEEF"/>
            <w:noWrap/>
            <w:vAlign w:val="center"/>
          </w:tcPr>
          <w:p w14:paraId="25745209"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0.85</w:t>
            </w:r>
          </w:p>
        </w:tc>
        <w:tc>
          <w:tcPr>
            <w:tcW w:w="1005" w:type="dxa"/>
            <w:shd w:val="clear" w:color="auto" w:fill="F2CEEF"/>
            <w:noWrap/>
            <w:vAlign w:val="center"/>
          </w:tcPr>
          <w:p w14:paraId="7A7BF949"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13.73</w:t>
            </w:r>
          </w:p>
        </w:tc>
        <w:tc>
          <w:tcPr>
            <w:tcW w:w="854" w:type="dxa"/>
            <w:shd w:val="clear" w:color="auto" w:fill="F2CEEF"/>
            <w:noWrap/>
            <w:vAlign w:val="center"/>
          </w:tcPr>
          <w:p w14:paraId="01175372" w14:textId="77777777" w:rsidR="001036AF" w:rsidRPr="00CD1F0E" w:rsidRDefault="001036AF" w:rsidP="00997E95">
            <w:pPr>
              <w:tabs>
                <w:tab w:val="clear" w:pos="0"/>
              </w:tabs>
              <w:spacing w:after="0"/>
              <w:jc w:val="right"/>
              <w:rPr>
                <w:color w:val="000000"/>
                <w:lang w:val="pt-BR" w:eastAsia="pt-BR"/>
              </w:rPr>
            </w:pPr>
            <w:r w:rsidRPr="00CD1F0E">
              <w:rPr>
                <w:color w:val="000000"/>
                <w:lang w:val="pt-BR" w:eastAsia="pt-BR"/>
              </w:rPr>
              <w:t>0.00</w:t>
            </w:r>
          </w:p>
        </w:tc>
      </w:tr>
      <w:tr w:rsidR="001036AF" w:rsidRPr="00CD1F0E" w14:paraId="28C821AA" w14:textId="77777777" w:rsidTr="0006403F">
        <w:trPr>
          <w:trHeight w:val="468"/>
        </w:trPr>
        <w:tc>
          <w:tcPr>
            <w:tcW w:w="2310" w:type="dxa"/>
            <w:shd w:val="clear" w:color="auto" w:fill="E2EFD9" w:themeFill="accent6" w:themeFillTint="33"/>
            <w:vAlign w:val="center"/>
          </w:tcPr>
          <w:p w14:paraId="5E39F2AD" w14:textId="77777777" w:rsidR="001036AF" w:rsidRPr="00CD1F0E" w:rsidRDefault="001036AF" w:rsidP="001036AF">
            <w:pPr>
              <w:tabs>
                <w:tab w:val="clear" w:pos="0"/>
              </w:tabs>
              <w:spacing w:after="0"/>
              <w:rPr>
                <w:color w:val="000000"/>
                <w:lang w:val="en-US" w:eastAsia="pt-BR"/>
              </w:rPr>
            </w:pPr>
            <w:r w:rsidRPr="00CD1F0E">
              <w:rPr>
                <w:b/>
                <w:bCs/>
                <w:color w:val="000000"/>
                <w:lang w:val="pt-BR" w:eastAsia="pt-BR"/>
              </w:rPr>
              <w:t>Sub-Total 2</w:t>
            </w:r>
          </w:p>
        </w:tc>
        <w:tc>
          <w:tcPr>
            <w:tcW w:w="1515" w:type="dxa"/>
            <w:noWrap/>
            <w:vAlign w:val="center"/>
          </w:tcPr>
          <w:p w14:paraId="701FC42A"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196</w:t>
            </w:r>
          </w:p>
        </w:tc>
        <w:tc>
          <w:tcPr>
            <w:tcW w:w="1026" w:type="dxa"/>
            <w:shd w:val="clear" w:color="auto" w:fill="DAE9F8"/>
            <w:noWrap/>
            <w:vAlign w:val="center"/>
          </w:tcPr>
          <w:p w14:paraId="0DB57FFD"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165.37</w:t>
            </w:r>
          </w:p>
        </w:tc>
        <w:tc>
          <w:tcPr>
            <w:tcW w:w="810" w:type="dxa"/>
            <w:shd w:val="clear" w:color="auto" w:fill="DAE9F8"/>
            <w:noWrap/>
            <w:vAlign w:val="center"/>
          </w:tcPr>
          <w:p w14:paraId="06FBC2CA"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22.43</w:t>
            </w:r>
          </w:p>
        </w:tc>
        <w:tc>
          <w:tcPr>
            <w:tcW w:w="885" w:type="dxa"/>
            <w:shd w:val="clear" w:color="auto" w:fill="DAE9F8"/>
            <w:noWrap/>
            <w:vAlign w:val="center"/>
          </w:tcPr>
          <w:p w14:paraId="036C6381"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8.70</w:t>
            </w:r>
          </w:p>
        </w:tc>
        <w:tc>
          <w:tcPr>
            <w:tcW w:w="795" w:type="dxa"/>
            <w:shd w:val="clear" w:color="auto" w:fill="F2CEEF"/>
            <w:noWrap/>
            <w:vAlign w:val="center"/>
          </w:tcPr>
          <w:p w14:paraId="7031EE1A"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165.37</w:t>
            </w:r>
          </w:p>
        </w:tc>
        <w:tc>
          <w:tcPr>
            <w:tcW w:w="1005" w:type="dxa"/>
            <w:shd w:val="clear" w:color="auto" w:fill="F2CEEF"/>
            <w:noWrap/>
            <w:vAlign w:val="center"/>
          </w:tcPr>
          <w:p w14:paraId="46885C06"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22.43</w:t>
            </w:r>
          </w:p>
        </w:tc>
        <w:tc>
          <w:tcPr>
            <w:tcW w:w="854" w:type="dxa"/>
            <w:shd w:val="clear" w:color="auto" w:fill="F2CEEF"/>
            <w:noWrap/>
            <w:vAlign w:val="center"/>
          </w:tcPr>
          <w:p w14:paraId="783F2054"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8.70</w:t>
            </w:r>
          </w:p>
        </w:tc>
      </w:tr>
      <w:tr w:rsidR="001036AF" w:rsidRPr="00CD1F0E" w14:paraId="28BCA687" w14:textId="77777777" w:rsidTr="0006403F">
        <w:trPr>
          <w:trHeight w:val="468"/>
        </w:trPr>
        <w:tc>
          <w:tcPr>
            <w:tcW w:w="2310" w:type="dxa"/>
            <w:shd w:val="clear" w:color="auto" w:fill="FFFF00"/>
            <w:vAlign w:val="center"/>
          </w:tcPr>
          <w:p w14:paraId="20C04702" w14:textId="77777777" w:rsidR="001036AF" w:rsidRPr="009D17AE" w:rsidRDefault="001036AF" w:rsidP="001036AF">
            <w:pPr>
              <w:tabs>
                <w:tab w:val="clear" w:pos="0"/>
              </w:tabs>
              <w:spacing w:after="0"/>
              <w:rPr>
                <w:b/>
                <w:bCs/>
                <w:color w:val="000000"/>
                <w:lang w:val="en-US" w:eastAsia="pt-BR"/>
              </w:rPr>
            </w:pPr>
            <w:r w:rsidRPr="00CD1F0E">
              <w:rPr>
                <w:b/>
                <w:bCs/>
                <w:color w:val="auto"/>
                <w:lang w:val="en-US" w:eastAsia="pt-BR"/>
              </w:rPr>
              <w:t>Total for HFC Consumption Sector</w:t>
            </w:r>
          </w:p>
        </w:tc>
        <w:tc>
          <w:tcPr>
            <w:tcW w:w="1515" w:type="dxa"/>
            <w:noWrap/>
            <w:vAlign w:val="center"/>
          </w:tcPr>
          <w:p w14:paraId="0B70DFD0" w14:textId="77777777" w:rsidR="001036AF" w:rsidRPr="00CD1F0E" w:rsidRDefault="001036AF" w:rsidP="00997E95">
            <w:pPr>
              <w:tabs>
                <w:tab w:val="clear" w:pos="0"/>
              </w:tabs>
              <w:spacing w:after="0"/>
              <w:jc w:val="right"/>
              <w:rPr>
                <w:b/>
                <w:bCs/>
                <w:color w:val="000000"/>
                <w:lang w:val="pt-BR" w:eastAsia="pt-BR"/>
              </w:rPr>
            </w:pPr>
            <w:r w:rsidRPr="00CD1F0E">
              <w:rPr>
                <w:b/>
                <w:bCs/>
                <w:color w:val="000000"/>
                <w:lang w:val="pt-BR" w:eastAsia="pt-BR"/>
              </w:rPr>
              <w:t>2,452</w:t>
            </w:r>
          </w:p>
        </w:tc>
        <w:tc>
          <w:tcPr>
            <w:tcW w:w="1026" w:type="dxa"/>
            <w:shd w:val="clear" w:color="auto" w:fill="DAE9F8"/>
            <w:noWrap/>
            <w:vAlign w:val="center"/>
          </w:tcPr>
          <w:p w14:paraId="0446D800"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1041.64</w:t>
            </w:r>
          </w:p>
        </w:tc>
        <w:tc>
          <w:tcPr>
            <w:tcW w:w="810" w:type="dxa"/>
            <w:shd w:val="clear" w:color="auto" w:fill="DAE9F8"/>
            <w:noWrap/>
            <w:vAlign w:val="center"/>
          </w:tcPr>
          <w:p w14:paraId="2CD93CA3"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907.15</w:t>
            </w:r>
          </w:p>
        </w:tc>
        <w:tc>
          <w:tcPr>
            <w:tcW w:w="885" w:type="dxa"/>
            <w:shd w:val="clear" w:color="auto" w:fill="DAE9F8"/>
            <w:noWrap/>
            <w:vAlign w:val="center"/>
          </w:tcPr>
          <w:p w14:paraId="24F7FB61"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503.32</w:t>
            </w:r>
          </w:p>
        </w:tc>
        <w:tc>
          <w:tcPr>
            <w:tcW w:w="795" w:type="dxa"/>
            <w:shd w:val="clear" w:color="auto" w:fill="F2CEEF"/>
            <w:noWrap/>
            <w:vAlign w:val="center"/>
          </w:tcPr>
          <w:p w14:paraId="58737AA0"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768.56</w:t>
            </w:r>
          </w:p>
        </w:tc>
        <w:tc>
          <w:tcPr>
            <w:tcW w:w="1005" w:type="dxa"/>
            <w:shd w:val="clear" w:color="auto" w:fill="F2CEEF"/>
            <w:noWrap/>
            <w:vAlign w:val="center"/>
          </w:tcPr>
          <w:p w14:paraId="6134236A"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1083.75</w:t>
            </w:r>
          </w:p>
        </w:tc>
        <w:tc>
          <w:tcPr>
            <w:tcW w:w="854" w:type="dxa"/>
            <w:shd w:val="clear" w:color="auto" w:fill="F2CEEF"/>
            <w:noWrap/>
            <w:vAlign w:val="center"/>
          </w:tcPr>
          <w:p w14:paraId="283F8ACD" w14:textId="77777777" w:rsidR="001036AF" w:rsidRPr="00CD1F0E" w:rsidRDefault="001036AF" w:rsidP="00997E95">
            <w:pPr>
              <w:tabs>
                <w:tab w:val="clear" w:pos="0"/>
              </w:tabs>
              <w:spacing w:after="0"/>
              <w:jc w:val="right"/>
              <w:rPr>
                <w:b/>
                <w:bCs/>
                <w:color w:val="000000"/>
                <w:lang w:val="pt-BR" w:eastAsia="pt-BR"/>
              </w:rPr>
            </w:pPr>
            <w:r w:rsidRPr="00CD1F0E">
              <w:rPr>
                <w:rFonts w:eastAsia="Aptos"/>
                <w:b/>
                <w:bCs/>
                <w:color w:val="auto"/>
                <w:kern w:val="2"/>
                <w:lang w:val="pt-BR"/>
                <w14:ligatures w14:val="standardContextual"/>
              </w:rPr>
              <w:t>599.81</w:t>
            </w:r>
          </w:p>
        </w:tc>
      </w:tr>
    </w:tbl>
    <w:p w14:paraId="6F9CA87C" w14:textId="7CC3F119" w:rsidR="00980675" w:rsidRDefault="00980675">
      <w:pPr>
        <w:tabs>
          <w:tab w:val="clear" w:pos="0"/>
        </w:tabs>
        <w:spacing w:after="0"/>
      </w:pPr>
    </w:p>
    <w:p w14:paraId="5E23716E" w14:textId="77777777" w:rsidR="00946FD2" w:rsidRDefault="00946FD2">
      <w:pPr>
        <w:tabs>
          <w:tab w:val="clear" w:pos="0"/>
        </w:tabs>
        <w:spacing w:after="0"/>
      </w:pPr>
      <w:r>
        <w:br w:type="page"/>
      </w:r>
    </w:p>
    <w:p w14:paraId="6FC0EA49" w14:textId="3F3BBB36" w:rsidR="00296C6F" w:rsidRPr="006C54E2" w:rsidRDefault="4BCEE662" w:rsidP="00296C6F">
      <w:pPr>
        <w:rPr>
          <w:color w:val="C00000"/>
        </w:rPr>
      </w:pPr>
      <w:r>
        <w:lastRenderedPageBreak/>
        <w:t>Table 3-16 below summarises the total estimated funding requirement for the HFC consumption sector for the 2027-2029 and future triennia and presents a range per triennium.</w:t>
      </w:r>
    </w:p>
    <w:p w14:paraId="184260DA" w14:textId="3281A05C" w:rsidR="00DB6AC7" w:rsidRPr="003A18F3" w:rsidRDefault="274D2446" w:rsidP="274D2446">
      <w:pPr>
        <w:tabs>
          <w:tab w:val="left" w:pos="1418"/>
        </w:tabs>
        <w:ind w:left="1418" w:hanging="1418"/>
        <w:rPr>
          <w:b/>
          <w:bCs/>
        </w:rPr>
      </w:pPr>
      <w:bookmarkStart w:id="210" w:name="_Hlk42368681"/>
      <w:r w:rsidRPr="274D2446">
        <w:rPr>
          <w:rFonts w:eastAsiaTheme="minorEastAsia"/>
          <w:b/>
          <w:bCs/>
        </w:rPr>
        <w:t>Table 3.16</w:t>
      </w:r>
      <w:r w:rsidR="000C21C0">
        <w:tab/>
      </w:r>
      <w:r w:rsidR="000C21C0">
        <w:tab/>
      </w:r>
      <w:r w:rsidR="000C21C0">
        <w:tab/>
      </w:r>
      <w:bookmarkEnd w:id="210"/>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4"/>
        <w:gridCol w:w="3315"/>
        <w:gridCol w:w="3239"/>
      </w:tblGrid>
      <w:tr w:rsidR="003A18F3" w:rsidRPr="003A18F3" w14:paraId="2F0456F5" w14:textId="77777777" w:rsidTr="003A18F3">
        <w:trPr>
          <w:trHeight w:val="300"/>
        </w:trPr>
        <w:tc>
          <w:tcPr>
            <w:tcW w:w="1386" w:type="pct"/>
            <w:vMerge w:val="restart"/>
            <w:tcBorders>
              <w:top w:val="single" w:sz="6" w:space="0" w:color="auto"/>
              <w:left w:val="single" w:sz="6" w:space="0" w:color="auto"/>
              <w:bottom w:val="single" w:sz="6" w:space="0" w:color="auto"/>
              <w:right w:val="single" w:sz="6" w:space="0" w:color="auto"/>
            </w:tcBorders>
            <w:shd w:val="clear" w:color="auto" w:fill="DEEAF6"/>
            <w:vAlign w:val="center"/>
            <w:hideMark/>
          </w:tcPr>
          <w:p w14:paraId="3812B32B" w14:textId="77777777" w:rsidR="003A18F3" w:rsidRPr="003A18F3" w:rsidRDefault="003A18F3" w:rsidP="003A18F3">
            <w:pPr>
              <w:tabs>
                <w:tab w:val="clear" w:pos="0"/>
              </w:tabs>
              <w:spacing w:after="0"/>
              <w:jc w:val="center"/>
              <w:textAlignment w:val="baseline"/>
              <w:rPr>
                <w:rFonts w:ascii="Segoe UI" w:hAnsi="Segoe UI" w:cs="Segoe UI"/>
                <w:color w:val="000000"/>
                <w:sz w:val="18"/>
                <w:szCs w:val="18"/>
                <w:lang w:val="en-US"/>
              </w:rPr>
            </w:pPr>
            <w:r w:rsidRPr="003A18F3">
              <w:rPr>
                <w:b/>
                <w:bCs/>
                <w:color w:val="000000"/>
                <w:sz w:val="21"/>
                <w:szCs w:val="21"/>
                <w:lang w:val="en-US"/>
              </w:rPr>
              <w:t>Triennium</w:t>
            </w:r>
            <w:r w:rsidRPr="003A18F3">
              <w:rPr>
                <w:color w:val="000000"/>
                <w:sz w:val="21"/>
                <w:szCs w:val="21"/>
                <w:lang w:val="en-US"/>
              </w:rPr>
              <w:t> </w:t>
            </w:r>
          </w:p>
        </w:tc>
        <w:tc>
          <w:tcPr>
            <w:tcW w:w="3614" w:type="pct"/>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40704B44" w14:textId="77777777" w:rsidR="003A18F3" w:rsidRPr="003A18F3" w:rsidRDefault="003A18F3" w:rsidP="003A18F3">
            <w:pPr>
              <w:tabs>
                <w:tab w:val="clear" w:pos="0"/>
              </w:tabs>
              <w:spacing w:after="0"/>
              <w:jc w:val="center"/>
              <w:textAlignment w:val="baseline"/>
              <w:rPr>
                <w:rFonts w:ascii="Segoe UI" w:hAnsi="Segoe UI" w:cs="Segoe UI"/>
                <w:b/>
                <w:bCs/>
                <w:color w:val="000000"/>
                <w:sz w:val="18"/>
                <w:szCs w:val="18"/>
                <w:lang w:val="en-US"/>
              </w:rPr>
            </w:pPr>
            <w:r w:rsidRPr="003A18F3">
              <w:rPr>
                <w:b/>
                <w:bCs/>
                <w:color w:val="000000"/>
                <w:sz w:val="21"/>
                <w:szCs w:val="21"/>
                <w:lang w:val="en-US"/>
              </w:rPr>
              <w:t xml:space="preserve">HFC CONSUMPTION SECTOR ESTIMATED </w:t>
            </w:r>
            <w:r w:rsidRPr="003A18F3">
              <w:rPr>
                <w:b/>
                <w:bCs/>
                <w:color w:val="000000"/>
                <w:sz w:val="21"/>
                <w:szCs w:val="21"/>
                <w:lang w:val="en-US"/>
              </w:rPr>
              <w:br/>
              <w:t>FUNDING RANGE (US$ million)</w:t>
            </w:r>
          </w:p>
        </w:tc>
      </w:tr>
      <w:tr w:rsidR="003A18F3" w:rsidRPr="003A18F3" w14:paraId="5DC1DD3A" w14:textId="77777777" w:rsidTr="003A18F3">
        <w:trPr>
          <w:trHeight w:val="60"/>
        </w:trPr>
        <w:tc>
          <w:tcPr>
            <w:tcW w:w="1386" w:type="pct"/>
            <w:vMerge/>
            <w:tcBorders>
              <w:top w:val="single" w:sz="6" w:space="0" w:color="auto"/>
              <w:left w:val="single" w:sz="6" w:space="0" w:color="auto"/>
              <w:bottom w:val="single" w:sz="6" w:space="0" w:color="auto"/>
              <w:right w:val="single" w:sz="6" w:space="0" w:color="auto"/>
            </w:tcBorders>
            <w:vAlign w:val="center"/>
            <w:hideMark/>
          </w:tcPr>
          <w:p w14:paraId="5488B405" w14:textId="77777777" w:rsidR="003A18F3" w:rsidRPr="003A18F3" w:rsidRDefault="003A18F3" w:rsidP="003A18F3">
            <w:pPr>
              <w:tabs>
                <w:tab w:val="clear" w:pos="0"/>
              </w:tabs>
              <w:spacing w:after="0"/>
              <w:rPr>
                <w:rFonts w:ascii="Segoe UI" w:hAnsi="Segoe UI" w:cs="Segoe UI"/>
                <w:color w:val="000000"/>
                <w:sz w:val="18"/>
                <w:szCs w:val="18"/>
                <w:lang w:val="en-US"/>
              </w:rPr>
            </w:pPr>
          </w:p>
        </w:tc>
        <w:tc>
          <w:tcPr>
            <w:tcW w:w="182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1B6EF471" w14:textId="77777777" w:rsidR="003A18F3" w:rsidRPr="003A18F3" w:rsidRDefault="003A18F3" w:rsidP="003A18F3">
            <w:pPr>
              <w:tabs>
                <w:tab w:val="clear" w:pos="0"/>
              </w:tabs>
              <w:spacing w:after="0"/>
              <w:jc w:val="center"/>
              <w:textAlignment w:val="baseline"/>
              <w:rPr>
                <w:rFonts w:ascii="Segoe UI" w:hAnsi="Segoe UI" w:cs="Segoe UI"/>
                <w:color w:val="000000"/>
                <w:sz w:val="18"/>
                <w:szCs w:val="18"/>
                <w:lang w:val="en-US"/>
              </w:rPr>
            </w:pPr>
            <w:r w:rsidRPr="003A18F3">
              <w:rPr>
                <w:b/>
                <w:bCs/>
                <w:color w:val="000000"/>
                <w:sz w:val="21"/>
                <w:szCs w:val="21"/>
                <w:lang w:val="en-US"/>
              </w:rPr>
              <w:t>Resource Allocation A</w:t>
            </w:r>
            <w:r w:rsidRPr="003A18F3">
              <w:rPr>
                <w:color w:val="000000"/>
                <w:sz w:val="21"/>
                <w:szCs w:val="21"/>
                <w:lang w:val="en-US"/>
              </w:rPr>
              <w:t> </w:t>
            </w:r>
          </w:p>
        </w:tc>
        <w:tc>
          <w:tcPr>
            <w:tcW w:w="1785"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0AA4579D" w14:textId="77777777" w:rsidR="003A18F3" w:rsidRPr="003A18F3" w:rsidRDefault="003A18F3" w:rsidP="003A18F3">
            <w:pPr>
              <w:tabs>
                <w:tab w:val="clear" w:pos="0"/>
              </w:tabs>
              <w:spacing w:after="0"/>
              <w:jc w:val="center"/>
              <w:textAlignment w:val="baseline"/>
              <w:rPr>
                <w:rFonts w:ascii="Segoe UI" w:hAnsi="Segoe UI" w:cs="Segoe UI"/>
                <w:color w:val="000000"/>
                <w:sz w:val="18"/>
                <w:szCs w:val="18"/>
                <w:lang w:val="en-US"/>
              </w:rPr>
            </w:pPr>
            <w:r w:rsidRPr="003A18F3">
              <w:rPr>
                <w:b/>
                <w:bCs/>
                <w:color w:val="000000"/>
                <w:sz w:val="21"/>
                <w:szCs w:val="21"/>
                <w:lang w:val="en-US"/>
              </w:rPr>
              <w:t>Resource Allocation B</w:t>
            </w:r>
          </w:p>
        </w:tc>
      </w:tr>
      <w:tr w:rsidR="003A18F3" w:rsidRPr="003A18F3" w14:paraId="0D11FAA8" w14:textId="77777777" w:rsidTr="003A18F3">
        <w:trPr>
          <w:trHeight w:val="285"/>
        </w:trPr>
        <w:tc>
          <w:tcPr>
            <w:tcW w:w="1386" w:type="pct"/>
            <w:tcBorders>
              <w:top w:val="single" w:sz="6" w:space="0" w:color="auto"/>
              <w:left w:val="single" w:sz="6" w:space="0" w:color="auto"/>
              <w:bottom w:val="single" w:sz="6" w:space="0" w:color="auto"/>
              <w:right w:val="single" w:sz="6" w:space="0" w:color="auto"/>
            </w:tcBorders>
            <w:shd w:val="clear" w:color="auto" w:fill="FFFF00"/>
            <w:vAlign w:val="bottom"/>
            <w:hideMark/>
          </w:tcPr>
          <w:p w14:paraId="7150E6F0" w14:textId="77777777" w:rsidR="003A18F3" w:rsidRPr="003A18F3" w:rsidRDefault="003A18F3" w:rsidP="003A18F3">
            <w:pPr>
              <w:tabs>
                <w:tab w:val="clear" w:pos="0"/>
              </w:tabs>
              <w:spacing w:after="0"/>
              <w:jc w:val="center"/>
              <w:textAlignment w:val="baseline"/>
              <w:rPr>
                <w:rFonts w:ascii="Segoe UI" w:hAnsi="Segoe UI" w:cs="Segoe UI"/>
                <w:color w:val="000000"/>
                <w:sz w:val="18"/>
                <w:szCs w:val="18"/>
                <w:lang w:val="en-US"/>
              </w:rPr>
            </w:pPr>
            <w:r w:rsidRPr="003A18F3">
              <w:rPr>
                <w:b/>
                <w:bCs/>
                <w:color w:val="000000"/>
                <w:lang w:val="en-US"/>
              </w:rPr>
              <w:t>2027–2029</w:t>
            </w:r>
            <w:r w:rsidRPr="003A18F3">
              <w:rPr>
                <w:color w:val="000000"/>
                <w:lang w:val="en-US"/>
              </w:rPr>
              <w:t> </w:t>
            </w:r>
          </w:p>
        </w:tc>
        <w:tc>
          <w:tcPr>
            <w:tcW w:w="1828" w:type="pct"/>
            <w:tcBorders>
              <w:top w:val="single" w:sz="6" w:space="0" w:color="auto"/>
              <w:left w:val="nil"/>
              <w:bottom w:val="single" w:sz="6" w:space="0" w:color="auto"/>
              <w:right w:val="nil"/>
            </w:tcBorders>
            <w:shd w:val="clear" w:color="auto" w:fill="FFFF00"/>
            <w:vAlign w:val="center"/>
            <w:hideMark/>
          </w:tcPr>
          <w:p w14:paraId="47B88278" w14:textId="77777777" w:rsidR="003A18F3" w:rsidRPr="003A18F3" w:rsidRDefault="003A18F3" w:rsidP="003A18F3">
            <w:pPr>
              <w:tabs>
                <w:tab w:val="clear" w:pos="0"/>
              </w:tabs>
              <w:spacing w:after="0"/>
              <w:jc w:val="center"/>
              <w:textAlignment w:val="baseline"/>
              <w:rPr>
                <w:rFonts w:ascii="Segoe UI" w:hAnsi="Segoe UI" w:cs="Segoe UI"/>
                <w:b/>
                <w:bCs/>
                <w:color w:val="000000"/>
                <w:sz w:val="18"/>
                <w:szCs w:val="18"/>
                <w:lang w:val="en-US"/>
              </w:rPr>
            </w:pPr>
            <w:r w:rsidRPr="003A18F3">
              <w:rPr>
                <w:b/>
                <w:bCs/>
                <w:color w:val="000000"/>
                <w:lang w:val="en-US"/>
              </w:rPr>
              <w:t>958 – 1,042</w:t>
            </w:r>
          </w:p>
        </w:tc>
        <w:tc>
          <w:tcPr>
            <w:tcW w:w="1785" w:type="pct"/>
            <w:tcBorders>
              <w:top w:val="single" w:sz="6" w:space="0" w:color="auto"/>
              <w:left w:val="single" w:sz="6" w:space="0" w:color="auto"/>
              <w:bottom w:val="single" w:sz="6" w:space="0" w:color="auto"/>
              <w:right w:val="single" w:sz="6" w:space="0" w:color="auto"/>
            </w:tcBorders>
            <w:shd w:val="clear" w:color="auto" w:fill="FFFF00"/>
            <w:vAlign w:val="center"/>
            <w:hideMark/>
          </w:tcPr>
          <w:p w14:paraId="0C72040C" w14:textId="77777777" w:rsidR="003A18F3" w:rsidRPr="003A18F3" w:rsidRDefault="003A18F3" w:rsidP="003A18F3">
            <w:pPr>
              <w:tabs>
                <w:tab w:val="clear" w:pos="0"/>
              </w:tabs>
              <w:spacing w:after="0"/>
              <w:jc w:val="center"/>
              <w:textAlignment w:val="baseline"/>
              <w:rPr>
                <w:rFonts w:ascii="Segoe UI" w:hAnsi="Segoe UI" w:cs="Segoe UI"/>
                <w:b/>
                <w:bCs/>
                <w:color w:val="000000"/>
                <w:sz w:val="18"/>
                <w:szCs w:val="18"/>
                <w:lang w:val="en-US"/>
              </w:rPr>
            </w:pPr>
            <w:r w:rsidRPr="003A18F3">
              <w:rPr>
                <w:b/>
                <w:bCs/>
                <w:color w:val="000000"/>
                <w:lang w:val="en-US"/>
              </w:rPr>
              <w:t>690 – 769</w:t>
            </w:r>
          </w:p>
        </w:tc>
      </w:tr>
      <w:tr w:rsidR="003A18F3" w:rsidRPr="003A18F3" w14:paraId="560408FD" w14:textId="77777777" w:rsidTr="003A18F3">
        <w:trPr>
          <w:trHeight w:val="285"/>
        </w:trPr>
        <w:tc>
          <w:tcPr>
            <w:tcW w:w="1386" w:type="pct"/>
            <w:tcBorders>
              <w:top w:val="single" w:sz="6" w:space="0" w:color="auto"/>
              <w:left w:val="single" w:sz="6" w:space="0" w:color="auto"/>
              <w:bottom w:val="single" w:sz="6" w:space="0" w:color="auto"/>
              <w:right w:val="single" w:sz="6" w:space="0" w:color="auto"/>
            </w:tcBorders>
            <w:shd w:val="clear" w:color="auto" w:fill="FFFF00"/>
            <w:vAlign w:val="bottom"/>
          </w:tcPr>
          <w:p w14:paraId="05C9BEA6" w14:textId="77777777" w:rsidR="003A18F3" w:rsidRPr="003A18F3" w:rsidRDefault="003A18F3" w:rsidP="003A18F3">
            <w:pPr>
              <w:tabs>
                <w:tab w:val="clear" w:pos="0"/>
              </w:tabs>
              <w:spacing w:after="0"/>
              <w:jc w:val="center"/>
              <w:textAlignment w:val="baseline"/>
              <w:rPr>
                <w:b/>
                <w:bCs/>
                <w:color w:val="000000"/>
                <w:lang w:val="en-US"/>
              </w:rPr>
            </w:pPr>
            <w:r w:rsidRPr="003A18F3">
              <w:rPr>
                <w:b/>
                <w:bCs/>
                <w:color w:val="000000"/>
                <w:lang w:val="en-US"/>
              </w:rPr>
              <w:t>2030–2032</w:t>
            </w:r>
            <w:r w:rsidRPr="003A18F3">
              <w:rPr>
                <w:color w:val="000000"/>
                <w:lang w:val="en-US"/>
              </w:rPr>
              <w:t> </w:t>
            </w:r>
          </w:p>
        </w:tc>
        <w:tc>
          <w:tcPr>
            <w:tcW w:w="1828" w:type="pct"/>
            <w:tcBorders>
              <w:top w:val="single" w:sz="6" w:space="0" w:color="auto"/>
              <w:left w:val="nil"/>
              <w:bottom w:val="single" w:sz="6" w:space="0" w:color="auto"/>
              <w:right w:val="nil"/>
            </w:tcBorders>
            <w:shd w:val="clear" w:color="auto" w:fill="FFFF00"/>
            <w:vAlign w:val="center"/>
          </w:tcPr>
          <w:p w14:paraId="27A3A1F3" w14:textId="77777777" w:rsidR="003A18F3" w:rsidRPr="003A18F3" w:rsidRDefault="003A18F3" w:rsidP="003A18F3">
            <w:pPr>
              <w:tabs>
                <w:tab w:val="clear" w:pos="0"/>
              </w:tabs>
              <w:spacing w:after="0"/>
              <w:jc w:val="center"/>
              <w:textAlignment w:val="baseline"/>
              <w:rPr>
                <w:b/>
                <w:bCs/>
                <w:color w:val="000000"/>
                <w:lang w:val="en-US"/>
              </w:rPr>
            </w:pPr>
            <w:r w:rsidRPr="003A18F3">
              <w:rPr>
                <w:b/>
                <w:bCs/>
                <w:color w:val="000000"/>
                <w:lang w:val="en-US"/>
              </w:rPr>
              <w:t>876 – 907</w:t>
            </w:r>
          </w:p>
        </w:tc>
        <w:tc>
          <w:tcPr>
            <w:tcW w:w="1785" w:type="pct"/>
            <w:tcBorders>
              <w:top w:val="single" w:sz="6" w:space="0" w:color="auto"/>
              <w:left w:val="single" w:sz="6" w:space="0" w:color="auto"/>
              <w:bottom w:val="single" w:sz="6" w:space="0" w:color="auto"/>
              <w:right w:val="single" w:sz="6" w:space="0" w:color="auto"/>
            </w:tcBorders>
            <w:shd w:val="clear" w:color="auto" w:fill="FFFF00"/>
            <w:vAlign w:val="center"/>
          </w:tcPr>
          <w:p w14:paraId="4B88B13B" w14:textId="77777777" w:rsidR="003A18F3" w:rsidRPr="003A18F3" w:rsidRDefault="003A18F3" w:rsidP="003A18F3">
            <w:pPr>
              <w:tabs>
                <w:tab w:val="clear" w:pos="0"/>
              </w:tabs>
              <w:spacing w:after="0"/>
              <w:jc w:val="center"/>
              <w:textAlignment w:val="baseline"/>
              <w:rPr>
                <w:b/>
                <w:bCs/>
                <w:color w:val="000000"/>
                <w:lang w:val="en-US"/>
              </w:rPr>
            </w:pPr>
            <w:r w:rsidRPr="003A18F3">
              <w:rPr>
                <w:b/>
                <w:bCs/>
                <w:color w:val="000000"/>
                <w:lang w:val="en-US"/>
              </w:rPr>
              <w:t>1,049 – 1,084</w:t>
            </w:r>
          </w:p>
        </w:tc>
      </w:tr>
      <w:tr w:rsidR="003A18F3" w:rsidRPr="003A18F3" w14:paraId="247D5DB1" w14:textId="77777777" w:rsidTr="003A18F3">
        <w:trPr>
          <w:trHeight w:val="285"/>
        </w:trPr>
        <w:tc>
          <w:tcPr>
            <w:tcW w:w="1386" w:type="pct"/>
            <w:tcBorders>
              <w:top w:val="single" w:sz="6" w:space="0" w:color="auto"/>
              <w:left w:val="single" w:sz="6" w:space="0" w:color="auto"/>
              <w:bottom w:val="single" w:sz="6" w:space="0" w:color="auto"/>
              <w:right w:val="single" w:sz="6" w:space="0" w:color="auto"/>
            </w:tcBorders>
            <w:shd w:val="clear" w:color="auto" w:fill="FFFF00"/>
            <w:vAlign w:val="bottom"/>
            <w:hideMark/>
          </w:tcPr>
          <w:p w14:paraId="73D9A29B" w14:textId="77777777" w:rsidR="003A18F3" w:rsidRPr="003A18F3" w:rsidRDefault="003A18F3" w:rsidP="003A18F3">
            <w:pPr>
              <w:tabs>
                <w:tab w:val="clear" w:pos="0"/>
              </w:tabs>
              <w:spacing w:after="0"/>
              <w:jc w:val="center"/>
              <w:textAlignment w:val="baseline"/>
              <w:rPr>
                <w:rFonts w:ascii="Segoe UI" w:hAnsi="Segoe UI" w:cs="Segoe UI"/>
                <w:color w:val="000000"/>
                <w:sz w:val="18"/>
                <w:szCs w:val="18"/>
                <w:lang w:val="en-US"/>
              </w:rPr>
            </w:pPr>
            <w:r w:rsidRPr="003A18F3">
              <w:rPr>
                <w:b/>
                <w:bCs/>
                <w:color w:val="000000"/>
                <w:lang w:val="en-US"/>
              </w:rPr>
              <w:t>2033–2035</w:t>
            </w:r>
            <w:r w:rsidRPr="003A18F3">
              <w:rPr>
                <w:color w:val="000000"/>
                <w:lang w:val="en-US"/>
              </w:rPr>
              <w:t> </w:t>
            </w:r>
          </w:p>
        </w:tc>
        <w:tc>
          <w:tcPr>
            <w:tcW w:w="1828" w:type="pct"/>
            <w:tcBorders>
              <w:top w:val="nil"/>
              <w:left w:val="nil"/>
              <w:bottom w:val="single" w:sz="6" w:space="0" w:color="auto"/>
              <w:right w:val="nil"/>
            </w:tcBorders>
            <w:shd w:val="clear" w:color="auto" w:fill="FFFF00"/>
            <w:vAlign w:val="center"/>
            <w:hideMark/>
          </w:tcPr>
          <w:p w14:paraId="7F400632" w14:textId="24712D56" w:rsidR="003A18F3" w:rsidRPr="003A18F3" w:rsidRDefault="003A18F3" w:rsidP="003A18F3">
            <w:pPr>
              <w:tabs>
                <w:tab w:val="clear" w:pos="0"/>
              </w:tabs>
              <w:spacing w:after="0"/>
              <w:jc w:val="center"/>
              <w:textAlignment w:val="baseline"/>
              <w:rPr>
                <w:rFonts w:ascii="Segoe UI" w:hAnsi="Segoe UI" w:cs="Segoe UI"/>
                <w:b/>
                <w:bCs/>
                <w:color w:val="000000"/>
                <w:sz w:val="18"/>
                <w:szCs w:val="18"/>
                <w:lang w:val="en-US"/>
              </w:rPr>
            </w:pPr>
            <w:r w:rsidRPr="003A18F3">
              <w:rPr>
                <w:b/>
                <w:bCs/>
                <w:color w:val="000000"/>
                <w:lang w:val="en-US"/>
              </w:rPr>
              <w:t>48</w:t>
            </w:r>
            <w:r w:rsidR="00196F03">
              <w:rPr>
                <w:b/>
                <w:bCs/>
                <w:color w:val="000000"/>
                <w:lang w:val="en-US"/>
              </w:rPr>
              <w:t>8</w:t>
            </w:r>
            <w:r w:rsidRPr="003A18F3">
              <w:rPr>
                <w:b/>
                <w:bCs/>
                <w:color w:val="000000"/>
                <w:lang w:val="en-US"/>
              </w:rPr>
              <w:t xml:space="preserve"> – 503</w:t>
            </w:r>
          </w:p>
        </w:tc>
        <w:tc>
          <w:tcPr>
            <w:tcW w:w="1785" w:type="pct"/>
            <w:tcBorders>
              <w:top w:val="nil"/>
              <w:left w:val="single" w:sz="6" w:space="0" w:color="auto"/>
              <w:bottom w:val="single" w:sz="6" w:space="0" w:color="auto"/>
              <w:right w:val="single" w:sz="6" w:space="0" w:color="auto"/>
            </w:tcBorders>
            <w:shd w:val="clear" w:color="auto" w:fill="FFFF00"/>
            <w:vAlign w:val="center"/>
            <w:hideMark/>
          </w:tcPr>
          <w:p w14:paraId="563AAFF6" w14:textId="77777777" w:rsidR="003A18F3" w:rsidRPr="003A18F3" w:rsidRDefault="003A18F3" w:rsidP="003A18F3">
            <w:pPr>
              <w:tabs>
                <w:tab w:val="clear" w:pos="0"/>
              </w:tabs>
              <w:spacing w:after="0"/>
              <w:jc w:val="center"/>
              <w:textAlignment w:val="baseline"/>
              <w:rPr>
                <w:rFonts w:ascii="Segoe UI" w:hAnsi="Segoe UI" w:cs="Segoe UI"/>
                <w:b/>
                <w:bCs/>
                <w:color w:val="000000"/>
                <w:sz w:val="18"/>
                <w:szCs w:val="18"/>
                <w:lang w:val="en-US"/>
              </w:rPr>
            </w:pPr>
            <w:r w:rsidRPr="003A18F3">
              <w:rPr>
                <w:b/>
                <w:bCs/>
                <w:color w:val="000000"/>
                <w:lang w:val="en-US"/>
              </w:rPr>
              <w:t>583 – 600</w:t>
            </w:r>
          </w:p>
        </w:tc>
      </w:tr>
    </w:tbl>
    <w:p w14:paraId="305AA16F" w14:textId="77777777" w:rsidR="00653C1A" w:rsidRDefault="00653C1A" w:rsidP="00DB6AC7"/>
    <w:p w14:paraId="52620702" w14:textId="77777777" w:rsidR="00F23873" w:rsidRDefault="00F23873" w:rsidP="00DB6AC7"/>
    <w:p w14:paraId="1A9C135F" w14:textId="77777777" w:rsidR="00F23873" w:rsidRDefault="00F23873" w:rsidP="00DB6AC7">
      <w:pPr>
        <w:sectPr w:rsidR="00F23873" w:rsidSect="00944202">
          <w:pgSz w:w="11906" w:h="16838"/>
          <w:pgMar w:top="1411" w:right="1411" w:bottom="1411" w:left="1411" w:header="706" w:footer="706" w:gutter="0"/>
          <w:cols w:space="708"/>
          <w:docGrid w:linePitch="360"/>
        </w:sectPr>
      </w:pPr>
    </w:p>
    <w:p w14:paraId="00D42B84" w14:textId="77777777" w:rsidR="00E24B72" w:rsidRDefault="00FC3B44" w:rsidP="005D31A7">
      <w:pPr>
        <w:pStyle w:val="Heading1"/>
      </w:pPr>
      <w:bookmarkStart w:id="211" w:name="_Toc119436576"/>
      <w:bookmarkStart w:id="212" w:name="_Toc230099089"/>
      <w:r w:rsidRPr="00E42C5E">
        <w:lastRenderedPageBreak/>
        <w:t>4</w:t>
      </w:r>
      <w:r w:rsidRPr="00E42C5E">
        <w:tab/>
      </w:r>
      <w:bookmarkEnd w:id="211"/>
      <w:r w:rsidR="00E24B72">
        <w:t>HFC Production Sector and HFC-23 By-Product Emission Mitigation</w:t>
      </w:r>
      <w:bookmarkEnd w:id="212"/>
    </w:p>
    <w:p w14:paraId="2DE1742A" w14:textId="7F18FC9D" w:rsidR="00D35BCB" w:rsidRDefault="00D35BCB" w:rsidP="002D02B7">
      <w:pPr>
        <w:pStyle w:val="Heading2"/>
      </w:pPr>
      <w:bookmarkStart w:id="213" w:name="_Toc119436577"/>
      <w:bookmarkStart w:id="214" w:name="_Toc230099090"/>
      <w:r w:rsidRPr="00E42C5E">
        <w:t>4</w:t>
      </w:r>
      <w:r w:rsidR="00FC3B44" w:rsidRPr="00E42C5E">
        <w:t>.1</w:t>
      </w:r>
      <w:r w:rsidR="00FC3B44" w:rsidRPr="00E42C5E">
        <w:tab/>
      </w:r>
      <w:r w:rsidR="00E24B72">
        <w:t>Introduction</w:t>
      </w:r>
      <w:bookmarkEnd w:id="213"/>
      <w:bookmarkEnd w:id="214"/>
    </w:p>
    <w:p w14:paraId="19CF0BAC" w14:textId="76F38F40" w:rsidR="00D72A33" w:rsidRPr="00C215E6" w:rsidRDefault="00D72A33" w:rsidP="00D72A33">
      <w:r w:rsidRPr="4F2EB710">
        <w:t xml:space="preserve">Paragraph 6 of Article 2J of the </w:t>
      </w:r>
      <w:r w:rsidR="00FF0F7D">
        <w:t>KA</w:t>
      </w:r>
      <w:r w:rsidRPr="4F2EB710">
        <w:t xml:space="preserve"> states that “Each Party manufacturing Annex C, Group I, or Annex F substances shall ensure that for the twelve-month period commencing on 1 January 2020, and in each twelve-month period thereafter, its emissions of Annex F, Group II, substances generated in each production facility that manufactures Annex C, Group I, or Annex F substances are destroyed to the extent practicable using technology approved by the Parties in the same twelve-month period.”</w:t>
      </w:r>
      <w:r>
        <w:t xml:space="preserve"> </w:t>
      </w:r>
      <w:r w:rsidRPr="4F2EB710">
        <w:t>HFC-23 is listed as a controlled (HFC) substance in Annex F, Group II.</w:t>
      </w:r>
    </w:p>
    <w:p w14:paraId="36FF8F71" w14:textId="572351D0" w:rsidR="00D72A33" w:rsidRPr="006C54E2" w:rsidRDefault="02E98CF2" w:rsidP="00D72A33">
      <w:pPr>
        <w:rPr>
          <w:rStyle w:val="FootnoteReference"/>
          <w:vertAlign w:val="baseline"/>
        </w:rPr>
      </w:pPr>
      <w:r w:rsidRPr="00C677CD">
        <w:t xml:space="preserve">HFC-23 is produced as a </w:t>
      </w:r>
      <w:r w:rsidRPr="006C54E2">
        <w:t>by-product of HCFC-22 production (for both emissive uses and for feedstock production). HCFC-22 production facilities with Clean Development Mechanism (CDM)</w:t>
      </w:r>
      <w:r w:rsidR="00D72A33" w:rsidRPr="006C54E2">
        <w:rPr>
          <w:rStyle w:val="FootnoteReference"/>
        </w:rPr>
        <w:footnoteReference w:id="40"/>
      </w:r>
      <w:r w:rsidRPr="006C54E2">
        <w:t xml:space="preserve"> projects installed destruction technologies</w:t>
      </w:r>
      <w:r>
        <w:t>;</w:t>
      </w:r>
      <w:r w:rsidRPr="006C54E2">
        <w:t xml:space="preserve"> however, not all facilities were eligible for CDM projects; </w:t>
      </w:r>
      <w:bookmarkStart w:id="215" w:name="_Int_Wy6AhPds"/>
      <w:r w:rsidRPr="006C54E2">
        <w:t>a number of</w:t>
      </w:r>
      <w:bookmarkEnd w:id="215"/>
      <w:r w:rsidRPr="006C54E2">
        <w:t xml:space="preserve"> facilities may not have installed emission </w:t>
      </w:r>
      <w:r>
        <w:t>abatement</w:t>
      </w:r>
      <w:r w:rsidRPr="006C54E2">
        <w:t xml:space="preserve"> technology. Various emissions mitigation options are available, including closure of HCFC-22 production</w:t>
      </w:r>
      <w:r w:rsidRPr="0D165169">
        <w:rPr>
          <w:lang w:eastAsia="zh-CN"/>
        </w:rPr>
        <w:t>,</w:t>
      </w:r>
      <w:r w:rsidRPr="006C54E2">
        <w:rPr>
          <w:lang w:eastAsia="zh-CN"/>
        </w:rPr>
        <w:t xml:space="preserve"> </w:t>
      </w:r>
      <w:r w:rsidRPr="006C54E2">
        <w:t xml:space="preserve">on-site incineration of HFC-23, </w:t>
      </w:r>
      <w:r w:rsidRPr="0D165169">
        <w:rPr>
          <w:lang w:eastAsia="zh-CN"/>
        </w:rPr>
        <w:t>a</w:t>
      </w:r>
      <w:r w:rsidRPr="006C54E2">
        <w:rPr>
          <w:lang w:eastAsia="zh-CN"/>
        </w:rPr>
        <w:t xml:space="preserve">nd </w:t>
      </w:r>
      <w:r w:rsidRPr="006C54E2">
        <w:t>off-site destruction of HFC-23. Destruction technologies for HFC-23 have been evaluated by TEAP</w:t>
      </w:r>
      <w:r w:rsidR="00D72A33" w:rsidRPr="006C54E2">
        <w:rPr>
          <w:vertAlign w:val="superscript"/>
        </w:rPr>
        <w:footnoteReference w:id="41"/>
      </w:r>
      <w:r w:rsidRPr="006C54E2">
        <w:t xml:space="preserve"> </w:t>
      </w:r>
      <w:r>
        <w:t xml:space="preserve">and </w:t>
      </w:r>
      <w:r w:rsidRPr="006C54E2">
        <w:t>approved by parties</w:t>
      </w:r>
      <w:r>
        <w:t>.</w:t>
      </w:r>
      <w:r w:rsidR="603C06EE">
        <w:t xml:space="preserve"> </w:t>
      </w:r>
      <w:r w:rsidR="00D72A33" w:rsidRPr="009B7B00">
        <w:rPr>
          <w:vertAlign w:val="superscript"/>
        </w:rPr>
        <w:footnoteReference w:id="42"/>
      </w:r>
      <w:r w:rsidRPr="009B7B00">
        <w:rPr>
          <w:rFonts w:hint="eastAsia"/>
        </w:rPr>
        <w:t xml:space="preserve"> </w:t>
      </w:r>
      <w:r w:rsidR="00D72A33" w:rsidRPr="009B7B00">
        <w:rPr>
          <w:vertAlign w:val="superscript"/>
        </w:rPr>
        <w:footnoteReference w:id="43"/>
      </w:r>
      <w:r w:rsidRPr="009B7B00">
        <w:rPr>
          <w:rFonts w:hint="eastAsia"/>
        </w:rPr>
        <w:t xml:space="preserve"> </w:t>
      </w:r>
      <w:r w:rsidR="00D72A33" w:rsidRPr="009B7B00">
        <w:rPr>
          <w:vertAlign w:val="superscript"/>
        </w:rPr>
        <w:footnoteReference w:id="44"/>
      </w:r>
      <w:r w:rsidRPr="009B7B00">
        <w:rPr>
          <w:rFonts w:hint="eastAsia"/>
        </w:rPr>
        <w:t xml:space="preserve"> </w:t>
      </w:r>
      <w:r w:rsidR="00D72A33" w:rsidRPr="009B7B00">
        <w:rPr>
          <w:vertAlign w:val="superscript"/>
        </w:rPr>
        <w:footnoteReference w:id="45"/>
      </w:r>
      <w:r>
        <w:t xml:space="preserve"> </w:t>
      </w:r>
      <w:r w:rsidR="00D72A33" w:rsidRPr="009B7B00">
        <w:rPr>
          <w:vertAlign w:val="superscript"/>
        </w:rPr>
        <w:footnoteReference w:id="46"/>
      </w:r>
      <w:r>
        <w:t xml:space="preserve"> </w:t>
      </w:r>
      <w:r w:rsidR="00D72A33" w:rsidRPr="009B7B00">
        <w:rPr>
          <w:vertAlign w:val="superscript"/>
        </w:rPr>
        <w:footnoteReference w:id="47"/>
      </w:r>
      <w:r>
        <w:t xml:space="preserve"> </w:t>
      </w:r>
      <w:r w:rsidR="00D72A33" w:rsidRPr="009B7B00">
        <w:rPr>
          <w:vertAlign w:val="superscript"/>
        </w:rPr>
        <w:footnoteReference w:id="48"/>
      </w:r>
      <w:r>
        <w:t xml:space="preserve"> </w:t>
      </w:r>
      <w:r w:rsidR="00D72A33" w:rsidRPr="009B7B00">
        <w:rPr>
          <w:vertAlign w:val="superscript"/>
        </w:rPr>
        <w:footnoteReference w:id="49"/>
      </w:r>
    </w:p>
    <w:p w14:paraId="052EA03F" w14:textId="4E709BE9" w:rsidR="00D72A33" w:rsidRDefault="02E98CF2" w:rsidP="00D72A33">
      <w:r w:rsidRPr="4F2EB710">
        <w:t>ExCom 89</w:t>
      </w:r>
      <w:r>
        <w:t xml:space="preserve">, </w:t>
      </w:r>
      <w:r w:rsidRPr="4F2EB710">
        <w:t>part II, June 2022</w:t>
      </w:r>
      <w:r>
        <w:t xml:space="preserve">, </w:t>
      </w:r>
      <w:r w:rsidRPr="00E22DAC">
        <w:t>decided</w:t>
      </w:r>
      <w:r>
        <w:t xml:space="preserve"> </w:t>
      </w:r>
      <w:r w:rsidRPr="4F2EB710">
        <w:t>to confirm</w:t>
      </w:r>
      <w:r>
        <w:t>:</w:t>
      </w:r>
      <w:r w:rsidR="490AEE76">
        <w:t xml:space="preserve"> </w:t>
      </w:r>
      <w:r w:rsidR="00D72A33" w:rsidRPr="46A0AACF">
        <w:rPr>
          <w:vertAlign w:val="superscript"/>
        </w:rPr>
        <w:footnoteReference w:id="50"/>
      </w:r>
    </w:p>
    <w:p w14:paraId="68C63B38" w14:textId="77777777" w:rsidR="00D72A33" w:rsidRDefault="00D72A33" w:rsidP="00D72A33">
      <w:pPr>
        <w:pStyle w:val="ListParagraph"/>
        <w:rPr>
          <w:lang w:val="en-CA"/>
        </w:rPr>
      </w:pPr>
      <w:r w:rsidRPr="60E9D570">
        <w:rPr>
          <w:lang w:val="en-CA"/>
        </w:rPr>
        <w:t>That HFC-23 by-product was destroyed to the extent practicable in the context of Multilateral Fund-supported projects when up to a maximum of 0.1 kg of HFC-23 by-product was emitted per 100 kg of the relevant Annex C, Group I or Annex F substance produced.</w:t>
      </w:r>
    </w:p>
    <w:p w14:paraId="17DAC53D" w14:textId="77777777" w:rsidR="00D72A33" w:rsidRDefault="00D72A33" w:rsidP="00D72A33">
      <w:pPr>
        <w:pStyle w:val="ListParagraph"/>
        <w:rPr>
          <w:lang w:val="en-CA"/>
        </w:rPr>
      </w:pPr>
      <w:r w:rsidRPr="4F2EB710">
        <w:rPr>
          <w:lang w:val="en-CA"/>
        </w:rPr>
        <w:t>That HFC-23 by-product controls would be eligible independent of whether the relevant production that generated the HFC-23 was for controlled or for feedstock uses.</w:t>
      </w:r>
    </w:p>
    <w:p w14:paraId="3ECD6C3C" w14:textId="77777777" w:rsidR="00D72A33" w:rsidRDefault="00D72A33" w:rsidP="00D72A33">
      <w:pPr>
        <w:pStyle w:val="ListParagraph"/>
        <w:rPr>
          <w:lang w:val="en-CA"/>
        </w:rPr>
      </w:pPr>
      <w:r w:rsidRPr="60E9D570">
        <w:rPr>
          <w:lang w:val="en-CA"/>
        </w:rPr>
        <w:t>That the term “production” in the context of HFC-23 by-product emission control projects supported by the Multilateral Fund meant the total amount of relevant Annex C, Group I or Annex F substance produced for all uses, including controlled and feedstock uses, irrespective of any subsequent destruction, recycling, and reuse.</w:t>
      </w:r>
    </w:p>
    <w:p w14:paraId="56666DC4" w14:textId="2C65F861" w:rsidR="00FC3B44" w:rsidRPr="00E42C5E" w:rsidRDefault="00437FA1" w:rsidP="002D02B7">
      <w:pPr>
        <w:pStyle w:val="Heading2"/>
        <w:rPr>
          <w:highlight w:val="yellow"/>
        </w:rPr>
      </w:pPr>
      <w:bookmarkStart w:id="217" w:name="_Toc119436583"/>
      <w:bookmarkStart w:id="218" w:name="_Toc230099091"/>
      <w:r w:rsidRPr="00E42C5E">
        <w:lastRenderedPageBreak/>
        <w:t>4</w:t>
      </w:r>
      <w:r w:rsidR="00FC3B44" w:rsidRPr="00E42C5E">
        <w:t>.2</w:t>
      </w:r>
      <w:r w:rsidR="00FC3B44" w:rsidRPr="00E42C5E">
        <w:tab/>
      </w:r>
      <w:bookmarkEnd w:id="217"/>
      <w:r w:rsidR="00CE1DA1">
        <w:t>Overview of HFC production sector and HFC-23 by-product emission mitigation</w:t>
      </w:r>
      <w:bookmarkEnd w:id="218"/>
    </w:p>
    <w:p w14:paraId="45BFEE92" w14:textId="336ED0EE" w:rsidR="00D72A33" w:rsidRDefault="00CE1DA1" w:rsidP="007C77CF">
      <w:pPr>
        <w:pStyle w:val="Heading3"/>
      </w:pPr>
      <w:bookmarkStart w:id="219" w:name="_Toc230099092"/>
      <w:r>
        <w:t>4</w:t>
      </w:r>
      <w:r w:rsidR="00D72A33" w:rsidRPr="00E42C5E">
        <w:t>.</w:t>
      </w:r>
      <w:r>
        <w:t>2</w:t>
      </w:r>
      <w:r w:rsidR="00D72A33" w:rsidRPr="00E42C5E">
        <w:t>.1</w:t>
      </w:r>
      <w:r w:rsidR="00D72A33" w:rsidRPr="00E42C5E">
        <w:tab/>
      </w:r>
      <w:r>
        <w:t>HFC production</w:t>
      </w:r>
      <w:bookmarkEnd w:id="219"/>
    </w:p>
    <w:p w14:paraId="0F0754FD" w14:textId="69789FEE" w:rsidR="00CE1DA1" w:rsidRDefault="43736DCF" w:rsidP="001D54E1">
      <w:pPr>
        <w:rPr>
          <w:color w:val="auto"/>
          <w:lang w:val="en-US" w:eastAsia="zh-CN"/>
        </w:rPr>
      </w:pPr>
      <w:r w:rsidRPr="26C4EEEA">
        <w:rPr>
          <w:lang w:val="en-US" w:eastAsia="zh-CN"/>
        </w:rPr>
        <w:t xml:space="preserve">Five A5 parties (Argentina, China, India, the DPRK, and Mexico) have an obligation to report 2021 data on HFC production and HFC-23 by-product generation under the </w:t>
      </w:r>
      <w:r w:rsidR="00FF0F7D">
        <w:rPr>
          <w:lang w:val="en-US" w:eastAsia="zh-CN"/>
        </w:rPr>
        <w:t>KA</w:t>
      </w:r>
      <w:r w:rsidRPr="26C4EEEA">
        <w:rPr>
          <w:lang w:val="en-US" w:eastAsia="zh-CN"/>
        </w:rPr>
        <w:t>.</w:t>
      </w:r>
      <w:r>
        <w:rPr>
          <w:lang w:val="en-US" w:eastAsia="zh-CN"/>
        </w:rPr>
        <w:t xml:space="preserve"> </w:t>
      </w:r>
      <w:r w:rsidRPr="6899D804">
        <w:rPr>
          <w:lang w:val="en-US" w:eastAsia="zh-CN"/>
        </w:rPr>
        <w:t>Currently, three parties report their HFC production according to CP and A7 data</w:t>
      </w:r>
      <w:r w:rsidRPr="00C45B14">
        <w:rPr>
          <w:color w:val="auto"/>
          <w:lang w:val="en-US" w:eastAsia="zh-CN"/>
        </w:rPr>
        <w:t xml:space="preserve">. </w:t>
      </w:r>
      <w:r w:rsidRPr="00C45B14">
        <w:rPr>
          <w:color w:val="auto"/>
          <w:lang w:val="en-US"/>
        </w:rPr>
        <w:t>As of 9 October 2025, A7 data on HFC production was available for the three HFC producing countries, as shown in Table 4</w:t>
      </w:r>
      <w:r w:rsidR="0CCFB5A8" w:rsidRPr="00C45B14">
        <w:rPr>
          <w:color w:val="auto"/>
          <w:lang w:val="en-US"/>
        </w:rPr>
        <w:t>.1</w:t>
      </w:r>
      <w:r w:rsidRPr="00C45B14">
        <w:rPr>
          <w:color w:val="auto"/>
          <w:lang w:val="en-US"/>
        </w:rPr>
        <w:t xml:space="preserve"> and Table 4</w:t>
      </w:r>
      <w:r w:rsidR="0CCFB5A8" w:rsidRPr="00C45B14">
        <w:rPr>
          <w:color w:val="auto"/>
          <w:lang w:val="en-US"/>
        </w:rPr>
        <w:t>.</w:t>
      </w:r>
      <w:r w:rsidRPr="00C45B14">
        <w:rPr>
          <w:color w:val="auto"/>
          <w:lang w:val="en-US"/>
        </w:rPr>
        <w:t>2</w:t>
      </w:r>
      <w:r w:rsidR="0CCFB5A8" w:rsidRPr="00C45B14">
        <w:rPr>
          <w:color w:val="auto"/>
          <w:lang w:val="en-US"/>
        </w:rPr>
        <w:t>.</w:t>
      </w:r>
      <w:r w:rsidR="573DFBD7" w:rsidRPr="00C45B14">
        <w:rPr>
          <w:color w:val="auto"/>
          <w:lang w:val="en-US"/>
        </w:rPr>
        <w:t xml:space="preserve"> </w:t>
      </w:r>
      <w:r w:rsidRPr="00C45B14">
        <w:rPr>
          <w:color w:val="auto"/>
          <w:lang w:val="en-US" w:eastAsia="zh-CN"/>
        </w:rPr>
        <w:t xml:space="preserve">In 2024, China (Group 1) produced 719,399 tonnes, India (Group 2) produced 46,500 tonnes in 2024, and </w:t>
      </w:r>
      <w:r w:rsidR="00A34FEE">
        <w:rPr>
          <w:color w:val="auto"/>
          <w:lang w:val="en-US" w:eastAsia="zh-CN"/>
        </w:rPr>
        <w:t xml:space="preserve">the </w:t>
      </w:r>
      <w:r w:rsidRPr="00C45B14">
        <w:rPr>
          <w:color w:val="auto"/>
          <w:lang w:val="en-US" w:eastAsia="zh-CN"/>
        </w:rPr>
        <w:t>DPRK produced 372 tonnes in 2022.</w:t>
      </w:r>
      <w:r w:rsidR="001D54E1" w:rsidRPr="00C45B14">
        <w:rPr>
          <w:color w:val="auto"/>
          <w:vertAlign w:val="superscript"/>
          <w:lang w:eastAsia="zh-CN"/>
        </w:rPr>
        <w:footnoteReference w:id="51"/>
      </w:r>
      <w:r w:rsidRPr="00C45B14">
        <w:rPr>
          <w:color w:val="auto"/>
          <w:lang w:val="en-US" w:eastAsia="zh-CN"/>
        </w:rPr>
        <w:t xml:space="preserve"> </w:t>
      </w:r>
      <w:r w:rsidR="00A34FEE">
        <w:rPr>
          <w:color w:val="auto"/>
          <w:lang w:val="en-US" w:eastAsia="zh-CN"/>
        </w:rPr>
        <w:t xml:space="preserve">The </w:t>
      </w:r>
      <w:r w:rsidRPr="05939B39">
        <w:rPr>
          <w:color w:val="auto"/>
          <w:lang w:val="en-US" w:eastAsia="zh-CN"/>
        </w:rPr>
        <w:t>DPRK is currently ineligible for funding</w:t>
      </w:r>
    </w:p>
    <w:p w14:paraId="0D820E4F" w14:textId="6ADAA30F" w:rsidR="00C45B14" w:rsidRDefault="00C45B14" w:rsidP="002135B0">
      <w:pPr>
        <w:tabs>
          <w:tab w:val="left" w:pos="1134"/>
        </w:tabs>
        <w:spacing w:after="120"/>
        <w:ind w:left="1418" w:hanging="1418"/>
        <w:rPr>
          <w:rFonts w:eastAsiaTheme="minorHAnsi"/>
          <w:b/>
          <w:bCs/>
        </w:rPr>
      </w:pPr>
      <w:r w:rsidRPr="00E42C5E">
        <w:rPr>
          <w:rFonts w:eastAsiaTheme="minorHAnsi"/>
          <w:b/>
          <w:bCs/>
        </w:rPr>
        <w:t xml:space="preserve">Table </w:t>
      </w:r>
      <w:r>
        <w:rPr>
          <w:rFonts w:eastAsiaTheme="minorHAnsi"/>
          <w:b/>
          <w:bCs/>
        </w:rPr>
        <w:t>4.1</w:t>
      </w:r>
      <w:r w:rsidR="00A950BA">
        <w:rPr>
          <w:rFonts w:eastAsiaTheme="minorHAnsi"/>
          <w:b/>
          <w:bCs/>
        </w:rPr>
        <w:t>:</w:t>
      </w:r>
      <w:r w:rsidRPr="00E42C5E">
        <w:rPr>
          <w:rFonts w:eastAsiaTheme="minorHAnsi"/>
          <w:b/>
          <w:bCs/>
        </w:rPr>
        <w:tab/>
      </w:r>
      <w:r>
        <w:rPr>
          <w:rFonts w:eastAsiaTheme="minorHAnsi"/>
          <w:b/>
          <w:bCs/>
        </w:rPr>
        <w:t>HFC production by chemicals (tonnes</w:t>
      </w:r>
      <w:r w:rsidRPr="00907F9B">
        <w:rPr>
          <w:rFonts w:eastAsiaTheme="minorHAnsi"/>
          <w:b/>
          <w:bCs/>
        </w:rPr>
        <w:t>)</w:t>
      </w:r>
    </w:p>
    <w:tbl>
      <w:tblPr>
        <w:tblStyle w:val="TableGrid"/>
        <w:tblW w:w="5000" w:type="pct"/>
        <w:tblLook w:val="04A0" w:firstRow="1" w:lastRow="0" w:firstColumn="1" w:lastColumn="0" w:noHBand="0" w:noVBand="1"/>
      </w:tblPr>
      <w:tblGrid>
        <w:gridCol w:w="1092"/>
        <w:gridCol w:w="2321"/>
        <w:gridCol w:w="1334"/>
        <w:gridCol w:w="1443"/>
        <w:gridCol w:w="1445"/>
        <w:gridCol w:w="1439"/>
      </w:tblGrid>
      <w:tr w:rsidR="00B17AD9" w:rsidRPr="009D75AC" w14:paraId="46C02123" w14:textId="77777777" w:rsidTr="00D41A33">
        <w:tc>
          <w:tcPr>
            <w:tcW w:w="602" w:type="pct"/>
            <w:shd w:val="clear" w:color="auto" w:fill="D9E2F3" w:themeFill="accent1" w:themeFillTint="33"/>
            <w:vAlign w:val="center"/>
          </w:tcPr>
          <w:p w14:paraId="202D4AED" w14:textId="77777777" w:rsidR="00B17AD9" w:rsidRPr="009D75AC" w:rsidRDefault="00B17AD9" w:rsidP="00D41A33">
            <w:pPr>
              <w:spacing w:before="120" w:after="120"/>
              <w:rPr>
                <w:rFonts w:eastAsia="DengXian"/>
                <w:b/>
                <w:bCs/>
                <w:lang w:val="en-US" w:eastAsia="zh-CN"/>
              </w:rPr>
            </w:pPr>
            <w:r w:rsidRPr="009D75AC">
              <w:rPr>
                <w:rFonts w:eastAsia="DengXian" w:hint="eastAsia"/>
                <w:b/>
                <w:bCs/>
                <w:lang w:val="en-US" w:eastAsia="zh-CN"/>
              </w:rPr>
              <w:t>Country</w:t>
            </w:r>
          </w:p>
        </w:tc>
        <w:tc>
          <w:tcPr>
            <w:tcW w:w="1279" w:type="pct"/>
            <w:shd w:val="clear" w:color="auto" w:fill="D9E2F3" w:themeFill="accent1" w:themeFillTint="33"/>
            <w:vAlign w:val="center"/>
          </w:tcPr>
          <w:p w14:paraId="04A02A5C" w14:textId="77777777" w:rsidR="00B17AD9" w:rsidRPr="009D75AC" w:rsidRDefault="00B17AD9" w:rsidP="00D41A33">
            <w:pPr>
              <w:spacing w:after="0"/>
              <w:jc w:val="center"/>
              <w:rPr>
                <w:rFonts w:eastAsia="DengXian"/>
                <w:b/>
                <w:bCs/>
                <w:lang w:val="en-US" w:eastAsia="zh-CN"/>
              </w:rPr>
            </w:pPr>
            <w:r w:rsidRPr="009D75AC">
              <w:rPr>
                <w:rFonts w:eastAsia="DengXian"/>
                <w:b/>
                <w:bCs/>
                <w:lang w:val="en-US" w:eastAsia="zh-CN"/>
              </w:rPr>
              <w:t>HFCs</w:t>
            </w:r>
          </w:p>
        </w:tc>
        <w:tc>
          <w:tcPr>
            <w:tcW w:w="735" w:type="pct"/>
            <w:shd w:val="clear" w:color="auto" w:fill="D9E2F3" w:themeFill="accent1" w:themeFillTint="33"/>
            <w:vAlign w:val="center"/>
          </w:tcPr>
          <w:p w14:paraId="0F85D11C" w14:textId="77777777" w:rsidR="00B17AD9" w:rsidRPr="009D75AC" w:rsidRDefault="00B17AD9" w:rsidP="00D41A33">
            <w:pPr>
              <w:spacing w:after="0"/>
              <w:jc w:val="center"/>
              <w:rPr>
                <w:rFonts w:eastAsia="DengXian"/>
                <w:b/>
                <w:bCs/>
                <w:lang w:val="en-US" w:eastAsia="zh-CN"/>
              </w:rPr>
            </w:pPr>
            <w:r w:rsidRPr="009D75AC">
              <w:rPr>
                <w:rFonts w:eastAsia="DengXian" w:hint="eastAsia"/>
                <w:b/>
                <w:bCs/>
                <w:lang w:val="en-US" w:eastAsia="zh-CN"/>
              </w:rPr>
              <w:t>2021</w:t>
            </w:r>
          </w:p>
        </w:tc>
        <w:tc>
          <w:tcPr>
            <w:tcW w:w="795" w:type="pct"/>
            <w:shd w:val="clear" w:color="auto" w:fill="D9E2F3" w:themeFill="accent1" w:themeFillTint="33"/>
            <w:vAlign w:val="center"/>
          </w:tcPr>
          <w:p w14:paraId="1BB3CFCE" w14:textId="77777777" w:rsidR="00B17AD9" w:rsidRPr="009D75AC" w:rsidRDefault="00B17AD9" w:rsidP="00D41A33">
            <w:pPr>
              <w:spacing w:after="0"/>
              <w:jc w:val="center"/>
              <w:rPr>
                <w:rFonts w:eastAsia="DengXian"/>
                <w:b/>
                <w:bCs/>
                <w:lang w:val="en-US" w:eastAsia="zh-CN"/>
              </w:rPr>
            </w:pPr>
            <w:r w:rsidRPr="009D75AC">
              <w:rPr>
                <w:rFonts w:eastAsia="DengXian" w:hint="eastAsia"/>
                <w:b/>
                <w:bCs/>
                <w:lang w:val="en-US" w:eastAsia="zh-CN"/>
              </w:rPr>
              <w:t>2022</w:t>
            </w:r>
          </w:p>
        </w:tc>
        <w:tc>
          <w:tcPr>
            <w:tcW w:w="796" w:type="pct"/>
            <w:shd w:val="clear" w:color="auto" w:fill="D9E2F3" w:themeFill="accent1" w:themeFillTint="33"/>
            <w:vAlign w:val="center"/>
          </w:tcPr>
          <w:p w14:paraId="5C37C0E4" w14:textId="77777777" w:rsidR="00B17AD9" w:rsidRPr="009D75AC" w:rsidRDefault="00B17AD9" w:rsidP="00D41A33">
            <w:pPr>
              <w:spacing w:after="0"/>
              <w:jc w:val="center"/>
              <w:rPr>
                <w:rFonts w:eastAsia="DengXian"/>
                <w:b/>
                <w:bCs/>
                <w:lang w:val="en-US" w:eastAsia="zh-CN"/>
              </w:rPr>
            </w:pPr>
            <w:r w:rsidRPr="009D75AC">
              <w:rPr>
                <w:rFonts w:eastAsia="DengXian" w:hint="eastAsia"/>
                <w:b/>
                <w:bCs/>
                <w:lang w:val="en-US" w:eastAsia="zh-CN"/>
              </w:rPr>
              <w:t>2023</w:t>
            </w:r>
          </w:p>
        </w:tc>
        <w:tc>
          <w:tcPr>
            <w:tcW w:w="793" w:type="pct"/>
            <w:shd w:val="clear" w:color="auto" w:fill="D9E2F3" w:themeFill="accent1" w:themeFillTint="33"/>
            <w:vAlign w:val="center"/>
          </w:tcPr>
          <w:p w14:paraId="61EFC75D" w14:textId="77777777" w:rsidR="00B17AD9" w:rsidRPr="009D75AC" w:rsidRDefault="00B17AD9" w:rsidP="00D41A33">
            <w:pPr>
              <w:spacing w:after="0"/>
              <w:jc w:val="center"/>
              <w:rPr>
                <w:rFonts w:eastAsia="DengXian"/>
                <w:b/>
                <w:bCs/>
                <w:lang w:val="en-US" w:eastAsia="zh-CN"/>
              </w:rPr>
            </w:pPr>
            <w:r w:rsidRPr="009D75AC">
              <w:rPr>
                <w:rFonts w:eastAsia="DengXian" w:hint="eastAsia"/>
                <w:b/>
                <w:bCs/>
                <w:lang w:val="en-US" w:eastAsia="zh-CN"/>
              </w:rPr>
              <w:t>2024</w:t>
            </w:r>
          </w:p>
        </w:tc>
      </w:tr>
      <w:tr w:rsidR="00B17AD9" w:rsidRPr="009D75AC" w14:paraId="31D5E079" w14:textId="77777777" w:rsidTr="00D41A33">
        <w:tc>
          <w:tcPr>
            <w:tcW w:w="602" w:type="pct"/>
            <w:vAlign w:val="center"/>
          </w:tcPr>
          <w:p w14:paraId="53C41A33" w14:textId="77777777" w:rsidR="00B17AD9" w:rsidRPr="009D75AC" w:rsidRDefault="00B17AD9" w:rsidP="00D41A33">
            <w:pPr>
              <w:spacing w:before="120" w:after="120"/>
              <w:rPr>
                <w:rFonts w:eastAsia="DengXian"/>
                <w:lang w:val="en-US" w:eastAsia="zh-CN"/>
              </w:rPr>
            </w:pPr>
            <w:r w:rsidRPr="009D75AC">
              <w:rPr>
                <w:rFonts w:eastAsia="DengXian"/>
                <w:lang w:val="en-US" w:eastAsia="zh-CN"/>
              </w:rPr>
              <w:t>China</w:t>
            </w:r>
          </w:p>
        </w:tc>
        <w:tc>
          <w:tcPr>
            <w:tcW w:w="1279" w:type="pct"/>
            <w:vAlign w:val="center"/>
          </w:tcPr>
          <w:p w14:paraId="252DF23E" w14:textId="77777777" w:rsidR="00B17AD9" w:rsidRPr="009D75AC" w:rsidRDefault="00B17AD9" w:rsidP="00D41A33">
            <w:pPr>
              <w:spacing w:before="120" w:after="120"/>
              <w:rPr>
                <w:rFonts w:eastAsia="DengXian"/>
                <w:lang w:val="en-US" w:eastAsia="zh-CN"/>
              </w:rPr>
            </w:pPr>
            <w:r w:rsidRPr="009D75AC">
              <w:rPr>
                <w:rFonts w:eastAsia="DengXian" w:hint="eastAsia"/>
                <w:lang w:val="en-US" w:eastAsia="zh-CN"/>
              </w:rPr>
              <w:t>HFC-32, HFC-41, HFC-125, HFC-134a, HFC-143a, HFC-152a, HFC-227ea, HFC-236ea</w:t>
            </w:r>
            <w:r w:rsidRPr="009D75AC">
              <w:rPr>
                <w:rFonts w:eastAsia="DengXian"/>
                <w:lang w:val="en-US" w:eastAsia="zh-CN"/>
              </w:rPr>
              <w:t xml:space="preserve">, </w:t>
            </w:r>
            <w:r w:rsidRPr="009D75AC">
              <w:rPr>
                <w:rFonts w:eastAsia="DengXian" w:hint="eastAsia"/>
                <w:lang w:val="en-US" w:eastAsia="zh-CN"/>
              </w:rPr>
              <w:t>HFC-236fa</w:t>
            </w:r>
            <w:r w:rsidRPr="009D75AC">
              <w:rPr>
                <w:rFonts w:eastAsia="DengXian"/>
                <w:lang w:val="en-US" w:eastAsia="zh-CN"/>
              </w:rPr>
              <w:t xml:space="preserve">, </w:t>
            </w:r>
            <w:r w:rsidRPr="009D75AC">
              <w:rPr>
                <w:rFonts w:eastAsia="DengXian" w:hint="eastAsia"/>
                <w:lang w:val="en-US" w:eastAsia="zh-CN"/>
              </w:rPr>
              <w:t>HFC-245fa</w:t>
            </w:r>
          </w:p>
        </w:tc>
        <w:tc>
          <w:tcPr>
            <w:tcW w:w="735" w:type="pct"/>
            <w:vAlign w:val="center"/>
          </w:tcPr>
          <w:p w14:paraId="6EB2F496" w14:textId="77777777" w:rsidR="00B17AD9" w:rsidRPr="009D75AC" w:rsidRDefault="00B17AD9" w:rsidP="00D41A33">
            <w:pPr>
              <w:spacing w:before="120" w:after="120"/>
              <w:jc w:val="center"/>
              <w:rPr>
                <w:rFonts w:eastAsia="DengXian"/>
                <w:lang w:val="en-US" w:eastAsia="zh-CN"/>
              </w:rPr>
            </w:pPr>
            <w:r w:rsidRPr="009D75AC">
              <w:rPr>
                <w:rFonts w:eastAsia="DengXian" w:hint="eastAsia"/>
                <w:lang w:val="en-US" w:eastAsia="zh-CN"/>
              </w:rPr>
              <w:t>739,579.44</w:t>
            </w:r>
          </w:p>
        </w:tc>
        <w:tc>
          <w:tcPr>
            <w:tcW w:w="795" w:type="pct"/>
            <w:vAlign w:val="center"/>
          </w:tcPr>
          <w:p w14:paraId="625E03F1" w14:textId="77777777" w:rsidR="00B17AD9" w:rsidRPr="009D75AC" w:rsidRDefault="00B17AD9" w:rsidP="00D41A33">
            <w:pPr>
              <w:spacing w:before="120" w:after="120"/>
              <w:jc w:val="center"/>
              <w:rPr>
                <w:rFonts w:eastAsia="DengXian"/>
                <w:lang w:val="en-US" w:eastAsia="zh-CN"/>
              </w:rPr>
            </w:pPr>
            <w:r w:rsidRPr="009D75AC">
              <w:rPr>
                <w:rFonts w:eastAsia="DengXian" w:hint="eastAsia"/>
                <w:lang w:val="en-US" w:eastAsia="zh-CN"/>
              </w:rPr>
              <w:t>815,768.44</w:t>
            </w:r>
          </w:p>
        </w:tc>
        <w:tc>
          <w:tcPr>
            <w:tcW w:w="796" w:type="pct"/>
            <w:vAlign w:val="center"/>
          </w:tcPr>
          <w:p w14:paraId="4BCA32A8" w14:textId="77777777" w:rsidR="00B17AD9" w:rsidRPr="009D75AC" w:rsidRDefault="00B17AD9" w:rsidP="00D41A33">
            <w:pPr>
              <w:spacing w:before="120" w:after="120"/>
              <w:jc w:val="center"/>
              <w:rPr>
                <w:rFonts w:eastAsia="DengXian"/>
                <w:lang w:val="en-US" w:eastAsia="zh-CN"/>
              </w:rPr>
            </w:pPr>
            <w:r w:rsidRPr="009D75AC">
              <w:rPr>
                <w:rFonts w:eastAsia="DengXian" w:hint="eastAsia"/>
                <w:lang w:val="en-US" w:eastAsia="zh-CN"/>
              </w:rPr>
              <w:t>791,937.61</w:t>
            </w:r>
          </w:p>
        </w:tc>
        <w:tc>
          <w:tcPr>
            <w:tcW w:w="793" w:type="pct"/>
            <w:vAlign w:val="center"/>
          </w:tcPr>
          <w:p w14:paraId="27062568" w14:textId="77777777" w:rsidR="00B17AD9" w:rsidRPr="009D75AC" w:rsidRDefault="00B17AD9" w:rsidP="00D41A33">
            <w:pPr>
              <w:spacing w:before="120" w:after="120"/>
              <w:jc w:val="center"/>
              <w:rPr>
                <w:rFonts w:eastAsia="DengXian"/>
                <w:lang w:val="en-US" w:eastAsia="zh-CN"/>
              </w:rPr>
            </w:pPr>
            <w:r w:rsidRPr="009D75AC">
              <w:rPr>
                <w:rFonts w:eastAsia="DengXian" w:hint="eastAsia"/>
                <w:lang w:val="en-US" w:eastAsia="zh-CN"/>
              </w:rPr>
              <w:t>719,399.76</w:t>
            </w:r>
          </w:p>
        </w:tc>
      </w:tr>
      <w:tr w:rsidR="00B17AD9" w:rsidRPr="009D75AC" w14:paraId="045AFCE8" w14:textId="77777777" w:rsidTr="00D41A33">
        <w:tc>
          <w:tcPr>
            <w:tcW w:w="602" w:type="pct"/>
            <w:vAlign w:val="center"/>
          </w:tcPr>
          <w:p w14:paraId="751145B0" w14:textId="77777777" w:rsidR="00B17AD9" w:rsidRPr="009D75AC" w:rsidRDefault="00B17AD9" w:rsidP="00D41A33">
            <w:pPr>
              <w:spacing w:before="120" w:after="120"/>
              <w:rPr>
                <w:rFonts w:eastAsia="DengXian"/>
                <w:lang w:val="en-US" w:eastAsia="zh-CN"/>
              </w:rPr>
            </w:pPr>
            <w:r w:rsidRPr="009D75AC">
              <w:rPr>
                <w:rFonts w:eastAsia="DengXian"/>
                <w:lang w:val="en-US" w:eastAsia="zh-CN"/>
              </w:rPr>
              <w:t>DPRK</w:t>
            </w:r>
          </w:p>
        </w:tc>
        <w:tc>
          <w:tcPr>
            <w:tcW w:w="1279" w:type="pct"/>
            <w:vAlign w:val="center"/>
          </w:tcPr>
          <w:p w14:paraId="32AB78EF" w14:textId="77777777" w:rsidR="00B17AD9" w:rsidRPr="009D75AC" w:rsidRDefault="00B17AD9" w:rsidP="00D41A33">
            <w:pPr>
              <w:spacing w:before="120" w:after="120"/>
              <w:rPr>
                <w:rFonts w:eastAsia="DengXian"/>
                <w:lang w:val="en-US" w:eastAsia="zh-CN"/>
              </w:rPr>
            </w:pPr>
            <w:r w:rsidRPr="009D75AC">
              <w:rPr>
                <w:rFonts w:eastAsia="DengXian"/>
                <w:lang w:val="en-US" w:eastAsia="zh-CN"/>
              </w:rPr>
              <w:t>HFC-134a</w:t>
            </w:r>
          </w:p>
        </w:tc>
        <w:tc>
          <w:tcPr>
            <w:tcW w:w="735" w:type="pct"/>
            <w:vAlign w:val="center"/>
          </w:tcPr>
          <w:p w14:paraId="774B365F" w14:textId="77777777" w:rsidR="00B17AD9" w:rsidRPr="009D75AC" w:rsidRDefault="00B17AD9" w:rsidP="00D41A33">
            <w:pPr>
              <w:spacing w:before="120" w:after="120"/>
              <w:jc w:val="center"/>
              <w:rPr>
                <w:rFonts w:eastAsia="DengXian"/>
                <w:lang w:val="en-US" w:eastAsia="zh-CN"/>
              </w:rPr>
            </w:pPr>
            <w:r w:rsidRPr="009D75AC">
              <w:rPr>
                <w:rFonts w:eastAsia="DengXian"/>
                <w:lang w:val="en-US" w:eastAsia="zh-CN"/>
              </w:rPr>
              <w:t>357.00</w:t>
            </w:r>
          </w:p>
        </w:tc>
        <w:tc>
          <w:tcPr>
            <w:tcW w:w="795" w:type="pct"/>
            <w:vAlign w:val="center"/>
          </w:tcPr>
          <w:p w14:paraId="1B71DAA4" w14:textId="77777777" w:rsidR="00B17AD9" w:rsidRPr="009D75AC" w:rsidRDefault="00B17AD9" w:rsidP="00D41A33">
            <w:pPr>
              <w:spacing w:before="120" w:after="120"/>
              <w:jc w:val="center"/>
              <w:rPr>
                <w:rFonts w:eastAsia="DengXian"/>
                <w:lang w:val="en-US" w:eastAsia="zh-CN"/>
              </w:rPr>
            </w:pPr>
            <w:r w:rsidRPr="009D75AC">
              <w:rPr>
                <w:rFonts w:eastAsia="DengXian"/>
                <w:lang w:val="en-US" w:eastAsia="zh-CN"/>
              </w:rPr>
              <w:t>372.00</w:t>
            </w:r>
          </w:p>
        </w:tc>
        <w:tc>
          <w:tcPr>
            <w:tcW w:w="796" w:type="pct"/>
            <w:vAlign w:val="center"/>
          </w:tcPr>
          <w:p w14:paraId="79DD906E" w14:textId="77777777" w:rsidR="00B17AD9" w:rsidRPr="009D75AC" w:rsidRDefault="00B17AD9" w:rsidP="00D41A33">
            <w:pPr>
              <w:spacing w:before="120" w:after="120"/>
              <w:jc w:val="center"/>
              <w:rPr>
                <w:rFonts w:eastAsia="DengXian"/>
                <w:lang w:val="en-US" w:eastAsia="zh-CN"/>
              </w:rPr>
            </w:pPr>
            <w:r w:rsidRPr="009D75AC">
              <w:rPr>
                <w:rFonts w:eastAsia="DengXian"/>
                <w:lang w:val="en-US" w:eastAsia="zh-CN"/>
              </w:rPr>
              <w:t>-</w:t>
            </w:r>
          </w:p>
        </w:tc>
        <w:tc>
          <w:tcPr>
            <w:tcW w:w="793" w:type="pct"/>
            <w:vAlign w:val="center"/>
          </w:tcPr>
          <w:p w14:paraId="43FAB769" w14:textId="77777777" w:rsidR="00B17AD9" w:rsidRPr="009D75AC" w:rsidRDefault="00B17AD9" w:rsidP="00D41A33">
            <w:pPr>
              <w:spacing w:before="120" w:after="120"/>
              <w:jc w:val="center"/>
              <w:rPr>
                <w:rFonts w:eastAsia="DengXian"/>
                <w:lang w:val="en-US" w:eastAsia="zh-CN"/>
              </w:rPr>
            </w:pPr>
            <w:r w:rsidRPr="009D75AC">
              <w:rPr>
                <w:rFonts w:eastAsia="DengXian"/>
                <w:lang w:val="en-US" w:eastAsia="zh-CN"/>
              </w:rPr>
              <w:t>-</w:t>
            </w:r>
          </w:p>
        </w:tc>
      </w:tr>
      <w:tr w:rsidR="00B17AD9" w:rsidRPr="009D75AC" w14:paraId="0383B895" w14:textId="77777777" w:rsidTr="00D41A33">
        <w:trPr>
          <w:trHeight w:val="386"/>
        </w:trPr>
        <w:tc>
          <w:tcPr>
            <w:tcW w:w="602" w:type="pct"/>
            <w:vAlign w:val="center"/>
          </w:tcPr>
          <w:p w14:paraId="31A507E1" w14:textId="77777777" w:rsidR="00B17AD9" w:rsidRPr="009D75AC" w:rsidRDefault="00B17AD9" w:rsidP="00D41A33">
            <w:pPr>
              <w:spacing w:before="120" w:after="120"/>
              <w:rPr>
                <w:rFonts w:eastAsia="DengXian"/>
                <w:lang w:val="en-US" w:eastAsia="zh-CN"/>
              </w:rPr>
            </w:pPr>
            <w:r w:rsidRPr="009D75AC">
              <w:rPr>
                <w:rFonts w:eastAsia="DengXian" w:hint="eastAsia"/>
                <w:lang w:val="en-US" w:eastAsia="zh-CN"/>
              </w:rPr>
              <w:t>India</w:t>
            </w:r>
          </w:p>
        </w:tc>
        <w:tc>
          <w:tcPr>
            <w:tcW w:w="1279" w:type="pct"/>
            <w:vAlign w:val="center"/>
          </w:tcPr>
          <w:p w14:paraId="232C140A" w14:textId="77777777" w:rsidR="00B17AD9" w:rsidRPr="009D75AC" w:rsidRDefault="00B17AD9" w:rsidP="00D41A33">
            <w:pPr>
              <w:spacing w:before="120" w:after="120"/>
              <w:rPr>
                <w:rFonts w:eastAsia="DengXian"/>
                <w:lang w:val="en-US" w:eastAsia="zh-CN"/>
              </w:rPr>
            </w:pPr>
            <w:r w:rsidRPr="009D75AC">
              <w:rPr>
                <w:rFonts w:eastAsia="DengXian" w:hint="eastAsia"/>
                <w:lang w:val="en-US" w:eastAsia="zh-CN"/>
              </w:rPr>
              <w:t>HFC-32, HFC-125, HFC-134a</w:t>
            </w:r>
          </w:p>
        </w:tc>
        <w:tc>
          <w:tcPr>
            <w:tcW w:w="735" w:type="pct"/>
            <w:vAlign w:val="center"/>
          </w:tcPr>
          <w:p w14:paraId="6D097A2E" w14:textId="77777777" w:rsidR="00B17AD9" w:rsidRPr="009D75AC" w:rsidRDefault="00B17AD9" w:rsidP="00D41A33">
            <w:pPr>
              <w:spacing w:before="120" w:after="120"/>
              <w:jc w:val="center"/>
              <w:rPr>
                <w:rFonts w:eastAsia="DengXian"/>
                <w:lang w:val="en-US" w:eastAsia="zh-CN"/>
              </w:rPr>
            </w:pPr>
            <w:r w:rsidRPr="009D75AC">
              <w:rPr>
                <w:rFonts w:eastAsia="DengXian" w:hint="eastAsia"/>
                <w:lang w:val="en-US" w:eastAsia="zh-CN"/>
              </w:rPr>
              <w:t>26,172.87</w:t>
            </w:r>
          </w:p>
        </w:tc>
        <w:tc>
          <w:tcPr>
            <w:tcW w:w="795" w:type="pct"/>
            <w:vAlign w:val="center"/>
          </w:tcPr>
          <w:p w14:paraId="1FA1198B" w14:textId="77777777" w:rsidR="00B17AD9" w:rsidRPr="009D75AC" w:rsidRDefault="00B17AD9" w:rsidP="00D41A33">
            <w:pPr>
              <w:spacing w:before="120" w:after="120"/>
              <w:jc w:val="center"/>
              <w:rPr>
                <w:rFonts w:eastAsia="DengXian"/>
                <w:lang w:val="en-US" w:eastAsia="zh-CN"/>
              </w:rPr>
            </w:pPr>
            <w:r w:rsidRPr="009D75AC">
              <w:rPr>
                <w:rFonts w:eastAsia="DengXian"/>
                <w:lang w:val="en-US" w:eastAsia="zh-CN"/>
              </w:rPr>
              <w:t>33,072.77</w:t>
            </w:r>
          </w:p>
        </w:tc>
        <w:tc>
          <w:tcPr>
            <w:tcW w:w="796" w:type="pct"/>
            <w:vAlign w:val="center"/>
          </w:tcPr>
          <w:p w14:paraId="025DB374" w14:textId="77777777" w:rsidR="00B17AD9" w:rsidRPr="009D75AC" w:rsidRDefault="00B17AD9" w:rsidP="00D41A33">
            <w:pPr>
              <w:spacing w:before="120" w:after="120"/>
              <w:jc w:val="center"/>
              <w:rPr>
                <w:rFonts w:eastAsia="DengXian"/>
                <w:lang w:val="en-US" w:eastAsia="zh-CN"/>
              </w:rPr>
            </w:pPr>
            <w:r w:rsidRPr="009D75AC">
              <w:rPr>
                <w:rFonts w:eastAsia="DengXian" w:hint="eastAsia"/>
                <w:lang w:val="en-US" w:eastAsia="zh-CN"/>
              </w:rPr>
              <w:t>35,217.33</w:t>
            </w:r>
          </w:p>
        </w:tc>
        <w:tc>
          <w:tcPr>
            <w:tcW w:w="793" w:type="pct"/>
            <w:vAlign w:val="center"/>
          </w:tcPr>
          <w:p w14:paraId="5FBA2754" w14:textId="77777777" w:rsidR="00B17AD9" w:rsidRPr="009D75AC" w:rsidRDefault="00B17AD9" w:rsidP="00D41A33">
            <w:pPr>
              <w:spacing w:before="120" w:after="120"/>
              <w:jc w:val="center"/>
              <w:rPr>
                <w:rFonts w:eastAsia="DengXian"/>
                <w:lang w:val="en-US" w:eastAsia="zh-CN"/>
              </w:rPr>
            </w:pPr>
            <w:bookmarkStart w:id="222" w:name="OLE_LINK9"/>
            <w:r w:rsidRPr="009D75AC">
              <w:rPr>
                <w:rFonts w:eastAsia="DengXian" w:hint="eastAsia"/>
                <w:lang w:val="en-US" w:eastAsia="zh-CN"/>
              </w:rPr>
              <w:t>46,500</w:t>
            </w:r>
            <w:bookmarkEnd w:id="222"/>
            <w:r w:rsidRPr="009D75AC">
              <w:rPr>
                <w:rFonts w:eastAsia="DengXian" w:hint="eastAsia"/>
                <w:lang w:val="en-US" w:eastAsia="zh-CN"/>
              </w:rPr>
              <w:t>.08</w:t>
            </w:r>
          </w:p>
        </w:tc>
      </w:tr>
    </w:tbl>
    <w:p w14:paraId="25C49BF7" w14:textId="77777777" w:rsidR="00EB1F82" w:rsidRDefault="00EB1F82" w:rsidP="00C45B14">
      <w:pPr>
        <w:tabs>
          <w:tab w:val="left" w:pos="1418"/>
        </w:tabs>
        <w:ind w:left="1418" w:hanging="1418"/>
        <w:rPr>
          <w:rFonts w:eastAsiaTheme="minorHAnsi"/>
          <w:b/>
          <w:bCs/>
        </w:rPr>
      </w:pPr>
    </w:p>
    <w:p w14:paraId="3B3384CB" w14:textId="0869CBE5" w:rsidR="00C45B14" w:rsidRDefault="573DFBD7" w:rsidP="002135B0">
      <w:pPr>
        <w:tabs>
          <w:tab w:val="left" w:pos="1134"/>
        </w:tabs>
        <w:spacing w:after="120"/>
        <w:ind w:left="1418" w:hanging="1418"/>
        <w:rPr>
          <w:b/>
          <w:bCs/>
          <w:color w:val="auto"/>
        </w:rPr>
      </w:pPr>
      <w:r w:rsidRPr="4BCEE662">
        <w:rPr>
          <w:rFonts w:eastAsiaTheme="minorEastAsia"/>
          <w:b/>
          <w:bCs/>
        </w:rPr>
        <w:t>Table 4.2</w:t>
      </w:r>
      <w:r w:rsidR="00A950BA">
        <w:rPr>
          <w:rFonts w:eastAsiaTheme="minorEastAsia"/>
          <w:b/>
          <w:bCs/>
        </w:rPr>
        <w:t>:</w:t>
      </w:r>
      <w:r w:rsidR="00C45B14" w:rsidRPr="00E42C5E">
        <w:rPr>
          <w:rFonts w:eastAsiaTheme="minorHAnsi"/>
          <w:b/>
          <w:bCs/>
        </w:rPr>
        <w:tab/>
      </w:r>
      <w:r w:rsidR="45D91376" w:rsidRPr="4BCEE662">
        <w:rPr>
          <w:b/>
          <w:bCs/>
          <w:color w:val="auto"/>
        </w:rPr>
        <w:t>Production of HFCs (A7, CO</w:t>
      </w:r>
      <w:r w:rsidR="45D91376" w:rsidRPr="4BCEE662">
        <w:rPr>
          <w:b/>
          <w:bCs/>
          <w:color w:val="auto"/>
          <w:vertAlign w:val="subscript"/>
        </w:rPr>
        <w:t>2</w:t>
      </w:r>
      <w:r w:rsidR="45D91376" w:rsidRPr="4BCEE662">
        <w:rPr>
          <w:b/>
          <w:bCs/>
          <w:color w:val="auto"/>
        </w:rPr>
        <w:t>-equivalent (CO</w:t>
      </w:r>
      <w:r w:rsidR="45D91376" w:rsidRPr="4BCEE662">
        <w:rPr>
          <w:b/>
          <w:bCs/>
          <w:color w:val="auto"/>
          <w:vertAlign w:val="subscript"/>
        </w:rPr>
        <w:t>2</w:t>
      </w:r>
      <w:r w:rsidR="45D91376" w:rsidRPr="4BCEE662">
        <w:rPr>
          <w:b/>
          <w:bCs/>
          <w:color w:val="auto"/>
        </w:rPr>
        <w:t>-eq) tonnes)</w:t>
      </w:r>
      <w:r w:rsidR="00DD15D6" w:rsidRPr="4BCEE662">
        <w:rPr>
          <w:rStyle w:val="FootnoteReference"/>
          <w:b/>
          <w:bCs/>
          <w:color w:val="auto"/>
        </w:rPr>
        <w:footnoteReference w:id="52"/>
      </w:r>
    </w:p>
    <w:tbl>
      <w:tblPr>
        <w:tblW w:w="5000" w:type="pct"/>
        <w:tblLayout w:type="fixed"/>
        <w:tblLook w:val="04A0" w:firstRow="1" w:lastRow="0" w:firstColumn="1" w:lastColumn="0" w:noHBand="0" w:noVBand="1"/>
      </w:tblPr>
      <w:tblGrid>
        <w:gridCol w:w="1070"/>
        <w:gridCol w:w="1056"/>
        <w:gridCol w:w="1157"/>
        <w:gridCol w:w="1155"/>
        <w:gridCol w:w="1157"/>
        <w:gridCol w:w="1155"/>
        <w:gridCol w:w="1157"/>
        <w:gridCol w:w="1157"/>
      </w:tblGrid>
      <w:tr w:rsidR="00704805" w:rsidRPr="009D75AC" w14:paraId="23C4C302" w14:textId="77777777" w:rsidTr="00AE51E9">
        <w:trPr>
          <w:trHeight w:val="180"/>
        </w:trPr>
        <w:tc>
          <w:tcPr>
            <w:tcW w:w="591"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57" w:type="dxa"/>
              <w:right w:w="57" w:type="dxa"/>
            </w:tcMar>
          </w:tcPr>
          <w:p w14:paraId="5064BC64" w14:textId="77777777" w:rsidR="00704805" w:rsidRPr="009D75AC" w:rsidRDefault="00704805" w:rsidP="006233FA">
            <w:pPr>
              <w:spacing w:after="0"/>
              <w:jc w:val="center"/>
              <w:rPr>
                <w:b/>
                <w:color w:val="auto"/>
                <w:sz w:val="18"/>
                <w:szCs w:val="18"/>
              </w:rPr>
            </w:pPr>
            <w:r w:rsidRPr="009D75AC">
              <w:rPr>
                <w:b/>
                <w:color w:val="auto"/>
                <w:sz w:val="18"/>
                <w:szCs w:val="18"/>
              </w:rPr>
              <w:t>Country</w:t>
            </w:r>
          </w:p>
        </w:tc>
        <w:tc>
          <w:tcPr>
            <w:tcW w:w="58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57" w:type="dxa"/>
              <w:right w:w="57" w:type="dxa"/>
            </w:tcMar>
          </w:tcPr>
          <w:p w14:paraId="439C185A" w14:textId="77777777" w:rsidR="00704805" w:rsidRPr="009D75AC" w:rsidRDefault="00704805" w:rsidP="006233FA">
            <w:pPr>
              <w:spacing w:after="0"/>
              <w:jc w:val="center"/>
              <w:rPr>
                <w:b/>
                <w:color w:val="auto"/>
                <w:sz w:val="18"/>
                <w:szCs w:val="18"/>
              </w:rPr>
            </w:pPr>
            <w:r w:rsidRPr="009D75AC">
              <w:rPr>
                <w:b/>
                <w:color w:val="auto"/>
                <w:sz w:val="18"/>
                <w:szCs w:val="18"/>
              </w:rPr>
              <w:t>2019</w:t>
            </w:r>
          </w:p>
        </w:tc>
        <w:tc>
          <w:tcPr>
            <w:tcW w:w="638"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57" w:type="dxa"/>
              <w:right w:w="57" w:type="dxa"/>
            </w:tcMar>
          </w:tcPr>
          <w:p w14:paraId="565F0E3C" w14:textId="77777777" w:rsidR="00704805" w:rsidRPr="009D75AC" w:rsidRDefault="00704805" w:rsidP="006233FA">
            <w:pPr>
              <w:spacing w:after="0"/>
              <w:jc w:val="center"/>
              <w:rPr>
                <w:b/>
                <w:color w:val="auto"/>
                <w:sz w:val="18"/>
                <w:szCs w:val="18"/>
              </w:rPr>
            </w:pPr>
            <w:r w:rsidRPr="009D75AC">
              <w:rPr>
                <w:b/>
                <w:color w:val="auto"/>
                <w:sz w:val="18"/>
                <w:szCs w:val="18"/>
              </w:rPr>
              <w:t>2020</w:t>
            </w:r>
          </w:p>
        </w:tc>
        <w:tc>
          <w:tcPr>
            <w:tcW w:w="637"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57" w:type="dxa"/>
              <w:right w:w="57" w:type="dxa"/>
            </w:tcMar>
          </w:tcPr>
          <w:p w14:paraId="17B1EFF6" w14:textId="77777777" w:rsidR="00704805" w:rsidRPr="009D75AC" w:rsidRDefault="00704805" w:rsidP="006233FA">
            <w:pPr>
              <w:spacing w:after="0"/>
              <w:jc w:val="center"/>
              <w:rPr>
                <w:b/>
                <w:color w:val="auto"/>
                <w:sz w:val="18"/>
                <w:szCs w:val="18"/>
              </w:rPr>
            </w:pPr>
            <w:r w:rsidRPr="009D75AC">
              <w:rPr>
                <w:b/>
                <w:color w:val="auto"/>
                <w:sz w:val="18"/>
                <w:szCs w:val="18"/>
              </w:rPr>
              <w:t>2021</w:t>
            </w:r>
          </w:p>
        </w:tc>
        <w:tc>
          <w:tcPr>
            <w:tcW w:w="638"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57" w:type="dxa"/>
              <w:right w:w="57" w:type="dxa"/>
            </w:tcMar>
          </w:tcPr>
          <w:p w14:paraId="204F73E1" w14:textId="77777777" w:rsidR="00704805" w:rsidRPr="009D75AC" w:rsidRDefault="00704805" w:rsidP="006233FA">
            <w:pPr>
              <w:spacing w:after="0"/>
              <w:jc w:val="center"/>
              <w:rPr>
                <w:b/>
                <w:color w:val="auto"/>
                <w:sz w:val="18"/>
                <w:szCs w:val="18"/>
              </w:rPr>
            </w:pPr>
            <w:r w:rsidRPr="009D75AC">
              <w:rPr>
                <w:b/>
                <w:color w:val="auto"/>
                <w:sz w:val="18"/>
                <w:szCs w:val="18"/>
              </w:rPr>
              <w:t>2022</w:t>
            </w:r>
          </w:p>
        </w:tc>
        <w:tc>
          <w:tcPr>
            <w:tcW w:w="637"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57" w:type="dxa"/>
              <w:right w:w="57" w:type="dxa"/>
            </w:tcMar>
          </w:tcPr>
          <w:p w14:paraId="231D4B78" w14:textId="77777777" w:rsidR="00704805" w:rsidRPr="009D75AC" w:rsidRDefault="00704805" w:rsidP="006233FA">
            <w:pPr>
              <w:spacing w:after="0"/>
              <w:jc w:val="center"/>
              <w:rPr>
                <w:b/>
                <w:color w:val="auto"/>
                <w:sz w:val="18"/>
                <w:szCs w:val="18"/>
              </w:rPr>
            </w:pPr>
            <w:r w:rsidRPr="009D75AC">
              <w:rPr>
                <w:b/>
                <w:color w:val="auto"/>
                <w:sz w:val="18"/>
                <w:szCs w:val="18"/>
              </w:rPr>
              <w:t>2023</w:t>
            </w:r>
          </w:p>
        </w:tc>
        <w:tc>
          <w:tcPr>
            <w:tcW w:w="638"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57" w:type="dxa"/>
              <w:right w:w="57" w:type="dxa"/>
            </w:tcMar>
          </w:tcPr>
          <w:p w14:paraId="35E4EE12" w14:textId="77777777" w:rsidR="00704805" w:rsidRPr="009D75AC" w:rsidRDefault="00704805" w:rsidP="006233FA">
            <w:pPr>
              <w:spacing w:after="0"/>
              <w:jc w:val="center"/>
              <w:rPr>
                <w:b/>
                <w:color w:val="auto"/>
                <w:sz w:val="18"/>
                <w:szCs w:val="18"/>
              </w:rPr>
            </w:pPr>
            <w:r w:rsidRPr="009D75AC">
              <w:rPr>
                <w:b/>
                <w:color w:val="auto"/>
                <w:sz w:val="18"/>
                <w:szCs w:val="18"/>
              </w:rPr>
              <w:t>2024</w:t>
            </w:r>
          </w:p>
        </w:tc>
        <w:tc>
          <w:tcPr>
            <w:tcW w:w="638"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57" w:type="dxa"/>
              <w:right w:w="57" w:type="dxa"/>
            </w:tcMar>
          </w:tcPr>
          <w:p w14:paraId="2A8DFA36" w14:textId="77777777" w:rsidR="00704805" w:rsidRPr="009D75AC" w:rsidRDefault="00704805" w:rsidP="006233FA">
            <w:pPr>
              <w:spacing w:after="0"/>
              <w:jc w:val="center"/>
              <w:rPr>
                <w:b/>
                <w:color w:val="auto"/>
                <w:sz w:val="18"/>
                <w:szCs w:val="18"/>
              </w:rPr>
            </w:pPr>
            <w:r w:rsidRPr="009D75AC">
              <w:rPr>
                <w:b/>
                <w:color w:val="auto"/>
                <w:sz w:val="18"/>
                <w:szCs w:val="18"/>
              </w:rPr>
              <w:t>Baseline</w:t>
            </w:r>
          </w:p>
        </w:tc>
      </w:tr>
      <w:tr w:rsidR="00704805" w:rsidRPr="009D75AC" w14:paraId="2CE531B2" w14:textId="77777777" w:rsidTr="002135B0">
        <w:trPr>
          <w:trHeight w:val="45"/>
        </w:trPr>
        <w:tc>
          <w:tcPr>
            <w:tcW w:w="591"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E79F1F3" w14:textId="77777777" w:rsidR="00704805" w:rsidRPr="009D75AC" w:rsidRDefault="00704805" w:rsidP="003F3753">
            <w:pPr>
              <w:spacing w:after="0"/>
              <w:rPr>
                <w:color w:val="auto"/>
                <w:sz w:val="18"/>
                <w:szCs w:val="18"/>
              </w:rPr>
            </w:pPr>
            <w:r w:rsidRPr="009D75AC">
              <w:rPr>
                <w:color w:val="auto"/>
                <w:sz w:val="18"/>
                <w:szCs w:val="18"/>
              </w:rPr>
              <w:t>China</w:t>
            </w:r>
          </w:p>
        </w:tc>
        <w:tc>
          <w:tcPr>
            <w:tcW w:w="583"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743E965" w14:textId="77777777" w:rsidR="00704805" w:rsidRPr="009D75AC" w:rsidRDefault="00704805" w:rsidP="002135B0">
            <w:pPr>
              <w:spacing w:after="0"/>
              <w:jc w:val="right"/>
              <w:rPr>
                <w:color w:val="auto"/>
                <w:sz w:val="18"/>
                <w:szCs w:val="18"/>
              </w:rPr>
            </w:pPr>
            <w:r w:rsidRPr="009D75AC">
              <w:rPr>
                <w:color w:val="auto"/>
                <w:sz w:val="18"/>
                <w:szCs w:val="18"/>
              </w:rPr>
              <w:t xml:space="preserve"> </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35D93AB" w14:textId="77777777" w:rsidR="00704805" w:rsidRPr="009D75AC" w:rsidRDefault="00704805" w:rsidP="0006015A">
            <w:pPr>
              <w:spacing w:after="0"/>
              <w:jc w:val="right"/>
              <w:rPr>
                <w:color w:val="auto"/>
                <w:sz w:val="18"/>
                <w:szCs w:val="18"/>
              </w:rPr>
            </w:pPr>
            <w:r w:rsidRPr="009D75AC">
              <w:rPr>
                <w:color w:val="auto"/>
                <w:sz w:val="18"/>
                <w:szCs w:val="18"/>
              </w:rPr>
              <w:t>1,212,188,514</w:t>
            </w:r>
          </w:p>
        </w:tc>
        <w:tc>
          <w:tcPr>
            <w:tcW w:w="637"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7F6E800" w14:textId="77777777" w:rsidR="00704805" w:rsidRPr="009D75AC" w:rsidRDefault="00704805" w:rsidP="0006015A">
            <w:pPr>
              <w:spacing w:after="0"/>
              <w:jc w:val="right"/>
              <w:rPr>
                <w:color w:val="auto"/>
                <w:sz w:val="18"/>
                <w:szCs w:val="18"/>
              </w:rPr>
            </w:pPr>
            <w:r w:rsidRPr="009D75AC">
              <w:rPr>
                <w:color w:val="auto"/>
                <w:sz w:val="18"/>
                <w:szCs w:val="18"/>
              </w:rPr>
              <w:t>1,427,291,523</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62F42E2" w14:textId="77777777" w:rsidR="00704805" w:rsidRPr="009D75AC" w:rsidRDefault="00704805" w:rsidP="0006015A">
            <w:pPr>
              <w:spacing w:after="0"/>
              <w:jc w:val="right"/>
              <w:rPr>
                <w:color w:val="auto"/>
                <w:sz w:val="18"/>
                <w:szCs w:val="18"/>
              </w:rPr>
            </w:pPr>
            <w:r w:rsidRPr="009D75AC">
              <w:rPr>
                <w:color w:val="auto"/>
                <w:sz w:val="18"/>
                <w:szCs w:val="18"/>
              </w:rPr>
              <w:t>1,581,392,661</w:t>
            </w:r>
          </w:p>
        </w:tc>
        <w:tc>
          <w:tcPr>
            <w:tcW w:w="637"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E25ADBE" w14:textId="77777777" w:rsidR="00704805" w:rsidRPr="009D75AC" w:rsidRDefault="00704805" w:rsidP="0006015A">
            <w:pPr>
              <w:spacing w:after="0"/>
              <w:jc w:val="right"/>
              <w:rPr>
                <w:color w:val="auto"/>
                <w:sz w:val="18"/>
                <w:szCs w:val="18"/>
              </w:rPr>
            </w:pPr>
            <w:r w:rsidRPr="009D75AC">
              <w:rPr>
                <w:color w:val="auto"/>
                <w:sz w:val="18"/>
                <w:szCs w:val="18"/>
              </w:rPr>
              <w:t>1,471,784,754</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6874377" w14:textId="77777777" w:rsidR="00704805" w:rsidRPr="009D75AC" w:rsidRDefault="00704805" w:rsidP="0006015A">
            <w:pPr>
              <w:spacing w:after="0"/>
              <w:jc w:val="right"/>
              <w:rPr>
                <w:color w:val="auto"/>
                <w:sz w:val="18"/>
                <w:szCs w:val="18"/>
              </w:rPr>
            </w:pPr>
            <w:r w:rsidRPr="009D75AC">
              <w:rPr>
                <w:color w:val="auto"/>
                <w:sz w:val="18"/>
                <w:szCs w:val="18"/>
              </w:rPr>
              <w:t>1,529,647,937</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E34065E" w14:textId="5CBACD32" w:rsidR="00704805" w:rsidRPr="009D75AC" w:rsidRDefault="00704805" w:rsidP="0006015A">
            <w:pPr>
              <w:spacing w:after="0"/>
              <w:jc w:val="right"/>
              <w:rPr>
                <w:color w:val="auto"/>
                <w:sz w:val="18"/>
                <w:szCs w:val="18"/>
              </w:rPr>
            </w:pPr>
            <w:r w:rsidRPr="009D75AC">
              <w:rPr>
                <w:color w:val="auto"/>
                <w:sz w:val="18"/>
                <w:szCs w:val="18"/>
              </w:rPr>
              <w:t>1,852,528,591</w:t>
            </w:r>
          </w:p>
        </w:tc>
      </w:tr>
      <w:tr w:rsidR="00704805" w:rsidRPr="009D75AC" w14:paraId="3E206E05" w14:textId="77777777" w:rsidTr="002135B0">
        <w:trPr>
          <w:trHeight w:val="232"/>
        </w:trPr>
        <w:tc>
          <w:tcPr>
            <w:tcW w:w="591"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FB042B7" w14:textId="1685F3F1" w:rsidR="00704805" w:rsidRPr="009D75AC" w:rsidRDefault="00147D51" w:rsidP="003F3753">
            <w:pPr>
              <w:spacing w:after="0"/>
              <w:rPr>
                <w:color w:val="auto"/>
                <w:sz w:val="18"/>
                <w:szCs w:val="18"/>
              </w:rPr>
            </w:pPr>
            <w:r w:rsidRPr="009D75AC">
              <w:rPr>
                <w:color w:val="auto"/>
                <w:sz w:val="18"/>
                <w:szCs w:val="18"/>
              </w:rPr>
              <w:t>DPRK</w:t>
            </w:r>
          </w:p>
        </w:tc>
        <w:tc>
          <w:tcPr>
            <w:tcW w:w="583"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7FC6A81" w14:textId="77777777" w:rsidR="00704805" w:rsidRPr="009D75AC" w:rsidRDefault="00704805" w:rsidP="0006015A">
            <w:pPr>
              <w:spacing w:after="0"/>
              <w:jc w:val="right"/>
              <w:rPr>
                <w:color w:val="auto"/>
                <w:sz w:val="18"/>
                <w:szCs w:val="18"/>
              </w:rPr>
            </w:pPr>
            <w:r w:rsidRPr="009D75AC">
              <w:rPr>
                <w:color w:val="auto"/>
                <w:sz w:val="18"/>
                <w:szCs w:val="18"/>
              </w:rPr>
              <w:t>430,430</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98EB2CE" w14:textId="77777777" w:rsidR="00704805" w:rsidRPr="009D75AC" w:rsidRDefault="00704805" w:rsidP="0006015A">
            <w:pPr>
              <w:spacing w:after="0"/>
              <w:jc w:val="right"/>
              <w:rPr>
                <w:color w:val="auto"/>
                <w:sz w:val="18"/>
                <w:szCs w:val="18"/>
              </w:rPr>
            </w:pPr>
            <w:r w:rsidRPr="009D75AC">
              <w:rPr>
                <w:color w:val="auto"/>
                <w:sz w:val="18"/>
                <w:szCs w:val="18"/>
              </w:rPr>
              <w:t>496,210</w:t>
            </w:r>
          </w:p>
        </w:tc>
        <w:tc>
          <w:tcPr>
            <w:tcW w:w="637"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26E3771" w14:textId="77777777" w:rsidR="00704805" w:rsidRPr="009D75AC" w:rsidRDefault="00704805" w:rsidP="0006015A">
            <w:pPr>
              <w:spacing w:after="0"/>
              <w:jc w:val="right"/>
              <w:rPr>
                <w:color w:val="auto"/>
                <w:sz w:val="18"/>
                <w:szCs w:val="18"/>
              </w:rPr>
            </w:pPr>
            <w:r w:rsidRPr="009D75AC">
              <w:rPr>
                <w:color w:val="auto"/>
                <w:sz w:val="18"/>
                <w:szCs w:val="18"/>
              </w:rPr>
              <w:t>510,510</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951C325" w14:textId="77777777" w:rsidR="00704805" w:rsidRPr="009D75AC" w:rsidRDefault="00704805" w:rsidP="0006015A">
            <w:pPr>
              <w:spacing w:after="0"/>
              <w:jc w:val="right"/>
              <w:rPr>
                <w:color w:val="auto"/>
                <w:sz w:val="18"/>
                <w:szCs w:val="18"/>
              </w:rPr>
            </w:pPr>
            <w:r w:rsidRPr="009D75AC">
              <w:rPr>
                <w:color w:val="auto"/>
                <w:sz w:val="18"/>
                <w:szCs w:val="18"/>
              </w:rPr>
              <w:t>531,960</w:t>
            </w:r>
          </w:p>
        </w:tc>
        <w:tc>
          <w:tcPr>
            <w:tcW w:w="637"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0B814CA" w14:textId="77777777" w:rsidR="00704805" w:rsidRPr="009D75AC" w:rsidRDefault="00704805" w:rsidP="0006015A">
            <w:pPr>
              <w:spacing w:after="0"/>
              <w:jc w:val="right"/>
              <w:rPr>
                <w:color w:val="auto"/>
                <w:sz w:val="18"/>
                <w:szCs w:val="18"/>
              </w:rPr>
            </w:pPr>
            <w:r w:rsidRPr="009D75AC">
              <w:rPr>
                <w:color w:val="auto"/>
                <w:sz w:val="18"/>
                <w:szCs w:val="18"/>
              </w:rPr>
              <w:t>593,450</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1028BFB" w14:textId="77777777" w:rsidR="00704805" w:rsidRPr="009D75AC" w:rsidRDefault="00704805" w:rsidP="0006015A">
            <w:pPr>
              <w:spacing w:after="0"/>
              <w:jc w:val="right"/>
              <w:rPr>
                <w:color w:val="auto"/>
                <w:sz w:val="18"/>
                <w:szCs w:val="18"/>
              </w:rPr>
            </w:pPr>
            <w:r w:rsidRPr="009D75AC">
              <w:rPr>
                <w:color w:val="auto"/>
                <w:sz w:val="18"/>
                <w:szCs w:val="18"/>
              </w:rPr>
              <w:t>656,370</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9C10D1A" w14:textId="77777777" w:rsidR="00704805" w:rsidRPr="009D75AC" w:rsidRDefault="00704805" w:rsidP="0006015A">
            <w:pPr>
              <w:spacing w:after="0"/>
              <w:jc w:val="right"/>
              <w:rPr>
                <w:color w:val="auto"/>
                <w:sz w:val="18"/>
                <w:szCs w:val="18"/>
              </w:rPr>
            </w:pPr>
            <w:r w:rsidRPr="009D75AC">
              <w:rPr>
                <w:color w:val="auto"/>
                <w:sz w:val="18"/>
                <w:szCs w:val="18"/>
              </w:rPr>
              <w:t>1,102,320</w:t>
            </w:r>
          </w:p>
        </w:tc>
      </w:tr>
      <w:tr w:rsidR="00704805" w:rsidRPr="009D75AC" w14:paraId="3DA6FB31" w14:textId="77777777" w:rsidTr="002135B0">
        <w:trPr>
          <w:trHeight w:val="180"/>
        </w:trPr>
        <w:tc>
          <w:tcPr>
            <w:tcW w:w="591"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D298BE8" w14:textId="77777777" w:rsidR="00704805" w:rsidRPr="009D75AC" w:rsidRDefault="00704805" w:rsidP="003F3753">
            <w:pPr>
              <w:spacing w:after="0"/>
              <w:rPr>
                <w:color w:val="auto"/>
                <w:sz w:val="18"/>
                <w:szCs w:val="18"/>
              </w:rPr>
            </w:pPr>
            <w:r w:rsidRPr="009D75AC">
              <w:rPr>
                <w:color w:val="auto"/>
                <w:sz w:val="18"/>
                <w:szCs w:val="18"/>
              </w:rPr>
              <w:t>India</w:t>
            </w:r>
          </w:p>
        </w:tc>
        <w:tc>
          <w:tcPr>
            <w:tcW w:w="583"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DE9382B" w14:textId="77777777" w:rsidR="00704805" w:rsidRPr="009D75AC" w:rsidRDefault="00704805" w:rsidP="002135B0">
            <w:pPr>
              <w:spacing w:after="0"/>
              <w:jc w:val="right"/>
              <w:rPr>
                <w:color w:val="auto"/>
                <w:sz w:val="18"/>
                <w:szCs w:val="18"/>
              </w:rPr>
            </w:pPr>
            <w:r w:rsidRPr="009D75AC">
              <w:rPr>
                <w:color w:val="auto"/>
                <w:sz w:val="18"/>
                <w:szCs w:val="18"/>
              </w:rPr>
              <w:t xml:space="preserve"> </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71CB13F" w14:textId="77777777" w:rsidR="00704805" w:rsidRPr="009D75AC" w:rsidRDefault="00704805" w:rsidP="002135B0">
            <w:pPr>
              <w:spacing w:after="0"/>
              <w:jc w:val="right"/>
              <w:rPr>
                <w:color w:val="auto"/>
                <w:sz w:val="18"/>
                <w:szCs w:val="18"/>
              </w:rPr>
            </w:pPr>
            <w:r w:rsidRPr="009D75AC">
              <w:rPr>
                <w:color w:val="auto"/>
                <w:sz w:val="18"/>
                <w:szCs w:val="18"/>
              </w:rPr>
              <w:t xml:space="preserve"> </w:t>
            </w:r>
          </w:p>
        </w:tc>
        <w:tc>
          <w:tcPr>
            <w:tcW w:w="637"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2C89FBE" w14:textId="77777777" w:rsidR="00704805" w:rsidRPr="009D75AC" w:rsidRDefault="00704805" w:rsidP="0006015A">
            <w:pPr>
              <w:spacing w:after="0"/>
              <w:jc w:val="right"/>
              <w:rPr>
                <w:color w:val="auto"/>
                <w:sz w:val="18"/>
                <w:szCs w:val="18"/>
              </w:rPr>
            </w:pPr>
            <w:r w:rsidRPr="009D75AC">
              <w:rPr>
                <w:color w:val="auto"/>
                <w:sz w:val="18"/>
                <w:szCs w:val="18"/>
              </w:rPr>
              <w:t>40,516,755</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5A51E67" w14:textId="77777777" w:rsidR="00704805" w:rsidRPr="009D75AC" w:rsidRDefault="00704805" w:rsidP="0006015A">
            <w:pPr>
              <w:spacing w:after="0"/>
              <w:jc w:val="right"/>
              <w:rPr>
                <w:color w:val="auto"/>
                <w:sz w:val="18"/>
                <w:szCs w:val="18"/>
              </w:rPr>
            </w:pPr>
            <w:r w:rsidRPr="009D75AC">
              <w:rPr>
                <w:color w:val="auto"/>
                <w:sz w:val="18"/>
                <w:szCs w:val="18"/>
              </w:rPr>
              <w:t>58,175,796</w:t>
            </w:r>
          </w:p>
        </w:tc>
        <w:tc>
          <w:tcPr>
            <w:tcW w:w="637"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A8C4236" w14:textId="77777777" w:rsidR="00704805" w:rsidRPr="009D75AC" w:rsidRDefault="00704805" w:rsidP="0006015A">
            <w:pPr>
              <w:spacing w:after="0"/>
              <w:jc w:val="right"/>
              <w:rPr>
                <w:color w:val="auto"/>
                <w:sz w:val="18"/>
                <w:szCs w:val="18"/>
              </w:rPr>
            </w:pPr>
            <w:r w:rsidRPr="009D75AC">
              <w:rPr>
                <w:color w:val="auto"/>
                <w:sz w:val="18"/>
                <w:szCs w:val="18"/>
              </w:rPr>
              <w:t>62,993,108</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1D507EE" w14:textId="77777777" w:rsidR="00704805" w:rsidRPr="009D75AC" w:rsidRDefault="00704805" w:rsidP="0006015A">
            <w:pPr>
              <w:spacing w:after="0"/>
              <w:jc w:val="right"/>
              <w:rPr>
                <w:color w:val="auto"/>
                <w:sz w:val="18"/>
                <w:szCs w:val="18"/>
              </w:rPr>
            </w:pPr>
            <w:r w:rsidRPr="009D75AC">
              <w:rPr>
                <w:color w:val="auto"/>
                <w:sz w:val="18"/>
                <w:szCs w:val="18"/>
              </w:rPr>
              <w:t>68,449,052</w:t>
            </w:r>
          </w:p>
        </w:tc>
        <w:tc>
          <w:tcPr>
            <w:tcW w:w="638" w:type="pct"/>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49E0809" w14:textId="77777777" w:rsidR="00704805" w:rsidRPr="009D75AC" w:rsidRDefault="00704805" w:rsidP="0006015A">
            <w:pPr>
              <w:spacing w:after="0"/>
              <w:jc w:val="right"/>
              <w:rPr>
                <w:color w:val="auto"/>
                <w:sz w:val="18"/>
                <w:szCs w:val="18"/>
              </w:rPr>
            </w:pPr>
            <w:r w:rsidRPr="009D75AC">
              <w:rPr>
                <w:color w:val="auto"/>
                <w:sz w:val="18"/>
                <w:szCs w:val="18"/>
              </w:rPr>
              <w:t>100,000,000*</w:t>
            </w:r>
          </w:p>
        </w:tc>
      </w:tr>
    </w:tbl>
    <w:p w14:paraId="4F078B49" w14:textId="544D81E2" w:rsidR="00704805" w:rsidRPr="00EB1F82" w:rsidRDefault="00EB1F82" w:rsidP="00C45B14">
      <w:pPr>
        <w:tabs>
          <w:tab w:val="left" w:pos="1418"/>
        </w:tabs>
        <w:ind w:left="1418" w:hanging="1418"/>
        <w:rPr>
          <w:b/>
          <w:bCs/>
          <w:noProof/>
          <w:color w:val="auto"/>
          <w:sz w:val="18"/>
          <w:szCs w:val="18"/>
          <w:lang w:val="en-US"/>
        </w:rPr>
      </w:pPr>
      <w:r w:rsidRPr="00EB1F82">
        <w:rPr>
          <w:rFonts w:eastAsia="DengXian"/>
          <w:sz w:val="18"/>
          <w:szCs w:val="18"/>
          <w:lang w:eastAsia="zh-CN"/>
        </w:rPr>
        <w:t>* Baseline data from OS websites and with estimates for Group 2</w:t>
      </w:r>
    </w:p>
    <w:p w14:paraId="6F302556" w14:textId="201CBDBD" w:rsidR="00D72A33" w:rsidRDefault="00C45B14" w:rsidP="007C77CF">
      <w:pPr>
        <w:pStyle w:val="Heading3"/>
      </w:pPr>
      <w:bookmarkStart w:id="223" w:name="_Toc230099093"/>
      <w:r>
        <w:t>4</w:t>
      </w:r>
      <w:r w:rsidR="00D72A33" w:rsidRPr="00D7427C">
        <w:t>.</w:t>
      </w:r>
      <w:r>
        <w:t>2</w:t>
      </w:r>
      <w:r w:rsidR="00D72A33" w:rsidRPr="00D7427C">
        <w:t>.2</w:t>
      </w:r>
      <w:r w:rsidR="0002580E">
        <w:t>:</w:t>
      </w:r>
      <w:r w:rsidR="00D72A33" w:rsidRPr="00D7427C">
        <w:tab/>
      </w:r>
      <w:r w:rsidR="00AE7296">
        <w:t>HFC-23 by</w:t>
      </w:r>
      <w:r w:rsidR="007F47A0">
        <w:t>-product emission mitigation</w:t>
      </w:r>
      <w:bookmarkEnd w:id="223"/>
    </w:p>
    <w:p w14:paraId="324EB387" w14:textId="765AEB97" w:rsidR="00147D51" w:rsidRDefault="00147D51" w:rsidP="00147D51">
      <w:pPr>
        <w:rPr>
          <w:lang w:val="en-US" w:eastAsia="zh-CN"/>
        </w:rPr>
      </w:pPr>
      <w:r w:rsidRPr="4F2EB710">
        <w:t xml:space="preserve">Five parties (Argentina, China, India, </w:t>
      </w:r>
      <w:r w:rsidR="00D57148">
        <w:t xml:space="preserve">the </w:t>
      </w:r>
      <w:r>
        <w:t>DPRK,</w:t>
      </w:r>
      <w:r w:rsidRPr="4F2EB710">
        <w:t xml:space="preserve"> and Mexico) have an obligation to report </w:t>
      </w:r>
      <w:r>
        <w:t xml:space="preserve">data on HFC-23 </w:t>
      </w:r>
      <w:r w:rsidRPr="4F2EB710">
        <w:t xml:space="preserve">production and </w:t>
      </w:r>
      <w:r>
        <w:t xml:space="preserve">by-product </w:t>
      </w:r>
      <w:r w:rsidRPr="4F2EB710">
        <w:t xml:space="preserve">generation under the </w:t>
      </w:r>
      <w:r w:rsidR="00FF0F7D">
        <w:t>KA</w:t>
      </w:r>
      <w:r w:rsidRPr="4F2EB710">
        <w:t>.</w:t>
      </w:r>
    </w:p>
    <w:p w14:paraId="61E694FB" w14:textId="539C6E54" w:rsidR="007A3A02" w:rsidRPr="006D2A9F" w:rsidRDefault="6613544A" w:rsidP="007A3A02">
      <w:pPr>
        <w:rPr>
          <w:lang w:val="en-US"/>
        </w:rPr>
      </w:pPr>
      <w:r w:rsidRPr="006D2A9F">
        <w:rPr>
          <w:lang w:val="en-US"/>
        </w:rPr>
        <w:lastRenderedPageBreak/>
        <w:t>The amounts of HFC-23 emissions in 202</w:t>
      </w:r>
      <w:r w:rsidR="00516437">
        <w:rPr>
          <w:lang w:val="en-US"/>
        </w:rPr>
        <w:t>4</w:t>
      </w:r>
      <w:r w:rsidRPr="006D2A9F">
        <w:rPr>
          <w:lang w:val="en-US"/>
        </w:rPr>
        <w:t xml:space="preserve">, as reported by those countries, </w:t>
      </w:r>
      <w:r w:rsidR="00E054A4">
        <w:rPr>
          <w:lang w:val="en-US"/>
        </w:rPr>
        <w:t>are</w:t>
      </w:r>
      <w:r w:rsidRPr="006D2A9F">
        <w:rPr>
          <w:lang w:val="en-US"/>
        </w:rPr>
        <w:t xml:space="preserve">: Argentina (0 </w:t>
      </w:r>
      <w:r w:rsidRPr="6899D804">
        <w:rPr>
          <w:lang w:val="en-US"/>
        </w:rPr>
        <w:t>tonnes</w:t>
      </w:r>
      <w:r w:rsidRPr="006D2A9F">
        <w:rPr>
          <w:lang w:val="en-US"/>
        </w:rPr>
        <w:t>), China (</w:t>
      </w:r>
      <w:r w:rsidR="00516437">
        <w:rPr>
          <w:lang w:val="en-US"/>
        </w:rPr>
        <w:t>937.75</w:t>
      </w:r>
      <w:r w:rsidRPr="006D2A9F">
        <w:rPr>
          <w:lang w:val="en-US"/>
        </w:rPr>
        <w:t xml:space="preserve"> </w:t>
      </w:r>
      <w:r w:rsidRPr="6899D804">
        <w:rPr>
          <w:lang w:val="en-US"/>
        </w:rPr>
        <w:t>tonnes</w:t>
      </w:r>
      <w:r w:rsidRPr="006D2A9F">
        <w:rPr>
          <w:lang w:val="en-US"/>
        </w:rPr>
        <w:t xml:space="preserve">), India (0 </w:t>
      </w:r>
      <w:r w:rsidRPr="6899D804">
        <w:rPr>
          <w:lang w:val="en-US"/>
        </w:rPr>
        <w:t>tonnes</w:t>
      </w:r>
      <w:r w:rsidRPr="006D2A9F">
        <w:rPr>
          <w:lang w:val="en-US"/>
        </w:rPr>
        <w:t>),</w:t>
      </w:r>
      <w:r w:rsidR="00D57148">
        <w:rPr>
          <w:lang w:val="en-US"/>
        </w:rPr>
        <w:t xml:space="preserve"> the</w:t>
      </w:r>
      <w:r w:rsidRPr="006D2A9F">
        <w:rPr>
          <w:lang w:val="en-US"/>
        </w:rPr>
        <w:t xml:space="preserve"> DPRK (</w:t>
      </w:r>
      <w:r w:rsidR="00516437">
        <w:rPr>
          <w:lang w:val="en-US"/>
        </w:rPr>
        <w:t>7.312 tonnes</w:t>
      </w:r>
      <w:r w:rsidRPr="006D2A9F">
        <w:rPr>
          <w:lang w:val="en-US"/>
        </w:rPr>
        <w:t>) and Mexico (0.00</w:t>
      </w:r>
      <w:r w:rsidR="00BE184E">
        <w:rPr>
          <w:lang w:val="en-US"/>
        </w:rPr>
        <w:t>038</w:t>
      </w:r>
      <w:r w:rsidRPr="6899D804">
        <w:rPr>
          <w:lang w:val="en-US"/>
        </w:rPr>
        <w:t xml:space="preserve"> tonnes</w:t>
      </w:r>
      <w:r w:rsidRPr="006D2A9F">
        <w:rPr>
          <w:lang w:val="en-US"/>
        </w:rPr>
        <w:t xml:space="preserve">), </w:t>
      </w:r>
      <w:r>
        <w:rPr>
          <w:lang w:val="en-US"/>
        </w:rPr>
        <w:t>as shown in Table 4</w:t>
      </w:r>
      <w:r w:rsidR="47915717">
        <w:rPr>
          <w:lang w:val="en-US"/>
        </w:rPr>
        <w:t>.</w:t>
      </w:r>
      <w:r w:rsidRPr="6899D804">
        <w:rPr>
          <w:lang w:val="en-US"/>
        </w:rPr>
        <w:t>3</w:t>
      </w:r>
      <w:r>
        <w:rPr>
          <w:lang w:val="en-US"/>
        </w:rPr>
        <w:t>.</w:t>
      </w:r>
      <w:r w:rsidR="007A3A02" w:rsidRPr="006D2A9F">
        <w:rPr>
          <w:vertAlign w:val="superscript"/>
        </w:rPr>
        <w:footnoteReference w:id="53"/>
      </w:r>
      <w:bookmarkStart w:id="224" w:name="OLE_LINK7"/>
      <w:r>
        <w:rPr>
          <w:lang w:val="en-US"/>
        </w:rPr>
        <w:t xml:space="preserve"> </w:t>
      </w:r>
      <w:r w:rsidR="007A3A02" w:rsidRPr="006D2A9F">
        <w:rPr>
          <w:vertAlign w:val="superscript"/>
        </w:rPr>
        <w:footnoteReference w:id="54"/>
      </w:r>
      <w:bookmarkEnd w:id="224"/>
      <w:r>
        <w:rPr>
          <w:lang w:val="en-US"/>
        </w:rPr>
        <w:t xml:space="preserve"> </w:t>
      </w:r>
      <w:r w:rsidR="007A3A02" w:rsidRPr="006D2A9F">
        <w:rPr>
          <w:vertAlign w:val="superscript"/>
        </w:rPr>
        <w:footnoteReference w:id="55"/>
      </w:r>
      <w:r>
        <w:rPr>
          <w:lang w:val="en-US"/>
        </w:rPr>
        <w:t xml:space="preserve"> </w:t>
      </w:r>
    </w:p>
    <w:p w14:paraId="0B3AABC6" w14:textId="43EB8D6C" w:rsidR="007A3A02" w:rsidRDefault="6613544A" w:rsidP="002135B0">
      <w:pPr>
        <w:tabs>
          <w:tab w:val="left" w:pos="1134"/>
        </w:tabs>
        <w:ind w:left="1418" w:hanging="1418"/>
        <w:rPr>
          <w:b/>
          <w:bCs/>
          <w:color w:val="000000"/>
          <w:lang w:eastAsia="zh-CN"/>
        </w:rPr>
      </w:pPr>
      <w:r w:rsidRPr="222ABFFA">
        <w:rPr>
          <w:rFonts w:eastAsiaTheme="minorEastAsia"/>
          <w:b/>
          <w:bCs/>
        </w:rPr>
        <w:t>Table 4.3</w:t>
      </w:r>
      <w:r w:rsidR="007151DC">
        <w:rPr>
          <w:rFonts w:eastAsiaTheme="minorEastAsia"/>
          <w:b/>
          <w:bCs/>
        </w:rPr>
        <w:t>:</w:t>
      </w:r>
      <w:r w:rsidR="007A3A02" w:rsidRPr="00E42C5E">
        <w:rPr>
          <w:rFonts w:eastAsiaTheme="minorHAnsi"/>
          <w:b/>
          <w:bCs/>
        </w:rPr>
        <w:tab/>
      </w:r>
      <w:r w:rsidR="23BA93E9" w:rsidRPr="4BE4E9B4">
        <w:rPr>
          <w:b/>
          <w:bCs/>
          <w:color w:val="000000"/>
          <w:lang w:eastAsia="zh-CN"/>
        </w:rPr>
        <w:t>Reported HFC-23 emissions by countries (tonnes)</w:t>
      </w:r>
      <w:r w:rsidR="00F2583B" w:rsidRPr="4BE4E9B4">
        <w:rPr>
          <w:b/>
          <w:bCs/>
          <w:color w:val="000000"/>
          <w:vertAlign w:val="superscript"/>
          <w:lang w:eastAsia="zh-CN"/>
        </w:rPr>
        <w:footnoteReference w:id="56"/>
      </w:r>
      <w:r w:rsidR="23BA93E9" w:rsidRPr="4BE4E9B4">
        <w:rPr>
          <w:b/>
          <w:bCs/>
          <w:color w:val="000000"/>
          <w:lang w:eastAsia="zh-CN"/>
        </w:rPr>
        <w:t xml:space="preserve"> </w:t>
      </w:r>
      <w:r w:rsidR="00F2583B" w:rsidRPr="4BE4E9B4">
        <w:rPr>
          <w:b/>
          <w:bCs/>
          <w:color w:val="000000"/>
          <w:vertAlign w:val="superscript"/>
          <w:lang w:eastAsia="zh-CN"/>
        </w:rPr>
        <w:footnoteReference w:id="57"/>
      </w:r>
      <w:r w:rsidR="00F13DD7">
        <w:rPr>
          <w:b/>
          <w:bCs/>
          <w:color w:val="000000"/>
          <w:lang w:eastAsia="zh-CN"/>
        </w:rPr>
        <w:t xml:space="preserve"> </w:t>
      </w:r>
      <w:r w:rsidR="00F13DD7">
        <w:rPr>
          <w:rStyle w:val="FootnoteReference"/>
          <w:b/>
          <w:bCs/>
          <w:color w:val="000000"/>
          <w:lang w:eastAsia="zh-CN"/>
        </w:rPr>
        <w:footnoteReference w:id="58"/>
      </w:r>
    </w:p>
    <w:tbl>
      <w:tblPr>
        <w:tblStyle w:val="11"/>
        <w:tblW w:w="5000" w:type="pct"/>
        <w:tblLook w:val="04A0" w:firstRow="1" w:lastRow="0" w:firstColumn="1" w:lastColumn="0" w:noHBand="0" w:noVBand="1"/>
      </w:tblPr>
      <w:tblGrid>
        <w:gridCol w:w="1940"/>
        <w:gridCol w:w="1795"/>
        <w:gridCol w:w="1780"/>
        <w:gridCol w:w="1795"/>
        <w:gridCol w:w="1764"/>
      </w:tblGrid>
      <w:tr w:rsidR="00D321B9" w:rsidRPr="006954AA" w14:paraId="2F90CB40" w14:textId="77777777" w:rsidTr="002135B0">
        <w:tc>
          <w:tcPr>
            <w:tcW w:w="1069" w:type="pct"/>
            <w:shd w:val="clear" w:color="auto" w:fill="D9E2F3" w:themeFill="accent1" w:themeFillTint="33"/>
            <w:vAlign w:val="center"/>
          </w:tcPr>
          <w:p w14:paraId="6C3CD086" w14:textId="4497FFFF" w:rsidR="00D321B9" w:rsidRPr="006954AA" w:rsidRDefault="00922FD6" w:rsidP="004C78F5">
            <w:pPr>
              <w:spacing w:before="60" w:after="60"/>
              <w:rPr>
                <w:b/>
                <w:bCs/>
                <w:color w:val="000000"/>
                <w:sz w:val="20"/>
                <w:szCs w:val="20"/>
              </w:rPr>
            </w:pPr>
            <w:r>
              <w:rPr>
                <w:b/>
                <w:bCs/>
                <w:color w:val="000000"/>
                <w:sz w:val="20"/>
                <w:szCs w:val="20"/>
              </w:rPr>
              <w:t>Country</w:t>
            </w:r>
          </w:p>
        </w:tc>
        <w:tc>
          <w:tcPr>
            <w:tcW w:w="989" w:type="pct"/>
            <w:shd w:val="clear" w:color="auto" w:fill="D9E2F3" w:themeFill="accent1" w:themeFillTint="33"/>
            <w:vAlign w:val="center"/>
          </w:tcPr>
          <w:p w14:paraId="61A9AB82" w14:textId="77777777" w:rsidR="00D321B9" w:rsidRPr="006954AA" w:rsidRDefault="00D321B9" w:rsidP="002135B0">
            <w:pPr>
              <w:spacing w:before="60" w:after="60"/>
              <w:jc w:val="center"/>
              <w:rPr>
                <w:b/>
                <w:bCs/>
                <w:color w:val="000000"/>
                <w:sz w:val="20"/>
                <w:szCs w:val="20"/>
              </w:rPr>
            </w:pPr>
            <w:r w:rsidRPr="006954AA">
              <w:rPr>
                <w:b/>
                <w:bCs/>
                <w:color w:val="000000"/>
                <w:sz w:val="20"/>
                <w:szCs w:val="20"/>
                <w:lang w:eastAsia="zh-CN"/>
              </w:rPr>
              <w:t>2021</w:t>
            </w:r>
          </w:p>
        </w:tc>
        <w:tc>
          <w:tcPr>
            <w:tcW w:w="981" w:type="pct"/>
            <w:shd w:val="clear" w:color="auto" w:fill="D9E2F3" w:themeFill="accent1" w:themeFillTint="33"/>
            <w:vAlign w:val="center"/>
          </w:tcPr>
          <w:p w14:paraId="45258CF1" w14:textId="77777777" w:rsidR="00D321B9" w:rsidRPr="006954AA" w:rsidRDefault="00D321B9" w:rsidP="002135B0">
            <w:pPr>
              <w:spacing w:before="60" w:after="60"/>
              <w:jc w:val="center"/>
              <w:rPr>
                <w:b/>
                <w:bCs/>
                <w:color w:val="000000"/>
                <w:sz w:val="20"/>
                <w:szCs w:val="20"/>
              </w:rPr>
            </w:pPr>
            <w:r w:rsidRPr="006954AA">
              <w:rPr>
                <w:b/>
                <w:bCs/>
                <w:color w:val="000000"/>
                <w:sz w:val="20"/>
                <w:szCs w:val="20"/>
                <w:lang w:eastAsia="zh-CN"/>
              </w:rPr>
              <w:t>2022</w:t>
            </w:r>
          </w:p>
        </w:tc>
        <w:tc>
          <w:tcPr>
            <w:tcW w:w="989" w:type="pct"/>
            <w:shd w:val="clear" w:color="auto" w:fill="D9E2F3" w:themeFill="accent1" w:themeFillTint="33"/>
            <w:vAlign w:val="center"/>
          </w:tcPr>
          <w:p w14:paraId="4C9CD6E9" w14:textId="77777777" w:rsidR="00D321B9" w:rsidRPr="006954AA" w:rsidRDefault="00D321B9" w:rsidP="002135B0">
            <w:pPr>
              <w:spacing w:before="60" w:after="60"/>
              <w:jc w:val="center"/>
              <w:rPr>
                <w:b/>
                <w:bCs/>
                <w:color w:val="000000"/>
                <w:sz w:val="20"/>
                <w:szCs w:val="20"/>
              </w:rPr>
            </w:pPr>
            <w:r w:rsidRPr="006954AA">
              <w:rPr>
                <w:b/>
                <w:bCs/>
                <w:color w:val="000000"/>
                <w:sz w:val="20"/>
                <w:szCs w:val="20"/>
                <w:lang w:eastAsia="zh-CN"/>
              </w:rPr>
              <w:t>2023</w:t>
            </w:r>
          </w:p>
        </w:tc>
        <w:tc>
          <w:tcPr>
            <w:tcW w:w="973" w:type="pct"/>
            <w:shd w:val="clear" w:color="auto" w:fill="D9E2F3" w:themeFill="accent1" w:themeFillTint="33"/>
            <w:vAlign w:val="center"/>
          </w:tcPr>
          <w:p w14:paraId="37ED8EEC" w14:textId="77777777" w:rsidR="00D321B9" w:rsidRPr="006954AA" w:rsidRDefault="00D321B9" w:rsidP="002135B0">
            <w:pPr>
              <w:spacing w:before="60" w:after="60"/>
              <w:jc w:val="center"/>
              <w:rPr>
                <w:b/>
                <w:bCs/>
                <w:color w:val="000000"/>
                <w:sz w:val="20"/>
                <w:szCs w:val="20"/>
              </w:rPr>
            </w:pPr>
            <w:r w:rsidRPr="006954AA">
              <w:rPr>
                <w:b/>
                <w:bCs/>
                <w:color w:val="000000"/>
                <w:sz w:val="20"/>
                <w:szCs w:val="20"/>
                <w:lang w:eastAsia="zh-CN"/>
              </w:rPr>
              <w:t>2024</w:t>
            </w:r>
          </w:p>
        </w:tc>
      </w:tr>
      <w:tr w:rsidR="00D321B9" w:rsidRPr="006954AA" w14:paraId="0EDBF1E1" w14:textId="77777777" w:rsidTr="002135B0">
        <w:tc>
          <w:tcPr>
            <w:tcW w:w="1069" w:type="pct"/>
            <w:vAlign w:val="center"/>
          </w:tcPr>
          <w:p w14:paraId="60D23615" w14:textId="77777777" w:rsidR="00D321B9" w:rsidRPr="00DE196D" w:rsidRDefault="00D321B9" w:rsidP="004C78F5">
            <w:pPr>
              <w:spacing w:before="60" w:after="60"/>
              <w:rPr>
                <w:color w:val="000000"/>
                <w:sz w:val="20"/>
                <w:szCs w:val="20"/>
              </w:rPr>
            </w:pPr>
            <w:r w:rsidRPr="00DE196D">
              <w:rPr>
                <w:color w:val="000000"/>
                <w:sz w:val="20"/>
                <w:szCs w:val="20"/>
              </w:rPr>
              <w:t>Argentina</w:t>
            </w:r>
          </w:p>
        </w:tc>
        <w:tc>
          <w:tcPr>
            <w:tcW w:w="989" w:type="pct"/>
            <w:vAlign w:val="center"/>
          </w:tcPr>
          <w:p w14:paraId="7020B0B3"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33.31</w:t>
            </w:r>
          </w:p>
        </w:tc>
        <w:tc>
          <w:tcPr>
            <w:tcW w:w="981" w:type="pct"/>
            <w:vAlign w:val="center"/>
          </w:tcPr>
          <w:p w14:paraId="3127C70D"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17.31</w:t>
            </w:r>
          </w:p>
        </w:tc>
        <w:tc>
          <w:tcPr>
            <w:tcW w:w="989" w:type="pct"/>
            <w:vAlign w:val="center"/>
          </w:tcPr>
          <w:p w14:paraId="5E0C19A8"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0</w:t>
            </w:r>
          </w:p>
        </w:tc>
        <w:tc>
          <w:tcPr>
            <w:tcW w:w="973" w:type="pct"/>
            <w:vAlign w:val="center"/>
          </w:tcPr>
          <w:p w14:paraId="11413D5E" w14:textId="3E8B8B07" w:rsidR="00D321B9" w:rsidRPr="006954AA" w:rsidRDefault="00922FD6" w:rsidP="004C78F5">
            <w:pPr>
              <w:spacing w:before="60" w:after="60"/>
              <w:jc w:val="right"/>
              <w:rPr>
                <w:color w:val="000000"/>
                <w:sz w:val="20"/>
                <w:szCs w:val="20"/>
                <w:lang w:eastAsia="zh-CN"/>
              </w:rPr>
            </w:pPr>
            <w:r>
              <w:rPr>
                <w:color w:val="000000"/>
                <w:sz w:val="20"/>
                <w:szCs w:val="20"/>
                <w:lang w:eastAsia="zh-CN"/>
              </w:rPr>
              <w:t>0</w:t>
            </w:r>
          </w:p>
        </w:tc>
      </w:tr>
      <w:tr w:rsidR="00D321B9" w:rsidRPr="006954AA" w14:paraId="23291446" w14:textId="77777777" w:rsidTr="002135B0">
        <w:tc>
          <w:tcPr>
            <w:tcW w:w="1069" w:type="pct"/>
            <w:vAlign w:val="center"/>
          </w:tcPr>
          <w:p w14:paraId="26DAF718" w14:textId="77777777" w:rsidR="00D321B9" w:rsidRPr="00DE196D" w:rsidRDefault="00D321B9" w:rsidP="004C78F5">
            <w:pPr>
              <w:spacing w:before="60" w:after="60"/>
              <w:rPr>
                <w:color w:val="000000"/>
                <w:sz w:val="20"/>
                <w:szCs w:val="20"/>
              </w:rPr>
            </w:pPr>
            <w:r w:rsidRPr="00DE196D">
              <w:rPr>
                <w:color w:val="000000"/>
                <w:sz w:val="20"/>
                <w:szCs w:val="20"/>
              </w:rPr>
              <w:t>China</w:t>
            </w:r>
          </w:p>
        </w:tc>
        <w:tc>
          <w:tcPr>
            <w:tcW w:w="989" w:type="pct"/>
            <w:vAlign w:val="center"/>
          </w:tcPr>
          <w:p w14:paraId="12C03854"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1089.95</w:t>
            </w:r>
          </w:p>
        </w:tc>
        <w:tc>
          <w:tcPr>
            <w:tcW w:w="981" w:type="pct"/>
            <w:vAlign w:val="center"/>
          </w:tcPr>
          <w:p w14:paraId="733DB34C"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637.39</w:t>
            </w:r>
          </w:p>
        </w:tc>
        <w:tc>
          <w:tcPr>
            <w:tcW w:w="989" w:type="pct"/>
            <w:vAlign w:val="center"/>
          </w:tcPr>
          <w:p w14:paraId="21146113"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901.72</w:t>
            </w:r>
          </w:p>
        </w:tc>
        <w:tc>
          <w:tcPr>
            <w:tcW w:w="973" w:type="pct"/>
            <w:vAlign w:val="center"/>
          </w:tcPr>
          <w:p w14:paraId="25DCD020" w14:textId="2B03E671" w:rsidR="00D321B9" w:rsidRPr="006954AA" w:rsidRDefault="00922FD6" w:rsidP="004C78F5">
            <w:pPr>
              <w:spacing w:before="60" w:after="60"/>
              <w:jc w:val="right"/>
              <w:rPr>
                <w:color w:val="000000"/>
                <w:sz w:val="20"/>
                <w:szCs w:val="20"/>
                <w:lang w:eastAsia="zh-CN"/>
              </w:rPr>
            </w:pPr>
            <w:r>
              <w:rPr>
                <w:color w:val="000000"/>
                <w:sz w:val="20"/>
                <w:szCs w:val="20"/>
                <w:lang w:eastAsia="zh-CN"/>
              </w:rPr>
              <w:t>937.75</w:t>
            </w:r>
          </w:p>
        </w:tc>
      </w:tr>
      <w:tr w:rsidR="00D321B9" w:rsidRPr="006954AA" w14:paraId="763681C5" w14:textId="77777777" w:rsidTr="002135B0">
        <w:tc>
          <w:tcPr>
            <w:tcW w:w="1069" w:type="pct"/>
            <w:vAlign w:val="center"/>
          </w:tcPr>
          <w:p w14:paraId="79FB8131" w14:textId="77777777" w:rsidR="00D321B9" w:rsidRPr="00DE196D" w:rsidRDefault="00D321B9" w:rsidP="004C78F5">
            <w:pPr>
              <w:spacing w:before="60" w:after="60"/>
              <w:rPr>
                <w:color w:val="000000"/>
                <w:sz w:val="20"/>
                <w:szCs w:val="20"/>
              </w:rPr>
            </w:pPr>
            <w:r w:rsidRPr="00DE196D">
              <w:rPr>
                <w:color w:val="000000"/>
                <w:sz w:val="20"/>
                <w:szCs w:val="20"/>
              </w:rPr>
              <w:t>India</w:t>
            </w:r>
          </w:p>
        </w:tc>
        <w:tc>
          <w:tcPr>
            <w:tcW w:w="989" w:type="pct"/>
            <w:vAlign w:val="center"/>
          </w:tcPr>
          <w:p w14:paraId="3ACD0CD9"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0</w:t>
            </w:r>
          </w:p>
        </w:tc>
        <w:tc>
          <w:tcPr>
            <w:tcW w:w="981" w:type="pct"/>
            <w:vAlign w:val="center"/>
          </w:tcPr>
          <w:p w14:paraId="6772BAF8" w14:textId="3B1B4D05" w:rsidR="00D321B9" w:rsidRPr="006954AA" w:rsidRDefault="00303D0A" w:rsidP="004C78F5">
            <w:pPr>
              <w:spacing w:before="60" w:after="60"/>
              <w:jc w:val="right"/>
              <w:rPr>
                <w:color w:val="000000"/>
                <w:sz w:val="20"/>
                <w:szCs w:val="20"/>
              </w:rPr>
            </w:pPr>
            <w:r>
              <w:rPr>
                <w:rFonts w:eastAsia="SimSun"/>
                <w:color w:val="000000"/>
                <w:sz w:val="20"/>
                <w:szCs w:val="20"/>
                <w:lang w:eastAsia="zh-CN"/>
              </w:rPr>
              <w:t>0</w:t>
            </w:r>
          </w:p>
        </w:tc>
        <w:tc>
          <w:tcPr>
            <w:tcW w:w="989" w:type="pct"/>
            <w:vAlign w:val="center"/>
          </w:tcPr>
          <w:p w14:paraId="377BA9A4"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0</w:t>
            </w:r>
          </w:p>
        </w:tc>
        <w:tc>
          <w:tcPr>
            <w:tcW w:w="973" w:type="pct"/>
            <w:vAlign w:val="center"/>
          </w:tcPr>
          <w:p w14:paraId="1E27C17C" w14:textId="7E5FE123" w:rsidR="00D321B9" w:rsidRPr="006954AA" w:rsidRDefault="00303D0A" w:rsidP="004C78F5">
            <w:pPr>
              <w:spacing w:before="60" w:after="60"/>
              <w:jc w:val="right"/>
              <w:rPr>
                <w:color w:val="000000"/>
                <w:sz w:val="20"/>
                <w:szCs w:val="20"/>
                <w:lang w:eastAsia="zh-CN"/>
              </w:rPr>
            </w:pPr>
            <w:r>
              <w:rPr>
                <w:color w:val="000000"/>
                <w:sz w:val="20"/>
                <w:szCs w:val="20"/>
                <w:lang w:eastAsia="zh-CN"/>
              </w:rPr>
              <w:t>0</w:t>
            </w:r>
          </w:p>
        </w:tc>
      </w:tr>
      <w:tr w:rsidR="00D321B9" w:rsidRPr="006954AA" w14:paraId="28425CD2" w14:textId="77777777" w:rsidTr="002135B0">
        <w:tc>
          <w:tcPr>
            <w:tcW w:w="1069" w:type="pct"/>
            <w:vAlign w:val="center"/>
          </w:tcPr>
          <w:p w14:paraId="241D4699" w14:textId="77777777" w:rsidR="00D321B9" w:rsidRPr="00DE196D" w:rsidRDefault="00D321B9" w:rsidP="004C78F5">
            <w:pPr>
              <w:spacing w:before="60" w:after="60"/>
              <w:rPr>
                <w:color w:val="000000"/>
                <w:sz w:val="20"/>
                <w:szCs w:val="20"/>
              </w:rPr>
            </w:pPr>
            <w:r w:rsidRPr="00DE196D">
              <w:rPr>
                <w:color w:val="000000"/>
                <w:sz w:val="20"/>
                <w:szCs w:val="20"/>
              </w:rPr>
              <w:t>DPRK</w:t>
            </w:r>
          </w:p>
        </w:tc>
        <w:tc>
          <w:tcPr>
            <w:tcW w:w="989" w:type="pct"/>
            <w:vAlign w:val="center"/>
          </w:tcPr>
          <w:p w14:paraId="387083CD"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8.40</w:t>
            </w:r>
          </w:p>
        </w:tc>
        <w:tc>
          <w:tcPr>
            <w:tcW w:w="981" w:type="pct"/>
            <w:vAlign w:val="center"/>
          </w:tcPr>
          <w:p w14:paraId="4F7D3034" w14:textId="40DEC040" w:rsidR="00D321B9" w:rsidRPr="006954AA" w:rsidRDefault="00303D0A" w:rsidP="004C78F5">
            <w:pPr>
              <w:spacing w:before="60" w:after="60"/>
              <w:jc w:val="right"/>
              <w:rPr>
                <w:color w:val="000000"/>
                <w:sz w:val="20"/>
                <w:szCs w:val="20"/>
              </w:rPr>
            </w:pPr>
            <w:r>
              <w:rPr>
                <w:rFonts w:eastAsia="SimSun"/>
                <w:color w:val="000000"/>
                <w:sz w:val="20"/>
                <w:szCs w:val="20"/>
                <w:lang w:eastAsia="zh-CN"/>
              </w:rPr>
              <w:t>8.38</w:t>
            </w:r>
          </w:p>
        </w:tc>
        <w:tc>
          <w:tcPr>
            <w:tcW w:w="989" w:type="pct"/>
            <w:vAlign w:val="center"/>
          </w:tcPr>
          <w:p w14:paraId="10AF27D7" w14:textId="74CF1BC5" w:rsidR="00D321B9" w:rsidRPr="006954AA" w:rsidRDefault="00303D0A" w:rsidP="004C78F5">
            <w:pPr>
              <w:spacing w:before="60" w:after="60"/>
              <w:jc w:val="right"/>
              <w:rPr>
                <w:color w:val="000000"/>
                <w:sz w:val="20"/>
                <w:szCs w:val="20"/>
              </w:rPr>
            </w:pPr>
            <w:r>
              <w:rPr>
                <w:rFonts w:eastAsia="SimSun"/>
                <w:color w:val="000000"/>
                <w:sz w:val="20"/>
                <w:szCs w:val="20"/>
              </w:rPr>
              <w:t>8.37</w:t>
            </w:r>
          </w:p>
        </w:tc>
        <w:tc>
          <w:tcPr>
            <w:tcW w:w="973" w:type="pct"/>
            <w:vAlign w:val="center"/>
          </w:tcPr>
          <w:p w14:paraId="2A981AA1" w14:textId="25D810AB" w:rsidR="00D321B9" w:rsidRPr="006954AA" w:rsidRDefault="00303D0A" w:rsidP="004C78F5">
            <w:pPr>
              <w:spacing w:before="60" w:after="60"/>
              <w:jc w:val="right"/>
              <w:rPr>
                <w:color w:val="000000"/>
                <w:sz w:val="20"/>
                <w:szCs w:val="20"/>
                <w:lang w:eastAsia="zh-CN"/>
              </w:rPr>
            </w:pPr>
            <w:r>
              <w:rPr>
                <w:color w:val="000000"/>
                <w:sz w:val="20"/>
                <w:szCs w:val="20"/>
                <w:lang w:eastAsia="zh-CN"/>
              </w:rPr>
              <w:t>7.312</w:t>
            </w:r>
          </w:p>
        </w:tc>
      </w:tr>
      <w:tr w:rsidR="00D321B9" w:rsidRPr="006954AA" w14:paraId="1EB15464" w14:textId="77777777" w:rsidTr="002135B0">
        <w:tc>
          <w:tcPr>
            <w:tcW w:w="1069" w:type="pct"/>
            <w:vAlign w:val="center"/>
          </w:tcPr>
          <w:p w14:paraId="14EF9EF6" w14:textId="77777777" w:rsidR="00D321B9" w:rsidRPr="00DE196D" w:rsidRDefault="00D321B9" w:rsidP="004C78F5">
            <w:pPr>
              <w:spacing w:before="60" w:after="60"/>
              <w:rPr>
                <w:color w:val="000000"/>
                <w:sz w:val="20"/>
                <w:szCs w:val="20"/>
              </w:rPr>
            </w:pPr>
            <w:r w:rsidRPr="00DE196D">
              <w:rPr>
                <w:color w:val="000000"/>
                <w:sz w:val="20"/>
                <w:szCs w:val="20"/>
              </w:rPr>
              <w:t>Mexico</w:t>
            </w:r>
          </w:p>
        </w:tc>
        <w:tc>
          <w:tcPr>
            <w:tcW w:w="989" w:type="pct"/>
            <w:vAlign w:val="center"/>
          </w:tcPr>
          <w:p w14:paraId="44307C8D"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128.52</w:t>
            </w:r>
          </w:p>
        </w:tc>
        <w:tc>
          <w:tcPr>
            <w:tcW w:w="981" w:type="pct"/>
            <w:vAlign w:val="center"/>
          </w:tcPr>
          <w:p w14:paraId="13270916"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31.89</w:t>
            </w:r>
          </w:p>
        </w:tc>
        <w:tc>
          <w:tcPr>
            <w:tcW w:w="989" w:type="pct"/>
            <w:vAlign w:val="center"/>
          </w:tcPr>
          <w:p w14:paraId="5B945EFE" w14:textId="77777777" w:rsidR="00D321B9" w:rsidRPr="006954AA" w:rsidRDefault="00D321B9" w:rsidP="004C78F5">
            <w:pPr>
              <w:spacing w:before="60" w:after="60"/>
              <w:jc w:val="right"/>
              <w:rPr>
                <w:color w:val="000000"/>
                <w:sz w:val="20"/>
                <w:szCs w:val="20"/>
              </w:rPr>
            </w:pPr>
            <w:r w:rsidRPr="006954AA">
              <w:rPr>
                <w:rFonts w:eastAsia="SimSun"/>
                <w:color w:val="000000"/>
                <w:sz w:val="20"/>
                <w:szCs w:val="20"/>
              </w:rPr>
              <w:t>0.0047</w:t>
            </w:r>
          </w:p>
        </w:tc>
        <w:tc>
          <w:tcPr>
            <w:tcW w:w="973" w:type="pct"/>
            <w:vAlign w:val="center"/>
          </w:tcPr>
          <w:p w14:paraId="660D137B" w14:textId="201B1AAD" w:rsidR="00D321B9" w:rsidRPr="006954AA" w:rsidRDefault="00303D0A" w:rsidP="004C78F5">
            <w:pPr>
              <w:spacing w:before="60" w:after="60"/>
              <w:jc w:val="right"/>
              <w:rPr>
                <w:color w:val="000000"/>
                <w:sz w:val="20"/>
                <w:szCs w:val="20"/>
                <w:lang w:eastAsia="zh-CN"/>
              </w:rPr>
            </w:pPr>
            <w:r>
              <w:rPr>
                <w:color w:val="000000"/>
                <w:sz w:val="20"/>
                <w:szCs w:val="20"/>
                <w:lang w:eastAsia="zh-CN"/>
              </w:rPr>
              <w:t>0.00038</w:t>
            </w:r>
          </w:p>
        </w:tc>
      </w:tr>
    </w:tbl>
    <w:p w14:paraId="195CDEF7" w14:textId="77777777" w:rsidR="006954AA" w:rsidRPr="006954AA" w:rsidRDefault="006954AA" w:rsidP="007A3A02">
      <w:pPr>
        <w:tabs>
          <w:tab w:val="left" w:pos="1418"/>
        </w:tabs>
        <w:ind w:left="1418" w:hanging="1418"/>
        <w:rPr>
          <w:color w:val="auto"/>
        </w:rPr>
      </w:pPr>
    </w:p>
    <w:p w14:paraId="11EDD5EE" w14:textId="5FAB0F97" w:rsidR="00802938" w:rsidRPr="00DA3694" w:rsidRDefault="5B231651" w:rsidP="00802938">
      <w:r w:rsidRPr="00DA3694">
        <w:t xml:space="preserve">The </w:t>
      </w:r>
      <w:r w:rsidR="00FB7C66">
        <w:t>p</w:t>
      </w:r>
      <w:r w:rsidR="00A208D8">
        <w:t>arties</w:t>
      </w:r>
      <w:r w:rsidRPr="00DA3694">
        <w:t xml:space="preserve"> to the </w:t>
      </w:r>
      <w:r w:rsidR="00FB7C66">
        <w:t>MP</w:t>
      </w:r>
      <w:r w:rsidRPr="00DA3694">
        <w:t xml:space="preserve"> had determined that production (and consumption) of controlled substances for feedstock uses should be excluded from control measures, based on the understanding that the controlled substance would be transformed during the manufacture of other chemicals and, therefore, would result in insignificant emissions into the atmosphere</w:t>
      </w:r>
      <w:r>
        <w:t>.</w:t>
      </w:r>
      <w:r w:rsidR="00802938">
        <w:rPr>
          <w:rStyle w:val="FootnoteReference"/>
        </w:rPr>
        <w:footnoteReference w:id="59"/>
      </w:r>
    </w:p>
    <w:p w14:paraId="6EF31EDA" w14:textId="77777777" w:rsidR="006954AA" w:rsidRDefault="5B231651" w:rsidP="00802938">
      <w:r>
        <w:t>ExCom De</w:t>
      </w:r>
      <w:r w:rsidRPr="00DA3694">
        <w:t>cision 89/7 confirmed</w:t>
      </w:r>
      <w:r>
        <w:t xml:space="preserve"> “t</w:t>
      </w:r>
      <w:r w:rsidRPr="00DA3694">
        <w:t xml:space="preserve">hat the term </w:t>
      </w:r>
      <w:r>
        <w:t>‘</w:t>
      </w:r>
      <w:r w:rsidRPr="00DA3694">
        <w:t>production</w:t>
      </w:r>
      <w:r>
        <w:t>’</w:t>
      </w:r>
      <w:r w:rsidRPr="00DA3694">
        <w:t xml:space="preserve"> in the context of HFC-23 by-product emission control projects supported by the </w:t>
      </w:r>
      <w:r>
        <w:t>[MLF]</w:t>
      </w:r>
      <w:r w:rsidRPr="00DA3694">
        <w:t xml:space="preserve"> meant the total amount of relevant Annex C, Group I or Annex F substance produced for all uses, including controlled and feedstock uses, irrespective of any subsequent destruction, recycling, and reuse; and when approving projects to control HFC-23 by-product emissions from production lines that would continue to produce the relevant Annex C, Group I or Annex F substance after the completion of the project, to invite the relevant A5 country to consider requesting additional funding for independent verification of the HFC-23 by-product generated, destroyed, sold, stored and emitted, under the subsequent stage of its HCFC phase-out management plan, until approval of its Kigali HFC implementation plan, at which time verification would continue under that plan.</w:t>
      </w:r>
      <w:r>
        <w:t>”</w:t>
      </w:r>
      <w:r w:rsidR="00802938">
        <w:rPr>
          <w:rStyle w:val="FootnoteReference"/>
        </w:rPr>
        <w:footnoteReference w:id="60"/>
      </w:r>
    </w:p>
    <w:p w14:paraId="60542068" w14:textId="4836D9E8" w:rsidR="00802938" w:rsidRDefault="5B231651" w:rsidP="002D02B7">
      <w:pPr>
        <w:pStyle w:val="Heading2"/>
      </w:pPr>
      <w:bookmarkStart w:id="226" w:name="_Toc230099094"/>
      <w:r>
        <w:t>4.3</w:t>
      </w:r>
      <w:r w:rsidR="00802938">
        <w:tab/>
      </w:r>
      <w:r w:rsidR="5BAACC73">
        <w:t xml:space="preserve">Estimating </w:t>
      </w:r>
      <w:r w:rsidR="009D75AC">
        <w:t>f</w:t>
      </w:r>
      <w:r w:rsidR="5BAACC73">
        <w:t xml:space="preserve">unding </w:t>
      </w:r>
      <w:r w:rsidR="009D75AC">
        <w:t>r</w:t>
      </w:r>
      <w:r w:rsidR="5BAACC73">
        <w:t xml:space="preserve">equirements </w:t>
      </w:r>
      <w:r w:rsidR="1B56256E">
        <w:t>for</w:t>
      </w:r>
      <w:r w:rsidR="5BAACC73">
        <w:t xml:space="preserve"> HFC </w:t>
      </w:r>
      <w:r w:rsidR="009D75AC">
        <w:t>p</w:t>
      </w:r>
      <w:r w:rsidR="5BAACC73">
        <w:t>roduction sector</w:t>
      </w:r>
      <w:bookmarkEnd w:id="226"/>
    </w:p>
    <w:p w14:paraId="1BFB7AF9" w14:textId="0CA0FBF2" w:rsidR="00F92CE8" w:rsidRPr="006762BA" w:rsidRDefault="00F92CE8" w:rsidP="00F92CE8">
      <w:pPr>
        <w:rPr>
          <w:lang w:eastAsia="zh-CN"/>
        </w:rPr>
      </w:pPr>
      <w:r>
        <w:rPr>
          <w:lang w:val="en-US" w:eastAsia="zh-CN"/>
        </w:rPr>
        <w:t xml:space="preserve">There are three </w:t>
      </w:r>
      <w:r w:rsidRPr="4F2EB710">
        <w:rPr>
          <w:lang w:val="en-US" w:eastAsia="zh-CN"/>
        </w:rPr>
        <w:t xml:space="preserve">HFC producers </w:t>
      </w:r>
      <w:r w:rsidRPr="4F2EB710">
        <w:rPr>
          <w:lang w:eastAsia="zh-CN"/>
        </w:rPr>
        <w:t>—</w:t>
      </w:r>
      <w:r w:rsidRPr="30658E51">
        <w:rPr>
          <w:lang w:eastAsia="zh-CN"/>
        </w:rPr>
        <w:t xml:space="preserve"> </w:t>
      </w:r>
      <w:r w:rsidRPr="4F2EB710">
        <w:rPr>
          <w:lang w:eastAsia="zh-CN"/>
        </w:rPr>
        <w:t>China, India</w:t>
      </w:r>
      <w:r>
        <w:rPr>
          <w:lang w:eastAsia="zh-CN"/>
        </w:rPr>
        <w:t xml:space="preserve"> (Group 2)</w:t>
      </w:r>
      <w:r w:rsidRPr="4F2EB710">
        <w:rPr>
          <w:lang w:eastAsia="zh-CN"/>
        </w:rPr>
        <w:t xml:space="preserve">, </w:t>
      </w:r>
      <w:r>
        <w:rPr>
          <w:lang w:eastAsia="zh-CN"/>
        </w:rPr>
        <w:t xml:space="preserve">and </w:t>
      </w:r>
      <w:r w:rsidR="00D57148">
        <w:rPr>
          <w:lang w:eastAsia="zh-CN"/>
        </w:rPr>
        <w:t xml:space="preserve">the </w:t>
      </w:r>
      <w:r>
        <w:rPr>
          <w:lang w:eastAsia="zh-CN"/>
        </w:rPr>
        <w:t>DPRK</w:t>
      </w:r>
      <w:r w:rsidRPr="4F2EB710">
        <w:rPr>
          <w:lang w:eastAsia="zh-CN"/>
        </w:rPr>
        <w:t>. Th</w:t>
      </w:r>
      <w:r>
        <w:rPr>
          <w:lang w:eastAsia="zh-CN"/>
        </w:rPr>
        <w:t>e</w:t>
      </w:r>
      <w:r w:rsidRPr="4F2EB710">
        <w:rPr>
          <w:lang w:eastAsia="zh-CN"/>
        </w:rPr>
        <w:t xml:space="preserve"> RTF estimated funding requirements for HFC production sector </w:t>
      </w:r>
      <w:r w:rsidRPr="30658E51">
        <w:rPr>
          <w:lang w:eastAsia="zh-CN"/>
        </w:rPr>
        <w:t>phase-down</w:t>
      </w:r>
      <w:r w:rsidRPr="4F2EB710">
        <w:rPr>
          <w:lang w:eastAsia="zh-CN"/>
        </w:rPr>
        <w:t xml:space="preserve"> </w:t>
      </w:r>
      <w:r>
        <w:rPr>
          <w:lang w:eastAsia="zh-CN"/>
        </w:rPr>
        <w:t>for the 2027-2029 triennium covers only China and India</w:t>
      </w:r>
      <w:r w:rsidRPr="30658E51">
        <w:rPr>
          <w:lang w:eastAsia="zh-CN"/>
        </w:rPr>
        <w:t>.</w:t>
      </w:r>
    </w:p>
    <w:p w14:paraId="03BB9BE5" w14:textId="174F4FC4" w:rsidR="00F345C1" w:rsidRDefault="00F345C1" w:rsidP="007C77CF">
      <w:pPr>
        <w:pStyle w:val="Heading3"/>
      </w:pPr>
      <w:bookmarkStart w:id="227" w:name="_Toc230099095"/>
      <w:r>
        <w:lastRenderedPageBreak/>
        <w:t>4</w:t>
      </w:r>
      <w:r w:rsidRPr="00D7427C">
        <w:t>.</w:t>
      </w:r>
      <w:r w:rsidR="00F92CE8">
        <w:t>3</w:t>
      </w:r>
      <w:r w:rsidRPr="00D7427C">
        <w:t>.</w:t>
      </w:r>
      <w:r w:rsidR="00F92CE8">
        <w:t>1</w:t>
      </w:r>
      <w:r w:rsidRPr="00D7427C">
        <w:tab/>
      </w:r>
      <w:r w:rsidR="009A14B6" w:rsidRPr="009A14B6">
        <w:t>Eligible costs and CE values for the production sector</w:t>
      </w:r>
      <w:bookmarkEnd w:id="227"/>
    </w:p>
    <w:p w14:paraId="699570BD" w14:textId="4FEC9283" w:rsidR="0013474F" w:rsidRPr="00595D82" w:rsidRDefault="60F43F37" w:rsidP="0013474F">
      <w:pPr>
        <w:rPr>
          <w:lang w:eastAsia="zh-CN"/>
        </w:rPr>
      </w:pPr>
      <w:r w:rsidRPr="6899D804">
        <w:rPr>
          <w:lang w:eastAsia="zh-CN"/>
        </w:rPr>
        <w:t>ExCom</w:t>
      </w:r>
      <w:r>
        <w:rPr>
          <w:lang w:eastAsia="zh-CN"/>
        </w:rPr>
        <w:t>-</w:t>
      </w:r>
      <w:r w:rsidRPr="6899D804">
        <w:rPr>
          <w:lang w:eastAsia="zh-CN"/>
        </w:rPr>
        <w:t xml:space="preserve">95 </w:t>
      </w:r>
      <w:r w:rsidRPr="00595D82">
        <w:rPr>
          <w:lang w:eastAsia="zh-CN"/>
        </w:rPr>
        <w:t>includes</w:t>
      </w:r>
      <w:r w:rsidRPr="6899D804">
        <w:rPr>
          <w:lang w:eastAsia="zh-CN"/>
        </w:rPr>
        <w:t xml:space="preserve"> decisions for HFC production sector</w:t>
      </w:r>
      <w:r>
        <w:rPr>
          <w:lang w:eastAsia="zh-CN"/>
        </w:rPr>
        <w:t>,</w:t>
      </w:r>
      <w:r w:rsidR="0013474F" w:rsidRPr="00595D82">
        <w:rPr>
          <w:vertAlign w:val="superscript"/>
          <w:lang w:eastAsia="zh-CN"/>
        </w:rPr>
        <w:footnoteReference w:id="61"/>
      </w:r>
      <w:r w:rsidRPr="6899D804">
        <w:rPr>
          <w:lang w:eastAsia="zh-CN"/>
        </w:rPr>
        <w:t xml:space="preserve"> which indicate that the Sub-group on the Production Sector would consider compensation for compliance-related control obligations for the production sector on a case-by-case basis once official reporting of HFC production had been submitted by A5 countries, specifically</w:t>
      </w:r>
      <w:r>
        <w:rPr>
          <w:lang w:eastAsia="zh-CN"/>
        </w:rPr>
        <w:t>:</w:t>
      </w:r>
    </w:p>
    <w:p w14:paraId="2512FF0B" w14:textId="77777777" w:rsidR="0013474F" w:rsidRPr="00595D82" w:rsidRDefault="0013474F" w:rsidP="000E79CB">
      <w:pPr>
        <w:numPr>
          <w:ilvl w:val="0"/>
          <w:numId w:val="16"/>
        </w:numPr>
        <w:tabs>
          <w:tab w:val="clear" w:pos="0"/>
        </w:tabs>
        <w:spacing w:after="200"/>
        <w:rPr>
          <w:lang w:eastAsia="zh-CN"/>
        </w:rPr>
      </w:pPr>
      <w:r w:rsidRPr="00595D82">
        <w:rPr>
          <w:lang w:eastAsia="zh-CN"/>
        </w:rPr>
        <w:t xml:space="preserve">To make the following </w:t>
      </w:r>
      <w:bookmarkStart w:id="228" w:name="OLE_LINK5"/>
      <w:r w:rsidRPr="00595D82">
        <w:rPr>
          <w:lang w:eastAsia="zh-CN"/>
        </w:rPr>
        <w:t>categories of costs eligible for funding and to include them in the cost calculation associated with the phase-down of HFCs in the production sector</w:t>
      </w:r>
      <w:bookmarkEnd w:id="228"/>
      <w:r w:rsidRPr="00595D82">
        <w:rPr>
          <w:lang w:eastAsia="zh-CN"/>
        </w:rPr>
        <w:t>:</w:t>
      </w:r>
    </w:p>
    <w:p w14:paraId="64CF108D" w14:textId="77777777" w:rsidR="0013474F" w:rsidRPr="00595D82" w:rsidRDefault="0013474F" w:rsidP="000E79CB">
      <w:pPr>
        <w:numPr>
          <w:ilvl w:val="0"/>
          <w:numId w:val="16"/>
        </w:numPr>
        <w:tabs>
          <w:tab w:val="clear" w:pos="0"/>
        </w:tabs>
        <w:spacing w:after="200"/>
        <w:rPr>
          <w:lang w:eastAsia="zh-CN"/>
        </w:rPr>
      </w:pPr>
      <w:r w:rsidRPr="00595D82">
        <w:rPr>
          <w:lang w:eastAsia="zh-CN"/>
        </w:rPr>
        <w:t>Lost profit due to the shutdown/closure of production facilities and to production reduction;</w:t>
      </w:r>
    </w:p>
    <w:p w14:paraId="76BADCF7" w14:textId="77777777" w:rsidR="0013474F" w:rsidRPr="00595D82" w:rsidRDefault="0013474F" w:rsidP="000E79CB">
      <w:pPr>
        <w:numPr>
          <w:ilvl w:val="0"/>
          <w:numId w:val="16"/>
        </w:numPr>
        <w:tabs>
          <w:tab w:val="clear" w:pos="0"/>
        </w:tabs>
        <w:spacing w:after="200"/>
        <w:rPr>
          <w:lang w:eastAsia="zh-CN"/>
        </w:rPr>
      </w:pPr>
      <w:r w:rsidRPr="00595D82">
        <w:rPr>
          <w:lang w:eastAsia="zh-CN"/>
        </w:rPr>
        <w:t>Compensation for displaced workers;</w:t>
      </w:r>
    </w:p>
    <w:p w14:paraId="79BBF793" w14:textId="77777777" w:rsidR="0013474F" w:rsidRPr="00595D82" w:rsidRDefault="0013474F" w:rsidP="000E79CB">
      <w:pPr>
        <w:numPr>
          <w:ilvl w:val="0"/>
          <w:numId w:val="16"/>
        </w:numPr>
        <w:tabs>
          <w:tab w:val="clear" w:pos="0"/>
        </w:tabs>
        <w:spacing w:after="200"/>
        <w:rPr>
          <w:lang w:eastAsia="zh-CN"/>
        </w:rPr>
      </w:pPr>
      <w:r w:rsidRPr="00595D82">
        <w:rPr>
          <w:lang w:eastAsia="zh-CN"/>
        </w:rPr>
        <w:t>Dismantling of production facilities;</w:t>
      </w:r>
    </w:p>
    <w:p w14:paraId="3B15A861" w14:textId="77777777" w:rsidR="0013474F" w:rsidRPr="00595D82" w:rsidRDefault="0013474F" w:rsidP="000E79CB">
      <w:pPr>
        <w:numPr>
          <w:ilvl w:val="0"/>
          <w:numId w:val="16"/>
        </w:numPr>
        <w:tabs>
          <w:tab w:val="clear" w:pos="0"/>
        </w:tabs>
        <w:spacing w:after="200"/>
        <w:rPr>
          <w:lang w:eastAsia="zh-CN"/>
        </w:rPr>
      </w:pPr>
      <w:r w:rsidRPr="00595D82">
        <w:rPr>
          <w:lang w:eastAsia="zh-CN"/>
        </w:rPr>
        <w:t>Technical assistance activities;</w:t>
      </w:r>
    </w:p>
    <w:p w14:paraId="48E97352" w14:textId="77777777" w:rsidR="0013474F" w:rsidRPr="00595D82" w:rsidRDefault="0013474F" w:rsidP="000E79CB">
      <w:pPr>
        <w:numPr>
          <w:ilvl w:val="0"/>
          <w:numId w:val="16"/>
        </w:numPr>
        <w:tabs>
          <w:tab w:val="clear" w:pos="0"/>
        </w:tabs>
        <w:spacing w:after="200"/>
        <w:rPr>
          <w:lang w:eastAsia="zh-CN"/>
        </w:rPr>
      </w:pPr>
      <w:r w:rsidRPr="00595D82">
        <w:rPr>
          <w:lang w:eastAsia="zh-CN"/>
        </w:rPr>
        <w:t>Research and development related to the production of low-GWP or zero-GWP alternatives to HFCs with a view to lowering the costs of alternatives;</w:t>
      </w:r>
    </w:p>
    <w:p w14:paraId="3EF9E1B6" w14:textId="77777777" w:rsidR="0013474F" w:rsidRPr="00595D82" w:rsidRDefault="0013474F" w:rsidP="000E79CB">
      <w:pPr>
        <w:numPr>
          <w:ilvl w:val="0"/>
          <w:numId w:val="16"/>
        </w:numPr>
        <w:tabs>
          <w:tab w:val="clear" w:pos="0"/>
        </w:tabs>
        <w:spacing w:after="200"/>
        <w:rPr>
          <w:lang w:eastAsia="zh-CN"/>
        </w:rPr>
      </w:pPr>
      <w:r w:rsidRPr="00595D82">
        <w:rPr>
          <w:lang w:eastAsia="zh-CN"/>
        </w:rPr>
        <w:t>Costs of patents and designs or incremental costs of royalties;</w:t>
      </w:r>
    </w:p>
    <w:p w14:paraId="1354E38E" w14:textId="77777777" w:rsidR="0013474F" w:rsidRPr="00595D82" w:rsidRDefault="0013474F" w:rsidP="000E79CB">
      <w:pPr>
        <w:numPr>
          <w:ilvl w:val="0"/>
          <w:numId w:val="16"/>
        </w:numPr>
        <w:tabs>
          <w:tab w:val="clear" w:pos="0"/>
        </w:tabs>
        <w:spacing w:after="200"/>
        <w:rPr>
          <w:lang w:eastAsia="zh-CN"/>
        </w:rPr>
      </w:pPr>
      <w:r w:rsidRPr="00595D82">
        <w:rPr>
          <w:lang w:eastAsia="zh-CN"/>
        </w:rPr>
        <w:t>Costs of converting facilities to produce low-GWP or zero-GWP alternatives to HFCs when technically feasible and cost-effective;</w:t>
      </w:r>
    </w:p>
    <w:p w14:paraId="3AAA694C" w14:textId="181970F3" w:rsidR="0013474F" w:rsidRPr="00595D82" w:rsidRDefault="0013474F" w:rsidP="000E79CB">
      <w:pPr>
        <w:numPr>
          <w:ilvl w:val="0"/>
          <w:numId w:val="16"/>
        </w:numPr>
        <w:tabs>
          <w:tab w:val="clear" w:pos="0"/>
        </w:tabs>
        <w:spacing w:after="200"/>
        <w:rPr>
          <w:lang w:eastAsia="zh-CN"/>
        </w:rPr>
      </w:pPr>
      <w:bookmarkStart w:id="229" w:name="OLE_LINK14"/>
      <w:r w:rsidRPr="00595D82">
        <w:rPr>
          <w:lang w:eastAsia="zh-CN"/>
        </w:rPr>
        <w:t xml:space="preserve">Costs of reducing emissions of HFC-23, a by-product of the production process of HCFC-22, by reducing the HFC-23 emission rate in the process, destroying it from the off-gas, or by collecting and converting it to other environmentally safe chemicals–such costs should be funded by the Multilateral Fund to meet the obligations of </w:t>
      </w:r>
      <w:r w:rsidR="00CE615C">
        <w:rPr>
          <w:lang w:eastAsia="zh-CN"/>
        </w:rPr>
        <w:t>A5</w:t>
      </w:r>
      <w:r w:rsidRPr="00595D82">
        <w:rPr>
          <w:lang w:eastAsia="zh-CN"/>
        </w:rPr>
        <w:t xml:space="preserve"> </w:t>
      </w:r>
      <w:r w:rsidR="00A208D8">
        <w:rPr>
          <w:lang w:eastAsia="zh-CN"/>
        </w:rPr>
        <w:t>parties</w:t>
      </w:r>
      <w:r w:rsidRPr="00595D82">
        <w:rPr>
          <w:lang w:eastAsia="zh-CN"/>
        </w:rPr>
        <w:t xml:space="preserve"> specified under the </w:t>
      </w:r>
      <w:bookmarkEnd w:id="229"/>
      <w:r w:rsidR="00FF0F7D">
        <w:rPr>
          <w:lang w:eastAsia="zh-CN"/>
        </w:rPr>
        <w:t>KA</w:t>
      </w:r>
      <w:r>
        <w:rPr>
          <w:lang w:eastAsia="zh-CN"/>
        </w:rPr>
        <w:t>.</w:t>
      </w:r>
    </w:p>
    <w:p w14:paraId="3696509E" w14:textId="77777777" w:rsidR="0013474F" w:rsidRPr="00595D82" w:rsidRDefault="0013474F" w:rsidP="0013474F">
      <w:pPr>
        <w:rPr>
          <w:lang w:eastAsia="zh-CN"/>
        </w:rPr>
      </w:pPr>
      <w:r w:rsidRPr="00595D82">
        <w:rPr>
          <w:lang w:eastAsia="zh-CN"/>
        </w:rPr>
        <w:t xml:space="preserve">Although the Decision 95/96 provide the categories of costs eligible for funding and to include them in the cost calculation associated with the phase-down of HFCs in the production sector, because there is very limited information available for assessing the CE of the HFC production phase-down, RTF draws </w:t>
      </w:r>
      <w:r>
        <w:rPr>
          <w:lang w:eastAsia="zh-CN"/>
        </w:rPr>
        <w:t xml:space="preserve">on </w:t>
      </w:r>
      <w:r w:rsidRPr="00595D82">
        <w:rPr>
          <w:lang w:eastAsia="zh-CN"/>
        </w:rPr>
        <w:t>the experience from the HCFC production sector phase-out and the HPPMP, and CE values for estimati</w:t>
      </w:r>
      <w:r>
        <w:rPr>
          <w:lang w:eastAsia="zh-CN"/>
        </w:rPr>
        <w:t xml:space="preserve">ng </w:t>
      </w:r>
      <w:r w:rsidRPr="00595D82">
        <w:rPr>
          <w:lang w:eastAsia="zh-CN"/>
        </w:rPr>
        <w:t xml:space="preserve">funding requirements of the HFC production sector. </w:t>
      </w:r>
    </w:p>
    <w:p w14:paraId="459F1A2A" w14:textId="651EC47C" w:rsidR="00F345C1" w:rsidRDefault="0013474F" w:rsidP="00F345C1">
      <w:pPr>
        <w:rPr>
          <w:highlight w:val="yellow"/>
        </w:rPr>
      </w:pPr>
      <w:r w:rsidRPr="00595D82">
        <w:rPr>
          <w:lang w:eastAsia="zh-CN"/>
        </w:rPr>
        <w:t xml:space="preserve">In its 2023 September report, RTF noted the HFC production phase-out cost at US$ 0.86/kg for China (which accounts for over 96.5% of HFC production), and US$ 1.5/kg for </w:t>
      </w:r>
      <w:r w:rsidR="00B62103">
        <w:rPr>
          <w:lang w:eastAsia="zh-CN"/>
        </w:rPr>
        <w:t xml:space="preserve">the </w:t>
      </w:r>
      <w:r w:rsidRPr="00595D82">
        <w:rPr>
          <w:lang w:eastAsia="zh-CN"/>
        </w:rPr>
        <w:t>DPRK and India, and the cost estimation is directly related to the production capacity and the basis for the calculation of compensation for production closure. By converting the CE of HFC production in $/kg to CE in $/CO</w:t>
      </w:r>
      <w:r w:rsidRPr="00595D82">
        <w:rPr>
          <w:vertAlign w:val="subscript"/>
          <w:lang w:eastAsia="zh-CN"/>
        </w:rPr>
        <w:t>2</w:t>
      </w:r>
      <w:r w:rsidRPr="00595D82">
        <w:rPr>
          <w:lang w:eastAsia="zh-CN"/>
        </w:rPr>
        <w:t>eq tonnes of HFC production, the RTF derived a CE for China of approximately US$ 0.</w:t>
      </w:r>
      <w:r w:rsidRPr="06DC8D3A">
        <w:rPr>
          <w:lang w:eastAsia="zh-CN"/>
        </w:rPr>
        <w:t>15</w:t>
      </w:r>
      <w:r w:rsidRPr="00595D82">
        <w:rPr>
          <w:lang w:eastAsia="zh-CN"/>
        </w:rPr>
        <w:t>/CO</w:t>
      </w:r>
      <w:r w:rsidRPr="00595D82">
        <w:rPr>
          <w:vertAlign w:val="subscript"/>
          <w:lang w:eastAsia="zh-CN"/>
        </w:rPr>
        <w:t>2</w:t>
      </w:r>
      <w:r w:rsidRPr="00595D82">
        <w:rPr>
          <w:lang w:eastAsia="zh-CN"/>
        </w:rPr>
        <w:t>eq tonnes, and US$ 0.78/CO</w:t>
      </w:r>
      <w:r w:rsidRPr="00595D82">
        <w:rPr>
          <w:vertAlign w:val="subscript"/>
          <w:lang w:eastAsia="zh-CN"/>
        </w:rPr>
        <w:t>2</w:t>
      </w:r>
      <w:r w:rsidRPr="00595D82">
        <w:rPr>
          <w:lang w:eastAsia="zh-CN"/>
        </w:rPr>
        <w:t xml:space="preserve">eq tonnes for </w:t>
      </w:r>
      <w:r w:rsidR="00B62103">
        <w:rPr>
          <w:lang w:eastAsia="zh-CN"/>
        </w:rPr>
        <w:t xml:space="preserve">the </w:t>
      </w:r>
      <w:r w:rsidRPr="00595D82">
        <w:rPr>
          <w:lang w:eastAsia="zh-CN"/>
        </w:rPr>
        <w:t xml:space="preserve">DPRK and India. </w:t>
      </w:r>
    </w:p>
    <w:p w14:paraId="161B90BA" w14:textId="73E16BFF" w:rsidR="00F345C1" w:rsidRDefault="00F345C1" w:rsidP="007C77CF">
      <w:pPr>
        <w:pStyle w:val="Heading3"/>
      </w:pPr>
      <w:bookmarkStart w:id="230" w:name="_Toc230099096"/>
      <w:r>
        <w:t>4</w:t>
      </w:r>
      <w:r w:rsidRPr="00D7427C">
        <w:t>.</w:t>
      </w:r>
      <w:r w:rsidR="004D384A">
        <w:t>3</w:t>
      </w:r>
      <w:r w:rsidRPr="00D7427C">
        <w:t>.2</w:t>
      </w:r>
      <w:r w:rsidRPr="00D7427C">
        <w:tab/>
      </w:r>
      <w:r w:rsidR="004D384A">
        <w:t>Estimated funding for the production sector</w:t>
      </w:r>
      <w:bookmarkEnd w:id="230"/>
    </w:p>
    <w:p w14:paraId="7F91C410" w14:textId="79570F27" w:rsidR="00F345C1" w:rsidRDefault="00C70DB1" w:rsidP="00C70DB1">
      <w:pPr>
        <w:rPr>
          <w:highlight w:val="yellow"/>
        </w:rPr>
      </w:pPr>
      <w:r w:rsidRPr="6899D804">
        <w:t>The 2024 production of HFC in China is 70% of the baseline, which is much lower than the 10% reduction target by 2029 for G1 parties. India is 78% of the baseline, which is much lower than the freeze in 2028 and 10% reduction target by 2032 for G2 parties. This implies that on a strictly compliance basis, only project preparation cost may be needed (RTF assumes that US$ 2,000,000 for HFC production sector plans preparation for the two parties), and no investment funding would be needed for the 2027-2029 triennium.</w:t>
      </w:r>
    </w:p>
    <w:p w14:paraId="37B8A669" w14:textId="60D71B7D" w:rsidR="00F345C1" w:rsidRDefault="00F345C1" w:rsidP="007C77CF">
      <w:pPr>
        <w:pStyle w:val="Heading3"/>
      </w:pPr>
      <w:bookmarkStart w:id="231" w:name="_Toc230099097"/>
      <w:r>
        <w:lastRenderedPageBreak/>
        <w:t>4</w:t>
      </w:r>
      <w:r w:rsidRPr="00D7427C">
        <w:t>.</w:t>
      </w:r>
      <w:r w:rsidR="006723CE">
        <w:t>3</w:t>
      </w:r>
      <w:r w:rsidRPr="00D7427C">
        <w:t>.</w:t>
      </w:r>
      <w:r w:rsidR="006723CE">
        <w:t>3</w:t>
      </w:r>
      <w:r w:rsidRPr="00D7427C">
        <w:tab/>
      </w:r>
      <w:r w:rsidR="00025912" w:rsidRPr="00025912">
        <w:t>Total Funding Requirement for the HFC Production Sector (2027-2029)</w:t>
      </w:r>
      <w:bookmarkEnd w:id="231"/>
    </w:p>
    <w:p w14:paraId="01D260E6" w14:textId="5BEAAE4D" w:rsidR="00486DB9" w:rsidRPr="00D03CFD" w:rsidRDefault="4BCEE662" w:rsidP="4BCEE662">
      <w:pPr>
        <w:spacing w:line="259" w:lineRule="auto"/>
        <w:rPr>
          <w:b/>
          <w:bCs/>
        </w:rPr>
      </w:pPr>
      <w:r>
        <w:t xml:space="preserve">Table 4.4 provides the estimated funding requirement for the HFC production sector for the 2027-2029 triennium which is </w:t>
      </w:r>
      <w:r w:rsidRPr="4BCEE662">
        <w:rPr>
          <w:b/>
          <w:bCs/>
        </w:rPr>
        <w:t>US$ 2 million.</w:t>
      </w:r>
    </w:p>
    <w:p w14:paraId="3E79C3AA" w14:textId="105AF953" w:rsidR="00802938" w:rsidRPr="00F178D0" w:rsidRDefault="00486DB9" w:rsidP="002135B0">
      <w:pPr>
        <w:tabs>
          <w:tab w:val="left" w:pos="1134"/>
        </w:tabs>
        <w:spacing w:after="0"/>
        <w:ind w:left="1412" w:hanging="1412"/>
        <w:rPr>
          <w:rFonts w:eastAsiaTheme="minorHAnsi"/>
          <w:b/>
          <w:bCs/>
        </w:rPr>
      </w:pPr>
      <w:r w:rsidRPr="00E42C5E">
        <w:rPr>
          <w:rFonts w:eastAsiaTheme="minorHAnsi"/>
          <w:b/>
          <w:bCs/>
        </w:rPr>
        <w:t xml:space="preserve">Table </w:t>
      </w:r>
      <w:r>
        <w:rPr>
          <w:rFonts w:eastAsiaTheme="minorHAnsi"/>
          <w:b/>
          <w:bCs/>
        </w:rPr>
        <w:t>4.</w:t>
      </w:r>
      <w:r w:rsidR="00E43817">
        <w:rPr>
          <w:rFonts w:eastAsiaTheme="minorHAnsi"/>
          <w:b/>
          <w:bCs/>
        </w:rPr>
        <w:t>4</w:t>
      </w:r>
      <w:r w:rsidR="004C78F5">
        <w:rPr>
          <w:rFonts w:eastAsiaTheme="minorHAnsi"/>
          <w:b/>
          <w:bCs/>
        </w:rPr>
        <w:t>:</w:t>
      </w:r>
      <w:r w:rsidRPr="00E42C5E">
        <w:rPr>
          <w:rFonts w:eastAsiaTheme="minorHAnsi"/>
          <w:b/>
          <w:bCs/>
        </w:rPr>
        <w:tab/>
      </w:r>
      <w:r w:rsidRPr="00486DB9">
        <w:rPr>
          <w:rFonts w:eastAsiaTheme="minorHAnsi"/>
          <w:b/>
          <w:bCs/>
        </w:rPr>
        <w:t xml:space="preserve">Estimated Funding for the HFC Production Sector </w:t>
      </w:r>
      <w:r w:rsidR="00EB5953">
        <w:rPr>
          <w:rFonts w:eastAsiaTheme="minorHAnsi"/>
          <w:b/>
          <w:bCs/>
        </w:rPr>
        <w:t xml:space="preserve">for </w:t>
      </w:r>
      <w:r w:rsidRPr="00486DB9">
        <w:rPr>
          <w:rFonts w:eastAsiaTheme="minorHAnsi"/>
          <w:b/>
          <w:bCs/>
        </w:rPr>
        <w:t>2027-2029</w:t>
      </w:r>
      <w:r w:rsidR="00EB5953">
        <w:rPr>
          <w:rFonts w:eastAsiaTheme="minorHAnsi"/>
          <w:b/>
          <w:bCs/>
        </w:rPr>
        <w:t xml:space="preserve"> (US$</w:t>
      </w:r>
      <w:r w:rsidRPr="00486DB9">
        <w:rPr>
          <w:rFonts w:eastAsiaTheme="minorHAnsi"/>
          <w:b/>
          <w:bCs/>
        </w:rPr>
        <w:t>)</w:t>
      </w:r>
      <w:r w:rsidR="00EB5953">
        <w:rPr>
          <w:rFonts w:eastAsiaTheme="minorHAnsi"/>
          <w:b/>
          <w:bCs/>
        </w:rPr>
        <w:t xml:space="preserve"> </w:t>
      </w:r>
    </w:p>
    <w:tbl>
      <w:tblPr>
        <w:tblpPr w:leftFromText="180" w:rightFromText="180" w:vertAnchor="text" w:tblpY="287"/>
        <w:tblW w:w="406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81"/>
        <w:gridCol w:w="3386"/>
      </w:tblGrid>
      <w:tr w:rsidR="00F178D0" w:rsidRPr="00F178D0" w14:paraId="476D7684" w14:textId="77777777" w:rsidTr="00FB32DE">
        <w:trPr>
          <w:trHeight w:val="684"/>
        </w:trPr>
        <w:tc>
          <w:tcPr>
            <w:tcW w:w="2702" w:type="pct"/>
            <w:shd w:val="clear" w:color="auto" w:fill="E2EFD9" w:themeFill="accent6" w:themeFillTint="33"/>
            <w:tcMar>
              <w:left w:w="108" w:type="dxa"/>
              <w:right w:w="108" w:type="dxa"/>
            </w:tcMar>
            <w:vAlign w:val="bottom"/>
          </w:tcPr>
          <w:p w14:paraId="73FDE5B4" w14:textId="77777777" w:rsidR="00F178D0" w:rsidRPr="00F178D0" w:rsidRDefault="00F178D0" w:rsidP="00F178D0">
            <w:pPr>
              <w:rPr>
                <w:b/>
                <w:bCs/>
                <w:lang w:eastAsia="zh-CN"/>
              </w:rPr>
            </w:pPr>
          </w:p>
        </w:tc>
        <w:tc>
          <w:tcPr>
            <w:tcW w:w="2298" w:type="pct"/>
            <w:shd w:val="clear" w:color="auto" w:fill="E2EFD9" w:themeFill="accent6" w:themeFillTint="33"/>
            <w:tcMar>
              <w:left w:w="108" w:type="dxa"/>
              <w:right w:w="108" w:type="dxa"/>
            </w:tcMar>
          </w:tcPr>
          <w:p w14:paraId="6E622D37" w14:textId="08108B03" w:rsidR="00F178D0" w:rsidRPr="00F178D0" w:rsidRDefault="00EB5953" w:rsidP="00D41A33">
            <w:pPr>
              <w:spacing w:before="120" w:after="120"/>
              <w:jc w:val="center"/>
              <w:rPr>
                <w:b/>
                <w:bCs/>
                <w:lang w:eastAsia="zh-CN"/>
              </w:rPr>
            </w:pPr>
            <w:r>
              <w:rPr>
                <w:b/>
                <w:bCs/>
                <w:lang w:eastAsia="zh-CN"/>
              </w:rPr>
              <w:t>Estimated funding 2027-2029</w:t>
            </w:r>
            <w:r w:rsidR="00DF61B5">
              <w:rPr>
                <w:b/>
                <w:bCs/>
                <w:lang w:eastAsia="zh-CN"/>
              </w:rPr>
              <w:t xml:space="preserve"> (</w:t>
            </w:r>
            <w:r w:rsidR="00F178D0" w:rsidRPr="00F178D0">
              <w:rPr>
                <w:b/>
                <w:bCs/>
                <w:lang w:eastAsia="zh-CN"/>
              </w:rPr>
              <w:t>US$</w:t>
            </w:r>
            <w:r w:rsidR="00DF61B5">
              <w:rPr>
                <w:b/>
                <w:bCs/>
                <w:lang w:eastAsia="zh-CN"/>
              </w:rPr>
              <w:t>)</w:t>
            </w:r>
          </w:p>
        </w:tc>
      </w:tr>
      <w:tr w:rsidR="00F178D0" w:rsidRPr="00F178D0" w14:paraId="7978B900" w14:textId="77777777" w:rsidTr="00DF61B5">
        <w:trPr>
          <w:trHeight w:val="146"/>
        </w:trPr>
        <w:tc>
          <w:tcPr>
            <w:tcW w:w="2702" w:type="pct"/>
            <w:shd w:val="clear" w:color="auto" w:fill="E2EFD9" w:themeFill="accent6" w:themeFillTint="33"/>
            <w:tcMar>
              <w:left w:w="108" w:type="dxa"/>
              <w:right w:w="108" w:type="dxa"/>
            </w:tcMar>
          </w:tcPr>
          <w:p w14:paraId="4D687035" w14:textId="77777777" w:rsidR="00F178D0" w:rsidRPr="00F178D0" w:rsidRDefault="00F178D0" w:rsidP="00D41A33">
            <w:pPr>
              <w:spacing w:before="120" w:after="120"/>
              <w:rPr>
                <w:lang w:eastAsia="zh-CN"/>
              </w:rPr>
            </w:pPr>
            <w:r w:rsidRPr="00F178D0">
              <w:rPr>
                <w:lang w:eastAsia="zh-CN"/>
              </w:rPr>
              <w:t>HFC Production Sector Prep</w:t>
            </w:r>
          </w:p>
        </w:tc>
        <w:tc>
          <w:tcPr>
            <w:tcW w:w="2298" w:type="pct"/>
            <w:shd w:val="clear" w:color="auto" w:fill="FFFFFF" w:themeFill="background1"/>
            <w:tcMar>
              <w:left w:w="108" w:type="dxa"/>
              <w:right w:w="108" w:type="dxa"/>
            </w:tcMar>
          </w:tcPr>
          <w:p w14:paraId="3AA57B52" w14:textId="77777777" w:rsidR="00F178D0" w:rsidRPr="00F178D0" w:rsidRDefault="00F178D0" w:rsidP="00D41A33">
            <w:pPr>
              <w:spacing w:before="120" w:after="120"/>
              <w:jc w:val="right"/>
              <w:rPr>
                <w:lang w:eastAsia="zh-CN"/>
              </w:rPr>
            </w:pPr>
            <w:r w:rsidRPr="00F178D0">
              <w:rPr>
                <w:lang w:eastAsia="zh-CN"/>
              </w:rPr>
              <w:t xml:space="preserve">        2,000,000</w:t>
            </w:r>
          </w:p>
        </w:tc>
      </w:tr>
      <w:tr w:rsidR="00F178D0" w:rsidRPr="00F178D0" w14:paraId="58D6FB66" w14:textId="77777777" w:rsidTr="00DF61B5">
        <w:trPr>
          <w:trHeight w:val="45"/>
        </w:trPr>
        <w:tc>
          <w:tcPr>
            <w:tcW w:w="2702" w:type="pct"/>
            <w:shd w:val="clear" w:color="auto" w:fill="E2EFD9" w:themeFill="accent6" w:themeFillTint="33"/>
            <w:tcMar>
              <w:left w:w="108" w:type="dxa"/>
              <w:right w:w="108" w:type="dxa"/>
            </w:tcMar>
          </w:tcPr>
          <w:p w14:paraId="275E2864" w14:textId="77777777" w:rsidR="00F178D0" w:rsidRPr="00F178D0" w:rsidRDefault="00F178D0" w:rsidP="00D41A33">
            <w:pPr>
              <w:spacing w:before="120" w:after="120"/>
              <w:rPr>
                <w:lang w:eastAsia="zh-CN"/>
              </w:rPr>
            </w:pPr>
            <w:r w:rsidRPr="00F178D0">
              <w:rPr>
                <w:lang w:eastAsia="zh-CN"/>
              </w:rPr>
              <w:t>HFC Production Sector KPPMP</w:t>
            </w:r>
          </w:p>
        </w:tc>
        <w:tc>
          <w:tcPr>
            <w:tcW w:w="2298" w:type="pct"/>
            <w:shd w:val="clear" w:color="auto" w:fill="FFFFFF" w:themeFill="background1"/>
            <w:tcMar>
              <w:left w:w="108" w:type="dxa"/>
              <w:right w:w="108" w:type="dxa"/>
            </w:tcMar>
          </w:tcPr>
          <w:p w14:paraId="624053AD" w14:textId="77777777" w:rsidR="00F178D0" w:rsidRPr="00F178D0" w:rsidRDefault="00F178D0" w:rsidP="00D41A33">
            <w:pPr>
              <w:spacing w:before="120" w:after="120"/>
              <w:jc w:val="right"/>
              <w:rPr>
                <w:lang w:eastAsia="zh-CN"/>
              </w:rPr>
            </w:pPr>
            <w:r w:rsidRPr="00F178D0">
              <w:rPr>
                <w:lang w:eastAsia="zh-CN"/>
              </w:rPr>
              <w:t xml:space="preserve">      0</w:t>
            </w:r>
          </w:p>
        </w:tc>
      </w:tr>
      <w:tr w:rsidR="00F178D0" w:rsidRPr="00F178D0" w14:paraId="7FAEB524" w14:textId="77777777" w:rsidTr="00DF61B5">
        <w:trPr>
          <w:trHeight w:val="546"/>
        </w:trPr>
        <w:tc>
          <w:tcPr>
            <w:tcW w:w="2702" w:type="pct"/>
            <w:shd w:val="clear" w:color="auto" w:fill="FFFF00"/>
            <w:tcMar>
              <w:left w:w="108" w:type="dxa"/>
              <w:right w:w="108" w:type="dxa"/>
            </w:tcMar>
            <w:vAlign w:val="center"/>
          </w:tcPr>
          <w:p w14:paraId="4A7752F1" w14:textId="77777777" w:rsidR="00F178D0" w:rsidRPr="00F178D0" w:rsidRDefault="00F178D0" w:rsidP="00D41A33">
            <w:pPr>
              <w:spacing w:before="120" w:after="120"/>
              <w:rPr>
                <w:b/>
                <w:bCs/>
                <w:lang w:eastAsia="zh-CN"/>
              </w:rPr>
            </w:pPr>
            <w:r w:rsidRPr="00F178D0">
              <w:rPr>
                <w:b/>
                <w:bCs/>
                <w:lang w:eastAsia="zh-CN"/>
              </w:rPr>
              <w:t>Subtotal – HFC Production Sector</w:t>
            </w:r>
          </w:p>
        </w:tc>
        <w:tc>
          <w:tcPr>
            <w:tcW w:w="2298" w:type="pct"/>
            <w:shd w:val="clear" w:color="auto" w:fill="FFFF00"/>
            <w:tcMar>
              <w:left w:w="108" w:type="dxa"/>
              <w:right w:w="108" w:type="dxa"/>
            </w:tcMar>
          </w:tcPr>
          <w:p w14:paraId="5EB5CE0D" w14:textId="77777777" w:rsidR="00F178D0" w:rsidRPr="00F178D0" w:rsidRDefault="00F178D0" w:rsidP="00D41A33">
            <w:pPr>
              <w:spacing w:before="120" w:after="120"/>
              <w:jc w:val="right"/>
              <w:rPr>
                <w:b/>
                <w:lang w:eastAsia="zh-CN"/>
              </w:rPr>
            </w:pPr>
            <w:r w:rsidRPr="00F178D0">
              <w:rPr>
                <w:b/>
                <w:lang w:eastAsia="zh-CN"/>
              </w:rPr>
              <w:t xml:space="preserve">    2,000,000</w:t>
            </w:r>
          </w:p>
        </w:tc>
      </w:tr>
    </w:tbl>
    <w:p w14:paraId="4271B4C3" w14:textId="1E47288F" w:rsidR="00DF61B5" w:rsidRDefault="00DF61B5" w:rsidP="00F178D0">
      <w:pPr>
        <w:spacing w:after="120"/>
        <w:rPr>
          <w:lang w:eastAsia="zh-CN"/>
        </w:rPr>
      </w:pPr>
    </w:p>
    <w:p w14:paraId="6A8474C8" w14:textId="77777777" w:rsidR="001C1044" w:rsidRDefault="001C1044" w:rsidP="00F178D0">
      <w:pPr>
        <w:spacing w:after="120"/>
        <w:rPr>
          <w:lang w:eastAsia="zh-CN"/>
        </w:rPr>
      </w:pPr>
    </w:p>
    <w:p w14:paraId="19D1D011" w14:textId="77777777" w:rsidR="001C1044" w:rsidRDefault="001C1044" w:rsidP="00F178D0">
      <w:pPr>
        <w:spacing w:after="120"/>
        <w:rPr>
          <w:lang w:eastAsia="zh-CN"/>
        </w:rPr>
      </w:pPr>
    </w:p>
    <w:p w14:paraId="4CA9770E" w14:textId="77777777" w:rsidR="001C1044" w:rsidRDefault="001C1044" w:rsidP="00F178D0">
      <w:pPr>
        <w:spacing w:after="120"/>
        <w:rPr>
          <w:lang w:eastAsia="zh-CN"/>
        </w:rPr>
      </w:pPr>
    </w:p>
    <w:p w14:paraId="219CAF3F" w14:textId="77777777" w:rsidR="001C1044" w:rsidRDefault="001C1044" w:rsidP="00F178D0">
      <w:pPr>
        <w:spacing w:after="120"/>
        <w:rPr>
          <w:lang w:eastAsia="zh-CN"/>
        </w:rPr>
      </w:pPr>
    </w:p>
    <w:p w14:paraId="01BE6D03" w14:textId="77777777" w:rsidR="001C1044" w:rsidRDefault="001C1044" w:rsidP="00F178D0">
      <w:pPr>
        <w:spacing w:after="120"/>
        <w:rPr>
          <w:lang w:eastAsia="zh-CN"/>
        </w:rPr>
      </w:pPr>
    </w:p>
    <w:p w14:paraId="40661C62" w14:textId="77777777" w:rsidR="001C1044" w:rsidRDefault="001C1044" w:rsidP="00F178D0">
      <w:pPr>
        <w:spacing w:after="120"/>
        <w:rPr>
          <w:lang w:eastAsia="zh-CN"/>
        </w:rPr>
      </w:pPr>
    </w:p>
    <w:p w14:paraId="64B35875" w14:textId="77777777" w:rsidR="001C1044" w:rsidRDefault="001C1044" w:rsidP="002D02B7">
      <w:pPr>
        <w:pStyle w:val="Heading2"/>
      </w:pPr>
    </w:p>
    <w:p w14:paraId="3A67D18D" w14:textId="18287F96" w:rsidR="009F2CB4" w:rsidRDefault="009F2CB4" w:rsidP="002D02B7">
      <w:pPr>
        <w:pStyle w:val="Heading2"/>
      </w:pPr>
      <w:bookmarkStart w:id="232" w:name="_Toc230099098"/>
      <w:r w:rsidRPr="00E42C5E">
        <w:t>4.</w:t>
      </w:r>
      <w:r>
        <w:t>4</w:t>
      </w:r>
      <w:r w:rsidRPr="00E42C5E">
        <w:tab/>
      </w:r>
      <w:r w:rsidR="001A4023">
        <w:t xml:space="preserve">Estimated funding requirement for </w:t>
      </w:r>
      <w:r w:rsidR="001A4023" w:rsidRPr="00487030">
        <w:t>HFC</w:t>
      </w:r>
      <w:r w:rsidR="001A4023">
        <w:t>-23 by-product emission mitigation</w:t>
      </w:r>
      <w:bookmarkEnd w:id="232"/>
    </w:p>
    <w:p w14:paraId="13D47B03" w14:textId="1DDAC9F6" w:rsidR="00C76EBD" w:rsidRPr="00487030" w:rsidRDefault="00C76EBD" w:rsidP="00C76EBD">
      <w:pPr>
        <w:rPr>
          <w:lang w:eastAsia="zh-CN"/>
        </w:rPr>
      </w:pPr>
      <w:r>
        <w:rPr>
          <w:lang w:eastAsia="zh-CN"/>
        </w:rPr>
        <w:t xml:space="preserve">ExCom </w:t>
      </w:r>
      <w:r w:rsidRPr="00487030">
        <w:rPr>
          <w:lang w:eastAsia="zh-CN"/>
        </w:rPr>
        <w:t>Decision 95/94 states</w:t>
      </w:r>
      <w:r>
        <w:rPr>
          <w:lang w:eastAsia="zh-CN"/>
        </w:rPr>
        <w:t>, “</w:t>
      </w:r>
      <w:r w:rsidRPr="00487030">
        <w:rPr>
          <w:lang w:eastAsia="zh-CN"/>
        </w:rPr>
        <w:t xml:space="preserve">costs of reducing emissions of HFC-23, a by-product of the production process of HCFC-22, by reducing the HFC-23 emission rate in the process, destroying it from the off-gas, or by collecting and converting it to other environmentally safe chemicals–such costs should be funded by the Multilateral Fund to meet the obligations of </w:t>
      </w:r>
      <w:r w:rsidR="00CE615C">
        <w:rPr>
          <w:lang w:eastAsia="zh-CN"/>
        </w:rPr>
        <w:t>A5</w:t>
      </w:r>
      <w:r w:rsidRPr="00487030">
        <w:rPr>
          <w:lang w:eastAsia="zh-CN"/>
        </w:rPr>
        <w:t xml:space="preserve"> Parties specified under the Kigali Amendment.</w:t>
      </w:r>
      <w:r>
        <w:rPr>
          <w:lang w:eastAsia="zh-CN"/>
        </w:rPr>
        <w:t>”</w:t>
      </w:r>
    </w:p>
    <w:p w14:paraId="597FCED2" w14:textId="0336207A" w:rsidR="00C76EBD" w:rsidRPr="00487030" w:rsidRDefault="00C76EBD" w:rsidP="00C76EBD">
      <w:pPr>
        <w:rPr>
          <w:lang w:val="en-US" w:eastAsia="zh-CN"/>
        </w:rPr>
      </w:pPr>
      <w:r w:rsidRPr="00487030">
        <w:rPr>
          <w:lang w:val="en-US" w:eastAsia="zh-CN"/>
        </w:rPr>
        <w:t xml:space="preserve">Five parties (Argentina, China, India, the Democratic People’s Republic of Korea and Mexico) produce and report HFC-23 by-production and generation. </w:t>
      </w:r>
      <w:r>
        <w:rPr>
          <w:lang w:val="en-US" w:eastAsia="zh-CN"/>
        </w:rPr>
        <w:t xml:space="preserve">The </w:t>
      </w:r>
      <w:r w:rsidRPr="00487030">
        <w:rPr>
          <w:lang w:val="en-US" w:eastAsia="zh-CN"/>
        </w:rPr>
        <w:t>HFC-23 phase-out plan</w:t>
      </w:r>
      <w:r>
        <w:rPr>
          <w:lang w:val="en-US" w:eastAsia="zh-CN"/>
        </w:rPr>
        <w:t>s</w:t>
      </w:r>
      <w:r w:rsidRPr="00487030">
        <w:rPr>
          <w:lang w:val="en-US" w:eastAsia="zh-CN"/>
        </w:rPr>
        <w:t xml:space="preserve"> of Argentina and Mexico had </w:t>
      </w:r>
      <w:r w:rsidRPr="00487030">
        <w:rPr>
          <w:rFonts w:hint="eastAsia"/>
          <w:lang w:val="en-US" w:eastAsia="zh-CN"/>
        </w:rPr>
        <w:t>been</w:t>
      </w:r>
      <w:r w:rsidRPr="00487030">
        <w:rPr>
          <w:lang w:val="en-US" w:eastAsia="zh-CN"/>
        </w:rPr>
        <w:t xml:space="preserve"> approved</w:t>
      </w:r>
      <w:r w:rsidRPr="00487030">
        <w:rPr>
          <w:rFonts w:hint="eastAsia"/>
          <w:lang w:val="en-US" w:eastAsia="zh-CN"/>
        </w:rPr>
        <w:t xml:space="preserve"> and implemented</w:t>
      </w:r>
      <w:r w:rsidRPr="00487030">
        <w:rPr>
          <w:lang w:val="en-US" w:eastAsia="zh-CN"/>
        </w:rPr>
        <w:t xml:space="preserve">. </w:t>
      </w:r>
      <w:r w:rsidR="00B62103">
        <w:rPr>
          <w:lang w:val="en-US" w:eastAsia="zh-CN"/>
        </w:rPr>
        <w:t xml:space="preserve">The </w:t>
      </w:r>
      <w:r w:rsidRPr="00487030">
        <w:rPr>
          <w:rFonts w:hint="eastAsia"/>
          <w:lang w:val="en-US" w:eastAsia="zh-CN"/>
        </w:rPr>
        <w:t xml:space="preserve">DPRK currently is </w:t>
      </w:r>
      <w:r w:rsidR="006F4664">
        <w:rPr>
          <w:lang w:val="en-US" w:eastAsia="zh-CN"/>
        </w:rPr>
        <w:t>not considered</w:t>
      </w:r>
      <w:r w:rsidR="006F4664" w:rsidRPr="00487030">
        <w:rPr>
          <w:rFonts w:hint="eastAsia"/>
          <w:lang w:val="en-US" w:eastAsia="zh-CN"/>
        </w:rPr>
        <w:t xml:space="preserve"> </w:t>
      </w:r>
      <w:r w:rsidRPr="00487030">
        <w:rPr>
          <w:rFonts w:hint="eastAsia"/>
          <w:lang w:val="en-US" w:eastAsia="zh-CN"/>
        </w:rPr>
        <w:t xml:space="preserve">for funding. </w:t>
      </w:r>
      <w:r w:rsidRPr="00487030">
        <w:rPr>
          <w:lang w:val="en-US" w:eastAsia="zh-CN"/>
        </w:rPr>
        <w:t>China</w:t>
      </w:r>
      <w:r>
        <w:rPr>
          <w:lang w:val="en-US" w:eastAsia="zh-CN"/>
        </w:rPr>
        <w:t xml:space="preserve"> and </w:t>
      </w:r>
      <w:r w:rsidRPr="00487030">
        <w:rPr>
          <w:lang w:val="en-US" w:eastAsia="zh-CN"/>
        </w:rPr>
        <w:t>India need to consider project preparation and project implementation during 202</w:t>
      </w:r>
      <w:r w:rsidRPr="00487030">
        <w:rPr>
          <w:rFonts w:hint="eastAsia"/>
          <w:lang w:val="en-US" w:eastAsia="zh-CN"/>
        </w:rPr>
        <w:t>7</w:t>
      </w:r>
      <w:r w:rsidRPr="00487030">
        <w:rPr>
          <w:lang w:val="en-US" w:eastAsia="zh-CN"/>
        </w:rPr>
        <w:t>-202</w:t>
      </w:r>
      <w:r w:rsidRPr="00487030">
        <w:rPr>
          <w:rFonts w:hint="eastAsia"/>
          <w:lang w:val="en-US" w:eastAsia="zh-CN"/>
        </w:rPr>
        <w:t>9</w:t>
      </w:r>
      <w:r w:rsidRPr="00487030">
        <w:rPr>
          <w:lang w:val="en-US" w:eastAsia="zh-CN"/>
        </w:rPr>
        <w:t xml:space="preserve"> triennium. </w:t>
      </w:r>
    </w:p>
    <w:p w14:paraId="6E2985A2" w14:textId="15FA648E" w:rsidR="009F2CB4" w:rsidRDefault="009F2CB4" w:rsidP="007C77CF">
      <w:pPr>
        <w:pStyle w:val="Heading3"/>
      </w:pPr>
      <w:bookmarkStart w:id="233" w:name="_Toc230099099"/>
      <w:r>
        <w:t>4</w:t>
      </w:r>
      <w:r w:rsidRPr="00D7427C">
        <w:t>.</w:t>
      </w:r>
      <w:r w:rsidR="00C76EBD">
        <w:t>4</w:t>
      </w:r>
      <w:r w:rsidRPr="00D7427C">
        <w:t>.</w:t>
      </w:r>
      <w:r>
        <w:t>1</w:t>
      </w:r>
      <w:r w:rsidRPr="00D7427C">
        <w:tab/>
      </w:r>
      <w:r w:rsidR="0063046C">
        <w:rPr>
          <w:lang w:val="en-US" w:eastAsia="zh-CN"/>
        </w:rPr>
        <w:t xml:space="preserve">CE for HFC-23 emission </w:t>
      </w:r>
      <w:r w:rsidR="0063046C" w:rsidRPr="00487030">
        <w:rPr>
          <w:lang w:val="en-US" w:eastAsia="zh-CN"/>
        </w:rPr>
        <w:t>mitigation</w:t>
      </w:r>
      <w:bookmarkEnd w:id="233"/>
    </w:p>
    <w:p w14:paraId="0DB20374" w14:textId="327BAF42" w:rsidR="00224613" w:rsidRDefault="1843192A" w:rsidP="60B95D79">
      <w:pPr>
        <w:spacing w:after="0"/>
        <w:contextualSpacing/>
      </w:pPr>
      <w:r>
        <w:t xml:space="preserve">At </w:t>
      </w:r>
      <w:r w:rsidRPr="009F2A97">
        <w:t>ExCom-82</w:t>
      </w:r>
      <w:r>
        <w:t>,</w:t>
      </w:r>
      <w:r w:rsidR="1D7D0C25">
        <w:t xml:space="preserve"> </w:t>
      </w:r>
      <w:r w:rsidR="00224613" w:rsidRPr="009F2A97">
        <w:rPr>
          <w:vertAlign w:val="superscript"/>
        </w:rPr>
        <w:footnoteReference w:id="62"/>
      </w:r>
      <w:r>
        <w:t xml:space="preserve"> in response to </w:t>
      </w:r>
      <w:r w:rsidRPr="009F2A97">
        <w:t xml:space="preserve">Decision 81/68(e), </w:t>
      </w:r>
      <w:r>
        <w:t xml:space="preserve">parties discussed </w:t>
      </w:r>
      <w:r w:rsidRPr="009F2A97">
        <w:t xml:space="preserve">the </w:t>
      </w:r>
      <w:r>
        <w:t>CE</w:t>
      </w:r>
      <w:r w:rsidRPr="009F2A97">
        <w:t xml:space="preserve"> </w:t>
      </w:r>
      <w:r>
        <w:t>values</w:t>
      </w:r>
      <w:r w:rsidRPr="009F2A97">
        <w:t xml:space="preserve"> for controlling HFC-23 by-product emissions. By estimating the overall CE of closure of CFC production projects and HPPMPs, MLF</w:t>
      </w:r>
      <w:r>
        <w:t>S</w:t>
      </w:r>
      <w:r w:rsidRPr="009F2A97">
        <w:t xml:space="preserve"> assessed th</w:t>
      </w:r>
      <w:r>
        <w:t xml:space="preserve">at the CE </w:t>
      </w:r>
      <w:r w:rsidRPr="009F2A97">
        <w:t>(including the additional funding provided for the accelerated phase-out for some of the plans) range</w:t>
      </w:r>
      <w:r>
        <w:t>d</w:t>
      </w:r>
      <w:r w:rsidRPr="009F2A97">
        <w:t xml:space="preserve"> from US$ 2.88/kg to US$ 3.86/kg, with an average CE of US$ 3.45/kg; and US$ 0.86/kg is the overall CE for China’s HPPMP project, and US$ 0.3/kg </w:t>
      </w:r>
      <w:r>
        <w:t xml:space="preserve">is the CE </w:t>
      </w:r>
      <w:r w:rsidRPr="009F2A97">
        <w:t>for stage II of the HPPMP in China</w:t>
      </w:r>
      <w:r>
        <w:t>.</w:t>
      </w:r>
      <w:r w:rsidR="00224613" w:rsidRPr="009F2A97">
        <w:rPr>
          <w:vertAlign w:val="superscript"/>
        </w:rPr>
        <w:footnoteReference w:id="63"/>
      </w:r>
      <w:r>
        <w:t xml:space="preserve"> </w:t>
      </w:r>
      <w:r w:rsidRPr="009F2A97">
        <w:t>The Secretariat</w:t>
      </w:r>
      <w:r>
        <w:t>”</w:t>
      </w:r>
      <w:r w:rsidRPr="009F2A97">
        <w:t xml:space="preserve"> compared the cost of HFC-23 by-product emission control through swing plant closure and on-site incineration, using the CE of the previously approved production phase-out projects and the range of IOCs estimated by the independent consultant for a 400 mt/yr and an 800 mt/yr destruction facility (i.e., between US$ 1.80/kg and US$ 4.37/kg)</w:t>
      </w:r>
      <w:r>
        <w:t>.</w:t>
      </w:r>
      <w:r w:rsidRPr="009F2A97">
        <w:t>”</w:t>
      </w:r>
    </w:p>
    <w:p w14:paraId="013B24E7" w14:textId="77777777" w:rsidR="00224613" w:rsidRPr="009C35D5" w:rsidRDefault="00224613" w:rsidP="00224613">
      <w:pPr>
        <w:spacing w:after="0"/>
        <w:contextualSpacing/>
      </w:pPr>
    </w:p>
    <w:p w14:paraId="55036864" w14:textId="1518CC82" w:rsidR="00224613" w:rsidRPr="009F2A97" w:rsidRDefault="00224613" w:rsidP="00224613">
      <w:pPr>
        <w:spacing w:line="257" w:lineRule="auto"/>
        <w:rPr>
          <w:rFonts w:eastAsia="DengXian"/>
        </w:rPr>
      </w:pPr>
      <w:r w:rsidRPr="4BE4E9B4">
        <w:rPr>
          <w:rFonts w:eastAsia="DengXian"/>
        </w:rPr>
        <w:t>RTF reviewed the ExCom discussion on CE for controlling HFC-23 for Argentina and Mexico, and the HFC-23 funding approved as in Table 4</w:t>
      </w:r>
      <w:r>
        <w:rPr>
          <w:rFonts w:eastAsia="DengXian"/>
        </w:rPr>
        <w:t>.</w:t>
      </w:r>
      <w:r w:rsidRPr="6E55E914">
        <w:rPr>
          <w:rFonts w:eastAsia="DengXian"/>
        </w:rPr>
        <w:t>5</w:t>
      </w:r>
      <w:r w:rsidRPr="4BE4E9B4">
        <w:rPr>
          <w:rFonts w:eastAsia="DengXian"/>
        </w:rPr>
        <w:t xml:space="preserve"> below. </w:t>
      </w:r>
    </w:p>
    <w:p w14:paraId="61E727F5" w14:textId="77777777" w:rsidR="00F54BB8" w:rsidRDefault="00F54BB8" w:rsidP="002553B4">
      <w:pPr>
        <w:tabs>
          <w:tab w:val="left" w:pos="1418"/>
        </w:tabs>
        <w:spacing w:after="0"/>
        <w:ind w:left="1411" w:hanging="1411"/>
        <w:rPr>
          <w:rFonts w:eastAsiaTheme="minorHAnsi"/>
          <w:b/>
          <w:bCs/>
        </w:rPr>
      </w:pPr>
    </w:p>
    <w:p w14:paraId="601EA9B5" w14:textId="46625F61" w:rsidR="002553B4" w:rsidRDefault="002553B4" w:rsidP="002135B0">
      <w:pPr>
        <w:tabs>
          <w:tab w:val="left" w:pos="1134"/>
        </w:tabs>
        <w:spacing w:after="0"/>
        <w:ind w:left="1412" w:hanging="1412"/>
        <w:rPr>
          <w:rFonts w:eastAsiaTheme="minorHAnsi"/>
          <w:b/>
          <w:bCs/>
        </w:rPr>
      </w:pPr>
      <w:r w:rsidRPr="00E42C5E">
        <w:rPr>
          <w:rFonts w:eastAsiaTheme="minorHAnsi"/>
          <w:b/>
          <w:bCs/>
        </w:rPr>
        <w:lastRenderedPageBreak/>
        <w:t xml:space="preserve">Table </w:t>
      </w:r>
      <w:r>
        <w:rPr>
          <w:rFonts w:eastAsiaTheme="minorHAnsi"/>
          <w:b/>
          <w:bCs/>
        </w:rPr>
        <w:t>4.</w:t>
      </w:r>
      <w:r w:rsidR="00E43817">
        <w:rPr>
          <w:rFonts w:eastAsiaTheme="minorHAnsi"/>
          <w:b/>
          <w:bCs/>
        </w:rPr>
        <w:t>5</w:t>
      </w:r>
      <w:r w:rsidR="00811D75">
        <w:rPr>
          <w:rFonts w:eastAsiaTheme="minorHAnsi"/>
          <w:b/>
          <w:bCs/>
        </w:rPr>
        <w:t>:</w:t>
      </w:r>
      <w:r w:rsidRPr="00E42C5E">
        <w:rPr>
          <w:rFonts w:eastAsiaTheme="minorHAnsi"/>
          <w:b/>
          <w:bCs/>
        </w:rPr>
        <w:tab/>
      </w:r>
      <w:r w:rsidR="00224613">
        <w:rPr>
          <w:rFonts w:eastAsiaTheme="minorHAnsi"/>
          <w:b/>
          <w:bCs/>
        </w:rPr>
        <w:t xml:space="preserve">HFC-23 approved projects for </w:t>
      </w:r>
      <w:r w:rsidR="00856AFD">
        <w:rPr>
          <w:rFonts w:eastAsiaTheme="minorHAnsi"/>
          <w:b/>
          <w:bCs/>
        </w:rPr>
        <w:t>Argentina and Mexico</w:t>
      </w:r>
      <w:r>
        <w:rPr>
          <w:rFonts w:eastAsiaTheme="minorHAnsi"/>
          <w:b/>
          <w:bCs/>
        </w:rPr>
        <w:t xml:space="preserve"> </w:t>
      </w:r>
    </w:p>
    <w:p w14:paraId="12CAA0BD" w14:textId="77777777" w:rsidR="00066319" w:rsidRPr="00F178D0" w:rsidRDefault="00066319" w:rsidP="002553B4">
      <w:pPr>
        <w:tabs>
          <w:tab w:val="left" w:pos="1418"/>
        </w:tabs>
        <w:spacing w:after="0"/>
        <w:ind w:left="1411" w:hanging="1411"/>
        <w:rPr>
          <w:rFonts w:eastAsiaTheme="minorHAnsi"/>
          <w:b/>
          <w:bCs/>
        </w:rPr>
      </w:pPr>
    </w:p>
    <w:tbl>
      <w:tblPr>
        <w:tblW w:w="9064" w:type="dxa"/>
        <w:tblLayout w:type="fixed"/>
        <w:tblLook w:val="04A0" w:firstRow="1" w:lastRow="0" w:firstColumn="1" w:lastColumn="0" w:noHBand="0" w:noVBand="1"/>
      </w:tblPr>
      <w:tblGrid>
        <w:gridCol w:w="1070"/>
        <w:gridCol w:w="1080"/>
        <w:gridCol w:w="1080"/>
        <w:gridCol w:w="990"/>
        <w:gridCol w:w="1080"/>
        <w:gridCol w:w="900"/>
        <w:gridCol w:w="965"/>
        <w:gridCol w:w="1043"/>
        <w:gridCol w:w="856"/>
      </w:tblGrid>
      <w:tr w:rsidR="007C36A4" w:rsidRPr="00381085" w14:paraId="624A5FBB" w14:textId="77777777" w:rsidTr="00A14625">
        <w:trPr>
          <w:trHeight w:val="285"/>
        </w:trPr>
        <w:tc>
          <w:tcPr>
            <w:tcW w:w="107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36F1F367" w14:textId="77777777" w:rsidR="007C36A4" w:rsidRPr="009F2A97" w:rsidRDefault="007C36A4" w:rsidP="006233FA">
            <w:pPr>
              <w:spacing w:after="0"/>
              <w:jc w:val="center"/>
              <w:rPr>
                <w:sz w:val="20"/>
                <w:szCs w:val="20"/>
              </w:rPr>
            </w:pPr>
          </w:p>
        </w:tc>
        <w:tc>
          <w:tcPr>
            <w:tcW w:w="108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7B1375CE" w14:textId="77777777" w:rsidR="007C36A4" w:rsidRPr="009F2A97" w:rsidRDefault="007C36A4" w:rsidP="006233FA">
            <w:pPr>
              <w:spacing w:after="0"/>
              <w:jc w:val="center"/>
              <w:rPr>
                <w:sz w:val="20"/>
                <w:szCs w:val="20"/>
              </w:rPr>
            </w:pPr>
            <w:r w:rsidRPr="009F2A97">
              <w:rPr>
                <w:rFonts w:eastAsia="DengXian"/>
                <w:color w:val="000000"/>
                <w:sz w:val="20"/>
                <w:szCs w:val="20"/>
              </w:rPr>
              <w:t>Total HFC-23 addressed (kg)</w:t>
            </w:r>
          </w:p>
        </w:tc>
        <w:tc>
          <w:tcPr>
            <w:tcW w:w="108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349B534D" w14:textId="77777777" w:rsidR="007C36A4" w:rsidRPr="009F2A97" w:rsidRDefault="007C36A4" w:rsidP="006233FA">
            <w:pPr>
              <w:spacing w:after="0"/>
              <w:jc w:val="center"/>
              <w:rPr>
                <w:sz w:val="20"/>
                <w:szCs w:val="20"/>
              </w:rPr>
            </w:pPr>
            <w:r w:rsidRPr="009F2A97">
              <w:rPr>
                <w:rFonts w:eastAsia="DengXian"/>
                <w:color w:val="000000"/>
                <w:sz w:val="20"/>
                <w:szCs w:val="20"/>
              </w:rPr>
              <w:t>Total funding approved (US$)</w:t>
            </w:r>
          </w:p>
        </w:tc>
        <w:tc>
          <w:tcPr>
            <w:tcW w:w="99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45D7875D" w14:textId="77777777" w:rsidR="007C36A4" w:rsidRPr="009F2A97" w:rsidRDefault="007C36A4" w:rsidP="006233FA">
            <w:pPr>
              <w:spacing w:after="0"/>
              <w:jc w:val="center"/>
              <w:rPr>
                <w:sz w:val="20"/>
                <w:szCs w:val="20"/>
              </w:rPr>
            </w:pPr>
            <w:r w:rsidRPr="009F2A97">
              <w:rPr>
                <w:rFonts w:eastAsia="DengXian"/>
                <w:color w:val="000000"/>
                <w:sz w:val="20"/>
                <w:szCs w:val="20"/>
              </w:rPr>
              <w:t>Total Funding CE (US$/kg)</w:t>
            </w:r>
          </w:p>
        </w:tc>
        <w:tc>
          <w:tcPr>
            <w:tcW w:w="108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7870E52E" w14:textId="77777777" w:rsidR="007C36A4" w:rsidRPr="009F2A97" w:rsidRDefault="007C36A4" w:rsidP="006233FA">
            <w:pPr>
              <w:spacing w:after="0"/>
              <w:jc w:val="center"/>
              <w:rPr>
                <w:sz w:val="20"/>
                <w:szCs w:val="20"/>
              </w:rPr>
            </w:pPr>
            <w:r w:rsidRPr="009F2A97">
              <w:rPr>
                <w:rFonts w:eastAsia="DengXian"/>
                <w:color w:val="000000"/>
                <w:sz w:val="20"/>
                <w:szCs w:val="20"/>
              </w:rPr>
              <w:t>IOC approved (US$)</w:t>
            </w:r>
          </w:p>
        </w:tc>
        <w:tc>
          <w:tcPr>
            <w:tcW w:w="90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1E151338" w14:textId="77777777" w:rsidR="007C36A4" w:rsidRPr="009F2A97" w:rsidRDefault="007C36A4" w:rsidP="006233FA">
            <w:pPr>
              <w:spacing w:after="0"/>
              <w:jc w:val="center"/>
              <w:rPr>
                <w:sz w:val="20"/>
                <w:szCs w:val="20"/>
              </w:rPr>
            </w:pPr>
            <w:r w:rsidRPr="009F2A97">
              <w:rPr>
                <w:rFonts w:eastAsia="DengXian"/>
                <w:color w:val="000000"/>
                <w:sz w:val="20"/>
                <w:szCs w:val="20"/>
              </w:rPr>
              <w:t>CE OF IOC US$/kg</w:t>
            </w:r>
          </w:p>
        </w:tc>
        <w:tc>
          <w:tcPr>
            <w:tcW w:w="965"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298F0869" w14:textId="77777777" w:rsidR="007C36A4" w:rsidRPr="009F2A97" w:rsidRDefault="007C36A4" w:rsidP="006233FA">
            <w:pPr>
              <w:spacing w:after="0"/>
              <w:jc w:val="center"/>
              <w:rPr>
                <w:sz w:val="20"/>
                <w:szCs w:val="20"/>
              </w:rPr>
            </w:pPr>
            <w:r w:rsidRPr="009F2A97">
              <w:rPr>
                <w:rFonts w:eastAsia="DengXian"/>
                <w:color w:val="000000"/>
                <w:sz w:val="20"/>
                <w:szCs w:val="20"/>
              </w:rPr>
              <w:t>% IOC in total cost</w:t>
            </w:r>
          </w:p>
        </w:tc>
        <w:tc>
          <w:tcPr>
            <w:tcW w:w="1043"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6F427F68" w14:textId="77777777" w:rsidR="007C36A4" w:rsidRPr="009F2A97" w:rsidRDefault="007C36A4" w:rsidP="006233FA">
            <w:pPr>
              <w:spacing w:after="0"/>
              <w:jc w:val="center"/>
              <w:rPr>
                <w:sz w:val="20"/>
                <w:szCs w:val="20"/>
              </w:rPr>
            </w:pPr>
            <w:r w:rsidRPr="009F2A97">
              <w:rPr>
                <w:rFonts w:eastAsia="DengXian"/>
                <w:color w:val="000000"/>
                <w:sz w:val="20"/>
                <w:szCs w:val="20"/>
              </w:rPr>
              <w:t>Agency support cost approved (US$)</w:t>
            </w:r>
          </w:p>
        </w:tc>
        <w:tc>
          <w:tcPr>
            <w:tcW w:w="856"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vAlign w:val="center"/>
          </w:tcPr>
          <w:p w14:paraId="651E9BC2" w14:textId="77777777" w:rsidR="007C36A4" w:rsidRPr="009F2A97" w:rsidRDefault="007C36A4" w:rsidP="006233FA">
            <w:pPr>
              <w:spacing w:after="0"/>
              <w:jc w:val="center"/>
              <w:rPr>
                <w:sz w:val="20"/>
                <w:szCs w:val="20"/>
              </w:rPr>
            </w:pPr>
            <w:r w:rsidRPr="009F2A97">
              <w:rPr>
                <w:rFonts w:eastAsia="DengXian"/>
                <w:color w:val="000000"/>
                <w:sz w:val="20"/>
                <w:szCs w:val="20"/>
              </w:rPr>
              <w:t>Agency support cost (%)</w:t>
            </w:r>
          </w:p>
        </w:tc>
      </w:tr>
      <w:tr w:rsidR="007C36A4" w:rsidRPr="009F2A97" w14:paraId="659DD634" w14:textId="77777777" w:rsidTr="00A14625">
        <w:trPr>
          <w:trHeight w:val="285"/>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47653E" w14:textId="77777777" w:rsidR="007C36A4" w:rsidRPr="009F2A97" w:rsidRDefault="007C36A4" w:rsidP="006233FA">
            <w:pPr>
              <w:spacing w:after="0"/>
              <w:rPr>
                <w:sz w:val="20"/>
                <w:szCs w:val="20"/>
              </w:rPr>
            </w:pPr>
            <w:r w:rsidRPr="009F2A97">
              <w:rPr>
                <w:rFonts w:eastAsia="DengXian"/>
                <w:color w:val="000000"/>
                <w:sz w:val="20"/>
                <w:szCs w:val="20"/>
              </w:rPr>
              <w:t>Argentina</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03F357" w14:textId="77777777" w:rsidR="007C36A4" w:rsidRPr="009F2A97" w:rsidRDefault="007C36A4" w:rsidP="006233FA">
            <w:pPr>
              <w:spacing w:after="0"/>
              <w:jc w:val="right"/>
              <w:rPr>
                <w:sz w:val="20"/>
                <w:szCs w:val="20"/>
              </w:rPr>
            </w:pPr>
            <w:r w:rsidRPr="009F2A97">
              <w:rPr>
                <w:rFonts w:eastAsia="DengXian"/>
                <w:color w:val="000000"/>
                <w:sz w:val="20"/>
                <w:szCs w:val="20"/>
              </w:rPr>
              <w:t>360,378</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AEEBA" w14:textId="77777777" w:rsidR="007C36A4" w:rsidRPr="009F2A97" w:rsidRDefault="007C36A4" w:rsidP="006233FA">
            <w:pPr>
              <w:spacing w:after="0"/>
              <w:jc w:val="right"/>
              <w:rPr>
                <w:sz w:val="20"/>
                <w:szCs w:val="20"/>
              </w:rPr>
            </w:pPr>
            <w:r w:rsidRPr="009F2A97">
              <w:rPr>
                <w:rFonts w:eastAsia="DengXian"/>
                <w:color w:val="000000"/>
                <w:sz w:val="20"/>
                <w:szCs w:val="20"/>
              </w:rPr>
              <w:t>2,262,630</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C53028" w14:textId="77777777" w:rsidR="007C36A4" w:rsidRPr="009F2A97" w:rsidRDefault="007C36A4" w:rsidP="006233FA">
            <w:pPr>
              <w:spacing w:after="0"/>
              <w:jc w:val="center"/>
              <w:rPr>
                <w:sz w:val="20"/>
                <w:szCs w:val="20"/>
              </w:rPr>
            </w:pPr>
            <w:r w:rsidRPr="009F2A97">
              <w:rPr>
                <w:rFonts w:eastAsia="DengXian"/>
                <w:color w:val="000000"/>
                <w:sz w:val="20"/>
                <w:szCs w:val="20"/>
              </w:rPr>
              <w:t>6.28</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56D59" w14:textId="77777777" w:rsidR="007C36A4" w:rsidRPr="009F2A97" w:rsidRDefault="007C36A4" w:rsidP="006233FA">
            <w:pPr>
              <w:spacing w:after="0"/>
              <w:jc w:val="right"/>
              <w:rPr>
                <w:sz w:val="20"/>
                <w:szCs w:val="20"/>
              </w:rPr>
            </w:pPr>
            <w:r w:rsidRPr="009F2A97">
              <w:rPr>
                <w:rFonts w:eastAsia="DengXian"/>
                <w:color w:val="000000"/>
                <w:sz w:val="20"/>
                <w:szCs w:val="20"/>
              </w:rPr>
              <w:t>502,766</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D0C67A" w14:textId="77777777" w:rsidR="007C36A4" w:rsidRPr="009F2A97" w:rsidRDefault="007C36A4" w:rsidP="006233FA">
            <w:pPr>
              <w:spacing w:after="0"/>
              <w:jc w:val="center"/>
              <w:rPr>
                <w:sz w:val="20"/>
                <w:szCs w:val="20"/>
              </w:rPr>
            </w:pPr>
            <w:r w:rsidRPr="009F2A97">
              <w:rPr>
                <w:rFonts w:eastAsia="DengXian"/>
                <w:color w:val="000000"/>
                <w:sz w:val="20"/>
                <w:szCs w:val="20"/>
              </w:rPr>
              <w:t>1.40</w:t>
            </w:r>
          </w:p>
        </w:tc>
        <w:tc>
          <w:tcPr>
            <w:tcW w:w="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5AF34F" w14:textId="77777777" w:rsidR="007C36A4" w:rsidRPr="009F2A97" w:rsidRDefault="007C36A4" w:rsidP="006233FA">
            <w:pPr>
              <w:spacing w:after="0"/>
              <w:jc w:val="center"/>
              <w:rPr>
                <w:sz w:val="20"/>
                <w:szCs w:val="20"/>
              </w:rPr>
            </w:pPr>
            <w:r w:rsidRPr="009F2A97">
              <w:rPr>
                <w:rFonts w:eastAsia="DengXian"/>
                <w:color w:val="000000"/>
                <w:sz w:val="20"/>
                <w:szCs w:val="20"/>
              </w:rPr>
              <w:t>22.20</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35185B" w14:textId="77777777" w:rsidR="007C36A4" w:rsidRPr="009F2A97" w:rsidRDefault="007C36A4" w:rsidP="006233FA">
            <w:pPr>
              <w:spacing w:after="0"/>
              <w:jc w:val="right"/>
              <w:rPr>
                <w:sz w:val="20"/>
                <w:szCs w:val="20"/>
              </w:rPr>
            </w:pPr>
            <w:r w:rsidRPr="009F2A97">
              <w:rPr>
                <w:rFonts w:eastAsia="DengXian"/>
                <w:color w:val="000000"/>
                <w:sz w:val="20"/>
                <w:szCs w:val="20"/>
              </w:rPr>
              <w:t>158,384</w:t>
            </w:r>
          </w:p>
        </w:tc>
        <w:tc>
          <w:tcPr>
            <w:tcW w:w="8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F4423B" w14:textId="77777777" w:rsidR="007C36A4" w:rsidRPr="009F2A97" w:rsidRDefault="007C36A4" w:rsidP="006233FA">
            <w:pPr>
              <w:spacing w:after="0"/>
              <w:jc w:val="center"/>
              <w:rPr>
                <w:sz w:val="20"/>
                <w:szCs w:val="20"/>
              </w:rPr>
            </w:pPr>
            <w:r w:rsidRPr="009F2A97">
              <w:rPr>
                <w:rFonts w:eastAsia="DengXian"/>
                <w:color w:val="000000"/>
                <w:sz w:val="20"/>
                <w:szCs w:val="20"/>
              </w:rPr>
              <w:t>7.00</w:t>
            </w:r>
          </w:p>
        </w:tc>
      </w:tr>
      <w:tr w:rsidR="007C36A4" w:rsidRPr="009F2A97" w14:paraId="726C0E1D" w14:textId="77777777" w:rsidTr="00A14625">
        <w:trPr>
          <w:trHeight w:val="285"/>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F83FF" w14:textId="77777777" w:rsidR="007C36A4" w:rsidRPr="009F2A97" w:rsidRDefault="007C36A4" w:rsidP="006233FA">
            <w:pPr>
              <w:spacing w:after="0"/>
              <w:rPr>
                <w:sz w:val="20"/>
                <w:szCs w:val="20"/>
              </w:rPr>
            </w:pPr>
            <w:r w:rsidRPr="009F2A97">
              <w:rPr>
                <w:rFonts w:eastAsia="DengXian"/>
                <w:color w:val="000000"/>
                <w:sz w:val="20"/>
                <w:szCs w:val="20"/>
              </w:rPr>
              <w:t>Mexico</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E7B830" w14:textId="77777777" w:rsidR="007C36A4" w:rsidRPr="009F2A97" w:rsidRDefault="007C36A4" w:rsidP="006233FA">
            <w:pPr>
              <w:spacing w:after="0"/>
              <w:jc w:val="right"/>
              <w:rPr>
                <w:sz w:val="20"/>
                <w:szCs w:val="20"/>
              </w:rPr>
            </w:pPr>
            <w:r w:rsidRPr="009F2A97">
              <w:rPr>
                <w:rFonts w:eastAsia="DengXian"/>
                <w:color w:val="000000"/>
                <w:sz w:val="20"/>
                <w:szCs w:val="20"/>
              </w:rPr>
              <w:t>9,669,876</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91C84D" w14:textId="77777777" w:rsidR="007C36A4" w:rsidRPr="009F2A97" w:rsidRDefault="007C36A4" w:rsidP="006233FA">
            <w:pPr>
              <w:spacing w:after="0"/>
              <w:jc w:val="right"/>
              <w:rPr>
                <w:sz w:val="20"/>
                <w:szCs w:val="20"/>
              </w:rPr>
            </w:pPr>
            <w:r w:rsidRPr="009F2A97">
              <w:rPr>
                <w:rFonts w:eastAsia="DengXian"/>
                <w:color w:val="000000"/>
                <w:sz w:val="20"/>
                <w:szCs w:val="20"/>
              </w:rPr>
              <w:t>3,833,384</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BE1B05" w14:textId="77777777" w:rsidR="007C36A4" w:rsidRPr="009F2A97" w:rsidRDefault="007C36A4" w:rsidP="006233FA">
            <w:pPr>
              <w:spacing w:after="0"/>
              <w:jc w:val="center"/>
              <w:rPr>
                <w:sz w:val="20"/>
                <w:szCs w:val="20"/>
              </w:rPr>
            </w:pPr>
            <w:r w:rsidRPr="009F2A97">
              <w:rPr>
                <w:rFonts w:eastAsia="DengXian"/>
                <w:color w:val="000000"/>
                <w:sz w:val="20"/>
                <w:szCs w:val="20"/>
              </w:rPr>
              <w:t>4.19</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F8D72" w14:textId="77777777" w:rsidR="007C36A4" w:rsidRPr="009F2A97" w:rsidRDefault="007C36A4" w:rsidP="006233FA">
            <w:pPr>
              <w:spacing w:after="0"/>
              <w:jc w:val="right"/>
              <w:rPr>
                <w:sz w:val="20"/>
                <w:szCs w:val="20"/>
              </w:rPr>
            </w:pPr>
            <w:r w:rsidRPr="009F2A97">
              <w:rPr>
                <w:rFonts w:eastAsia="DengXian"/>
                <w:color w:val="000000"/>
                <w:sz w:val="20"/>
                <w:szCs w:val="20"/>
              </w:rPr>
              <w:t>2,995,047</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2275A" w14:textId="77777777" w:rsidR="007C36A4" w:rsidRPr="009F2A97" w:rsidRDefault="007C36A4" w:rsidP="006233FA">
            <w:pPr>
              <w:spacing w:after="0"/>
              <w:jc w:val="center"/>
              <w:rPr>
                <w:sz w:val="20"/>
                <w:szCs w:val="20"/>
              </w:rPr>
            </w:pPr>
            <w:r w:rsidRPr="009F2A97">
              <w:rPr>
                <w:rFonts w:eastAsia="DengXian"/>
                <w:color w:val="000000"/>
                <w:sz w:val="20"/>
                <w:szCs w:val="20"/>
              </w:rPr>
              <w:t>3.28</w:t>
            </w:r>
          </w:p>
        </w:tc>
        <w:tc>
          <w:tcPr>
            <w:tcW w:w="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C98D7" w14:textId="77777777" w:rsidR="007C36A4" w:rsidRPr="009F2A97" w:rsidRDefault="007C36A4" w:rsidP="006233FA">
            <w:pPr>
              <w:spacing w:after="0"/>
              <w:jc w:val="center"/>
              <w:rPr>
                <w:sz w:val="20"/>
                <w:szCs w:val="20"/>
              </w:rPr>
            </w:pPr>
            <w:r w:rsidRPr="009F2A97">
              <w:rPr>
                <w:rFonts w:eastAsia="DengXian"/>
                <w:color w:val="000000"/>
                <w:sz w:val="20"/>
                <w:szCs w:val="20"/>
              </w:rPr>
              <w:t>78.00</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F02E5F" w14:textId="77777777" w:rsidR="007C36A4" w:rsidRPr="009F2A97" w:rsidRDefault="007C36A4" w:rsidP="006233FA">
            <w:pPr>
              <w:spacing w:after="0"/>
              <w:jc w:val="right"/>
              <w:rPr>
                <w:sz w:val="20"/>
                <w:szCs w:val="20"/>
              </w:rPr>
            </w:pPr>
            <w:r w:rsidRPr="009F2A97">
              <w:rPr>
                <w:rFonts w:eastAsia="DengXian"/>
                <w:color w:val="000000"/>
                <w:sz w:val="20"/>
                <w:szCs w:val="20"/>
              </w:rPr>
              <w:t>268,337</w:t>
            </w:r>
          </w:p>
        </w:tc>
        <w:tc>
          <w:tcPr>
            <w:tcW w:w="8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2FCA2F" w14:textId="77777777" w:rsidR="007C36A4" w:rsidRPr="009F2A97" w:rsidRDefault="007C36A4" w:rsidP="006233FA">
            <w:pPr>
              <w:spacing w:after="0"/>
              <w:jc w:val="center"/>
              <w:rPr>
                <w:sz w:val="20"/>
                <w:szCs w:val="20"/>
              </w:rPr>
            </w:pPr>
            <w:r w:rsidRPr="009F2A97">
              <w:rPr>
                <w:rFonts w:eastAsia="DengXian"/>
                <w:color w:val="000000"/>
                <w:sz w:val="20"/>
                <w:szCs w:val="20"/>
              </w:rPr>
              <w:t>7.00</w:t>
            </w:r>
          </w:p>
        </w:tc>
      </w:tr>
    </w:tbl>
    <w:p w14:paraId="1422431A" w14:textId="7EA0B08A" w:rsidR="00A14625" w:rsidRPr="00A14625" w:rsidRDefault="00A14625" w:rsidP="00A14625">
      <w:pPr>
        <w:spacing w:line="257" w:lineRule="auto"/>
        <w:ind w:left="60"/>
        <w:rPr>
          <w:rFonts w:eastAsia="DengXian"/>
          <w:sz w:val="18"/>
          <w:szCs w:val="18"/>
        </w:rPr>
      </w:pPr>
      <w:r w:rsidRPr="00A14625">
        <w:rPr>
          <w:rFonts w:eastAsia="DengXian"/>
          <w:sz w:val="18"/>
          <w:szCs w:val="18"/>
        </w:rPr>
        <w:t>Note: based on the information available for the agreements on HFC-23 for Argentina and Mexico</w:t>
      </w:r>
    </w:p>
    <w:p w14:paraId="67FFD06E" w14:textId="3E0FEAE6" w:rsidR="00006F36" w:rsidRPr="009F2A97" w:rsidRDefault="00006F36" w:rsidP="00006F36">
      <w:pPr>
        <w:spacing w:after="0" w:line="259" w:lineRule="auto"/>
      </w:pPr>
      <w:r w:rsidRPr="4BE4E9B4">
        <w:t>Table 4</w:t>
      </w:r>
      <w:r w:rsidR="00C84A5E">
        <w:t>.</w:t>
      </w:r>
      <w:r w:rsidRPr="6E55E914">
        <w:t>5</w:t>
      </w:r>
      <w:r w:rsidRPr="4BE4E9B4">
        <w:t xml:space="preserve"> summaries the analysis for HFC-23 projects approved for Argentina and Mexico.</w:t>
      </w:r>
    </w:p>
    <w:p w14:paraId="5BEBEAD2" w14:textId="77777777" w:rsidR="00006F36" w:rsidRPr="009F2A97" w:rsidRDefault="00006F36" w:rsidP="00006F36">
      <w:pPr>
        <w:pStyle w:val="ListParagraph"/>
      </w:pPr>
      <w:r w:rsidRPr="009F2A97">
        <w:t>The overall CE of approved projects is US$ 6.28/kg and US$ 4.19/kg for Argentina and Mexico, respectively;</w:t>
      </w:r>
    </w:p>
    <w:p w14:paraId="049C527C" w14:textId="77777777" w:rsidR="00006F36" w:rsidRPr="009F2A97" w:rsidRDefault="00006F36" w:rsidP="00006F36">
      <w:pPr>
        <w:pStyle w:val="ListParagraph"/>
      </w:pPr>
      <w:r w:rsidRPr="009F2A97">
        <w:t xml:space="preserve">A maximum amount of incremental operating costs (IOCs), out of the total funding approved was given and would be divided into annual tranches to be provided to the </w:t>
      </w:r>
      <w:r>
        <w:t xml:space="preserve">relevant </w:t>
      </w:r>
      <w:r w:rsidRPr="009F2A97">
        <w:t>parties upon verification of the quantity of HFC-23 by</w:t>
      </w:r>
      <w:r>
        <w:t>-</w:t>
      </w:r>
      <w:r w:rsidRPr="009F2A97">
        <w:t>product destroyed; and the IOC is 22% and 78% of the total funding approved for Argentina and Mexico, respectively;</w:t>
      </w:r>
    </w:p>
    <w:p w14:paraId="7C150A80" w14:textId="77777777" w:rsidR="00006F36" w:rsidRPr="009F2A97" w:rsidRDefault="00006F36" w:rsidP="00006F36">
      <w:pPr>
        <w:pStyle w:val="ListParagraph"/>
      </w:pPr>
      <w:r w:rsidRPr="009F2A97">
        <w:t>The IOCs in each annual tranche is calculated by multiplying the number of k</w:t>
      </w:r>
      <w:r>
        <w:t>gs</w:t>
      </w:r>
      <w:r w:rsidRPr="009F2A97">
        <w:t xml:space="preserve"> of HFC-23 destroyed by US$ 1.4/kg and US$ 3.28/kg for Argentina and Mexico</w:t>
      </w:r>
      <w:r>
        <w:t>,</w:t>
      </w:r>
      <w:r w:rsidRPr="009F2A97">
        <w:t xml:space="preserve"> respectively</w:t>
      </w:r>
      <w:r>
        <w:t>;</w:t>
      </w:r>
    </w:p>
    <w:p w14:paraId="4E40DE30" w14:textId="77777777" w:rsidR="00006F36" w:rsidRPr="009F2A97" w:rsidRDefault="00006F36" w:rsidP="00006F36">
      <w:pPr>
        <w:pStyle w:val="ListParagraph"/>
      </w:pPr>
      <w:r w:rsidRPr="009F2A97">
        <w:t>Agency support cost is 7% of the total funding approved.</w:t>
      </w:r>
    </w:p>
    <w:p w14:paraId="28B98809" w14:textId="0AAC5652" w:rsidR="00C76EBD" w:rsidRDefault="00C76EBD" w:rsidP="007C77CF">
      <w:pPr>
        <w:pStyle w:val="Heading3"/>
      </w:pPr>
      <w:bookmarkStart w:id="234" w:name="_Toc230099100"/>
      <w:r>
        <w:t>4</w:t>
      </w:r>
      <w:r w:rsidRPr="00D7427C">
        <w:t>.</w:t>
      </w:r>
      <w:r>
        <w:t>4</w:t>
      </w:r>
      <w:r w:rsidRPr="00D7427C">
        <w:t>.</w:t>
      </w:r>
      <w:r w:rsidR="00C84A5E">
        <w:t>2</w:t>
      </w:r>
      <w:r w:rsidRPr="00D7427C">
        <w:tab/>
      </w:r>
      <w:r w:rsidR="008B4989">
        <w:t>Project preparation costs</w:t>
      </w:r>
      <w:bookmarkEnd w:id="234"/>
    </w:p>
    <w:p w14:paraId="5AB3396C" w14:textId="43E225AE" w:rsidR="00C00B6C" w:rsidRPr="006B7581" w:rsidRDefault="3A4038EA" w:rsidP="00C00B6C">
      <w:r w:rsidRPr="00C00B6C">
        <w:rPr>
          <w:lang w:eastAsia="zh-CN"/>
        </w:rPr>
        <w:t>China reported its HFC-23 emission</w:t>
      </w:r>
      <w:r w:rsidR="00DE196D">
        <w:rPr>
          <w:lang w:eastAsia="zh-CN"/>
        </w:rPr>
        <w:t>s</w:t>
      </w:r>
      <w:r w:rsidRPr="00C00B6C">
        <w:rPr>
          <w:lang w:eastAsia="zh-CN"/>
        </w:rPr>
        <w:t xml:space="preserve"> of </w:t>
      </w:r>
      <w:r w:rsidR="00DE196D">
        <w:rPr>
          <w:lang w:eastAsia="zh-CN"/>
        </w:rPr>
        <w:t>937.</w:t>
      </w:r>
      <w:r w:rsidR="00F57576">
        <w:rPr>
          <w:lang w:eastAsia="zh-CN"/>
        </w:rPr>
        <w:t>7</w:t>
      </w:r>
      <w:r w:rsidR="00DE196D">
        <w:rPr>
          <w:lang w:eastAsia="zh-CN"/>
        </w:rPr>
        <w:t>5</w:t>
      </w:r>
      <w:r w:rsidR="00F57576">
        <w:rPr>
          <w:lang w:eastAsia="zh-CN"/>
        </w:rPr>
        <w:t xml:space="preserve"> tonnes</w:t>
      </w:r>
      <w:r w:rsidRPr="00C00B6C">
        <w:rPr>
          <w:lang w:eastAsia="zh-CN"/>
        </w:rPr>
        <w:t xml:space="preserve"> in 202</w:t>
      </w:r>
      <w:r w:rsidR="00F57576">
        <w:rPr>
          <w:lang w:eastAsia="zh-CN"/>
        </w:rPr>
        <w:t>4</w:t>
      </w:r>
      <w:r w:rsidRPr="00C00B6C">
        <w:rPr>
          <w:lang w:eastAsia="zh-CN"/>
        </w:rPr>
        <w:t>. At ExCom-95, the Sub-group on the Production Sector considered matters related to HFC-23 under</w:t>
      </w:r>
      <w:r w:rsidRPr="4BE4E9B4">
        <w:rPr>
          <w:lang w:eastAsia="zh-CN"/>
        </w:rPr>
        <w:t xml:space="preserve"> the HPPMP for China. The report submitted by the </w:t>
      </w:r>
      <w:r w:rsidR="009619FA">
        <w:rPr>
          <w:lang w:eastAsia="zh-CN"/>
        </w:rPr>
        <w:t>WB</w:t>
      </w:r>
      <w:r w:rsidRPr="4BE4E9B4">
        <w:rPr>
          <w:lang w:eastAsia="zh-CN"/>
        </w:rPr>
        <w:t xml:space="preserve"> provided an update on the development of technical guidelines for reporting on HFC-23 generation and emissions, the most recent information on HFC-23 generation, destruction and emissions, and regulatory and implementation updates, as well as an analysis of the discrepancy between HFC-23 emissions reported under A7 and those in the verification reports. As members felt there was insufficient time to consider the matter fully, the recommendation to the </w:t>
      </w:r>
      <w:r w:rsidR="05E48330" w:rsidRPr="4BE4E9B4">
        <w:rPr>
          <w:lang w:eastAsia="zh-CN"/>
        </w:rPr>
        <w:t>Ex</w:t>
      </w:r>
      <w:r w:rsidR="57171F2D" w:rsidRPr="4BE4E9B4">
        <w:rPr>
          <w:lang w:eastAsia="zh-CN"/>
        </w:rPr>
        <w:t>C</w:t>
      </w:r>
      <w:r w:rsidR="05E48330" w:rsidRPr="4BE4E9B4">
        <w:rPr>
          <w:lang w:eastAsia="zh-CN"/>
        </w:rPr>
        <w:t>om</w:t>
      </w:r>
      <w:r w:rsidRPr="4BE4E9B4">
        <w:rPr>
          <w:lang w:eastAsia="zh-CN"/>
        </w:rPr>
        <w:t xml:space="preserve"> was to defer further discussion on the matter to its following meeting. </w:t>
      </w:r>
      <w:r w:rsidRPr="6899D804">
        <w:rPr>
          <w:lang w:eastAsia="zh-CN"/>
        </w:rPr>
        <w:t xml:space="preserve">At </w:t>
      </w:r>
      <w:r w:rsidR="00780CFA">
        <w:rPr>
          <w:lang w:eastAsia="zh-CN"/>
        </w:rPr>
        <w:t>ExCom-96</w:t>
      </w:r>
      <w:r w:rsidRPr="6899D804">
        <w:rPr>
          <w:lang w:eastAsia="zh-CN"/>
        </w:rPr>
        <w:t xml:space="preserve"> in May 2025, ExCom in its Decision 96/58</w:t>
      </w:r>
      <w:r w:rsidR="00C00B6C" w:rsidRPr="4BE4E9B4">
        <w:rPr>
          <w:vertAlign w:val="superscript"/>
        </w:rPr>
        <w:footnoteReference w:id="64"/>
      </w:r>
      <w:r w:rsidRPr="6899D804">
        <w:rPr>
          <w:lang w:eastAsia="zh-CN"/>
        </w:rPr>
        <w:t xml:space="preserve"> agreed:</w:t>
      </w:r>
    </w:p>
    <w:p w14:paraId="52995241" w14:textId="77777777" w:rsidR="00C00B6C" w:rsidRPr="00C225FD" w:rsidRDefault="00C00B6C" w:rsidP="00C225FD">
      <w:pPr>
        <w:widowControl w:val="0"/>
        <w:tabs>
          <w:tab w:val="clear" w:pos="0"/>
        </w:tabs>
        <w:spacing w:after="200"/>
        <w:ind w:left="360"/>
        <w:rPr>
          <w:i/>
          <w:lang w:eastAsia="zh-CN"/>
        </w:rPr>
      </w:pPr>
      <w:r w:rsidRPr="00C225FD">
        <w:rPr>
          <w:i/>
        </w:rPr>
        <w:t>To invite the Government of China, in collaboration with the World Bank, to implement a technical assistance project to study the economics and broader application of the HFC-23 transformation process to convert HFC-23 to HCFC-22 and HCFC-21, as described in document UNEP/OzL.Pro/ExCom/96/SGP/2, and to provide a report on the outcome of that study to the 99th meeting.</w:t>
      </w:r>
    </w:p>
    <w:p w14:paraId="08DEB757" w14:textId="77777777" w:rsidR="00C00B6C" w:rsidRPr="006B7581" w:rsidRDefault="00C00B6C" w:rsidP="00C00B6C">
      <w:pPr>
        <w:rPr>
          <w:lang w:eastAsia="zh-CN"/>
        </w:rPr>
      </w:pPr>
      <w:r w:rsidRPr="4BE4E9B4">
        <w:rPr>
          <w:lang w:eastAsia="zh-CN"/>
        </w:rPr>
        <w:t>Therefore, RTF estimate US$ 150,000 for project preparation of HFC-23 emissions mitigation for China during 2027-2029.</w:t>
      </w:r>
    </w:p>
    <w:p w14:paraId="4B1A7843" w14:textId="0171EA45" w:rsidR="00C76EBD" w:rsidRDefault="00C76EBD" w:rsidP="007C77CF">
      <w:pPr>
        <w:pStyle w:val="Heading3"/>
      </w:pPr>
      <w:bookmarkStart w:id="235" w:name="_Toc230099101"/>
      <w:r>
        <w:t>4</w:t>
      </w:r>
      <w:r w:rsidRPr="00D7427C">
        <w:t>.</w:t>
      </w:r>
      <w:r>
        <w:t>4</w:t>
      </w:r>
      <w:r w:rsidRPr="00D7427C">
        <w:t>.</w:t>
      </w:r>
      <w:r w:rsidR="00C225FD">
        <w:t>3</w:t>
      </w:r>
      <w:r w:rsidRPr="00D7427C">
        <w:tab/>
      </w:r>
      <w:r w:rsidR="000B4A59" w:rsidRPr="00000745">
        <w:rPr>
          <w:lang w:val="en-US" w:eastAsia="zh-CN"/>
        </w:rPr>
        <w:t>HFC</w:t>
      </w:r>
      <w:r w:rsidR="000B4A59" w:rsidRPr="4F2EB710">
        <w:rPr>
          <w:lang w:val="en-US" w:eastAsia="zh-CN"/>
        </w:rPr>
        <w:t>-23 mitigation projects already approved and agreed: Argentina and Mexico</w:t>
      </w:r>
      <w:bookmarkEnd w:id="235"/>
    </w:p>
    <w:p w14:paraId="40C173DA" w14:textId="77777777" w:rsidR="00CD4F43" w:rsidRDefault="00AC7473" w:rsidP="003A60D8">
      <w:pPr>
        <w:spacing w:after="120"/>
        <w:rPr>
          <w:b/>
          <w:bCs/>
        </w:rPr>
      </w:pPr>
      <w:r w:rsidRPr="00CD4F43">
        <w:rPr>
          <w:b/>
          <w:bCs/>
        </w:rPr>
        <w:t>Argentina</w:t>
      </w:r>
    </w:p>
    <w:p w14:paraId="7D068602" w14:textId="62E28045" w:rsidR="00AC7473" w:rsidRDefault="4BCEE662" w:rsidP="004173D6">
      <w:pPr>
        <w:pStyle w:val="ListParagraph"/>
      </w:pPr>
      <w:r>
        <w:t xml:space="preserve">On behalf of Argentina, UNIDO has submitted project proposal options to control and phase-out HFC-23 emissions at Frio Industrias Argentinas (FIASA). The Agreement between </w:t>
      </w:r>
      <w:r>
        <w:lastRenderedPageBreak/>
        <w:t xml:space="preserve">Argentina and the ExCom was submitted to </w:t>
      </w:r>
      <w:r w:rsidR="001D0453">
        <w:t>ExCom-88</w:t>
      </w:r>
      <w:r>
        <w:t xml:space="preserve">. At </w:t>
      </w:r>
      <w:r w:rsidR="001D0453">
        <w:t>ExCom-87,</w:t>
      </w:r>
      <w:r>
        <w:t xml:space="preserve"> the ExCom inter alia approved in principle, US$ 2,262,630, plus agency support costs of US$ 158,384 for UNIDO, to enable Argentina to comply with the HFC-23 by-product emission control obligations under the </w:t>
      </w:r>
      <w:r w:rsidR="00FF0F7D">
        <w:t>KA</w:t>
      </w:r>
      <w:r>
        <w:t>.</w:t>
      </w:r>
    </w:p>
    <w:p w14:paraId="6F4055C1" w14:textId="1D7CFEDE" w:rsidR="00BA2564" w:rsidRDefault="00BA2564" w:rsidP="004173D6">
      <w:pPr>
        <w:pStyle w:val="ListParagraph"/>
      </w:pPr>
      <w:r w:rsidRPr="00D82662">
        <w:t xml:space="preserve">In ExCom-91, the ExCom agreed to consider the draft of agreement on ExCom </w:t>
      </w:r>
      <w:r>
        <w:t xml:space="preserve">Decision </w:t>
      </w:r>
      <w:r w:rsidRPr="00D82662">
        <w:t>88/79 regarding “the blanket approval” with a total funding of individually the project in Argentina on the control of emissions of HFC-23 generated in the production of HCFC-22, with a total agreed funding of US$ 2,421,014 , while US$</w:t>
      </w:r>
      <w:r w:rsidRPr="00D82662">
        <w:rPr>
          <w:rFonts w:hint="eastAsia"/>
          <w:lang w:eastAsia="zh-CN"/>
        </w:rPr>
        <w:t xml:space="preserve"> </w:t>
      </w:r>
      <w:r w:rsidRPr="00D82662">
        <w:rPr>
          <w:rFonts w:hint="eastAsia"/>
        </w:rPr>
        <w:t>217,96</w:t>
      </w:r>
      <w:r w:rsidR="00F57576">
        <w:t>6</w:t>
      </w:r>
      <w:r w:rsidRPr="00D82662">
        <w:t xml:space="preserve"> was listed for 202</w:t>
      </w:r>
      <w:r w:rsidRPr="00D82662">
        <w:rPr>
          <w:rFonts w:hint="eastAsia"/>
          <w:lang w:eastAsia="zh-CN"/>
        </w:rPr>
        <w:t>6</w:t>
      </w:r>
      <w:r w:rsidRPr="00D82662">
        <w:t xml:space="preserve"> and 202</w:t>
      </w:r>
      <w:r w:rsidRPr="00D82662">
        <w:rPr>
          <w:rFonts w:hint="eastAsia"/>
          <w:lang w:eastAsia="zh-CN"/>
        </w:rPr>
        <w:t>7</w:t>
      </w:r>
      <w:r w:rsidRPr="00D82662">
        <w:t xml:space="preserve"> in the BP and Adjusted BP for 202</w:t>
      </w:r>
      <w:r w:rsidRPr="00D82662">
        <w:rPr>
          <w:rFonts w:hint="eastAsia"/>
          <w:lang w:eastAsia="zh-CN"/>
        </w:rPr>
        <w:t>6</w:t>
      </w:r>
      <w:r w:rsidRPr="00D82662">
        <w:t>-202</w:t>
      </w:r>
      <w:r w:rsidRPr="00D82662">
        <w:rPr>
          <w:rFonts w:hint="eastAsia"/>
          <w:lang w:eastAsia="zh-CN"/>
        </w:rPr>
        <w:t>8</w:t>
      </w:r>
      <w:r w:rsidRPr="00D82662">
        <w:t>.</w:t>
      </w:r>
    </w:p>
    <w:p w14:paraId="1226C84C" w14:textId="77777777" w:rsidR="00BA2564" w:rsidRPr="00D82662" w:rsidRDefault="00BA2564" w:rsidP="004173D6">
      <w:pPr>
        <w:pStyle w:val="ListParagraph"/>
      </w:pPr>
      <w:r w:rsidRPr="00D82662">
        <w:t xml:space="preserve">RTF uses the cost agreed by Argentina and the ExCom </w:t>
      </w:r>
      <w:r>
        <w:t xml:space="preserve">Decision </w:t>
      </w:r>
      <w:r w:rsidRPr="00D82662">
        <w:t>88/77, to estimate the funding requirements</w:t>
      </w:r>
      <w:r>
        <w:t xml:space="preserve"> for HFC-23 mitigation.</w:t>
      </w:r>
      <w:r w:rsidRPr="00D82662">
        <w:t xml:space="preserve"> </w:t>
      </w:r>
    </w:p>
    <w:p w14:paraId="44C7C357" w14:textId="77777777" w:rsidR="003A60D8" w:rsidRDefault="00BA2564" w:rsidP="003A60D8">
      <w:pPr>
        <w:widowControl w:val="0"/>
        <w:tabs>
          <w:tab w:val="clear" w:pos="0"/>
        </w:tabs>
        <w:spacing w:after="160" w:line="278" w:lineRule="auto"/>
        <w:contextualSpacing/>
        <w:rPr>
          <w:b/>
        </w:rPr>
      </w:pPr>
      <w:r w:rsidRPr="003A60D8">
        <w:rPr>
          <w:b/>
        </w:rPr>
        <w:t>Mexico</w:t>
      </w:r>
    </w:p>
    <w:p w14:paraId="23E1D7CD" w14:textId="668F0754" w:rsidR="00BA2564" w:rsidRPr="004173D6" w:rsidRDefault="3C552E1B" w:rsidP="004173D6">
      <w:pPr>
        <w:pStyle w:val="ListParagraph"/>
      </w:pPr>
      <w:r w:rsidRPr="00D82662">
        <w:t>On behalf of Mexico, UNIDO has submitted project proposal options to control and phase-out HFC-23 emissions at Quimobasicos</w:t>
      </w:r>
      <w:r>
        <w:t>.</w:t>
      </w:r>
      <w:r w:rsidR="00BA2564" w:rsidRPr="00D82662">
        <w:rPr>
          <w:vertAlign w:val="superscript"/>
        </w:rPr>
        <w:footnoteReference w:id="65"/>
      </w:r>
    </w:p>
    <w:p w14:paraId="2A2088C0" w14:textId="6FAF2F4B" w:rsidR="00BA2564" w:rsidRPr="00D82662" w:rsidRDefault="3C552E1B" w:rsidP="004173D6">
      <w:pPr>
        <w:pStyle w:val="ListParagraph"/>
        <w:rPr>
          <w:lang w:eastAsia="zh-CN"/>
        </w:rPr>
      </w:pPr>
      <w:r w:rsidRPr="00D82662">
        <w:t>The 86</w:t>
      </w:r>
      <w:r w:rsidRPr="00D82662">
        <w:rPr>
          <w:vertAlign w:val="superscript"/>
        </w:rPr>
        <w:t>th</w:t>
      </w:r>
      <w:r w:rsidRPr="00D82662">
        <w:t xml:space="preserve"> ExCom approved, in principle, US$ 3,833,384, plus agency support costs of US$ 268,337 for</w:t>
      </w:r>
      <w:r w:rsidRPr="00D82662">
        <w:rPr>
          <w:lang w:eastAsia="zh-CN"/>
        </w:rPr>
        <w:t xml:space="preserve"> </w:t>
      </w:r>
      <w:r w:rsidRPr="00D82662">
        <w:t>UNIDO, to enable the Mexico to comply with the HFC-23 by-product</w:t>
      </w:r>
      <w:r w:rsidRPr="00D82662">
        <w:rPr>
          <w:lang w:eastAsia="zh-CN"/>
        </w:rPr>
        <w:t xml:space="preserve"> </w:t>
      </w:r>
      <w:r w:rsidRPr="00D82662">
        <w:t xml:space="preserve">emission control obligations under the </w:t>
      </w:r>
      <w:r w:rsidR="00FF0F7D">
        <w:t>KA</w:t>
      </w:r>
      <w:r w:rsidR="390727E1">
        <w:t>.</w:t>
      </w:r>
      <w:r w:rsidR="00BA2564" w:rsidRPr="00D82662">
        <w:rPr>
          <w:vertAlign w:val="superscript"/>
        </w:rPr>
        <w:footnoteReference w:id="66"/>
      </w:r>
      <w:r w:rsidRPr="00D82662">
        <w:t xml:space="preserve"> The Agreement between Mexico and the ExCom of the MLF for the destruction of emission of HFC-23 generated in the production of HCFC-22 in Quimobasicos approved at </w:t>
      </w:r>
      <w:r w:rsidR="001D0453">
        <w:t>ExCom-87</w:t>
      </w:r>
      <w:r w:rsidRPr="00D82662">
        <w:t>, a maximum amount of US$ 2,995,047, out of the total funding specified in Appendix 1A, was associated with IOCs and would be divided into annual tranches to be provided to the country upon verification of the quantity of HFC-23 by-product destroyed.</w:t>
      </w:r>
      <w:r w:rsidRPr="6899D804">
        <w:rPr>
          <w:lang w:eastAsia="zh-CN"/>
        </w:rPr>
        <w:t xml:space="preserve"> US$ </w:t>
      </w:r>
      <w:r w:rsidR="00852603">
        <w:rPr>
          <w:lang w:eastAsia="zh-CN"/>
        </w:rPr>
        <w:t>906,838</w:t>
      </w:r>
      <w:r w:rsidRPr="6899D804">
        <w:rPr>
          <w:lang w:eastAsia="zh-CN"/>
        </w:rPr>
        <w:t xml:space="preserve"> was listed for 2026 and 2027 in the </w:t>
      </w:r>
      <w:r>
        <w:rPr>
          <w:lang w:eastAsia="zh-CN"/>
        </w:rPr>
        <w:t xml:space="preserve">“Consolidated Business Plan of the Multilateral Fund for </w:t>
      </w:r>
      <w:r w:rsidRPr="6899D804">
        <w:rPr>
          <w:lang w:eastAsia="zh-CN"/>
        </w:rPr>
        <w:t>2026-2028.</w:t>
      </w:r>
      <w:r>
        <w:rPr>
          <w:lang w:eastAsia="zh-CN"/>
        </w:rPr>
        <w:t>”</w:t>
      </w:r>
    </w:p>
    <w:p w14:paraId="3D2AE6D9" w14:textId="3DD646F8" w:rsidR="00BA2564" w:rsidRPr="00D82662" w:rsidRDefault="3C552E1B" w:rsidP="004173D6">
      <w:pPr>
        <w:pStyle w:val="ListParagraph"/>
        <w:rPr>
          <w:lang w:eastAsia="zh-CN"/>
        </w:rPr>
      </w:pPr>
      <w:r w:rsidRPr="00D82662">
        <w:rPr>
          <w:lang w:eastAsia="zh-CN"/>
        </w:rPr>
        <w:t>RTF uses the cost agreed by Mexico and the ExCom (</w:t>
      </w:r>
      <w:r w:rsidRPr="00D82662">
        <w:t>87/IAP/3</w:t>
      </w:r>
      <w:r w:rsidRPr="00D82662">
        <w:rPr>
          <w:sz w:val="18"/>
          <w:szCs w:val="18"/>
        </w:rPr>
        <w:t xml:space="preserve">) </w:t>
      </w:r>
      <w:r w:rsidR="00BA2564" w:rsidRPr="00D82662">
        <w:rPr>
          <w:vertAlign w:val="superscript"/>
          <w:lang w:eastAsia="zh-CN"/>
        </w:rPr>
        <w:footnoteReference w:id="67"/>
      </w:r>
      <w:r w:rsidRPr="00D82662">
        <w:t xml:space="preserve"> </w:t>
      </w:r>
      <w:r w:rsidRPr="00D82662">
        <w:rPr>
          <w:lang w:eastAsia="zh-CN"/>
        </w:rPr>
        <w:t>to estimate the funding requirements.</w:t>
      </w:r>
    </w:p>
    <w:p w14:paraId="31E6D60B" w14:textId="571A2DC9" w:rsidR="00BA2564" w:rsidRPr="00D82662" w:rsidRDefault="009564BE" w:rsidP="00BA2564">
      <w:pPr>
        <w:rPr>
          <w:lang w:eastAsia="zh-CN"/>
        </w:rPr>
      </w:pPr>
      <w:r>
        <w:rPr>
          <w:lang w:eastAsia="zh-CN"/>
        </w:rPr>
        <w:t>Table 4.6 provides t</w:t>
      </w:r>
      <w:r w:rsidR="00BA2564" w:rsidRPr="00D82662">
        <w:rPr>
          <w:lang w:eastAsia="zh-CN"/>
        </w:rPr>
        <w:t xml:space="preserve">he total funding requirement for HFC-23 mitigation </w:t>
      </w:r>
      <w:r w:rsidR="00BA2564">
        <w:rPr>
          <w:lang w:eastAsia="zh-CN"/>
        </w:rPr>
        <w:t>p</w:t>
      </w:r>
      <w:r w:rsidR="00BA2564" w:rsidRPr="00D82662">
        <w:rPr>
          <w:lang w:eastAsia="zh-CN"/>
        </w:rPr>
        <w:t>roject</w:t>
      </w:r>
      <w:r w:rsidR="00BA2564">
        <w:rPr>
          <w:lang w:eastAsia="zh-CN"/>
        </w:rPr>
        <w:t>s</w:t>
      </w:r>
      <w:r w:rsidR="00BA2564" w:rsidRPr="00D82662">
        <w:rPr>
          <w:lang w:eastAsia="zh-CN"/>
        </w:rPr>
        <w:t xml:space="preserve"> agreed </w:t>
      </w:r>
      <w:r>
        <w:rPr>
          <w:lang w:eastAsia="zh-CN"/>
        </w:rPr>
        <w:t xml:space="preserve">in principle </w:t>
      </w:r>
      <w:r w:rsidR="00BA2564" w:rsidRPr="00D82662">
        <w:rPr>
          <w:lang w:eastAsia="zh-CN"/>
        </w:rPr>
        <w:t>for Argentina and Mexico, estimated to be US$ 6,522,735, has a combined investment and operating cost of US$ 6,096,014 plus agency support cost of US$ 426,721 from 2021 to January 2031</w:t>
      </w:r>
      <w:r w:rsidR="00BA2564">
        <w:rPr>
          <w:lang w:eastAsia="zh-CN"/>
        </w:rPr>
        <w:t>.</w:t>
      </w:r>
      <w:r w:rsidR="00BA2564" w:rsidRPr="00D82662">
        <w:rPr>
          <w:lang w:eastAsia="zh-CN"/>
        </w:rPr>
        <w:t xml:space="preserve"> </w:t>
      </w:r>
      <w:r w:rsidR="005D5A57" w:rsidRPr="005D5A57">
        <w:rPr>
          <w:lang w:eastAsia="zh-CN"/>
        </w:rPr>
        <w:t xml:space="preserve">The approved tranches differed based on the quantity of HCFC-22 produced, the by-product generation rate, </w:t>
      </w:r>
      <w:r w:rsidR="005D5A57">
        <w:rPr>
          <w:lang w:eastAsia="zh-CN"/>
        </w:rPr>
        <w:t xml:space="preserve">and </w:t>
      </w:r>
      <w:r w:rsidR="005D5A57" w:rsidRPr="005D5A57">
        <w:rPr>
          <w:lang w:eastAsia="zh-CN"/>
        </w:rPr>
        <w:t>the quantity of HFC-23 destroyed and emitted.</w:t>
      </w:r>
    </w:p>
    <w:p w14:paraId="26F106B4" w14:textId="78AE43A3" w:rsidR="009B1930" w:rsidRDefault="00BA2564" w:rsidP="00BA2564">
      <w:pPr>
        <w:rPr>
          <w:lang w:eastAsia="zh-CN"/>
        </w:rPr>
      </w:pPr>
      <w:r>
        <w:rPr>
          <w:lang w:eastAsia="zh-CN"/>
        </w:rPr>
        <w:t xml:space="preserve">The RTF estimated funding requirement for approved HFC-23 mitigation projects for Argentina and Mexico for the 2027-2029 triennium is </w:t>
      </w:r>
      <w:r w:rsidRPr="00D82662">
        <w:rPr>
          <w:rFonts w:hint="eastAsia"/>
          <w:lang w:eastAsia="zh-CN"/>
        </w:rPr>
        <w:t xml:space="preserve">US$ </w:t>
      </w:r>
      <w:r w:rsidR="005D5A57">
        <w:rPr>
          <w:lang w:eastAsia="zh-CN"/>
        </w:rPr>
        <w:t>1,614,312</w:t>
      </w:r>
      <w:r w:rsidRPr="74CB78E9">
        <w:rPr>
          <w:lang w:eastAsia="zh-CN"/>
        </w:rPr>
        <w:t xml:space="preserve">.   </w:t>
      </w:r>
    </w:p>
    <w:p w14:paraId="057F3012" w14:textId="77777777" w:rsidR="00BC5C02" w:rsidRDefault="00BC5C02" w:rsidP="00066319">
      <w:pPr>
        <w:tabs>
          <w:tab w:val="left" w:pos="1418"/>
        </w:tabs>
        <w:spacing w:after="0"/>
        <w:ind w:left="1411" w:hanging="1411"/>
        <w:rPr>
          <w:rFonts w:eastAsiaTheme="minorHAnsi"/>
          <w:b/>
          <w:bCs/>
        </w:rPr>
        <w:sectPr w:rsidR="00BC5C02" w:rsidSect="00944202">
          <w:pgSz w:w="11906" w:h="16838"/>
          <w:pgMar w:top="1411" w:right="1411" w:bottom="1411" w:left="1411" w:header="720" w:footer="794" w:gutter="0"/>
          <w:cols w:space="720"/>
          <w:docGrid w:linePitch="299"/>
        </w:sectPr>
      </w:pPr>
    </w:p>
    <w:p w14:paraId="3D7339A3" w14:textId="0A2F75FF" w:rsidR="00D75F56" w:rsidRDefault="00066319" w:rsidP="002135B0">
      <w:pPr>
        <w:tabs>
          <w:tab w:val="left" w:pos="1134"/>
        </w:tabs>
        <w:spacing w:after="0"/>
        <w:ind w:left="1412" w:hanging="1412"/>
        <w:rPr>
          <w:rFonts w:eastAsiaTheme="minorHAnsi"/>
          <w:b/>
          <w:bCs/>
        </w:rPr>
      </w:pPr>
      <w:r w:rsidRPr="00E42C5E">
        <w:rPr>
          <w:rFonts w:eastAsiaTheme="minorHAnsi"/>
          <w:b/>
          <w:bCs/>
        </w:rPr>
        <w:lastRenderedPageBreak/>
        <w:t xml:space="preserve">Table </w:t>
      </w:r>
      <w:r>
        <w:rPr>
          <w:rFonts w:eastAsiaTheme="minorHAnsi"/>
          <w:b/>
          <w:bCs/>
        </w:rPr>
        <w:t>4.6</w:t>
      </w:r>
      <w:r w:rsidR="00811D75">
        <w:rPr>
          <w:rFonts w:eastAsiaTheme="minorHAnsi"/>
          <w:b/>
          <w:bCs/>
        </w:rPr>
        <w:t>:</w:t>
      </w:r>
      <w:r w:rsidRPr="00E42C5E">
        <w:rPr>
          <w:rFonts w:eastAsiaTheme="minorHAnsi"/>
          <w:b/>
          <w:bCs/>
        </w:rPr>
        <w:tab/>
      </w:r>
      <w:r w:rsidR="00D75F56" w:rsidRPr="00D75F56">
        <w:rPr>
          <w:rFonts w:eastAsiaTheme="minorHAnsi"/>
          <w:b/>
          <w:bCs/>
        </w:rPr>
        <w:t>HFC-23 By-Product Mitigation Costs Estimated for Argentina and Mexico 2021-2030 (US$)</w:t>
      </w:r>
    </w:p>
    <w:p w14:paraId="2ADEBCE8" w14:textId="6A9050A8" w:rsidR="00066319" w:rsidRDefault="00066319" w:rsidP="00066319">
      <w:pPr>
        <w:tabs>
          <w:tab w:val="left" w:pos="1418"/>
        </w:tabs>
        <w:spacing w:after="0"/>
        <w:ind w:left="1411" w:hanging="1411"/>
        <w:rPr>
          <w:rFonts w:eastAsiaTheme="minorHAnsi"/>
          <w:b/>
          <w:bCs/>
        </w:rPr>
      </w:pPr>
      <w:r>
        <w:rPr>
          <w:rFonts w:eastAsiaTheme="minorHAnsi"/>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2459"/>
        <w:gridCol w:w="1084"/>
        <w:gridCol w:w="636"/>
        <w:gridCol w:w="910"/>
        <w:gridCol w:w="1048"/>
        <w:gridCol w:w="919"/>
        <w:gridCol w:w="919"/>
        <w:gridCol w:w="919"/>
        <w:gridCol w:w="919"/>
        <w:gridCol w:w="824"/>
        <w:gridCol w:w="821"/>
        <w:gridCol w:w="1098"/>
      </w:tblGrid>
      <w:tr w:rsidR="000469AB" w:rsidRPr="006C54E2" w14:paraId="7D684381" w14:textId="77777777" w:rsidTr="000F3C4E">
        <w:trPr>
          <w:trHeight w:val="282"/>
        </w:trPr>
        <w:tc>
          <w:tcPr>
            <w:tcW w:w="518" w:type="pct"/>
            <w:shd w:val="clear" w:color="auto" w:fill="DEEAF6" w:themeFill="accent5" w:themeFillTint="33"/>
            <w:noWrap/>
            <w:vAlign w:val="center"/>
            <w:hideMark/>
          </w:tcPr>
          <w:p w14:paraId="7F2564ED" w14:textId="77777777" w:rsidR="000469AB" w:rsidRPr="00F25E5B" w:rsidRDefault="000469AB" w:rsidP="006233FA">
            <w:pPr>
              <w:spacing w:after="0"/>
              <w:rPr>
                <w:rFonts w:eastAsia="DengXian"/>
                <w:b/>
                <w:bCs/>
                <w:sz w:val="20"/>
                <w:szCs w:val="20"/>
                <w:lang w:val="en-US" w:eastAsia="zh-CN"/>
              </w:rPr>
            </w:pPr>
            <w:r w:rsidRPr="00F25E5B">
              <w:rPr>
                <w:rFonts w:eastAsia="DengXian" w:hint="eastAsia"/>
                <w:b/>
                <w:bCs/>
                <w:sz w:val="20"/>
                <w:szCs w:val="20"/>
                <w:lang w:val="en-US" w:eastAsia="zh-CN"/>
              </w:rPr>
              <w:t xml:space="preserve">　</w:t>
            </w:r>
          </w:p>
        </w:tc>
        <w:tc>
          <w:tcPr>
            <w:tcW w:w="878" w:type="pct"/>
            <w:shd w:val="clear" w:color="auto" w:fill="DEEAF6" w:themeFill="accent5" w:themeFillTint="33"/>
            <w:noWrap/>
            <w:vAlign w:val="center"/>
            <w:hideMark/>
          </w:tcPr>
          <w:p w14:paraId="589DC75D" w14:textId="77777777" w:rsidR="000469AB" w:rsidRPr="00F25E5B" w:rsidRDefault="000469AB" w:rsidP="006233FA">
            <w:pPr>
              <w:spacing w:after="0"/>
              <w:rPr>
                <w:rFonts w:eastAsia="DengXian"/>
                <w:b/>
                <w:bCs/>
                <w:sz w:val="20"/>
                <w:szCs w:val="20"/>
                <w:lang w:val="en-US" w:eastAsia="zh-CN"/>
              </w:rPr>
            </w:pPr>
            <w:r w:rsidRPr="4F2EB710">
              <w:rPr>
                <w:rFonts w:eastAsia="DengXian"/>
                <w:b/>
                <w:bCs/>
                <w:sz w:val="20"/>
                <w:szCs w:val="20"/>
                <w:lang w:val="en-US" w:eastAsia="zh-CN"/>
              </w:rPr>
              <w:t>Cost item</w:t>
            </w:r>
          </w:p>
        </w:tc>
        <w:tc>
          <w:tcPr>
            <w:tcW w:w="387" w:type="pct"/>
            <w:shd w:val="clear" w:color="auto" w:fill="DEEAF6" w:themeFill="accent5" w:themeFillTint="33"/>
            <w:noWrap/>
            <w:vAlign w:val="center"/>
            <w:hideMark/>
          </w:tcPr>
          <w:p w14:paraId="37F630F3"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2021</w:t>
            </w:r>
          </w:p>
        </w:tc>
        <w:tc>
          <w:tcPr>
            <w:tcW w:w="227" w:type="pct"/>
            <w:shd w:val="clear" w:color="auto" w:fill="DEEAF6" w:themeFill="accent5" w:themeFillTint="33"/>
            <w:noWrap/>
            <w:vAlign w:val="center"/>
            <w:hideMark/>
          </w:tcPr>
          <w:p w14:paraId="7AC09EE9"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2022</w:t>
            </w:r>
          </w:p>
        </w:tc>
        <w:tc>
          <w:tcPr>
            <w:tcW w:w="325" w:type="pct"/>
            <w:shd w:val="clear" w:color="auto" w:fill="DEEAF6" w:themeFill="accent5" w:themeFillTint="33"/>
            <w:noWrap/>
            <w:vAlign w:val="center"/>
            <w:hideMark/>
          </w:tcPr>
          <w:p w14:paraId="4A9D392B"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2023</w:t>
            </w:r>
          </w:p>
        </w:tc>
        <w:tc>
          <w:tcPr>
            <w:tcW w:w="374" w:type="pct"/>
            <w:shd w:val="clear" w:color="auto" w:fill="DEEAF6" w:themeFill="accent5" w:themeFillTint="33"/>
            <w:noWrap/>
            <w:vAlign w:val="center"/>
            <w:hideMark/>
          </w:tcPr>
          <w:p w14:paraId="0CA70F73"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2024</w:t>
            </w:r>
          </w:p>
        </w:tc>
        <w:tc>
          <w:tcPr>
            <w:tcW w:w="328" w:type="pct"/>
            <w:shd w:val="clear" w:color="auto" w:fill="DEEAF6" w:themeFill="accent5" w:themeFillTint="33"/>
            <w:noWrap/>
            <w:vAlign w:val="center"/>
            <w:hideMark/>
          </w:tcPr>
          <w:p w14:paraId="000866AE"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2025</w:t>
            </w:r>
          </w:p>
        </w:tc>
        <w:tc>
          <w:tcPr>
            <w:tcW w:w="328" w:type="pct"/>
            <w:shd w:val="clear" w:color="auto" w:fill="DEEAF6" w:themeFill="accent5" w:themeFillTint="33"/>
            <w:noWrap/>
            <w:vAlign w:val="center"/>
            <w:hideMark/>
          </w:tcPr>
          <w:p w14:paraId="5D57C1A7"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2026</w:t>
            </w:r>
          </w:p>
        </w:tc>
        <w:tc>
          <w:tcPr>
            <w:tcW w:w="328" w:type="pct"/>
            <w:shd w:val="clear" w:color="auto" w:fill="DEEAF6" w:themeFill="accent5" w:themeFillTint="33"/>
            <w:noWrap/>
            <w:vAlign w:val="center"/>
            <w:hideMark/>
          </w:tcPr>
          <w:p w14:paraId="0AAD1677"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2027</w:t>
            </w:r>
          </w:p>
        </w:tc>
        <w:tc>
          <w:tcPr>
            <w:tcW w:w="328" w:type="pct"/>
            <w:shd w:val="clear" w:color="auto" w:fill="DEEAF6" w:themeFill="accent5" w:themeFillTint="33"/>
            <w:noWrap/>
            <w:vAlign w:val="center"/>
            <w:hideMark/>
          </w:tcPr>
          <w:p w14:paraId="2D437879"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2028</w:t>
            </w:r>
          </w:p>
        </w:tc>
        <w:tc>
          <w:tcPr>
            <w:tcW w:w="294" w:type="pct"/>
            <w:shd w:val="clear" w:color="auto" w:fill="DEEAF6" w:themeFill="accent5" w:themeFillTint="33"/>
            <w:noWrap/>
            <w:vAlign w:val="center"/>
            <w:hideMark/>
          </w:tcPr>
          <w:p w14:paraId="10717800"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2029</w:t>
            </w:r>
          </w:p>
        </w:tc>
        <w:tc>
          <w:tcPr>
            <w:tcW w:w="293" w:type="pct"/>
            <w:shd w:val="clear" w:color="auto" w:fill="DEEAF6" w:themeFill="accent5" w:themeFillTint="33"/>
            <w:noWrap/>
            <w:vAlign w:val="center"/>
            <w:hideMark/>
          </w:tcPr>
          <w:p w14:paraId="6C155AC2"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2030</w:t>
            </w:r>
          </w:p>
        </w:tc>
        <w:tc>
          <w:tcPr>
            <w:tcW w:w="392" w:type="pct"/>
            <w:shd w:val="clear" w:color="auto" w:fill="DEEAF6" w:themeFill="accent5" w:themeFillTint="33"/>
            <w:noWrap/>
            <w:vAlign w:val="center"/>
            <w:hideMark/>
          </w:tcPr>
          <w:p w14:paraId="0A47BE9D" w14:textId="77777777" w:rsidR="000469AB" w:rsidRPr="00F25E5B" w:rsidRDefault="000469AB" w:rsidP="006233FA">
            <w:pPr>
              <w:spacing w:after="0"/>
              <w:jc w:val="center"/>
              <w:rPr>
                <w:rFonts w:eastAsia="DengXian"/>
                <w:b/>
                <w:bCs/>
                <w:sz w:val="20"/>
                <w:szCs w:val="20"/>
                <w:lang w:val="en-US" w:eastAsia="zh-CN"/>
              </w:rPr>
            </w:pPr>
            <w:r w:rsidRPr="00F25E5B">
              <w:rPr>
                <w:rFonts w:eastAsia="DengXian"/>
                <w:b/>
                <w:bCs/>
                <w:sz w:val="20"/>
                <w:szCs w:val="20"/>
                <w:lang w:val="en-US" w:eastAsia="zh-CN"/>
              </w:rPr>
              <w:t>Total</w:t>
            </w:r>
          </w:p>
        </w:tc>
      </w:tr>
      <w:tr w:rsidR="000469AB" w:rsidRPr="006C54E2" w14:paraId="300D7682" w14:textId="77777777" w:rsidTr="000469AB">
        <w:trPr>
          <w:trHeight w:val="282"/>
        </w:trPr>
        <w:tc>
          <w:tcPr>
            <w:tcW w:w="5000" w:type="pct"/>
            <w:gridSpan w:val="13"/>
            <w:shd w:val="clear" w:color="auto" w:fill="FFF2CC" w:themeFill="accent4" w:themeFillTint="33"/>
            <w:noWrap/>
            <w:vAlign w:val="center"/>
          </w:tcPr>
          <w:p w14:paraId="23F2AE17" w14:textId="77777777" w:rsidR="000469AB" w:rsidRPr="006C54E2" w:rsidRDefault="000469AB" w:rsidP="006233FA">
            <w:pPr>
              <w:spacing w:after="0"/>
              <w:jc w:val="center"/>
              <w:rPr>
                <w:rFonts w:eastAsia="DengXian"/>
                <w:b/>
                <w:sz w:val="20"/>
                <w:szCs w:val="20"/>
                <w:lang w:val="en-US" w:eastAsia="zh-CN"/>
              </w:rPr>
            </w:pPr>
            <w:r w:rsidRPr="006C54E2">
              <w:rPr>
                <w:rFonts w:eastAsia="DengXian"/>
                <w:b/>
                <w:sz w:val="20"/>
                <w:szCs w:val="20"/>
                <w:lang w:val="en-US" w:eastAsia="zh-CN"/>
              </w:rPr>
              <w:t>By Country</w:t>
            </w:r>
          </w:p>
        </w:tc>
      </w:tr>
      <w:tr w:rsidR="000469AB" w:rsidRPr="006C54E2" w14:paraId="2A355CD2" w14:textId="77777777" w:rsidTr="000F3C4E">
        <w:trPr>
          <w:trHeight w:val="282"/>
        </w:trPr>
        <w:tc>
          <w:tcPr>
            <w:tcW w:w="518" w:type="pct"/>
            <w:vMerge w:val="restart"/>
            <w:shd w:val="clear" w:color="auto" w:fill="DEEAF6" w:themeFill="accent5" w:themeFillTint="33"/>
            <w:noWrap/>
            <w:vAlign w:val="center"/>
            <w:hideMark/>
          </w:tcPr>
          <w:p w14:paraId="0F881E04" w14:textId="77777777" w:rsidR="000469AB" w:rsidRPr="006C54E2" w:rsidRDefault="000469AB" w:rsidP="006233FA">
            <w:pPr>
              <w:spacing w:after="0"/>
              <w:rPr>
                <w:rFonts w:eastAsia="DengXian"/>
                <w:b/>
                <w:bCs/>
                <w:sz w:val="20"/>
                <w:szCs w:val="20"/>
                <w:lang w:val="en-US" w:eastAsia="zh-CN"/>
              </w:rPr>
            </w:pPr>
            <w:r w:rsidRPr="006C54E2">
              <w:rPr>
                <w:rFonts w:eastAsia="DengXian" w:hint="eastAsia"/>
                <w:b/>
                <w:bCs/>
                <w:sz w:val="20"/>
                <w:szCs w:val="20"/>
                <w:lang w:val="en-US" w:eastAsia="zh-CN"/>
              </w:rPr>
              <w:t xml:space="preserve">　</w:t>
            </w:r>
          </w:p>
          <w:p w14:paraId="73F4292F" w14:textId="77777777" w:rsidR="000469AB" w:rsidRPr="006C54E2" w:rsidRDefault="000469AB" w:rsidP="006233FA">
            <w:pPr>
              <w:spacing w:after="0"/>
              <w:rPr>
                <w:rFonts w:eastAsia="DengXian"/>
                <w:b/>
                <w:bCs/>
                <w:sz w:val="20"/>
                <w:szCs w:val="20"/>
                <w:lang w:val="en-US" w:eastAsia="zh-CN"/>
              </w:rPr>
            </w:pPr>
            <w:r w:rsidRPr="006C54E2">
              <w:rPr>
                <w:rFonts w:eastAsia="DengXian"/>
                <w:b/>
                <w:bCs/>
                <w:sz w:val="20"/>
                <w:szCs w:val="20"/>
                <w:lang w:val="en-US" w:eastAsia="zh-CN"/>
              </w:rPr>
              <w:t>Mexico</w:t>
            </w:r>
          </w:p>
          <w:p w14:paraId="78DCF6F1" w14:textId="77777777" w:rsidR="000469AB" w:rsidRPr="006C54E2" w:rsidRDefault="000469AB" w:rsidP="006233FA">
            <w:pPr>
              <w:spacing w:after="0"/>
              <w:rPr>
                <w:rFonts w:eastAsia="DengXian"/>
                <w:b/>
                <w:bCs/>
                <w:sz w:val="20"/>
                <w:szCs w:val="20"/>
                <w:lang w:val="en-US" w:eastAsia="zh-CN"/>
              </w:rPr>
            </w:pPr>
            <w:r w:rsidRPr="006C54E2">
              <w:rPr>
                <w:rFonts w:eastAsia="DengXian" w:hint="eastAsia"/>
                <w:b/>
                <w:bCs/>
                <w:sz w:val="20"/>
                <w:szCs w:val="20"/>
                <w:lang w:val="en-US" w:eastAsia="zh-CN"/>
              </w:rPr>
              <w:t xml:space="preserve">　</w:t>
            </w:r>
          </w:p>
        </w:tc>
        <w:tc>
          <w:tcPr>
            <w:tcW w:w="878" w:type="pct"/>
            <w:noWrap/>
            <w:vAlign w:val="center"/>
            <w:hideMark/>
          </w:tcPr>
          <w:p w14:paraId="4FFA79F4" w14:textId="77777777" w:rsidR="000469AB" w:rsidRPr="000F3C4E" w:rsidRDefault="000469AB" w:rsidP="006233FA">
            <w:pPr>
              <w:spacing w:after="0"/>
              <w:rPr>
                <w:rFonts w:eastAsia="DengXian"/>
                <w:sz w:val="18"/>
                <w:szCs w:val="18"/>
                <w:lang w:val="en-US" w:eastAsia="zh-CN"/>
              </w:rPr>
            </w:pPr>
            <w:r w:rsidRPr="000F3C4E">
              <w:rPr>
                <w:rFonts w:eastAsia="DengXian"/>
                <w:sz w:val="18"/>
                <w:szCs w:val="18"/>
                <w:lang w:val="en-US" w:eastAsia="zh-CN"/>
              </w:rPr>
              <w:t>Total agreed investment+ operating costs</w:t>
            </w:r>
          </w:p>
        </w:tc>
        <w:tc>
          <w:tcPr>
            <w:tcW w:w="387" w:type="pct"/>
            <w:noWrap/>
            <w:vAlign w:val="center"/>
            <w:hideMark/>
          </w:tcPr>
          <w:p w14:paraId="57256FF6"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483,058</w:t>
            </w:r>
          </w:p>
        </w:tc>
        <w:tc>
          <w:tcPr>
            <w:tcW w:w="227" w:type="pct"/>
            <w:noWrap/>
            <w:vAlign w:val="center"/>
            <w:hideMark/>
          </w:tcPr>
          <w:p w14:paraId="524526E7"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w:t>
            </w:r>
          </w:p>
        </w:tc>
        <w:tc>
          <w:tcPr>
            <w:tcW w:w="325" w:type="pct"/>
            <w:noWrap/>
            <w:vAlign w:val="center"/>
            <w:hideMark/>
          </w:tcPr>
          <w:p w14:paraId="41F25365"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492,160</w:t>
            </w:r>
          </w:p>
        </w:tc>
        <w:tc>
          <w:tcPr>
            <w:tcW w:w="374" w:type="pct"/>
            <w:noWrap/>
            <w:vAlign w:val="center"/>
            <w:hideMark/>
          </w:tcPr>
          <w:p w14:paraId="08761D9D"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374,381</w:t>
            </w:r>
          </w:p>
        </w:tc>
        <w:tc>
          <w:tcPr>
            <w:tcW w:w="328" w:type="pct"/>
            <w:noWrap/>
            <w:vAlign w:val="center"/>
            <w:hideMark/>
          </w:tcPr>
          <w:p w14:paraId="365AD44C"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473,131</w:t>
            </w:r>
          </w:p>
        </w:tc>
        <w:tc>
          <w:tcPr>
            <w:tcW w:w="328" w:type="pct"/>
            <w:noWrap/>
            <w:vAlign w:val="center"/>
            <w:hideMark/>
          </w:tcPr>
          <w:p w14:paraId="558F2D4B"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433,131</w:t>
            </w:r>
          </w:p>
        </w:tc>
        <w:tc>
          <w:tcPr>
            <w:tcW w:w="328" w:type="pct"/>
            <w:noWrap/>
            <w:vAlign w:val="center"/>
            <w:hideMark/>
          </w:tcPr>
          <w:p w14:paraId="70C96D3C"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414,381</w:t>
            </w:r>
          </w:p>
        </w:tc>
        <w:tc>
          <w:tcPr>
            <w:tcW w:w="328" w:type="pct"/>
            <w:noWrap/>
            <w:vAlign w:val="center"/>
            <w:hideMark/>
          </w:tcPr>
          <w:p w14:paraId="7A709293"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374,381</w:t>
            </w:r>
          </w:p>
        </w:tc>
        <w:tc>
          <w:tcPr>
            <w:tcW w:w="294" w:type="pct"/>
            <w:noWrap/>
            <w:vAlign w:val="center"/>
            <w:hideMark/>
          </w:tcPr>
          <w:p w14:paraId="4BB4144D"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414,381</w:t>
            </w:r>
          </w:p>
        </w:tc>
        <w:tc>
          <w:tcPr>
            <w:tcW w:w="293" w:type="pct"/>
            <w:noWrap/>
            <w:vAlign w:val="center"/>
            <w:hideMark/>
          </w:tcPr>
          <w:p w14:paraId="567BB466"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374,380</w:t>
            </w:r>
          </w:p>
        </w:tc>
        <w:tc>
          <w:tcPr>
            <w:tcW w:w="392" w:type="pct"/>
            <w:noWrap/>
            <w:vAlign w:val="center"/>
            <w:hideMark/>
          </w:tcPr>
          <w:p w14:paraId="62C49281"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3,833,384</w:t>
            </w:r>
          </w:p>
        </w:tc>
      </w:tr>
      <w:tr w:rsidR="000469AB" w:rsidRPr="006C54E2" w14:paraId="3ED162CD" w14:textId="77777777" w:rsidTr="000F3C4E">
        <w:trPr>
          <w:trHeight w:val="282"/>
        </w:trPr>
        <w:tc>
          <w:tcPr>
            <w:tcW w:w="518" w:type="pct"/>
            <w:vMerge/>
            <w:noWrap/>
            <w:vAlign w:val="center"/>
            <w:hideMark/>
          </w:tcPr>
          <w:p w14:paraId="5C36A4BA" w14:textId="77777777" w:rsidR="000469AB" w:rsidRPr="006C54E2" w:rsidRDefault="000469AB" w:rsidP="006233FA">
            <w:pPr>
              <w:spacing w:after="0"/>
              <w:rPr>
                <w:rFonts w:eastAsia="DengXian"/>
                <w:b/>
                <w:bCs/>
                <w:sz w:val="20"/>
                <w:szCs w:val="20"/>
                <w:lang w:val="en-US" w:eastAsia="zh-CN"/>
              </w:rPr>
            </w:pPr>
          </w:p>
        </w:tc>
        <w:tc>
          <w:tcPr>
            <w:tcW w:w="878" w:type="pct"/>
            <w:noWrap/>
            <w:vAlign w:val="center"/>
            <w:hideMark/>
          </w:tcPr>
          <w:p w14:paraId="375A5581" w14:textId="77777777" w:rsidR="000469AB" w:rsidRPr="000F3C4E" w:rsidRDefault="000469AB" w:rsidP="006233FA">
            <w:pPr>
              <w:spacing w:after="0"/>
              <w:rPr>
                <w:rFonts w:eastAsia="DengXian"/>
                <w:sz w:val="18"/>
                <w:szCs w:val="18"/>
                <w:lang w:val="en-US" w:eastAsia="zh-CN"/>
              </w:rPr>
            </w:pPr>
            <w:r w:rsidRPr="000F3C4E">
              <w:rPr>
                <w:rFonts w:eastAsia="DengXian"/>
                <w:sz w:val="18"/>
                <w:szCs w:val="18"/>
                <w:lang w:val="en-US" w:eastAsia="zh-CN"/>
              </w:rPr>
              <w:t>Total agency support costs</w:t>
            </w:r>
          </w:p>
        </w:tc>
        <w:tc>
          <w:tcPr>
            <w:tcW w:w="387" w:type="pct"/>
            <w:noWrap/>
            <w:vAlign w:val="center"/>
            <w:hideMark/>
          </w:tcPr>
          <w:p w14:paraId="1F8EF8DA"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33,814</w:t>
            </w:r>
          </w:p>
        </w:tc>
        <w:tc>
          <w:tcPr>
            <w:tcW w:w="227" w:type="pct"/>
            <w:noWrap/>
            <w:vAlign w:val="center"/>
            <w:hideMark/>
          </w:tcPr>
          <w:p w14:paraId="4AED8582"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w:t>
            </w:r>
          </w:p>
        </w:tc>
        <w:tc>
          <w:tcPr>
            <w:tcW w:w="325" w:type="pct"/>
            <w:noWrap/>
            <w:vAlign w:val="center"/>
            <w:hideMark/>
          </w:tcPr>
          <w:p w14:paraId="15279C8D"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34,451</w:t>
            </w:r>
          </w:p>
        </w:tc>
        <w:tc>
          <w:tcPr>
            <w:tcW w:w="374" w:type="pct"/>
            <w:noWrap/>
            <w:vAlign w:val="center"/>
            <w:hideMark/>
          </w:tcPr>
          <w:p w14:paraId="2BAD9C46"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26,207</w:t>
            </w:r>
          </w:p>
        </w:tc>
        <w:tc>
          <w:tcPr>
            <w:tcW w:w="328" w:type="pct"/>
            <w:noWrap/>
            <w:vAlign w:val="center"/>
            <w:hideMark/>
          </w:tcPr>
          <w:p w14:paraId="3E50F51C"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33,119</w:t>
            </w:r>
          </w:p>
        </w:tc>
        <w:tc>
          <w:tcPr>
            <w:tcW w:w="328" w:type="pct"/>
            <w:noWrap/>
            <w:vAlign w:val="center"/>
            <w:hideMark/>
          </w:tcPr>
          <w:p w14:paraId="42D7F82E"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30,319</w:t>
            </w:r>
          </w:p>
        </w:tc>
        <w:tc>
          <w:tcPr>
            <w:tcW w:w="328" w:type="pct"/>
            <w:noWrap/>
            <w:vAlign w:val="center"/>
            <w:hideMark/>
          </w:tcPr>
          <w:p w14:paraId="7258E1B6"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29,007</w:t>
            </w:r>
          </w:p>
        </w:tc>
        <w:tc>
          <w:tcPr>
            <w:tcW w:w="328" w:type="pct"/>
            <w:noWrap/>
            <w:vAlign w:val="center"/>
            <w:hideMark/>
          </w:tcPr>
          <w:p w14:paraId="56D7FDA0"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26,207</w:t>
            </w:r>
          </w:p>
        </w:tc>
        <w:tc>
          <w:tcPr>
            <w:tcW w:w="294" w:type="pct"/>
            <w:noWrap/>
            <w:vAlign w:val="center"/>
            <w:hideMark/>
          </w:tcPr>
          <w:p w14:paraId="3729BC5E"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29,007</w:t>
            </w:r>
          </w:p>
        </w:tc>
        <w:tc>
          <w:tcPr>
            <w:tcW w:w="293" w:type="pct"/>
            <w:noWrap/>
            <w:vAlign w:val="center"/>
            <w:hideMark/>
          </w:tcPr>
          <w:p w14:paraId="572C2270"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26,206</w:t>
            </w:r>
          </w:p>
        </w:tc>
        <w:tc>
          <w:tcPr>
            <w:tcW w:w="392" w:type="pct"/>
            <w:noWrap/>
            <w:vAlign w:val="center"/>
            <w:hideMark/>
          </w:tcPr>
          <w:p w14:paraId="5331F6AE" w14:textId="77777777" w:rsidR="000469AB" w:rsidRPr="000F3C4E" w:rsidRDefault="000469AB" w:rsidP="006233FA">
            <w:pPr>
              <w:spacing w:after="0"/>
              <w:jc w:val="right"/>
              <w:rPr>
                <w:rFonts w:eastAsia="DengXian"/>
                <w:sz w:val="18"/>
                <w:szCs w:val="18"/>
                <w:lang w:val="en-US" w:eastAsia="zh-CN"/>
              </w:rPr>
            </w:pPr>
            <w:r w:rsidRPr="000F3C4E">
              <w:rPr>
                <w:rFonts w:eastAsia="DengXian"/>
                <w:sz w:val="18"/>
                <w:szCs w:val="18"/>
                <w:lang w:val="en-US" w:eastAsia="zh-CN"/>
              </w:rPr>
              <w:t>268,337</w:t>
            </w:r>
          </w:p>
        </w:tc>
      </w:tr>
      <w:tr w:rsidR="000469AB" w:rsidRPr="006C54E2" w14:paraId="4CEFAAD1" w14:textId="77777777" w:rsidTr="000F3C4E">
        <w:trPr>
          <w:trHeight w:val="282"/>
        </w:trPr>
        <w:tc>
          <w:tcPr>
            <w:tcW w:w="518" w:type="pct"/>
            <w:vMerge/>
            <w:noWrap/>
            <w:vAlign w:val="center"/>
            <w:hideMark/>
          </w:tcPr>
          <w:p w14:paraId="01C83A67" w14:textId="77777777" w:rsidR="000469AB" w:rsidRPr="006C54E2" w:rsidRDefault="000469AB" w:rsidP="006233FA">
            <w:pPr>
              <w:spacing w:after="0"/>
              <w:rPr>
                <w:rFonts w:eastAsia="DengXian"/>
                <w:b/>
                <w:bCs/>
                <w:sz w:val="20"/>
                <w:szCs w:val="20"/>
                <w:lang w:val="en-US" w:eastAsia="zh-CN"/>
              </w:rPr>
            </w:pPr>
          </w:p>
        </w:tc>
        <w:tc>
          <w:tcPr>
            <w:tcW w:w="878" w:type="pct"/>
            <w:noWrap/>
            <w:vAlign w:val="center"/>
            <w:hideMark/>
          </w:tcPr>
          <w:p w14:paraId="7975326B" w14:textId="77777777" w:rsidR="000469AB" w:rsidRPr="000F3C4E" w:rsidRDefault="000469AB" w:rsidP="006233FA">
            <w:pPr>
              <w:spacing w:after="0"/>
              <w:rPr>
                <w:rFonts w:eastAsia="DengXian"/>
                <w:b/>
                <w:bCs/>
                <w:sz w:val="18"/>
                <w:szCs w:val="18"/>
                <w:lang w:val="en-US" w:eastAsia="zh-CN"/>
              </w:rPr>
            </w:pPr>
            <w:r w:rsidRPr="000F3C4E">
              <w:rPr>
                <w:rFonts w:eastAsia="DengXian"/>
                <w:b/>
                <w:bCs/>
                <w:sz w:val="18"/>
                <w:szCs w:val="18"/>
                <w:lang w:val="en-US" w:eastAsia="zh-CN"/>
              </w:rPr>
              <w:t xml:space="preserve">Total agreed costs for Mexico </w:t>
            </w:r>
          </w:p>
        </w:tc>
        <w:tc>
          <w:tcPr>
            <w:tcW w:w="387" w:type="pct"/>
            <w:noWrap/>
            <w:vAlign w:val="center"/>
            <w:hideMark/>
          </w:tcPr>
          <w:p w14:paraId="201C2B23"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516,872</w:t>
            </w:r>
          </w:p>
        </w:tc>
        <w:tc>
          <w:tcPr>
            <w:tcW w:w="227" w:type="pct"/>
            <w:noWrap/>
            <w:vAlign w:val="center"/>
            <w:hideMark/>
          </w:tcPr>
          <w:p w14:paraId="73AF9648"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w:t>
            </w:r>
          </w:p>
        </w:tc>
        <w:tc>
          <w:tcPr>
            <w:tcW w:w="325" w:type="pct"/>
            <w:noWrap/>
            <w:vAlign w:val="center"/>
            <w:hideMark/>
          </w:tcPr>
          <w:p w14:paraId="32254DAE"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526,611</w:t>
            </w:r>
          </w:p>
        </w:tc>
        <w:tc>
          <w:tcPr>
            <w:tcW w:w="374" w:type="pct"/>
            <w:noWrap/>
            <w:vAlign w:val="center"/>
            <w:hideMark/>
          </w:tcPr>
          <w:p w14:paraId="5C21DA0F"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400,588</w:t>
            </w:r>
          </w:p>
        </w:tc>
        <w:tc>
          <w:tcPr>
            <w:tcW w:w="328" w:type="pct"/>
            <w:noWrap/>
            <w:vAlign w:val="center"/>
            <w:hideMark/>
          </w:tcPr>
          <w:p w14:paraId="19B76717"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506,250</w:t>
            </w:r>
          </w:p>
        </w:tc>
        <w:tc>
          <w:tcPr>
            <w:tcW w:w="328" w:type="pct"/>
            <w:noWrap/>
            <w:vAlign w:val="center"/>
            <w:hideMark/>
          </w:tcPr>
          <w:p w14:paraId="2BFA9794"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463,450</w:t>
            </w:r>
          </w:p>
        </w:tc>
        <w:tc>
          <w:tcPr>
            <w:tcW w:w="328" w:type="pct"/>
            <w:noWrap/>
            <w:vAlign w:val="center"/>
            <w:hideMark/>
          </w:tcPr>
          <w:p w14:paraId="4795C169"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443,388</w:t>
            </w:r>
          </w:p>
        </w:tc>
        <w:tc>
          <w:tcPr>
            <w:tcW w:w="328" w:type="pct"/>
            <w:noWrap/>
            <w:vAlign w:val="center"/>
            <w:hideMark/>
          </w:tcPr>
          <w:p w14:paraId="5729BF45"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400,588</w:t>
            </w:r>
          </w:p>
        </w:tc>
        <w:tc>
          <w:tcPr>
            <w:tcW w:w="294" w:type="pct"/>
            <w:noWrap/>
            <w:vAlign w:val="center"/>
            <w:hideMark/>
          </w:tcPr>
          <w:p w14:paraId="779BAA02"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443,388</w:t>
            </w:r>
          </w:p>
        </w:tc>
        <w:tc>
          <w:tcPr>
            <w:tcW w:w="293" w:type="pct"/>
            <w:noWrap/>
            <w:vAlign w:val="center"/>
            <w:hideMark/>
          </w:tcPr>
          <w:p w14:paraId="29D5F6CE"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400,586</w:t>
            </w:r>
          </w:p>
        </w:tc>
        <w:tc>
          <w:tcPr>
            <w:tcW w:w="392" w:type="pct"/>
            <w:noWrap/>
            <w:vAlign w:val="center"/>
            <w:hideMark/>
          </w:tcPr>
          <w:p w14:paraId="1069FBDB" w14:textId="77777777" w:rsidR="000469AB" w:rsidRPr="000F3C4E" w:rsidRDefault="000469AB" w:rsidP="006233FA">
            <w:pPr>
              <w:spacing w:after="0"/>
              <w:jc w:val="right"/>
              <w:rPr>
                <w:rFonts w:eastAsia="DengXian"/>
                <w:b/>
                <w:bCs/>
                <w:sz w:val="18"/>
                <w:szCs w:val="18"/>
                <w:lang w:val="en-US" w:eastAsia="zh-CN"/>
              </w:rPr>
            </w:pPr>
            <w:r w:rsidRPr="000F3C4E">
              <w:rPr>
                <w:rFonts w:eastAsia="DengXian"/>
                <w:b/>
                <w:bCs/>
                <w:sz w:val="18"/>
                <w:szCs w:val="18"/>
                <w:lang w:val="en-US" w:eastAsia="zh-CN"/>
              </w:rPr>
              <w:t>4,101,721</w:t>
            </w:r>
          </w:p>
        </w:tc>
      </w:tr>
      <w:tr w:rsidR="000469AB" w:rsidRPr="006C54E2" w14:paraId="503AF942" w14:textId="77777777" w:rsidTr="000F3C4E">
        <w:trPr>
          <w:trHeight w:val="282"/>
        </w:trPr>
        <w:tc>
          <w:tcPr>
            <w:tcW w:w="518" w:type="pct"/>
            <w:vMerge w:val="restart"/>
            <w:shd w:val="clear" w:color="auto" w:fill="DEEAF6" w:themeFill="accent5" w:themeFillTint="33"/>
            <w:noWrap/>
            <w:vAlign w:val="center"/>
            <w:hideMark/>
          </w:tcPr>
          <w:p w14:paraId="2178FEDA" w14:textId="77777777" w:rsidR="000469AB" w:rsidRPr="006C54E2" w:rsidRDefault="000469AB" w:rsidP="006233FA">
            <w:pPr>
              <w:spacing w:after="0"/>
              <w:rPr>
                <w:rFonts w:eastAsia="DengXian"/>
                <w:b/>
                <w:bCs/>
                <w:sz w:val="20"/>
                <w:szCs w:val="20"/>
                <w:lang w:val="en-US" w:eastAsia="zh-CN"/>
              </w:rPr>
            </w:pPr>
            <w:r w:rsidRPr="006C54E2">
              <w:rPr>
                <w:rFonts w:eastAsia="DengXian" w:hint="eastAsia"/>
                <w:b/>
                <w:bCs/>
                <w:sz w:val="20"/>
                <w:szCs w:val="20"/>
                <w:lang w:val="en-US" w:eastAsia="zh-CN"/>
              </w:rPr>
              <w:t xml:space="preserve">　</w:t>
            </w:r>
          </w:p>
          <w:p w14:paraId="39D5AC64" w14:textId="77777777" w:rsidR="000469AB" w:rsidRPr="006C54E2" w:rsidRDefault="000469AB" w:rsidP="006233FA">
            <w:pPr>
              <w:spacing w:after="0"/>
              <w:rPr>
                <w:rFonts w:eastAsia="DengXian"/>
                <w:b/>
                <w:bCs/>
                <w:sz w:val="20"/>
                <w:szCs w:val="20"/>
                <w:lang w:val="en-US" w:eastAsia="zh-CN"/>
              </w:rPr>
            </w:pPr>
            <w:r w:rsidRPr="006C54E2">
              <w:rPr>
                <w:rFonts w:eastAsia="DengXian"/>
                <w:b/>
                <w:bCs/>
                <w:sz w:val="20"/>
                <w:szCs w:val="20"/>
                <w:lang w:val="en-US" w:eastAsia="zh-CN"/>
              </w:rPr>
              <w:t>Argentina</w:t>
            </w:r>
          </w:p>
          <w:p w14:paraId="55433ED6" w14:textId="77777777" w:rsidR="000469AB" w:rsidRPr="006C54E2" w:rsidRDefault="000469AB" w:rsidP="006233FA">
            <w:pPr>
              <w:spacing w:after="0"/>
              <w:rPr>
                <w:rFonts w:eastAsia="DengXian"/>
                <w:b/>
                <w:bCs/>
                <w:sz w:val="20"/>
                <w:szCs w:val="20"/>
                <w:lang w:val="en-US" w:eastAsia="zh-CN"/>
              </w:rPr>
            </w:pPr>
            <w:r w:rsidRPr="006C54E2">
              <w:rPr>
                <w:rFonts w:eastAsia="DengXian" w:hint="eastAsia"/>
                <w:b/>
                <w:bCs/>
                <w:sz w:val="20"/>
                <w:szCs w:val="20"/>
                <w:lang w:val="en-US" w:eastAsia="zh-CN"/>
              </w:rPr>
              <w:t xml:space="preserve">　</w:t>
            </w:r>
          </w:p>
        </w:tc>
        <w:tc>
          <w:tcPr>
            <w:tcW w:w="878" w:type="pct"/>
            <w:noWrap/>
            <w:vAlign w:val="center"/>
            <w:hideMark/>
          </w:tcPr>
          <w:p w14:paraId="0FCE6EAA" w14:textId="77777777" w:rsidR="000469AB" w:rsidRPr="000F3C4E" w:rsidRDefault="000469AB" w:rsidP="006233FA">
            <w:pPr>
              <w:spacing w:after="0"/>
              <w:rPr>
                <w:rFonts w:eastAsia="DengXian"/>
                <w:sz w:val="18"/>
                <w:szCs w:val="18"/>
                <w:lang w:val="en-US" w:eastAsia="zh-CN"/>
              </w:rPr>
            </w:pPr>
            <w:r w:rsidRPr="000F3C4E">
              <w:rPr>
                <w:rFonts w:eastAsia="DengXian"/>
                <w:sz w:val="18"/>
                <w:szCs w:val="18"/>
                <w:lang w:val="en-US" w:eastAsia="zh-CN"/>
              </w:rPr>
              <w:t xml:space="preserve">Total approved investment + operating </w:t>
            </w:r>
          </w:p>
        </w:tc>
        <w:tc>
          <w:tcPr>
            <w:tcW w:w="387" w:type="pct"/>
            <w:noWrap/>
            <w:vAlign w:val="center"/>
            <w:hideMark/>
          </w:tcPr>
          <w:p w14:paraId="7D7817D7" w14:textId="77777777" w:rsidR="000469AB" w:rsidRPr="000F3C4E" w:rsidRDefault="000469AB" w:rsidP="006233FA">
            <w:pPr>
              <w:spacing w:after="0"/>
              <w:jc w:val="right"/>
              <w:rPr>
                <w:rFonts w:eastAsia="DengXian"/>
                <w:sz w:val="18"/>
                <w:szCs w:val="18"/>
                <w:lang w:val="en-US" w:eastAsia="zh-CN"/>
              </w:rPr>
            </w:pPr>
            <w:r w:rsidRPr="000F3C4E">
              <w:rPr>
                <w:sz w:val="18"/>
                <w:szCs w:val="18"/>
              </w:rPr>
              <w:t>1,527,851</w:t>
            </w:r>
          </w:p>
        </w:tc>
        <w:tc>
          <w:tcPr>
            <w:tcW w:w="227" w:type="pct"/>
            <w:noWrap/>
            <w:vAlign w:val="center"/>
            <w:hideMark/>
          </w:tcPr>
          <w:p w14:paraId="03379A21" w14:textId="77777777" w:rsidR="000469AB" w:rsidRPr="000F3C4E" w:rsidRDefault="000469AB" w:rsidP="006233FA">
            <w:pPr>
              <w:spacing w:after="0"/>
              <w:jc w:val="right"/>
              <w:rPr>
                <w:rFonts w:eastAsia="DengXian"/>
                <w:sz w:val="18"/>
                <w:szCs w:val="18"/>
                <w:lang w:val="en-US" w:eastAsia="zh-CN"/>
              </w:rPr>
            </w:pPr>
            <w:r w:rsidRPr="000F3C4E">
              <w:rPr>
                <w:sz w:val="18"/>
                <w:szCs w:val="18"/>
              </w:rPr>
              <w:t>-</w:t>
            </w:r>
          </w:p>
        </w:tc>
        <w:tc>
          <w:tcPr>
            <w:tcW w:w="325" w:type="pct"/>
            <w:noWrap/>
            <w:vAlign w:val="center"/>
            <w:hideMark/>
          </w:tcPr>
          <w:p w14:paraId="0720A3C2" w14:textId="77777777" w:rsidR="000469AB" w:rsidRPr="000F3C4E" w:rsidRDefault="000469AB" w:rsidP="006233FA">
            <w:pPr>
              <w:spacing w:after="0"/>
              <w:jc w:val="right"/>
              <w:rPr>
                <w:rFonts w:eastAsia="DengXian"/>
                <w:sz w:val="18"/>
                <w:szCs w:val="18"/>
                <w:lang w:val="en-US" w:eastAsia="zh-CN"/>
              </w:rPr>
            </w:pPr>
            <w:r w:rsidRPr="000F3C4E">
              <w:rPr>
                <w:sz w:val="18"/>
                <w:szCs w:val="18"/>
              </w:rPr>
              <w:t>-</w:t>
            </w:r>
          </w:p>
        </w:tc>
        <w:tc>
          <w:tcPr>
            <w:tcW w:w="374" w:type="pct"/>
            <w:noWrap/>
            <w:vAlign w:val="center"/>
            <w:hideMark/>
          </w:tcPr>
          <w:p w14:paraId="0A36ECB3" w14:textId="77777777" w:rsidR="000469AB" w:rsidRPr="000F3C4E" w:rsidRDefault="000469AB" w:rsidP="006233FA">
            <w:pPr>
              <w:spacing w:after="0"/>
              <w:jc w:val="right"/>
              <w:rPr>
                <w:rFonts w:eastAsia="DengXian"/>
                <w:sz w:val="18"/>
                <w:szCs w:val="18"/>
                <w:lang w:val="en-US" w:eastAsia="zh-CN"/>
              </w:rPr>
            </w:pPr>
            <w:r w:rsidRPr="000F3C4E">
              <w:rPr>
                <w:sz w:val="18"/>
                <w:szCs w:val="18"/>
              </w:rPr>
              <w:t>112,757</w:t>
            </w:r>
          </w:p>
        </w:tc>
        <w:tc>
          <w:tcPr>
            <w:tcW w:w="328" w:type="pct"/>
            <w:noWrap/>
            <w:vAlign w:val="center"/>
            <w:hideMark/>
          </w:tcPr>
          <w:p w14:paraId="7823415E" w14:textId="77777777" w:rsidR="000469AB" w:rsidRPr="000F3C4E" w:rsidRDefault="000469AB" w:rsidP="006233FA">
            <w:pPr>
              <w:spacing w:after="0"/>
              <w:jc w:val="right"/>
              <w:rPr>
                <w:rFonts w:eastAsia="DengXian"/>
                <w:sz w:val="18"/>
                <w:szCs w:val="18"/>
                <w:lang w:val="en-US" w:eastAsia="zh-CN"/>
              </w:rPr>
            </w:pPr>
            <w:r w:rsidRPr="000F3C4E">
              <w:rPr>
                <w:sz w:val="18"/>
                <w:szCs w:val="18"/>
              </w:rPr>
              <w:t>112,757</w:t>
            </w:r>
          </w:p>
        </w:tc>
        <w:tc>
          <w:tcPr>
            <w:tcW w:w="328" w:type="pct"/>
            <w:noWrap/>
            <w:vAlign w:val="center"/>
            <w:hideMark/>
          </w:tcPr>
          <w:p w14:paraId="7B8FA67D" w14:textId="77777777" w:rsidR="000469AB" w:rsidRPr="000F3C4E" w:rsidRDefault="000469AB" w:rsidP="006233FA">
            <w:pPr>
              <w:spacing w:after="0"/>
              <w:jc w:val="right"/>
              <w:rPr>
                <w:rFonts w:eastAsia="DengXian"/>
                <w:sz w:val="18"/>
                <w:szCs w:val="18"/>
                <w:lang w:val="en-US" w:eastAsia="zh-CN"/>
              </w:rPr>
            </w:pPr>
            <w:r w:rsidRPr="000F3C4E">
              <w:rPr>
                <w:sz w:val="18"/>
                <w:szCs w:val="18"/>
              </w:rPr>
              <w:t>101,853</w:t>
            </w:r>
          </w:p>
        </w:tc>
        <w:tc>
          <w:tcPr>
            <w:tcW w:w="328" w:type="pct"/>
            <w:noWrap/>
            <w:vAlign w:val="center"/>
            <w:hideMark/>
          </w:tcPr>
          <w:p w14:paraId="50F2FF92" w14:textId="77777777" w:rsidR="000469AB" w:rsidRPr="000F3C4E" w:rsidRDefault="000469AB" w:rsidP="006233FA">
            <w:pPr>
              <w:spacing w:after="0"/>
              <w:jc w:val="right"/>
              <w:rPr>
                <w:rFonts w:eastAsia="DengXian"/>
                <w:sz w:val="18"/>
                <w:szCs w:val="18"/>
                <w:lang w:val="en-US" w:eastAsia="zh-CN"/>
              </w:rPr>
            </w:pPr>
            <w:r w:rsidRPr="000F3C4E">
              <w:rPr>
                <w:sz w:val="18"/>
                <w:szCs w:val="18"/>
              </w:rPr>
              <w:t>101,853</w:t>
            </w:r>
          </w:p>
        </w:tc>
        <w:tc>
          <w:tcPr>
            <w:tcW w:w="328" w:type="pct"/>
            <w:noWrap/>
            <w:vAlign w:val="center"/>
            <w:hideMark/>
          </w:tcPr>
          <w:p w14:paraId="15436F1D" w14:textId="77777777" w:rsidR="000469AB" w:rsidRPr="000F3C4E" w:rsidRDefault="000469AB" w:rsidP="006233FA">
            <w:pPr>
              <w:spacing w:after="0"/>
              <w:jc w:val="right"/>
              <w:rPr>
                <w:rFonts w:eastAsia="DengXian"/>
                <w:sz w:val="18"/>
                <w:szCs w:val="18"/>
                <w:lang w:val="en-US" w:eastAsia="zh-CN"/>
              </w:rPr>
            </w:pPr>
            <w:r w:rsidRPr="000F3C4E">
              <w:rPr>
                <w:sz w:val="18"/>
                <w:szCs w:val="18"/>
              </w:rPr>
              <w:t>101,853</w:t>
            </w:r>
          </w:p>
        </w:tc>
        <w:tc>
          <w:tcPr>
            <w:tcW w:w="294" w:type="pct"/>
            <w:noWrap/>
            <w:vAlign w:val="center"/>
            <w:hideMark/>
          </w:tcPr>
          <w:p w14:paraId="570A74AA" w14:textId="77777777" w:rsidR="000469AB" w:rsidRPr="000F3C4E" w:rsidRDefault="000469AB" w:rsidP="006233FA">
            <w:pPr>
              <w:spacing w:after="0"/>
              <w:jc w:val="right"/>
              <w:rPr>
                <w:rFonts w:eastAsia="DengXian"/>
                <w:sz w:val="18"/>
                <w:szCs w:val="18"/>
                <w:lang w:val="en-US" w:eastAsia="zh-CN"/>
              </w:rPr>
            </w:pPr>
            <w:r w:rsidRPr="000F3C4E">
              <w:rPr>
                <w:sz w:val="18"/>
                <w:szCs w:val="18"/>
              </w:rPr>
              <w:t>101,853</w:t>
            </w:r>
          </w:p>
        </w:tc>
        <w:tc>
          <w:tcPr>
            <w:tcW w:w="293" w:type="pct"/>
            <w:noWrap/>
            <w:vAlign w:val="center"/>
            <w:hideMark/>
          </w:tcPr>
          <w:p w14:paraId="472A8263" w14:textId="77777777" w:rsidR="000469AB" w:rsidRPr="000F3C4E" w:rsidRDefault="000469AB" w:rsidP="006233FA">
            <w:pPr>
              <w:spacing w:after="0"/>
              <w:jc w:val="right"/>
              <w:rPr>
                <w:rFonts w:eastAsia="DengXian"/>
                <w:sz w:val="18"/>
                <w:szCs w:val="18"/>
                <w:lang w:val="en-US" w:eastAsia="zh-CN"/>
              </w:rPr>
            </w:pPr>
            <w:r w:rsidRPr="000F3C4E">
              <w:rPr>
                <w:sz w:val="18"/>
                <w:szCs w:val="18"/>
              </w:rPr>
              <w:t>101,853</w:t>
            </w:r>
          </w:p>
        </w:tc>
        <w:tc>
          <w:tcPr>
            <w:tcW w:w="392" w:type="pct"/>
            <w:noWrap/>
            <w:vAlign w:val="center"/>
            <w:hideMark/>
          </w:tcPr>
          <w:p w14:paraId="44D8E7A2" w14:textId="77777777" w:rsidR="000469AB" w:rsidRPr="000F3C4E" w:rsidRDefault="000469AB" w:rsidP="006233FA">
            <w:pPr>
              <w:spacing w:after="0"/>
              <w:jc w:val="right"/>
              <w:rPr>
                <w:rFonts w:eastAsia="DengXian"/>
                <w:sz w:val="18"/>
                <w:szCs w:val="18"/>
                <w:lang w:val="en-US" w:eastAsia="zh-CN"/>
              </w:rPr>
            </w:pPr>
            <w:r w:rsidRPr="000F3C4E">
              <w:rPr>
                <w:sz w:val="18"/>
                <w:szCs w:val="18"/>
              </w:rPr>
              <w:t>2,262,630</w:t>
            </w:r>
          </w:p>
        </w:tc>
      </w:tr>
      <w:tr w:rsidR="000469AB" w:rsidRPr="006C54E2" w14:paraId="01C4A631" w14:textId="77777777" w:rsidTr="000F3C4E">
        <w:trPr>
          <w:trHeight w:val="282"/>
        </w:trPr>
        <w:tc>
          <w:tcPr>
            <w:tcW w:w="518" w:type="pct"/>
            <w:vMerge/>
            <w:noWrap/>
            <w:vAlign w:val="center"/>
            <w:hideMark/>
          </w:tcPr>
          <w:p w14:paraId="017936CA" w14:textId="77777777" w:rsidR="000469AB" w:rsidRPr="006C54E2" w:rsidRDefault="000469AB" w:rsidP="006233FA">
            <w:pPr>
              <w:spacing w:after="0"/>
              <w:rPr>
                <w:rFonts w:eastAsia="DengXian"/>
                <w:b/>
                <w:bCs/>
                <w:sz w:val="20"/>
                <w:szCs w:val="20"/>
                <w:lang w:val="en-US" w:eastAsia="zh-CN"/>
              </w:rPr>
            </w:pPr>
          </w:p>
        </w:tc>
        <w:tc>
          <w:tcPr>
            <w:tcW w:w="878" w:type="pct"/>
            <w:noWrap/>
            <w:vAlign w:val="center"/>
            <w:hideMark/>
          </w:tcPr>
          <w:p w14:paraId="2237A6BF" w14:textId="77777777" w:rsidR="000469AB" w:rsidRPr="000F3C4E" w:rsidRDefault="000469AB" w:rsidP="006233FA">
            <w:pPr>
              <w:spacing w:after="0"/>
              <w:rPr>
                <w:rFonts w:eastAsia="DengXian"/>
                <w:sz w:val="18"/>
                <w:szCs w:val="18"/>
                <w:lang w:val="en-US" w:eastAsia="zh-CN"/>
              </w:rPr>
            </w:pPr>
            <w:r w:rsidRPr="000F3C4E">
              <w:rPr>
                <w:rFonts w:eastAsia="DengXian"/>
                <w:sz w:val="18"/>
                <w:szCs w:val="18"/>
                <w:lang w:val="en-US" w:eastAsia="zh-CN"/>
              </w:rPr>
              <w:t xml:space="preserve">Total agency support costs </w:t>
            </w:r>
          </w:p>
        </w:tc>
        <w:tc>
          <w:tcPr>
            <w:tcW w:w="387" w:type="pct"/>
            <w:noWrap/>
            <w:vAlign w:val="center"/>
            <w:hideMark/>
          </w:tcPr>
          <w:p w14:paraId="4C04AC2D" w14:textId="77777777" w:rsidR="000469AB" w:rsidRPr="000F3C4E" w:rsidRDefault="000469AB" w:rsidP="006233FA">
            <w:pPr>
              <w:spacing w:after="0"/>
              <w:jc w:val="right"/>
              <w:rPr>
                <w:rFonts w:eastAsia="DengXian"/>
                <w:sz w:val="18"/>
                <w:szCs w:val="18"/>
                <w:lang w:val="en-US" w:eastAsia="zh-CN"/>
              </w:rPr>
            </w:pPr>
            <w:r w:rsidRPr="000F3C4E">
              <w:rPr>
                <w:sz w:val="18"/>
                <w:szCs w:val="18"/>
              </w:rPr>
              <w:t>106,950</w:t>
            </w:r>
          </w:p>
        </w:tc>
        <w:tc>
          <w:tcPr>
            <w:tcW w:w="227" w:type="pct"/>
            <w:noWrap/>
            <w:vAlign w:val="center"/>
            <w:hideMark/>
          </w:tcPr>
          <w:p w14:paraId="6A4E27EE" w14:textId="77777777" w:rsidR="000469AB" w:rsidRPr="000F3C4E" w:rsidRDefault="000469AB" w:rsidP="006233FA">
            <w:pPr>
              <w:spacing w:after="0"/>
              <w:jc w:val="right"/>
              <w:rPr>
                <w:rFonts w:eastAsia="DengXian"/>
                <w:sz w:val="18"/>
                <w:szCs w:val="18"/>
                <w:lang w:val="en-US" w:eastAsia="zh-CN"/>
              </w:rPr>
            </w:pPr>
            <w:r w:rsidRPr="000F3C4E">
              <w:rPr>
                <w:sz w:val="18"/>
                <w:szCs w:val="18"/>
              </w:rPr>
              <w:t>-</w:t>
            </w:r>
          </w:p>
        </w:tc>
        <w:tc>
          <w:tcPr>
            <w:tcW w:w="325" w:type="pct"/>
            <w:noWrap/>
            <w:vAlign w:val="center"/>
            <w:hideMark/>
          </w:tcPr>
          <w:p w14:paraId="535EB512" w14:textId="77777777" w:rsidR="000469AB" w:rsidRPr="000F3C4E" w:rsidRDefault="000469AB" w:rsidP="006233FA">
            <w:pPr>
              <w:spacing w:after="0"/>
              <w:jc w:val="right"/>
              <w:rPr>
                <w:rFonts w:eastAsia="DengXian"/>
                <w:sz w:val="18"/>
                <w:szCs w:val="18"/>
                <w:lang w:val="en-US" w:eastAsia="zh-CN"/>
              </w:rPr>
            </w:pPr>
            <w:r w:rsidRPr="000F3C4E">
              <w:rPr>
                <w:sz w:val="18"/>
                <w:szCs w:val="18"/>
              </w:rPr>
              <w:t>-</w:t>
            </w:r>
          </w:p>
        </w:tc>
        <w:tc>
          <w:tcPr>
            <w:tcW w:w="374" w:type="pct"/>
            <w:noWrap/>
            <w:vAlign w:val="center"/>
            <w:hideMark/>
          </w:tcPr>
          <w:p w14:paraId="735544AF" w14:textId="77777777" w:rsidR="000469AB" w:rsidRPr="000F3C4E" w:rsidRDefault="000469AB" w:rsidP="006233FA">
            <w:pPr>
              <w:spacing w:after="0"/>
              <w:jc w:val="right"/>
              <w:rPr>
                <w:rFonts w:eastAsia="DengXian"/>
                <w:sz w:val="18"/>
                <w:szCs w:val="18"/>
                <w:lang w:val="en-US" w:eastAsia="zh-CN"/>
              </w:rPr>
            </w:pPr>
            <w:r w:rsidRPr="000F3C4E">
              <w:rPr>
                <w:sz w:val="18"/>
                <w:szCs w:val="18"/>
              </w:rPr>
              <w:t>7,893</w:t>
            </w:r>
          </w:p>
        </w:tc>
        <w:tc>
          <w:tcPr>
            <w:tcW w:w="328" w:type="pct"/>
            <w:noWrap/>
            <w:vAlign w:val="center"/>
            <w:hideMark/>
          </w:tcPr>
          <w:p w14:paraId="2938E2EA" w14:textId="77777777" w:rsidR="000469AB" w:rsidRPr="000F3C4E" w:rsidRDefault="000469AB" w:rsidP="006233FA">
            <w:pPr>
              <w:spacing w:after="0"/>
              <w:jc w:val="right"/>
              <w:rPr>
                <w:rFonts w:eastAsia="DengXian"/>
                <w:sz w:val="18"/>
                <w:szCs w:val="18"/>
                <w:lang w:val="en-US" w:eastAsia="zh-CN"/>
              </w:rPr>
            </w:pPr>
            <w:r w:rsidRPr="000F3C4E">
              <w:rPr>
                <w:sz w:val="18"/>
                <w:szCs w:val="18"/>
              </w:rPr>
              <w:t>7,893</w:t>
            </w:r>
          </w:p>
        </w:tc>
        <w:tc>
          <w:tcPr>
            <w:tcW w:w="328" w:type="pct"/>
            <w:noWrap/>
            <w:vAlign w:val="center"/>
            <w:hideMark/>
          </w:tcPr>
          <w:p w14:paraId="0665EFDF" w14:textId="77777777" w:rsidR="000469AB" w:rsidRPr="000F3C4E" w:rsidRDefault="000469AB" w:rsidP="006233FA">
            <w:pPr>
              <w:spacing w:after="0"/>
              <w:jc w:val="right"/>
              <w:rPr>
                <w:rFonts w:eastAsia="DengXian"/>
                <w:sz w:val="18"/>
                <w:szCs w:val="18"/>
                <w:lang w:val="en-US" w:eastAsia="zh-CN"/>
              </w:rPr>
            </w:pPr>
            <w:r w:rsidRPr="000F3C4E">
              <w:rPr>
                <w:sz w:val="18"/>
                <w:szCs w:val="18"/>
              </w:rPr>
              <w:t>7,130</w:t>
            </w:r>
          </w:p>
        </w:tc>
        <w:tc>
          <w:tcPr>
            <w:tcW w:w="328" w:type="pct"/>
            <w:noWrap/>
            <w:vAlign w:val="center"/>
            <w:hideMark/>
          </w:tcPr>
          <w:p w14:paraId="0FAFEEB8" w14:textId="77777777" w:rsidR="000469AB" w:rsidRPr="000F3C4E" w:rsidRDefault="000469AB" w:rsidP="006233FA">
            <w:pPr>
              <w:spacing w:after="0"/>
              <w:jc w:val="right"/>
              <w:rPr>
                <w:rFonts w:eastAsia="DengXian"/>
                <w:sz w:val="18"/>
                <w:szCs w:val="18"/>
                <w:lang w:val="en-US" w:eastAsia="zh-CN"/>
              </w:rPr>
            </w:pPr>
            <w:r w:rsidRPr="000F3C4E">
              <w:rPr>
                <w:sz w:val="18"/>
                <w:szCs w:val="18"/>
              </w:rPr>
              <w:t>7,130</w:t>
            </w:r>
          </w:p>
        </w:tc>
        <w:tc>
          <w:tcPr>
            <w:tcW w:w="328" w:type="pct"/>
            <w:noWrap/>
            <w:vAlign w:val="center"/>
            <w:hideMark/>
          </w:tcPr>
          <w:p w14:paraId="6B65BEDD" w14:textId="77777777" w:rsidR="000469AB" w:rsidRPr="000F3C4E" w:rsidRDefault="000469AB" w:rsidP="006233FA">
            <w:pPr>
              <w:spacing w:after="0"/>
              <w:jc w:val="right"/>
              <w:rPr>
                <w:rFonts w:eastAsia="DengXian"/>
                <w:sz w:val="18"/>
                <w:szCs w:val="18"/>
                <w:lang w:val="en-US" w:eastAsia="zh-CN"/>
              </w:rPr>
            </w:pPr>
            <w:r w:rsidRPr="000F3C4E">
              <w:rPr>
                <w:sz w:val="18"/>
                <w:szCs w:val="18"/>
              </w:rPr>
              <w:t>7,130</w:t>
            </w:r>
          </w:p>
        </w:tc>
        <w:tc>
          <w:tcPr>
            <w:tcW w:w="294" w:type="pct"/>
            <w:noWrap/>
            <w:vAlign w:val="center"/>
            <w:hideMark/>
          </w:tcPr>
          <w:p w14:paraId="39582311" w14:textId="77777777" w:rsidR="000469AB" w:rsidRPr="000F3C4E" w:rsidRDefault="000469AB" w:rsidP="006233FA">
            <w:pPr>
              <w:spacing w:after="0"/>
              <w:jc w:val="right"/>
              <w:rPr>
                <w:rFonts w:eastAsia="DengXian"/>
                <w:sz w:val="18"/>
                <w:szCs w:val="18"/>
                <w:lang w:val="en-US" w:eastAsia="zh-CN"/>
              </w:rPr>
            </w:pPr>
            <w:r w:rsidRPr="000F3C4E">
              <w:rPr>
                <w:sz w:val="18"/>
                <w:szCs w:val="18"/>
              </w:rPr>
              <w:t>7,129</w:t>
            </w:r>
          </w:p>
        </w:tc>
        <w:tc>
          <w:tcPr>
            <w:tcW w:w="293" w:type="pct"/>
            <w:noWrap/>
            <w:vAlign w:val="center"/>
            <w:hideMark/>
          </w:tcPr>
          <w:p w14:paraId="0546038B" w14:textId="77777777" w:rsidR="000469AB" w:rsidRPr="000F3C4E" w:rsidRDefault="000469AB" w:rsidP="006233FA">
            <w:pPr>
              <w:spacing w:after="0"/>
              <w:jc w:val="right"/>
              <w:rPr>
                <w:rFonts w:eastAsia="DengXian"/>
                <w:sz w:val="18"/>
                <w:szCs w:val="18"/>
                <w:lang w:val="en-US" w:eastAsia="zh-CN"/>
              </w:rPr>
            </w:pPr>
            <w:r w:rsidRPr="000F3C4E">
              <w:rPr>
                <w:sz w:val="18"/>
                <w:szCs w:val="18"/>
              </w:rPr>
              <w:t>7,129</w:t>
            </w:r>
          </w:p>
        </w:tc>
        <w:tc>
          <w:tcPr>
            <w:tcW w:w="392" w:type="pct"/>
            <w:noWrap/>
            <w:vAlign w:val="center"/>
            <w:hideMark/>
          </w:tcPr>
          <w:p w14:paraId="6A02A018" w14:textId="77777777" w:rsidR="000469AB" w:rsidRPr="000F3C4E" w:rsidRDefault="000469AB" w:rsidP="006233FA">
            <w:pPr>
              <w:spacing w:after="0"/>
              <w:jc w:val="right"/>
              <w:rPr>
                <w:rFonts w:eastAsia="DengXian"/>
                <w:sz w:val="18"/>
                <w:szCs w:val="18"/>
                <w:lang w:val="en-US" w:eastAsia="zh-CN"/>
              </w:rPr>
            </w:pPr>
            <w:r w:rsidRPr="000F3C4E">
              <w:rPr>
                <w:sz w:val="18"/>
                <w:szCs w:val="18"/>
              </w:rPr>
              <w:t>158,384</w:t>
            </w:r>
          </w:p>
        </w:tc>
      </w:tr>
      <w:tr w:rsidR="000469AB" w:rsidRPr="006C54E2" w14:paraId="2D6E1700" w14:textId="77777777" w:rsidTr="000F3C4E">
        <w:trPr>
          <w:trHeight w:val="282"/>
        </w:trPr>
        <w:tc>
          <w:tcPr>
            <w:tcW w:w="518" w:type="pct"/>
            <w:vMerge/>
            <w:noWrap/>
            <w:vAlign w:val="center"/>
            <w:hideMark/>
          </w:tcPr>
          <w:p w14:paraId="702867BC" w14:textId="77777777" w:rsidR="000469AB" w:rsidRPr="006C54E2" w:rsidRDefault="000469AB" w:rsidP="006233FA">
            <w:pPr>
              <w:spacing w:after="0"/>
              <w:rPr>
                <w:rFonts w:eastAsia="DengXian"/>
                <w:b/>
                <w:bCs/>
                <w:sz w:val="20"/>
                <w:szCs w:val="20"/>
                <w:lang w:val="en-US" w:eastAsia="zh-CN"/>
              </w:rPr>
            </w:pPr>
          </w:p>
        </w:tc>
        <w:tc>
          <w:tcPr>
            <w:tcW w:w="878" w:type="pct"/>
            <w:noWrap/>
            <w:vAlign w:val="center"/>
            <w:hideMark/>
          </w:tcPr>
          <w:p w14:paraId="59209182" w14:textId="77777777" w:rsidR="000469AB" w:rsidRPr="000F3C4E" w:rsidRDefault="000469AB" w:rsidP="006233FA">
            <w:pPr>
              <w:spacing w:after="0"/>
              <w:rPr>
                <w:rFonts w:eastAsia="DengXian"/>
                <w:b/>
                <w:bCs/>
                <w:sz w:val="18"/>
                <w:szCs w:val="18"/>
                <w:lang w:val="en-US" w:eastAsia="zh-CN"/>
              </w:rPr>
            </w:pPr>
            <w:r w:rsidRPr="000F3C4E">
              <w:rPr>
                <w:rFonts w:eastAsia="DengXian"/>
                <w:b/>
                <w:bCs/>
                <w:sz w:val="18"/>
                <w:szCs w:val="18"/>
                <w:lang w:val="en-US" w:eastAsia="zh-CN"/>
              </w:rPr>
              <w:t>Total approved costs for Argentina</w:t>
            </w:r>
          </w:p>
        </w:tc>
        <w:tc>
          <w:tcPr>
            <w:tcW w:w="387" w:type="pct"/>
            <w:noWrap/>
            <w:vAlign w:val="center"/>
            <w:hideMark/>
          </w:tcPr>
          <w:p w14:paraId="517AFC85"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1,634,801</w:t>
            </w:r>
          </w:p>
        </w:tc>
        <w:tc>
          <w:tcPr>
            <w:tcW w:w="227" w:type="pct"/>
            <w:noWrap/>
            <w:vAlign w:val="center"/>
            <w:hideMark/>
          </w:tcPr>
          <w:p w14:paraId="7636616A"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w:t>
            </w:r>
          </w:p>
        </w:tc>
        <w:tc>
          <w:tcPr>
            <w:tcW w:w="325" w:type="pct"/>
            <w:noWrap/>
            <w:vAlign w:val="center"/>
            <w:hideMark/>
          </w:tcPr>
          <w:p w14:paraId="1F441D51"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w:t>
            </w:r>
          </w:p>
        </w:tc>
        <w:tc>
          <w:tcPr>
            <w:tcW w:w="374" w:type="pct"/>
            <w:noWrap/>
            <w:vAlign w:val="center"/>
            <w:hideMark/>
          </w:tcPr>
          <w:p w14:paraId="13255F01"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120,650</w:t>
            </w:r>
          </w:p>
        </w:tc>
        <w:tc>
          <w:tcPr>
            <w:tcW w:w="328" w:type="pct"/>
            <w:noWrap/>
            <w:vAlign w:val="center"/>
            <w:hideMark/>
          </w:tcPr>
          <w:p w14:paraId="1BBA7425"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120,650</w:t>
            </w:r>
          </w:p>
        </w:tc>
        <w:tc>
          <w:tcPr>
            <w:tcW w:w="328" w:type="pct"/>
            <w:noWrap/>
            <w:vAlign w:val="center"/>
            <w:hideMark/>
          </w:tcPr>
          <w:p w14:paraId="5B066D8E"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108,983</w:t>
            </w:r>
          </w:p>
        </w:tc>
        <w:tc>
          <w:tcPr>
            <w:tcW w:w="328" w:type="pct"/>
            <w:noWrap/>
            <w:vAlign w:val="center"/>
            <w:hideMark/>
          </w:tcPr>
          <w:p w14:paraId="20A5D0AE"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108,983</w:t>
            </w:r>
          </w:p>
        </w:tc>
        <w:tc>
          <w:tcPr>
            <w:tcW w:w="328" w:type="pct"/>
            <w:noWrap/>
            <w:vAlign w:val="center"/>
            <w:hideMark/>
          </w:tcPr>
          <w:p w14:paraId="144372DD"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108,983</w:t>
            </w:r>
          </w:p>
        </w:tc>
        <w:tc>
          <w:tcPr>
            <w:tcW w:w="294" w:type="pct"/>
            <w:noWrap/>
            <w:vAlign w:val="center"/>
            <w:hideMark/>
          </w:tcPr>
          <w:p w14:paraId="7A9A3EFB"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108,982</w:t>
            </w:r>
          </w:p>
        </w:tc>
        <w:tc>
          <w:tcPr>
            <w:tcW w:w="293" w:type="pct"/>
            <w:noWrap/>
            <w:vAlign w:val="center"/>
            <w:hideMark/>
          </w:tcPr>
          <w:p w14:paraId="0A6F13F4"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108,982</w:t>
            </w:r>
          </w:p>
        </w:tc>
        <w:tc>
          <w:tcPr>
            <w:tcW w:w="392" w:type="pct"/>
            <w:noWrap/>
            <w:vAlign w:val="center"/>
            <w:hideMark/>
          </w:tcPr>
          <w:p w14:paraId="625D395A" w14:textId="77777777" w:rsidR="000469AB" w:rsidRPr="000F3C4E" w:rsidRDefault="000469AB" w:rsidP="006233FA">
            <w:pPr>
              <w:spacing w:after="0"/>
              <w:jc w:val="right"/>
              <w:rPr>
                <w:rFonts w:eastAsia="DengXian"/>
                <w:b/>
                <w:bCs/>
                <w:sz w:val="18"/>
                <w:szCs w:val="18"/>
                <w:lang w:val="en-US" w:eastAsia="zh-CN"/>
              </w:rPr>
            </w:pPr>
            <w:r w:rsidRPr="000F3C4E">
              <w:rPr>
                <w:b/>
                <w:bCs/>
                <w:sz w:val="18"/>
                <w:szCs w:val="18"/>
              </w:rPr>
              <w:t>2,421,014</w:t>
            </w:r>
          </w:p>
        </w:tc>
      </w:tr>
      <w:tr w:rsidR="000469AB" w:rsidRPr="006C54E2" w14:paraId="700C09B6" w14:textId="77777777" w:rsidTr="000469AB">
        <w:trPr>
          <w:trHeight w:val="282"/>
        </w:trPr>
        <w:tc>
          <w:tcPr>
            <w:tcW w:w="5000" w:type="pct"/>
            <w:gridSpan w:val="13"/>
            <w:shd w:val="clear" w:color="auto" w:fill="FFF2CC" w:themeFill="accent4" w:themeFillTint="33"/>
            <w:noWrap/>
            <w:vAlign w:val="center"/>
            <w:hideMark/>
          </w:tcPr>
          <w:p w14:paraId="737524A7" w14:textId="77777777" w:rsidR="000469AB" w:rsidRPr="000F3C4E" w:rsidRDefault="000469AB" w:rsidP="006233FA">
            <w:pPr>
              <w:spacing w:after="0"/>
              <w:jc w:val="center"/>
              <w:rPr>
                <w:rFonts w:eastAsia="DengXian"/>
                <w:b/>
                <w:bCs/>
                <w:sz w:val="18"/>
                <w:szCs w:val="18"/>
                <w:lang w:val="en-US" w:eastAsia="zh-CN"/>
              </w:rPr>
            </w:pPr>
            <w:r w:rsidRPr="000F3C4E">
              <w:rPr>
                <w:rFonts w:eastAsia="DengXian"/>
                <w:b/>
                <w:bCs/>
                <w:sz w:val="18"/>
                <w:szCs w:val="18"/>
                <w:lang w:val="en-US" w:eastAsia="zh-CN"/>
              </w:rPr>
              <w:t xml:space="preserve">Total </w:t>
            </w:r>
            <w:r w:rsidRPr="000F3C4E">
              <w:rPr>
                <w:b/>
                <w:bCs/>
                <w:sz w:val="18"/>
                <w:szCs w:val="18"/>
              </w:rPr>
              <w:t>HFC-23 Mitigation Costs Estimated for Argentina and Mexico 2021-2030</w:t>
            </w:r>
          </w:p>
        </w:tc>
      </w:tr>
      <w:tr w:rsidR="000469AB" w:rsidRPr="006C54E2" w14:paraId="2AC810EC" w14:textId="77777777" w:rsidTr="001874E6">
        <w:trPr>
          <w:trHeight w:val="282"/>
        </w:trPr>
        <w:tc>
          <w:tcPr>
            <w:tcW w:w="518" w:type="pct"/>
            <w:vMerge w:val="restart"/>
            <w:shd w:val="clear" w:color="auto" w:fill="DEEAF6" w:themeFill="accent5" w:themeFillTint="33"/>
            <w:noWrap/>
            <w:vAlign w:val="center"/>
            <w:hideMark/>
          </w:tcPr>
          <w:p w14:paraId="7E80EF2C" w14:textId="2CBC1C28" w:rsidR="000469AB" w:rsidRPr="006C54E2" w:rsidRDefault="000469AB" w:rsidP="001874E6">
            <w:pPr>
              <w:spacing w:after="0"/>
              <w:rPr>
                <w:rFonts w:eastAsia="DengXian"/>
                <w:b/>
                <w:bCs/>
                <w:sz w:val="20"/>
                <w:szCs w:val="20"/>
                <w:lang w:val="en-US" w:eastAsia="zh-CN"/>
              </w:rPr>
            </w:pPr>
            <w:r w:rsidRPr="006C54E2">
              <w:rPr>
                <w:rFonts w:eastAsia="DengXian"/>
                <w:b/>
                <w:bCs/>
                <w:sz w:val="20"/>
                <w:szCs w:val="20"/>
                <w:lang w:val="en-US" w:eastAsia="zh-CN"/>
              </w:rPr>
              <w:t>Total funding requirement</w:t>
            </w:r>
          </w:p>
        </w:tc>
        <w:tc>
          <w:tcPr>
            <w:tcW w:w="878" w:type="pct"/>
            <w:noWrap/>
            <w:vAlign w:val="center"/>
            <w:hideMark/>
          </w:tcPr>
          <w:p w14:paraId="33645A8E" w14:textId="77777777" w:rsidR="000469AB" w:rsidRPr="000F3C4E" w:rsidRDefault="000469AB" w:rsidP="006233FA">
            <w:pPr>
              <w:spacing w:after="0"/>
              <w:rPr>
                <w:rFonts w:eastAsia="DengXian"/>
                <w:sz w:val="18"/>
                <w:szCs w:val="18"/>
                <w:lang w:val="en-US" w:eastAsia="zh-CN"/>
              </w:rPr>
            </w:pPr>
            <w:r w:rsidRPr="000F3C4E">
              <w:rPr>
                <w:rFonts w:eastAsia="DengXian"/>
                <w:sz w:val="18"/>
                <w:szCs w:val="18"/>
                <w:lang w:val="en-US" w:eastAsia="zh-CN"/>
              </w:rPr>
              <w:t>Total investment + operating for Mexico and Argentina</w:t>
            </w:r>
          </w:p>
        </w:tc>
        <w:tc>
          <w:tcPr>
            <w:tcW w:w="387" w:type="pct"/>
            <w:noWrap/>
            <w:vAlign w:val="center"/>
            <w:hideMark/>
          </w:tcPr>
          <w:p w14:paraId="2BF2CA6F"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2,010,909</w:t>
            </w:r>
          </w:p>
        </w:tc>
        <w:tc>
          <w:tcPr>
            <w:tcW w:w="227" w:type="pct"/>
            <w:noWrap/>
            <w:vAlign w:val="center"/>
            <w:hideMark/>
          </w:tcPr>
          <w:p w14:paraId="1C4CDDCB" w14:textId="77777777" w:rsidR="000469AB" w:rsidRPr="000F3C4E" w:rsidRDefault="000469AB" w:rsidP="006233FA">
            <w:pPr>
              <w:spacing w:after="0"/>
              <w:jc w:val="right"/>
              <w:rPr>
                <w:rFonts w:eastAsia="DengXian"/>
                <w:sz w:val="18"/>
                <w:szCs w:val="18"/>
                <w:lang w:val="en-US" w:eastAsia="zh-CN"/>
              </w:rPr>
            </w:pPr>
            <w:r w:rsidRPr="000F3C4E">
              <w:rPr>
                <w:rFonts w:ascii="MS Mincho" w:eastAsia="MS Mincho" w:hAnsi="MS Mincho" w:cs="MS Mincho" w:hint="eastAsia"/>
                <w:sz w:val="18"/>
                <w:szCs w:val="18"/>
              </w:rPr>
              <w:t xml:space="preserve">　</w:t>
            </w:r>
          </w:p>
        </w:tc>
        <w:tc>
          <w:tcPr>
            <w:tcW w:w="325" w:type="pct"/>
            <w:noWrap/>
            <w:vAlign w:val="center"/>
            <w:hideMark/>
          </w:tcPr>
          <w:p w14:paraId="4BE56393"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492,160</w:t>
            </w:r>
          </w:p>
        </w:tc>
        <w:tc>
          <w:tcPr>
            <w:tcW w:w="374" w:type="pct"/>
            <w:noWrap/>
            <w:vAlign w:val="center"/>
            <w:hideMark/>
          </w:tcPr>
          <w:p w14:paraId="3A29EC66"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487,138</w:t>
            </w:r>
          </w:p>
        </w:tc>
        <w:tc>
          <w:tcPr>
            <w:tcW w:w="328" w:type="pct"/>
            <w:noWrap/>
            <w:vAlign w:val="center"/>
            <w:hideMark/>
          </w:tcPr>
          <w:p w14:paraId="755ED167"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585,888</w:t>
            </w:r>
          </w:p>
        </w:tc>
        <w:tc>
          <w:tcPr>
            <w:tcW w:w="328" w:type="pct"/>
            <w:noWrap/>
            <w:vAlign w:val="center"/>
            <w:hideMark/>
          </w:tcPr>
          <w:p w14:paraId="51946024"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534,984</w:t>
            </w:r>
          </w:p>
        </w:tc>
        <w:tc>
          <w:tcPr>
            <w:tcW w:w="328" w:type="pct"/>
            <w:noWrap/>
            <w:vAlign w:val="center"/>
            <w:hideMark/>
          </w:tcPr>
          <w:p w14:paraId="44392B81"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516,234</w:t>
            </w:r>
          </w:p>
        </w:tc>
        <w:tc>
          <w:tcPr>
            <w:tcW w:w="328" w:type="pct"/>
            <w:noWrap/>
            <w:vAlign w:val="center"/>
            <w:hideMark/>
          </w:tcPr>
          <w:p w14:paraId="6046D951"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476,234</w:t>
            </w:r>
          </w:p>
        </w:tc>
        <w:tc>
          <w:tcPr>
            <w:tcW w:w="294" w:type="pct"/>
            <w:noWrap/>
            <w:vAlign w:val="center"/>
            <w:hideMark/>
          </w:tcPr>
          <w:p w14:paraId="190BD005"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516,234</w:t>
            </w:r>
          </w:p>
        </w:tc>
        <w:tc>
          <w:tcPr>
            <w:tcW w:w="293" w:type="pct"/>
            <w:noWrap/>
            <w:vAlign w:val="center"/>
            <w:hideMark/>
          </w:tcPr>
          <w:p w14:paraId="75381040"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476,233</w:t>
            </w:r>
          </w:p>
        </w:tc>
        <w:tc>
          <w:tcPr>
            <w:tcW w:w="392" w:type="pct"/>
            <w:noWrap/>
            <w:vAlign w:val="center"/>
            <w:hideMark/>
          </w:tcPr>
          <w:p w14:paraId="02D46F8C"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6,096,014</w:t>
            </w:r>
          </w:p>
        </w:tc>
      </w:tr>
      <w:tr w:rsidR="000469AB" w:rsidRPr="006C54E2" w14:paraId="43B7C188" w14:textId="77777777" w:rsidTr="000F3C4E">
        <w:trPr>
          <w:trHeight w:val="282"/>
        </w:trPr>
        <w:tc>
          <w:tcPr>
            <w:tcW w:w="518" w:type="pct"/>
            <w:vMerge/>
            <w:noWrap/>
            <w:vAlign w:val="center"/>
            <w:hideMark/>
          </w:tcPr>
          <w:p w14:paraId="583DF704" w14:textId="77777777" w:rsidR="000469AB" w:rsidRPr="006C54E2" w:rsidRDefault="000469AB" w:rsidP="006233FA">
            <w:pPr>
              <w:spacing w:after="0"/>
              <w:rPr>
                <w:rFonts w:eastAsia="DengXian"/>
                <w:sz w:val="20"/>
                <w:szCs w:val="20"/>
                <w:lang w:val="en-US" w:eastAsia="zh-CN"/>
              </w:rPr>
            </w:pPr>
          </w:p>
        </w:tc>
        <w:tc>
          <w:tcPr>
            <w:tcW w:w="878" w:type="pct"/>
            <w:noWrap/>
            <w:vAlign w:val="center"/>
            <w:hideMark/>
          </w:tcPr>
          <w:p w14:paraId="5C3A37A8" w14:textId="77777777" w:rsidR="000469AB" w:rsidRPr="000F3C4E" w:rsidRDefault="000469AB" w:rsidP="006233FA">
            <w:pPr>
              <w:spacing w:after="0"/>
              <w:rPr>
                <w:rFonts w:eastAsia="DengXian"/>
                <w:sz w:val="18"/>
                <w:szCs w:val="18"/>
                <w:lang w:val="en-US" w:eastAsia="zh-CN"/>
              </w:rPr>
            </w:pPr>
            <w:r w:rsidRPr="000F3C4E">
              <w:rPr>
                <w:rFonts w:eastAsia="DengXian"/>
                <w:sz w:val="18"/>
                <w:szCs w:val="18"/>
                <w:lang w:val="en-US" w:eastAsia="zh-CN"/>
              </w:rPr>
              <w:t>Total agency support costs</w:t>
            </w:r>
          </w:p>
        </w:tc>
        <w:tc>
          <w:tcPr>
            <w:tcW w:w="387" w:type="pct"/>
            <w:noWrap/>
            <w:vAlign w:val="center"/>
            <w:hideMark/>
          </w:tcPr>
          <w:p w14:paraId="407614C1"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140,764</w:t>
            </w:r>
          </w:p>
        </w:tc>
        <w:tc>
          <w:tcPr>
            <w:tcW w:w="227" w:type="pct"/>
            <w:noWrap/>
            <w:vAlign w:val="center"/>
            <w:hideMark/>
          </w:tcPr>
          <w:p w14:paraId="0D06F919" w14:textId="77777777" w:rsidR="000469AB" w:rsidRPr="000F3C4E" w:rsidRDefault="000469AB" w:rsidP="006233FA">
            <w:pPr>
              <w:spacing w:after="0"/>
              <w:jc w:val="right"/>
              <w:rPr>
                <w:rFonts w:eastAsia="DengXian"/>
                <w:sz w:val="18"/>
                <w:szCs w:val="18"/>
                <w:lang w:val="en-US" w:eastAsia="zh-CN"/>
              </w:rPr>
            </w:pPr>
            <w:r w:rsidRPr="000F3C4E">
              <w:rPr>
                <w:rFonts w:ascii="MS Mincho" w:eastAsia="MS Mincho" w:hAnsi="MS Mincho" w:cs="MS Mincho" w:hint="eastAsia"/>
                <w:sz w:val="18"/>
                <w:szCs w:val="18"/>
              </w:rPr>
              <w:t xml:space="preserve">　</w:t>
            </w:r>
          </w:p>
        </w:tc>
        <w:tc>
          <w:tcPr>
            <w:tcW w:w="325" w:type="pct"/>
            <w:noWrap/>
            <w:vAlign w:val="center"/>
            <w:hideMark/>
          </w:tcPr>
          <w:p w14:paraId="5F8EE469"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34,451</w:t>
            </w:r>
          </w:p>
        </w:tc>
        <w:tc>
          <w:tcPr>
            <w:tcW w:w="374" w:type="pct"/>
            <w:noWrap/>
            <w:vAlign w:val="center"/>
            <w:hideMark/>
          </w:tcPr>
          <w:p w14:paraId="07DD700E"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34,100</w:t>
            </w:r>
          </w:p>
        </w:tc>
        <w:tc>
          <w:tcPr>
            <w:tcW w:w="328" w:type="pct"/>
            <w:noWrap/>
            <w:vAlign w:val="center"/>
            <w:hideMark/>
          </w:tcPr>
          <w:p w14:paraId="55208FBE"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41,012</w:t>
            </w:r>
          </w:p>
        </w:tc>
        <w:tc>
          <w:tcPr>
            <w:tcW w:w="328" w:type="pct"/>
            <w:noWrap/>
            <w:vAlign w:val="center"/>
            <w:hideMark/>
          </w:tcPr>
          <w:p w14:paraId="5D3750E0"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37,449</w:t>
            </w:r>
          </w:p>
        </w:tc>
        <w:tc>
          <w:tcPr>
            <w:tcW w:w="328" w:type="pct"/>
            <w:noWrap/>
            <w:vAlign w:val="center"/>
            <w:hideMark/>
          </w:tcPr>
          <w:p w14:paraId="2E268DF3"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36,137</w:t>
            </w:r>
          </w:p>
        </w:tc>
        <w:tc>
          <w:tcPr>
            <w:tcW w:w="328" w:type="pct"/>
            <w:noWrap/>
            <w:vAlign w:val="center"/>
            <w:hideMark/>
          </w:tcPr>
          <w:p w14:paraId="18205E53"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33,337</w:t>
            </w:r>
          </w:p>
        </w:tc>
        <w:tc>
          <w:tcPr>
            <w:tcW w:w="294" w:type="pct"/>
            <w:noWrap/>
            <w:vAlign w:val="center"/>
            <w:hideMark/>
          </w:tcPr>
          <w:p w14:paraId="2CCF4EBA"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36,136</w:t>
            </w:r>
          </w:p>
        </w:tc>
        <w:tc>
          <w:tcPr>
            <w:tcW w:w="293" w:type="pct"/>
            <w:noWrap/>
            <w:vAlign w:val="center"/>
            <w:hideMark/>
          </w:tcPr>
          <w:p w14:paraId="280BEE5E"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33,335</w:t>
            </w:r>
          </w:p>
        </w:tc>
        <w:tc>
          <w:tcPr>
            <w:tcW w:w="392" w:type="pct"/>
            <w:noWrap/>
            <w:vAlign w:val="center"/>
            <w:hideMark/>
          </w:tcPr>
          <w:p w14:paraId="6CC459D9" w14:textId="77777777" w:rsidR="000469AB" w:rsidRPr="000F3C4E" w:rsidRDefault="000469AB" w:rsidP="006233FA">
            <w:pPr>
              <w:spacing w:after="0"/>
              <w:jc w:val="right"/>
              <w:rPr>
                <w:rFonts w:eastAsia="DengXian"/>
                <w:sz w:val="18"/>
                <w:szCs w:val="18"/>
                <w:lang w:val="en-US" w:eastAsia="zh-CN"/>
              </w:rPr>
            </w:pPr>
            <w:r w:rsidRPr="000F3C4E">
              <w:rPr>
                <w:rFonts w:hint="eastAsia"/>
                <w:sz w:val="18"/>
                <w:szCs w:val="18"/>
              </w:rPr>
              <w:t>426,721</w:t>
            </w:r>
          </w:p>
        </w:tc>
      </w:tr>
      <w:tr w:rsidR="000469AB" w:rsidRPr="006C54E2" w14:paraId="2F300408" w14:textId="77777777" w:rsidTr="000F3C4E">
        <w:trPr>
          <w:trHeight w:val="282"/>
        </w:trPr>
        <w:tc>
          <w:tcPr>
            <w:tcW w:w="518" w:type="pct"/>
            <w:vMerge/>
            <w:noWrap/>
            <w:vAlign w:val="center"/>
            <w:hideMark/>
          </w:tcPr>
          <w:p w14:paraId="7B88673A" w14:textId="77777777" w:rsidR="000469AB" w:rsidRPr="006C54E2" w:rsidRDefault="000469AB" w:rsidP="006233FA">
            <w:pPr>
              <w:spacing w:after="0"/>
              <w:rPr>
                <w:rFonts w:eastAsia="DengXian"/>
                <w:sz w:val="20"/>
                <w:szCs w:val="20"/>
                <w:lang w:val="en-US" w:eastAsia="zh-CN"/>
              </w:rPr>
            </w:pPr>
          </w:p>
        </w:tc>
        <w:tc>
          <w:tcPr>
            <w:tcW w:w="878" w:type="pct"/>
            <w:noWrap/>
            <w:vAlign w:val="center"/>
            <w:hideMark/>
          </w:tcPr>
          <w:p w14:paraId="3AED20B2" w14:textId="77777777" w:rsidR="000469AB" w:rsidRPr="000F3C4E" w:rsidRDefault="000469AB" w:rsidP="006233FA">
            <w:pPr>
              <w:spacing w:after="0"/>
              <w:rPr>
                <w:rFonts w:eastAsia="DengXian"/>
                <w:b/>
                <w:bCs/>
                <w:sz w:val="18"/>
                <w:szCs w:val="18"/>
                <w:lang w:val="en-US" w:eastAsia="zh-CN"/>
              </w:rPr>
            </w:pPr>
            <w:r w:rsidRPr="000F3C4E">
              <w:rPr>
                <w:rFonts w:eastAsia="DengXian"/>
                <w:b/>
                <w:bCs/>
                <w:sz w:val="18"/>
                <w:szCs w:val="18"/>
                <w:lang w:val="en-US" w:eastAsia="zh-CN"/>
              </w:rPr>
              <w:t xml:space="preserve">　</w:t>
            </w:r>
            <w:r w:rsidRPr="000F3C4E">
              <w:rPr>
                <w:rFonts w:eastAsia="DengXian"/>
                <w:b/>
                <w:bCs/>
                <w:sz w:val="18"/>
                <w:szCs w:val="18"/>
                <w:lang w:val="en-US" w:eastAsia="zh-CN"/>
              </w:rPr>
              <w:t>TOTAL</w:t>
            </w:r>
          </w:p>
        </w:tc>
        <w:tc>
          <w:tcPr>
            <w:tcW w:w="387" w:type="pct"/>
            <w:noWrap/>
            <w:vAlign w:val="center"/>
            <w:hideMark/>
          </w:tcPr>
          <w:p w14:paraId="360C139F"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2,151,673</w:t>
            </w:r>
          </w:p>
        </w:tc>
        <w:tc>
          <w:tcPr>
            <w:tcW w:w="227" w:type="pct"/>
            <w:noWrap/>
            <w:vAlign w:val="center"/>
            <w:hideMark/>
          </w:tcPr>
          <w:p w14:paraId="08599521" w14:textId="77777777" w:rsidR="000469AB" w:rsidRPr="000F3C4E" w:rsidRDefault="000469AB" w:rsidP="006233FA">
            <w:pPr>
              <w:spacing w:after="0"/>
              <w:jc w:val="right"/>
              <w:rPr>
                <w:rFonts w:eastAsia="DengXian"/>
                <w:b/>
                <w:bCs/>
                <w:sz w:val="18"/>
                <w:szCs w:val="18"/>
                <w:lang w:val="en-US" w:eastAsia="zh-CN"/>
              </w:rPr>
            </w:pPr>
            <w:r w:rsidRPr="000F3C4E">
              <w:rPr>
                <w:rFonts w:ascii="MS Mincho" w:eastAsia="MS Mincho" w:hAnsi="MS Mincho" w:cs="MS Mincho" w:hint="eastAsia"/>
                <w:b/>
                <w:bCs/>
                <w:sz w:val="18"/>
                <w:szCs w:val="18"/>
              </w:rPr>
              <w:t xml:space="preserve">　</w:t>
            </w:r>
          </w:p>
        </w:tc>
        <w:tc>
          <w:tcPr>
            <w:tcW w:w="325" w:type="pct"/>
            <w:noWrap/>
            <w:vAlign w:val="center"/>
            <w:hideMark/>
          </w:tcPr>
          <w:p w14:paraId="6FBAC8B6"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526,611</w:t>
            </w:r>
          </w:p>
        </w:tc>
        <w:tc>
          <w:tcPr>
            <w:tcW w:w="374" w:type="pct"/>
            <w:noWrap/>
            <w:vAlign w:val="center"/>
            <w:hideMark/>
          </w:tcPr>
          <w:p w14:paraId="6BB2D105"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521,238</w:t>
            </w:r>
          </w:p>
        </w:tc>
        <w:tc>
          <w:tcPr>
            <w:tcW w:w="328" w:type="pct"/>
            <w:noWrap/>
            <w:vAlign w:val="center"/>
            <w:hideMark/>
          </w:tcPr>
          <w:p w14:paraId="4609A407"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626,900</w:t>
            </w:r>
          </w:p>
        </w:tc>
        <w:tc>
          <w:tcPr>
            <w:tcW w:w="328" w:type="pct"/>
            <w:noWrap/>
            <w:vAlign w:val="center"/>
            <w:hideMark/>
          </w:tcPr>
          <w:p w14:paraId="7AE67A14"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572,433</w:t>
            </w:r>
          </w:p>
        </w:tc>
        <w:tc>
          <w:tcPr>
            <w:tcW w:w="328" w:type="pct"/>
            <w:noWrap/>
            <w:vAlign w:val="center"/>
            <w:hideMark/>
          </w:tcPr>
          <w:p w14:paraId="76E653CA"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552,371</w:t>
            </w:r>
          </w:p>
        </w:tc>
        <w:tc>
          <w:tcPr>
            <w:tcW w:w="328" w:type="pct"/>
            <w:noWrap/>
            <w:vAlign w:val="center"/>
            <w:hideMark/>
          </w:tcPr>
          <w:p w14:paraId="7D295667"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509,571</w:t>
            </w:r>
          </w:p>
        </w:tc>
        <w:tc>
          <w:tcPr>
            <w:tcW w:w="294" w:type="pct"/>
            <w:noWrap/>
            <w:vAlign w:val="center"/>
            <w:hideMark/>
          </w:tcPr>
          <w:p w14:paraId="35E4AE85"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552,370</w:t>
            </w:r>
          </w:p>
        </w:tc>
        <w:tc>
          <w:tcPr>
            <w:tcW w:w="293" w:type="pct"/>
            <w:noWrap/>
            <w:vAlign w:val="center"/>
            <w:hideMark/>
          </w:tcPr>
          <w:p w14:paraId="2107FCF5"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509,568</w:t>
            </w:r>
          </w:p>
        </w:tc>
        <w:tc>
          <w:tcPr>
            <w:tcW w:w="392" w:type="pct"/>
            <w:noWrap/>
            <w:vAlign w:val="center"/>
            <w:hideMark/>
          </w:tcPr>
          <w:p w14:paraId="4A801846" w14:textId="77777777" w:rsidR="000469AB" w:rsidRPr="000F3C4E" w:rsidRDefault="000469AB" w:rsidP="006233FA">
            <w:pPr>
              <w:spacing w:after="0"/>
              <w:jc w:val="right"/>
              <w:rPr>
                <w:rFonts w:eastAsia="DengXian"/>
                <w:b/>
                <w:bCs/>
                <w:sz w:val="18"/>
                <w:szCs w:val="18"/>
                <w:lang w:val="en-US" w:eastAsia="zh-CN"/>
              </w:rPr>
            </w:pPr>
            <w:r w:rsidRPr="000F3C4E">
              <w:rPr>
                <w:rFonts w:hint="eastAsia"/>
                <w:b/>
                <w:bCs/>
                <w:sz w:val="18"/>
                <w:szCs w:val="18"/>
              </w:rPr>
              <w:t>6,522,735</w:t>
            </w:r>
          </w:p>
        </w:tc>
      </w:tr>
    </w:tbl>
    <w:p w14:paraId="3E01E540" w14:textId="77777777" w:rsidR="00066319" w:rsidRPr="00F178D0" w:rsidRDefault="00066319" w:rsidP="00066319">
      <w:pPr>
        <w:tabs>
          <w:tab w:val="left" w:pos="1418"/>
        </w:tabs>
        <w:spacing w:after="0"/>
        <w:ind w:left="1411" w:hanging="1411"/>
        <w:rPr>
          <w:rFonts w:eastAsiaTheme="minorHAnsi"/>
          <w:b/>
          <w:bCs/>
        </w:rPr>
      </w:pPr>
    </w:p>
    <w:p w14:paraId="65429775" w14:textId="14193229" w:rsidR="00907F15" w:rsidRDefault="00907F15">
      <w:pPr>
        <w:tabs>
          <w:tab w:val="clear" w:pos="0"/>
        </w:tabs>
        <w:spacing w:after="0"/>
        <w:rPr>
          <w:lang w:eastAsia="zh-CN"/>
        </w:rPr>
      </w:pPr>
      <w:r>
        <w:rPr>
          <w:lang w:eastAsia="zh-CN"/>
        </w:rPr>
        <w:br w:type="page"/>
      </w:r>
    </w:p>
    <w:p w14:paraId="55A815F5" w14:textId="77777777" w:rsidR="009D3A67" w:rsidRDefault="009D3A67" w:rsidP="007C77CF">
      <w:pPr>
        <w:pStyle w:val="Heading3"/>
        <w:sectPr w:rsidR="009D3A67" w:rsidSect="009D3A67">
          <w:pgSz w:w="16838" w:h="11906" w:orient="landscape"/>
          <w:pgMar w:top="1411" w:right="1411" w:bottom="1411" w:left="1411" w:header="720" w:footer="794" w:gutter="0"/>
          <w:cols w:space="720"/>
          <w:docGrid w:linePitch="299"/>
        </w:sectPr>
      </w:pPr>
    </w:p>
    <w:p w14:paraId="46B959AA" w14:textId="7B304100" w:rsidR="00C76EBD" w:rsidRDefault="00C76EBD" w:rsidP="007C77CF">
      <w:pPr>
        <w:pStyle w:val="Heading3"/>
      </w:pPr>
      <w:bookmarkStart w:id="236" w:name="_Toc230099102"/>
      <w:r>
        <w:lastRenderedPageBreak/>
        <w:t>4</w:t>
      </w:r>
      <w:r w:rsidRPr="00D7427C">
        <w:t>.</w:t>
      </w:r>
      <w:r>
        <w:t>4</w:t>
      </w:r>
      <w:r w:rsidRPr="00D7427C">
        <w:t>.</w:t>
      </w:r>
      <w:r w:rsidR="004173D6">
        <w:t>4</w:t>
      </w:r>
      <w:r w:rsidRPr="00D7427C">
        <w:tab/>
      </w:r>
      <w:r w:rsidR="00072B5C">
        <w:t>Investment project cost: India</w:t>
      </w:r>
      <w:bookmarkEnd w:id="236"/>
    </w:p>
    <w:p w14:paraId="795127AC" w14:textId="7C2E27EF" w:rsidR="009B1930" w:rsidRPr="00C90294" w:rsidRDefault="009B1930" w:rsidP="009B1930">
      <w:r w:rsidRPr="4BE4E9B4">
        <w:rPr>
          <w:lang w:val="en-US"/>
        </w:rPr>
        <w:t xml:space="preserve">US$ 8,000,000 for HFC-23 mitigation investment project for control and phase out HFC-23 by-product emissions in India is included in the </w:t>
      </w:r>
      <w:r w:rsidR="00FC6392">
        <w:rPr>
          <w:lang w:val="en-US"/>
        </w:rPr>
        <w:t>BP</w:t>
      </w:r>
      <w:r w:rsidRPr="4BE4E9B4">
        <w:rPr>
          <w:lang w:val="en-US"/>
        </w:rPr>
        <w:t xml:space="preserve"> (for year 2027). RTF estimated this is the investment project funding for HFC-23 mitigation for the 2027-2029 triennium.</w:t>
      </w:r>
    </w:p>
    <w:p w14:paraId="221E969A" w14:textId="5E25FFC1" w:rsidR="009B1930" w:rsidRDefault="009B1930" w:rsidP="002D02B7">
      <w:pPr>
        <w:pStyle w:val="Heading2"/>
      </w:pPr>
      <w:bookmarkStart w:id="237" w:name="_Toc230099103"/>
      <w:r w:rsidRPr="00E42C5E">
        <w:t>4.</w:t>
      </w:r>
      <w:r>
        <w:t>5</w:t>
      </w:r>
      <w:r w:rsidRPr="00E42C5E">
        <w:tab/>
      </w:r>
      <w:r w:rsidR="00EE7EF8">
        <w:t xml:space="preserve">Total </w:t>
      </w:r>
      <w:r w:rsidR="00CD653C">
        <w:t>estimated funding re</w:t>
      </w:r>
      <w:r w:rsidR="00EE7EF8">
        <w:t xml:space="preserve">quirement for HFC </w:t>
      </w:r>
      <w:r w:rsidR="00734E05">
        <w:t>p</w:t>
      </w:r>
      <w:r w:rsidR="00EE7EF8">
        <w:t xml:space="preserve">roduction </w:t>
      </w:r>
      <w:r w:rsidR="00734E05">
        <w:t>s</w:t>
      </w:r>
      <w:r w:rsidR="00EE7EF8">
        <w:t xml:space="preserve">ector </w:t>
      </w:r>
      <w:r w:rsidR="00734E05">
        <w:t>p</w:t>
      </w:r>
      <w:r w:rsidR="00EE7EF8">
        <w:t xml:space="preserve">hase-down and HFC-23 </w:t>
      </w:r>
      <w:r w:rsidR="00734E05">
        <w:t>m</w:t>
      </w:r>
      <w:r w:rsidR="00EE7EF8">
        <w:t xml:space="preserve">itigation for the </w:t>
      </w:r>
      <w:r w:rsidR="00734E05">
        <w:t>p</w:t>
      </w:r>
      <w:r w:rsidR="00EE7EF8">
        <w:t>eriod 2027-2029</w:t>
      </w:r>
      <w:bookmarkEnd w:id="237"/>
    </w:p>
    <w:p w14:paraId="71175D2E" w14:textId="46E35E86" w:rsidR="00CD653C" w:rsidRDefault="007D10D1" w:rsidP="00CD653C">
      <w:pPr>
        <w:rPr>
          <w:color w:val="FF0000"/>
          <w:lang w:val="en-US"/>
        </w:rPr>
      </w:pPr>
      <w:bookmarkStart w:id="238" w:name="_Hlk81663989"/>
      <w:r>
        <w:t xml:space="preserve">Table 4.7 shows the </w:t>
      </w:r>
      <w:r w:rsidR="00CD653C">
        <w:t>total est</w:t>
      </w:r>
      <w:r w:rsidR="00734E05">
        <w:t xml:space="preserve">imated </w:t>
      </w:r>
      <w:r w:rsidR="00CD653C">
        <w:t>funding requirement for the 2027-2029 triennium for the HFC production</w:t>
      </w:r>
      <w:r>
        <w:t xml:space="preserve"> sector</w:t>
      </w:r>
      <w:r w:rsidR="00CD653C">
        <w:t xml:space="preserve"> and HFC-23 mitigation is </w:t>
      </w:r>
      <w:r w:rsidR="00CD653C" w:rsidRPr="6899D804">
        <w:rPr>
          <w:b/>
          <w:bCs/>
        </w:rPr>
        <w:t xml:space="preserve">US$ </w:t>
      </w:r>
      <w:r w:rsidR="00CD653C" w:rsidRPr="00CD653C">
        <w:rPr>
          <w:b/>
          <w:bCs/>
        </w:rPr>
        <w:t>11.</w:t>
      </w:r>
      <w:r w:rsidR="006F5DD8">
        <w:rPr>
          <w:b/>
          <w:bCs/>
        </w:rPr>
        <w:t>76</w:t>
      </w:r>
      <w:r w:rsidR="00CD653C">
        <w:rPr>
          <w:b/>
          <w:bCs/>
        </w:rPr>
        <w:t xml:space="preserve"> </w:t>
      </w:r>
      <w:r w:rsidR="00CD653C" w:rsidRPr="00CD653C">
        <w:rPr>
          <w:b/>
        </w:rPr>
        <w:t>million</w:t>
      </w:r>
      <w:r w:rsidR="00CD653C" w:rsidRPr="00CD653C">
        <w:rPr>
          <w:lang w:val="en-US"/>
        </w:rPr>
        <w:t>.</w:t>
      </w:r>
      <w:r w:rsidR="00CD653C" w:rsidRPr="6899D804">
        <w:rPr>
          <w:lang w:val="en-US"/>
        </w:rPr>
        <w:t xml:space="preserve"> </w:t>
      </w:r>
    </w:p>
    <w:bookmarkEnd w:id="238"/>
    <w:p w14:paraId="2C0D2BF5" w14:textId="174562AC" w:rsidR="00EE7EF8" w:rsidRDefault="00EE7EF8" w:rsidP="002135B0">
      <w:pPr>
        <w:tabs>
          <w:tab w:val="left" w:pos="1134"/>
        </w:tabs>
        <w:spacing w:after="0"/>
        <w:ind w:left="1134" w:hanging="1134"/>
        <w:rPr>
          <w:rFonts w:eastAsiaTheme="minorHAnsi"/>
          <w:b/>
          <w:bCs/>
        </w:rPr>
      </w:pPr>
      <w:r w:rsidRPr="00E42C5E">
        <w:rPr>
          <w:rFonts w:eastAsiaTheme="minorHAnsi"/>
          <w:b/>
          <w:bCs/>
        </w:rPr>
        <w:t xml:space="preserve">Table </w:t>
      </w:r>
      <w:r>
        <w:rPr>
          <w:rFonts w:eastAsiaTheme="minorHAnsi"/>
          <w:b/>
          <w:bCs/>
        </w:rPr>
        <w:t>4.7</w:t>
      </w:r>
      <w:r w:rsidR="00C166FB">
        <w:rPr>
          <w:rFonts w:eastAsiaTheme="minorHAnsi"/>
          <w:b/>
          <w:bCs/>
        </w:rPr>
        <w:t>:</w:t>
      </w:r>
      <w:r w:rsidRPr="00E42C5E">
        <w:rPr>
          <w:rFonts w:eastAsiaTheme="minorHAnsi"/>
          <w:b/>
          <w:bCs/>
        </w:rPr>
        <w:tab/>
      </w:r>
      <w:r w:rsidR="005D794E" w:rsidRPr="005D794E">
        <w:rPr>
          <w:rFonts w:eastAsiaTheme="minorHAnsi"/>
          <w:b/>
          <w:bCs/>
        </w:rPr>
        <w:t xml:space="preserve">HFC </w:t>
      </w:r>
      <w:r w:rsidR="005D794E">
        <w:rPr>
          <w:rFonts w:eastAsiaTheme="minorHAnsi"/>
          <w:b/>
          <w:bCs/>
        </w:rPr>
        <w:t>p</w:t>
      </w:r>
      <w:r w:rsidR="005D794E" w:rsidRPr="005D794E">
        <w:rPr>
          <w:rFonts w:eastAsiaTheme="minorHAnsi"/>
          <w:b/>
          <w:bCs/>
        </w:rPr>
        <w:t xml:space="preserve">roduction </w:t>
      </w:r>
      <w:r w:rsidR="005D794E">
        <w:rPr>
          <w:rFonts w:eastAsiaTheme="minorHAnsi"/>
          <w:b/>
          <w:bCs/>
        </w:rPr>
        <w:t>s</w:t>
      </w:r>
      <w:r w:rsidR="005D794E" w:rsidRPr="005D794E">
        <w:rPr>
          <w:rFonts w:eastAsiaTheme="minorHAnsi"/>
          <w:b/>
          <w:bCs/>
        </w:rPr>
        <w:t xml:space="preserve">ector </w:t>
      </w:r>
      <w:r w:rsidR="005D794E">
        <w:rPr>
          <w:rFonts w:eastAsiaTheme="minorHAnsi"/>
          <w:b/>
          <w:bCs/>
        </w:rPr>
        <w:t>p</w:t>
      </w:r>
      <w:r w:rsidR="005D794E" w:rsidRPr="005D794E">
        <w:rPr>
          <w:rFonts w:eastAsiaTheme="minorHAnsi"/>
          <w:b/>
          <w:bCs/>
        </w:rPr>
        <w:t xml:space="preserve">hase-down and HFC-23 </w:t>
      </w:r>
      <w:r w:rsidR="005D794E">
        <w:rPr>
          <w:rFonts w:eastAsiaTheme="minorHAnsi"/>
          <w:b/>
          <w:bCs/>
        </w:rPr>
        <w:t>m</w:t>
      </w:r>
      <w:r w:rsidR="005D794E" w:rsidRPr="005D794E">
        <w:rPr>
          <w:rFonts w:eastAsiaTheme="minorHAnsi"/>
          <w:b/>
          <w:bCs/>
        </w:rPr>
        <w:t xml:space="preserve">itigation </w:t>
      </w:r>
      <w:r w:rsidR="008D112B">
        <w:rPr>
          <w:rFonts w:eastAsiaTheme="minorHAnsi"/>
          <w:b/>
          <w:bCs/>
        </w:rPr>
        <w:t>estimated f</w:t>
      </w:r>
      <w:r w:rsidR="005D794E" w:rsidRPr="005D794E">
        <w:rPr>
          <w:rFonts w:eastAsiaTheme="minorHAnsi"/>
          <w:b/>
          <w:bCs/>
        </w:rPr>
        <w:t xml:space="preserve">unding </w:t>
      </w:r>
      <w:r w:rsidR="008D112B">
        <w:rPr>
          <w:rFonts w:eastAsiaTheme="minorHAnsi"/>
          <w:b/>
          <w:bCs/>
        </w:rPr>
        <w:t>r</w:t>
      </w:r>
      <w:r w:rsidR="005D794E" w:rsidRPr="005D794E">
        <w:rPr>
          <w:rFonts w:eastAsiaTheme="minorHAnsi"/>
          <w:b/>
          <w:bCs/>
        </w:rPr>
        <w:t>equirements for the triennium 2027-2029 (US$)</w:t>
      </w:r>
    </w:p>
    <w:p w14:paraId="7DE869AB" w14:textId="77777777" w:rsidR="008D112B" w:rsidRDefault="008D112B" w:rsidP="00EE7EF8">
      <w:pPr>
        <w:tabs>
          <w:tab w:val="left" w:pos="1418"/>
        </w:tabs>
        <w:spacing w:after="0"/>
        <w:ind w:left="1411" w:hanging="1411"/>
        <w:rPr>
          <w:rFonts w:eastAsiaTheme="minorHAnsi"/>
          <w:b/>
          <w:bCs/>
        </w:rPr>
      </w:pP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5"/>
        <w:gridCol w:w="2866"/>
      </w:tblGrid>
      <w:tr w:rsidR="00223B5E" w:rsidRPr="00F74316" w14:paraId="2FFE33BB" w14:textId="77777777" w:rsidTr="002135B0">
        <w:trPr>
          <w:trHeight w:val="99"/>
          <w:jc w:val="center"/>
        </w:trPr>
        <w:tc>
          <w:tcPr>
            <w:tcW w:w="6195" w:type="dxa"/>
            <w:shd w:val="clear" w:color="auto" w:fill="E2EFD9" w:themeFill="accent6" w:themeFillTint="33"/>
            <w:noWrap/>
            <w:vAlign w:val="center"/>
            <w:hideMark/>
          </w:tcPr>
          <w:p w14:paraId="10383B16" w14:textId="77777777" w:rsidR="00223B5E" w:rsidRPr="00F74316" w:rsidRDefault="00223B5E" w:rsidP="002135B0">
            <w:pPr>
              <w:spacing w:after="0"/>
              <w:rPr>
                <w:b/>
                <w:bCs/>
                <w:color w:val="000000"/>
                <w:lang w:val="en-US"/>
              </w:rPr>
            </w:pPr>
            <w:bookmarkStart w:id="239" w:name="_Hlk133454839"/>
            <w:r w:rsidRPr="30658E51">
              <w:rPr>
                <w:b/>
                <w:lang w:val="en-US"/>
              </w:rPr>
              <w:t>HFC Production Sector</w:t>
            </w:r>
          </w:p>
        </w:tc>
        <w:tc>
          <w:tcPr>
            <w:tcW w:w="2866" w:type="dxa"/>
            <w:shd w:val="clear" w:color="auto" w:fill="E2EFD9" w:themeFill="accent6" w:themeFillTint="33"/>
            <w:vAlign w:val="center"/>
          </w:tcPr>
          <w:p w14:paraId="583F688C" w14:textId="6517D898" w:rsidR="00223B5E" w:rsidRPr="30658E51" w:rsidRDefault="4BCEE662" w:rsidP="00C166FB">
            <w:pPr>
              <w:spacing w:after="0"/>
              <w:jc w:val="center"/>
              <w:rPr>
                <w:b/>
                <w:bCs/>
                <w:lang w:val="en-US"/>
              </w:rPr>
            </w:pPr>
            <w:r w:rsidRPr="4BCEE662">
              <w:rPr>
                <w:b/>
                <w:bCs/>
                <w:lang w:val="en-US"/>
              </w:rPr>
              <w:t>2027-2029 Estimated funding requirement (US$)</w:t>
            </w:r>
          </w:p>
        </w:tc>
      </w:tr>
      <w:tr w:rsidR="00223B5E" w:rsidRPr="00F74316" w14:paraId="5CB705D6" w14:textId="77777777" w:rsidTr="002135B0">
        <w:trPr>
          <w:trHeight w:val="57"/>
          <w:jc w:val="center"/>
        </w:trPr>
        <w:tc>
          <w:tcPr>
            <w:tcW w:w="619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61363ED" w14:textId="5D7C4350" w:rsidR="00223B5E" w:rsidRPr="00C82C1D" w:rsidRDefault="00223B5E" w:rsidP="00C166FB">
            <w:pPr>
              <w:spacing w:after="0"/>
              <w:rPr>
                <w:b/>
                <w:bCs/>
                <w:sz w:val="20"/>
                <w:szCs w:val="20"/>
                <w:lang w:val="en-US"/>
              </w:rPr>
            </w:pPr>
            <w:r w:rsidRPr="00C82C1D">
              <w:rPr>
                <w:sz w:val="20"/>
                <w:szCs w:val="20"/>
                <w:lang w:val="en-US"/>
              </w:rPr>
              <w:t xml:space="preserve">HFC Production Sector </w:t>
            </w:r>
            <w:r w:rsidR="73E28D48" w:rsidRPr="531ECB33">
              <w:rPr>
                <w:sz w:val="20"/>
                <w:szCs w:val="20"/>
                <w:lang w:val="en-US"/>
              </w:rPr>
              <w:t xml:space="preserve">Project </w:t>
            </w:r>
            <w:r w:rsidRPr="00C82C1D">
              <w:rPr>
                <w:sz w:val="20"/>
                <w:szCs w:val="20"/>
                <w:lang w:val="en-US"/>
              </w:rPr>
              <w:t>Prep</w:t>
            </w:r>
            <w:r>
              <w:rPr>
                <w:sz w:val="20"/>
                <w:szCs w:val="20"/>
                <w:lang w:val="en-US"/>
              </w:rPr>
              <w:t xml:space="preserve"> (China and India)</w:t>
            </w:r>
          </w:p>
        </w:tc>
        <w:tc>
          <w:tcPr>
            <w:tcW w:w="2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D5083" w14:textId="4AFCC835" w:rsidR="00223B5E" w:rsidRPr="00DF6CC0" w:rsidRDefault="00223B5E" w:rsidP="00C166FB">
            <w:pPr>
              <w:spacing w:after="0"/>
              <w:jc w:val="right"/>
              <w:rPr>
                <w:sz w:val="20"/>
                <w:szCs w:val="20"/>
                <w:lang w:val="en-US"/>
              </w:rPr>
            </w:pPr>
            <w:r w:rsidRPr="00DF6CC0">
              <w:rPr>
                <w:sz w:val="20"/>
                <w:szCs w:val="20"/>
                <w:lang w:val="en-US"/>
              </w:rPr>
              <w:t>2,000,000</w:t>
            </w:r>
          </w:p>
        </w:tc>
      </w:tr>
      <w:tr w:rsidR="00223B5E" w:rsidRPr="00F74316" w14:paraId="118EC1D0" w14:textId="77777777" w:rsidTr="002135B0">
        <w:trPr>
          <w:trHeight w:val="50"/>
          <w:jc w:val="center"/>
        </w:trPr>
        <w:tc>
          <w:tcPr>
            <w:tcW w:w="6195" w:type="dxa"/>
            <w:shd w:val="clear" w:color="auto" w:fill="E2EFD9" w:themeFill="accent6" w:themeFillTint="33"/>
            <w:noWrap/>
            <w:vAlign w:val="center"/>
            <w:hideMark/>
          </w:tcPr>
          <w:p w14:paraId="7467C831" w14:textId="77777777" w:rsidR="00223B5E" w:rsidRPr="00C82C1D" w:rsidRDefault="00223B5E" w:rsidP="00C166FB">
            <w:pPr>
              <w:spacing w:after="0"/>
              <w:rPr>
                <w:b/>
                <w:bCs/>
                <w:sz w:val="20"/>
                <w:szCs w:val="20"/>
                <w:lang w:val="en-US"/>
              </w:rPr>
            </w:pPr>
            <w:r w:rsidRPr="00C82C1D">
              <w:rPr>
                <w:sz w:val="20"/>
                <w:szCs w:val="20"/>
                <w:lang w:val="en-US"/>
              </w:rPr>
              <w:t>HFC Production Sector KPPMP</w:t>
            </w:r>
            <w:r>
              <w:rPr>
                <w:sz w:val="20"/>
                <w:szCs w:val="20"/>
                <w:lang w:val="en-US"/>
              </w:rPr>
              <w:t xml:space="preserve"> (China and India)</w:t>
            </w:r>
          </w:p>
        </w:tc>
        <w:tc>
          <w:tcPr>
            <w:tcW w:w="2866" w:type="dxa"/>
            <w:shd w:val="clear" w:color="auto" w:fill="FFFFFF" w:themeFill="background1"/>
            <w:vAlign w:val="center"/>
          </w:tcPr>
          <w:p w14:paraId="4C77FDC1" w14:textId="1E1289B7" w:rsidR="00223B5E" w:rsidRPr="00DF6CC0" w:rsidRDefault="00223B5E" w:rsidP="00C166FB">
            <w:pPr>
              <w:spacing w:after="0"/>
              <w:jc w:val="right"/>
              <w:rPr>
                <w:sz w:val="20"/>
                <w:szCs w:val="20"/>
                <w:lang w:val="en-US"/>
              </w:rPr>
            </w:pPr>
            <w:r w:rsidRPr="00DF6CC0">
              <w:rPr>
                <w:sz w:val="20"/>
                <w:szCs w:val="20"/>
                <w:lang w:val="en-US"/>
              </w:rPr>
              <w:t xml:space="preserve"> 0</w:t>
            </w:r>
          </w:p>
        </w:tc>
      </w:tr>
      <w:tr w:rsidR="00223B5E" w:rsidRPr="00F74316" w14:paraId="4C08969E" w14:textId="77777777" w:rsidTr="002135B0">
        <w:trPr>
          <w:trHeight w:val="127"/>
          <w:jc w:val="center"/>
        </w:trPr>
        <w:tc>
          <w:tcPr>
            <w:tcW w:w="6195" w:type="dxa"/>
            <w:shd w:val="clear" w:color="auto" w:fill="E2EFD9" w:themeFill="accent6" w:themeFillTint="33"/>
            <w:noWrap/>
            <w:vAlign w:val="center"/>
            <w:hideMark/>
          </w:tcPr>
          <w:p w14:paraId="2CAE076E" w14:textId="18253B57" w:rsidR="00223B5E" w:rsidRPr="00C82C1D" w:rsidRDefault="00223B5E" w:rsidP="00C166FB">
            <w:pPr>
              <w:spacing w:after="0"/>
              <w:rPr>
                <w:b/>
                <w:bCs/>
                <w:sz w:val="20"/>
                <w:szCs w:val="20"/>
                <w:lang w:val="en-US"/>
              </w:rPr>
            </w:pPr>
            <w:r w:rsidRPr="00C82C1D">
              <w:rPr>
                <w:sz w:val="20"/>
                <w:szCs w:val="20"/>
                <w:lang w:val="en-US"/>
              </w:rPr>
              <w:t xml:space="preserve">HFC-23 Mitigation </w:t>
            </w:r>
            <w:r w:rsidR="02EDA1D8" w:rsidRPr="531ECB33">
              <w:rPr>
                <w:sz w:val="20"/>
                <w:szCs w:val="20"/>
                <w:lang w:val="en-US"/>
              </w:rPr>
              <w:t xml:space="preserve">Project </w:t>
            </w:r>
            <w:r w:rsidRPr="00C82C1D">
              <w:rPr>
                <w:sz w:val="20"/>
                <w:szCs w:val="20"/>
                <w:lang w:val="en-US"/>
              </w:rPr>
              <w:t>Prep</w:t>
            </w:r>
            <w:r>
              <w:rPr>
                <w:sz w:val="20"/>
                <w:szCs w:val="20"/>
                <w:lang w:val="en-US"/>
              </w:rPr>
              <w:t xml:space="preserve"> (China)</w:t>
            </w:r>
          </w:p>
        </w:tc>
        <w:tc>
          <w:tcPr>
            <w:tcW w:w="2866" w:type="dxa"/>
            <w:shd w:val="clear" w:color="auto" w:fill="FFFFFF" w:themeFill="background1"/>
            <w:vAlign w:val="center"/>
          </w:tcPr>
          <w:p w14:paraId="2B5FC9A6" w14:textId="03170621" w:rsidR="00223B5E" w:rsidRPr="00DF6CC0" w:rsidRDefault="00223B5E" w:rsidP="00C166FB">
            <w:pPr>
              <w:spacing w:after="0"/>
              <w:jc w:val="right"/>
              <w:rPr>
                <w:sz w:val="20"/>
                <w:szCs w:val="20"/>
                <w:lang w:val="en-US"/>
              </w:rPr>
            </w:pPr>
            <w:r w:rsidRPr="00DF6CC0">
              <w:rPr>
                <w:sz w:val="20"/>
                <w:szCs w:val="20"/>
                <w:lang w:val="en-US"/>
              </w:rPr>
              <w:t>150,000</w:t>
            </w:r>
          </w:p>
        </w:tc>
      </w:tr>
      <w:tr w:rsidR="00223B5E" w:rsidRPr="00F74316" w14:paraId="654BA800" w14:textId="77777777" w:rsidTr="002135B0">
        <w:trPr>
          <w:trHeight w:val="127"/>
          <w:jc w:val="center"/>
        </w:trPr>
        <w:tc>
          <w:tcPr>
            <w:tcW w:w="6195" w:type="dxa"/>
            <w:shd w:val="clear" w:color="auto" w:fill="E2EFD9" w:themeFill="accent6" w:themeFillTint="33"/>
            <w:noWrap/>
            <w:vAlign w:val="center"/>
          </w:tcPr>
          <w:p w14:paraId="0086F8F4" w14:textId="1749610B" w:rsidR="00223B5E" w:rsidRPr="00C82C1D" w:rsidRDefault="00223B5E" w:rsidP="00C166FB">
            <w:pPr>
              <w:spacing w:after="0"/>
              <w:rPr>
                <w:b/>
                <w:bCs/>
                <w:sz w:val="20"/>
                <w:szCs w:val="20"/>
                <w:lang w:val="en-US"/>
              </w:rPr>
            </w:pPr>
            <w:r w:rsidRPr="00C82C1D">
              <w:rPr>
                <w:sz w:val="20"/>
                <w:szCs w:val="20"/>
                <w:lang w:val="en-US"/>
              </w:rPr>
              <w:t xml:space="preserve">HFC-23 Mitigation </w:t>
            </w:r>
            <w:r w:rsidR="6F984C5A" w:rsidRPr="531ECB33">
              <w:rPr>
                <w:sz w:val="20"/>
                <w:szCs w:val="20"/>
                <w:lang w:val="en-US"/>
              </w:rPr>
              <w:t xml:space="preserve">Project </w:t>
            </w:r>
            <w:r w:rsidRPr="00C82C1D">
              <w:rPr>
                <w:sz w:val="20"/>
                <w:szCs w:val="20"/>
                <w:lang w:val="en-US"/>
              </w:rPr>
              <w:t>Approved (Argentina and Mexico)</w:t>
            </w:r>
          </w:p>
        </w:tc>
        <w:tc>
          <w:tcPr>
            <w:tcW w:w="2866" w:type="dxa"/>
            <w:shd w:val="clear" w:color="auto" w:fill="FFFFFF" w:themeFill="background1"/>
            <w:vAlign w:val="center"/>
          </w:tcPr>
          <w:p w14:paraId="55095C0A" w14:textId="18A25546" w:rsidR="00223B5E" w:rsidRPr="00DF6CC0" w:rsidRDefault="009C6DEA" w:rsidP="00C166FB">
            <w:pPr>
              <w:spacing w:after="0"/>
              <w:jc w:val="right"/>
              <w:rPr>
                <w:sz w:val="20"/>
                <w:szCs w:val="20"/>
                <w:lang w:val="en-US"/>
              </w:rPr>
            </w:pPr>
            <w:r>
              <w:rPr>
                <w:sz w:val="20"/>
                <w:szCs w:val="20"/>
                <w:lang w:val="en-US"/>
              </w:rPr>
              <w:t>1,614,312</w:t>
            </w:r>
          </w:p>
        </w:tc>
      </w:tr>
      <w:tr w:rsidR="00223B5E" w14:paraId="53375E7A" w14:textId="77777777" w:rsidTr="002135B0">
        <w:trPr>
          <w:trHeight w:val="163"/>
          <w:jc w:val="center"/>
        </w:trPr>
        <w:tc>
          <w:tcPr>
            <w:tcW w:w="6195" w:type="dxa"/>
            <w:shd w:val="clear" w:color="auto" w:fill="E2EFD9" w:themeFill="accent6" w:themeFillTint="33"/>
            <w:noWrap/>
            <w:vAlign w:val="center"/>
          </w:tcPr>
          <w:p w14:paraId="2278F433" w14:textId="2578F98A" w:rsidR="00223B5E" w:rsidRPr="00C82C1D" w:rsidRDefault="00223B5E" w:rsidP="00C166FB">
            <w:pPr>
              <w:spacing w:after="0"/>
              <w:rPr>
                <w:b/>
                <w:bCs/>
                <w:sz w:val="20"/>
                <w:szCs w:val="20"/>
                <w:lang w:val="en-US"/>
              </w:rPr>
            </w:pPr>
            <w:r w:rsidRPr="6899D804">
              <w:rPr>
                <w:sz w:val="20"/>
                <w:szCs w:val="20"/>
                <w:lang w:val="en-US"/>
              </w:rPr>
              <w:t xml:space="preserve">HFC-23 </w:t>
            </w:r>
            <w:r w:rsidR="5D5F5ED8" w:rsidRPr="531ECB33">
              <w:rPr>
                <w:sz w:val="20"/>
                <w:szCs w:val="20"/>
                <w:lang w:val="en-US"/>
              </w:rPr>
              <w:t>I</w:t>
            </w:r>
            <w:r w:rsidR="1ED0EDE7" w:rsidRPr="531ECB33">
              <w:rPr>
                <w:sz w:val="20"/>
                <w:szCs w:val="20"/>
                <w:lang w:val="en-US"/>
              </w:rPr>
              <w:t xml:space="preserve">nvestment </w:t>
            </w:r>
            <w:r w:rsidR="6D4CA291" w:rsidRPr="531ECB33">
              <w:rPr>
                <w:sz w:val="20"/>
                <w:szCs w:val="20"/>
                <w:lang w:val="en-US"/>
              </w:rPr>
              <w:t>P</w:t>
            </w:r>
            <w:r w:rsidRPr="6899D804">
              <w:rPr>
                <w:sz w:val="20"/>
                <w:szCs w:val="20"/>
                <w:lang w:val="en-US"/>
              </w:rPr>
              <w:t>roject Estimated (India)</w:t>
            </w:r>
          </w:p>
        </w:tc>
        <w:tc>
          <w:tcPr>
            <w:tcW w:w="2866" w:type="dxa"/>
            <w:shd w:val="clear" w:color="auto" w:fill="FFFFFF" w:themeFill="background1"/>
            <w:vAlign w:val="center"/>
          </w:tcPr>
          <w:p w14:paraId="153D0718" w14:textId="090FCF87" w:rsidR="00223B5E" w:rsidRPr="00DF6CC0" w:rsidRDefault="00223B5E" w:rsidP="00C166FB">
            <w:pPr>
              <w:spacing w:after="0"/>
              <w:jc w:val="right"/>
              <w:rPr>
                <w:sz w:val="20"/>
                <w:szCs w:val="20"/>
                <w:lang w:val="en-US"/>
              </w:rPr>
            </w:pPr>
            <w:r w:rsidRPr="00DF6CC0">
              <w:rPr>
                <w:sz w:val="20"/>
                <w:szCs w:val="20"/>
                <w:lang w:val="en-US"/>
              </w:rPr>
              <w:t>8,000,000</w:t>
            </w:r>
          </w:p>
        </w:tc>
      </w:tr>
      <w:tr w:rsidR="00223B5E" w:rsidRPr="00F74316" w14:paraId="2C0C8B5B" w14:textId="77777777" w:rsidTr="002135B0">
        <w:trPr>
          <w:trHeight w:val="25"/>
          <w:jc w:val="center"/>
        </w:trPr>
        <w:tc>
          <w:tcPr>
            <w:tcW w:w="6195" w:type="dxa"/>
            <w:shd w:val="clear" w:color="auto" w:fill="FFFF00"/>
            <w:noWrap/>
            <w:vAlign w:val="center"/>
            <w:hideMark/>
          </w:tcPr>
          <w:p w14:paraId="0E304DA2" w14:textId="77777777" w:rsidR="00223B5E" w:rsidRPr="00C82C1D" w:rsidRDefault="00223B5E" w:rsidP="00C166FB">
            <w:pPr>
              <w:spacing w:after="0"/>
              <w:rPr>
                <w:b/>
                <w:bCs/>
                <w:sz w:val="20"/>
                <w:szCs w:val="20"/>
              </w:rPr>
            </w:pPr>
            <w:r w:rsidRPr="00C82C1D">
              <w:rPr>
                <w:b/>
                <w:bCs/>
                <w:sz w:val="20"/>
                <w:szCs w:val="20"/>
                <w:lang w:val="en-US"/>
              </w:rPr>
              <w:t>Subtotal – HFC Production and HFC-23 Sector</w:t>
            </w:r>
          </w:p>
        </w:tc>
        <w:tc>
          <w:tcPr>
            <w:tcW w:w="2866" w:type="dxa"/>
            <w:shd w:val="clear" w:color="auto" w:fill="FFFF00"/>
            <w:vAlign w:val="center"/>
          </w:tcPr>
          <w:p w14:paraId="6E1EF520" w14:textId="72DB90E3" w:rsidR="00223B5E" w:rsidRPr="6F288DB5" w:rsidRDefault="00223B5E" w:rsidP="00C166FB">
            <w:pPr>
              <w:spacing w:after="0"/>
              <w:jc w:val="right"/>
              <w:rPr>
                <w:b/>
                <w:bCs/>
                <w:sz w:val="20"/>
                <w:szCs w:val="20"/>
              </w:rPr>
            </w:pPr>
            <w:r>
              <w:rPr>
                <w:b/>
                <w:bCs/>
                <w:sz w:val="20"/>
                <w:szCs w:val="20"/>
              </w:rPr>
              <w:t>11,76</w:t>
            </w:r>
            <w:r w:rsidR="00EF3C58">
              <w:rPr>
                <w:b/>
                <w:bCs/>
                <w:sz w:val="20"/>
                <w:szCs w:val="20"/>
              </w:rPr>
              <w:t>4,312</w:t>
            </w:r>
          </w:p>
        </w:tc>
      </w:tr>
      <w:bookmarkEnd w:id="239"/>
    </w:tbl>
    <w:p w14:paraId="795A1012" w14:textId="77777777" w:rsidR="008D112B" w:rsidRDefault="008D112B" w:rsidP="00EE7EF8">
      <w:pPr>
        <w:tabs>
          <w:tab w:val="left" w:pos="1418"/>
        </w:tabs>
        <w:spacing w:after="0"/>
        <w:ind w:left="1411" w:hanging="1411"/>
        <w:rPr>
          <w:rFonts w:eastAsiaTheme="minorHAnsi"/>
          <w:b/>
          <w:bCs/>
        </w:rPr>
      </w:pPr>
    </w:p>
    <w:p w14:paraId="105C1B2B" w14:textId="77777777" w:rsidR="00EE7EF8" w:rsidRDefault="00EE7EF8" w:rsidP="00EE7EF8">
      <w:pPr>
        <w:tabs>
          <w:tab w:val="left" w:pos="1418"/>
        </w:tabs>
        <w:spacing w:after="0"/>
        <w:ind w:left="1411" w:hanging="1411"/>
        <w:rPr>
          <w:rFonts w:eastAsiaTheme="minorHAnsi"/>
          <w:b/>
          <w:bCs/>
        </w:rPr>
      </w:pPr>
      <w:r>
        <w:rPr>
          <w:rFonts w:eastAsiaTheme="minorHAnsi"/>
          <w:b/>
          <w:bCs/>
        </w:rPr>
        <w:t xml:space="preserve"> </w:t>
      </w:r>
    </w:p>
    <w:p w14:paraId="0F59F6E2" w14:textId="341458CC" w:rsidR="001321E7" w:rsidRDefault="001321E7" w:rsidP="002D02B7">
      <w:pPr>
        <w:pStyle w:val="Heading2"/>
      </w:pPr>
      <w:bookmarkStart w:id="240" w:name="_Toc230099104"/>
      <w:r w:rsidRPr="00E42C5E">
        <w:t>4.</w:t>
      </w:r>
      <w:r w:rsidR="00913FA8">
        <w:t>6</w:t>
      </w:r>
      <w:r w:rsidRPr="00E42C5E">
        <w:tab/>
      </w:r>
      <w:r w:rsidR="00913FA8">
        <w:t xml:space="preserve">Indicative funding for </w:t>
      </w:r>
      <w:r>
        <w:t xml:space="preserve">HFC production sector phase-down and HFC-23 mitigation for </w:t>
      </w:r>
      <w:r w:rsidR="00913FA8">
        <w:t>future triennia 20</w:t>
      </w:r>
      <w:r w:rsidR="00C65884">
        <w:t>30-2032 and 2033-2035</w:t>
      </w:r>
      <w:bookmarkEnd w:id="240"/>
    </w:p>
    <w:p w14:paraId="4E7C6BC3" w14:textId="6D1B032A" w:rsidR="001321E7" w:rsidRPr="00C65884" w:rsidRDefault="001321E7" w:rsidP="001321E7">
      <w:pPr>
        <w:rPr>
          <w:lang w:val="en-US"/>
        </w:rPr>
      </w:pPr>
      <w:r w:rsidRPr="00C65884">
        <w:rPr>
          <w:lang w:val="en-US"/>
        </w:rPr>
        <w:t xml:space="preserve">The estimation for future triennium does not include possible funding requirements for HFC production in China, </w:t>
      </w:r>
      <w:r w:rsidR="00B62103">
        <w:rPr>
          <w:lang w:val="en-US"/>
        </w:rPr>
        <w:t xml:space="preserve">the </w:t>
      </w:r>
      <w:r w:rsidRPr="00C65884">
        <w:rPr>
          <w:lang w:val="en-US"/>
        </w:rPr>
        <w:t xml:space="preserve">DPRK and India due to limited information, audits in process and pending issues. </w:t>
      </w:r>
    </w:p>
    <w:p w14:paraId="163EED7C" w14:textId="372C5652" w:rsidR="001321E7" w:rsidRPr="00FF19F9" w:rsidRDefault="001321E7" w:rsidP="001321E7">
      <w:pPr>
        <w:rPr>
          <w:lang w:val="en-US"/>
        </w:rPr>
      </w:pPr>
      <w:r w:rsidRPr="00FF19F9">
        <w:rPr>
          <w:lang w:val="en-US"/>
        </w:rPr>
        <w:t xml:space="preserve">RTF estimates the funding requirements for future triennium for Argentina and Mexico only (Table </w:t>
      </w:r>
      <w:r w:rsidR="00C65884">
        <w:rPr>
          <w:lang w:val="en-US"/>
        </w:rPr>
        <w:t>4</w:t>
      </w:r>
      <w:r w:rsidR="00D71F5C">
        <w:rPr>
          <w:lang w:val="en-US"/>
        </w:rPr>
        <w:t>.8</w:t>
      </w:r>
      <w:r w:rsidRPr="00FF19F9">
        <w:rPr>
          <w:lang w:val="en-US"/>
        </w:rPr>
        <w:t xml:space="preserve">). The HFC-23 mitigation funding requirements </w:t>
      </w:r>
      <w:r w:rsidR="00D71F5C">
        <w:rPr>
          <w:lang w:val="en-US"/>
        </w:rPr>
        <w:t xml:space="preserve">are only for the </w:t>
      </w:r>
      <w:r w:rsidRPr="00FF19F9">
        <w:rPr>
          <w:lang w:val="en-US"/>
        </w:rPr>
        <w:t>20</w:t>
      </w:r>
      <w:r>
        <w:rPr>
          <w:lang w:val="en-US"/>
        </w:rPr>
        <w:t>30-2032</w:t>
      </w:r>
      <w:r w:rsidRPr="00FF19F9">
        <w:rPr>
          <w:lang w:val="en-US"/>
        </w:rPr>
        <w:t xml:space="preserve"> </w:t>
      </w:r>
      <w:r w:rsidR="00D71F5C">
        <w:rPr>
          <w:lang w:val="en-US"/>
        </w:rPr>
        <w:t xml:space="preserve">triennium </w:t>
      </w:r>
      <w:r w:rsidR="00DE5EC1">
        <w:rPr>
          <w:lang w:val="en-US"/>
        </w:rPr>
        <w:t xml:space="preserve">for </w:t>
      </w:r>
      <w:r w:rsidRPr="00807E00">
        <w:rPr>
          <w:b/>
          <w:lang w:val="en-US"/>
        </w:rPr>
        <w:t>US$</w:t>
      </w:r>
      <w:r w:rsidR="00D0040E">
        <w:rPr>
          <w:b/>
          <w:lang w:val="en-US"/>
        </w:rPr>
        <w:t xml:space="preserve"> </w:t>
      </w:r>
      <w:r w:rsidRPr="16BB9DA3">
        <w:rPr>
          <w:b/>
          <w:lang w:val="en-US"/>
        </w:rPr>
        <w:t>509,568</w:t>
      </w:r>
      <w:r w:rsidRPr="00FF19F9">
        <w:rPr>
          <w:lang w:val="en-US"/>
        </w:rPr>
        <w:t>.</w:t>
      </w:r>
    </w:p>
    <w:p w14:paraId="07297921" w14:textId="61A207B8" w:rsidR="001321E7" w:rsidRPr="00DE47A8" w:rsidRDefault="001321E7" w:rsidP="002135B0">
      <w:pPr>
        <w:spacing w:after="120"/>
        <w:ind w:left="1276" w:hanging="1276"/>
        <w:rPr>
          <w:b/>
          <w:bCs/>
        </w:rPr>
      </w:pPr>
      <w:r>
        <w:rPr>
          <w:b/>
          <w:bCs/>
        </w:rPr>
        <w:t>Table 12.2</w:t>
      </w:r>
      <w:r w:rsidR="00D0040E">
        <w:rPr>
          <w:b/>
          <w:bCs/>
        </w:rPr>
        <w:t>:</w:t>
      </w:r>
      <w:r w:rsidRPr="00183362">
        <w:rPr>
          <w:b/>
          <w:bCs/>
        </w:rPr>
        <w:tab/>
      </w:r>
      <w:r w:rsidRPr="00DE47A8">
        <w:rPr>
          <w:b/>
          <w:bCs/>
        </w:rPr>
        <w:t xml:space="preserve">HFC-23 </w:t>
      </w:r>
      <w:r w:rsidR="00021C46">
        <w:rPr>
          <w:b/>
          <w:bCs/>
        </w:rPr>
        <w:t>m</w:t>
      </w:r>
      <w:r w:rsidRPr="00DE47A8">
        <w:rPr>
          <w:b/>
          <w:bCs/>
        </w:rPr>
        <w:t xml:space="preserve">itigation </w:t>
      </w:r>
      <w:r w:rsidR="00021C46">
        <w:rPr>
          <w:b/>
          <w:bCs/>
        </w:rPr>
        <w:t>f</w:t>
      </w:r>
      <w:r w:rsidRPr="00DE47A8">
        <w:rPr>
          <w:b/>
          <w:bCs/>
        </w:rPr>
        <w:t xml:space="preserve">unding </w:t>
      </w:r>
      <w:r w:rsidR="00021C46">
        <w:rPr>
          <w:b/>
          <w:bCs/>
        </w:rPr>
        <w:t>r</w:t>
      </w:r>
      <w:r w:rsidRPr="00DE47A8">
        <w:rPr>
          <w:b/>
          <w:bCs/>
        </w:rPr>
        <w:t xml:space="preserve">equirements for </w:t>
      </w:r>
      <w:r w:rsidR="00021C46">
        <w:rPr>
          <w:b/>
          <w:bCs/>
        </w:rPr>
        <w:t>f</w:t>
      </w:r>
      <w:r w:rsidRPr="00DE47A8">
        <w:rPr>
          <w:b/>
          <w:bCs/>
        </w:rPr>
        <w:t xml:space="preserve">uture </w:t>
      </w:r>
      <w:r w:rsidR="00021C46">
        <w:rPr>
          <w:b/>
          <w:bCs/>
        </w:rPr>
        <w:t>t</w:t>
      </w:r>
      <w:r w:rsidRPr="00DE47A8">
        <w:rPr>
          <w:b/>
          <w:bCs/>
        </w:rPr>
        <w:t>riennia (US$)</w:t>
      </w:r>
      <w:r>
        <w:t xml:space="preserve"> </w:t>
      </w:r>
    </w:p>
    <w:tbl>
      <w:tblPr>
        <w:tblW w:w="88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26"/>
        <w:gridCol w:w="2819"/>
        <w:gridCol w:w="2595"/>
      </w:tblGrid>
      <w:tr w:rsidR="001321E7" w:rsidRPr="001D63BF" w14:paraId="4B02D854" w14:textId="77777777" w:rsidTr="00A61B4A">
        <w:trPr>
          <w:trHeight w:val="63"/>
          <w:jc w:val="center"/>
        </w:trPr>
        <w:tc>
          <w:tcPr>
            <w:tcW w:w="3426" w:type="dxa"/>
            <w:shd w:val="clear" w:color="auto" w:fill="E2EFD9" w:themeFill="accent6" w:themeFillTint="33"/>
            <w:vAlign w:val="center"/>
          </w:tcPr>
          <w:p w14:paraId="5D189A9D" w14:textId="77777777" w:rsidR="001321E7" w:rsidRPr="001D63BF" w:rsidRDefault="001321E7">
            <w:pPr>
              <w:spacing w:after="0"/>
              <w:rPr>
                <w:b/>
                <w:bCs/>
                <w:lang w:val="en-US"/>
              </w:rPr>
            </w:pPr>
          </w:p>
        </w:tc>
        <w:tc>
          <w:tcPr>
            <w:tcW w:w="2819" w:type="dxa"/>
            <w:shd w:val="clear" w:color="auto" w:fill="E2EFD9" w:themeFill="accent6" w:themeFillTint="33"/>
            <w:vAlign w:val="center"/>
          </w:tcPr>
          <w:p w14:paraId="13F058A6" w14:textId="77777777" w:rsidR="001321E7" w:rsidRPr="001D63BF" w:rsidRDefault="001321E7" w:rsidP="00A61B4A">
            <w:pPr>
              <w:spacing w:before="120" w:after="120"/>
              <w:jc w:val="center"/>
              <w:rPr>
                <w:b/>
                <w:bCs/>
                <w:lang w:val="en-US"/>
              </w:rPr>
            </w:pPr>
            <w:r w:rsidRPr="001D63BF">
              <w:rPr>
                <w:b/>
                <w:bCs/>
                <w:lang w:val="en-US"/>
              </w:rPr>
              <w:t>2030-2032</w:t>
            </w:r>
          </w:p>
        </w:tc>
        <w:tc>
          <w:tcPr>
            <w:tcW w:w="2595" w:type="dxa"/>
            <w:shd w:val="clear" w:color="auto" w:fill="E2EFD9" w:themeFill="accent6" w:themeFillTint="33"/>
            <w:vAlign w:val="center"/>
          </w:tcPr>
          <w:p w14:paraId="06858318" w14:textId="77777777" w:rsidR="001321E7" w:rsidRPr="001D63BF" w:rsidRDefault="001321E7" w:rsidP="00A61B4A">
            <w:pPr>
              <w:spacing w:before="120" w:after="120"/>
              <w:jc w:val="center"/>
              <w:rPr>
                <w:b/>
                <w:bCs/>
                <w:lang w:val="en-US"/>
              </w:rPr>
            </w:pPr>
            <w:r w:rsidRPr="001D63BF">
              <w:rPr>
                <w:b/>
                <w:bCs/>
                <w:lang w:val="en-US"/>
              </w:rPr>
              <w:t>2033-2035</w:t>
            </w:r>
          </w:p>
        </w:tc>
      </w:tr>
      <w:tr w:rsidR="001321E7" w:rsidRPr="001D63BF" w14:paraId="753EEC03" w14:textId="77777777" w:rsidTr="4BCEE662">
        <w:trPr>
          <w:trHeight w:val="163"/>
          <w:jc w:val="center"/>
        </w:trPr>
        <w:tc>
          <w:tcPr>
            <w:tcW w:w="3426" w:type="dxa"/>
            <w:shd w:val="clear" w:color="auto" w:fill="E2EFD9" w:themeFill="accent6" w:themeFillTint="33"/>
            <w:vAlign w:val="center"/>
          </w:tcPr>
          <w:p w14:paraId="4731F997" w14:textId="77777777" w:rsidR="001321E7" w:rsidRPr="001D63BF" w:rsidRDefault="001321E7">
            <w:pPr>
              <w:spacing w:before="40" w:after="40"/>
              <w:rPr>
                <w:lang w:val="en-US"/>
              </w:rPr>
            </w:pPr>
            <w:r w:rsidRPr="001D63BF">
              <w:rPr>
                <w:lang w:val="en-US"/>
              </w:rPr>
              <w:t>HFC-23 Mitigation Approved (Argentina and Mexico)</w:t>
            </w:r>
          </w:p>
        </w:tc>
        <w:tc>
          <w:tcPr>
            <w:tcW w:w="2819" w:type="dxa"/>
            <w:shd w:val="clear" w:color="auto" w:fill="FFFFFF" w:themeFill="background1"/>
            <w:vAlign w:val="center"/>
          </w:tcPr>
          <w:p w14:paraId="6340DEFC" w14:textId="471C5D6D" w:rsidR="001321E7" w:rsidRPr="001D63BF" w:rsidRDefault="001321E7">
            <w:pPr>
              <w:spacing w:before="40" w:after="40"/>
              <w:jc w:val="right"/>
              <w:rPr>
                <w:rFonts w:eastAsia="DengXian"/>
                <w:b/>
                <w:bCs/>
                <w:lang w:val="en-US" w:eastAsia="zh-CN"/>
              </w:rPr>
            </w:pPr>
            <w:r w:rsidRPr="001D63BF">
              <w:rPr>
                <w:b/>
                <w:bCs/>
              </w:rPr>
              <w:t>509,568</w:t>
            </w:r>
          </w:p>
        </w:tc>
        <w:tc>
          <w:tcPr>
            <w:tcW w:w="2595" w:type="dxa"/>
            <w:shd w:val="clear" w:color="auto" w:fill="FFFFFF" w:themeFill="background1"/>
            <w:vAlign w:val="center"/>
          </w:tcPr>
          <w:p w14:paraId="4AB74E2D" w14:textId="77777777" w:rsidR="001321E7" w:rsidRPr="001D63BF" w:rsidRDefault="001321E7">
            <w:pPr>
              <w:spacing w:before="40" w:after="40" w:line="259" w:lineRule="auto"/>
              <w:jc w:val="right"/>
              <w:rPr>
                <w:lang w:val="en-US"/>
              </w:rPr>
            </w:pPr>
            <w:r w:rsidRPr="001D63BF">
              <w:rPr>
                <w:lang w:val="en-US"/>
              </w:rPr>
              <w:t>0</w:t>
            </w:r>
          </w:p>
        </w:tc>
      </w:tr>
      <w:tr w:rsidR="001321E7" w:rsidRPr="001D63BF" w14:paraId="36981814" w14:textId="77777777" w:rsidTr="4BCEE662">
        <w:trPr>
          <w:trHeight w:val="25"/>
          <w:jc w:val="center"/>
        </w:trPr>
        <w:tc>
          <w:tcPr>
            <w:tcW w:w="3426" w:type="dxa"/>
            <w:shd w:val="clear" w:color="auto" w:fill="FFFF00"/>
            <w:vAlign w:val="center"/>
          </w:tcPr>
          <w:p w14:paraId="09F11CDD" w14:textId="77777777" w:rsidR="001321E7" w:rsidRPr="001D63BF" w:rsidRDefault="001321E7">
            <w:pPr>
              <w:spacing w:before="40" w:after="40"/>
              <w:rPr>
                <w:b/>
                <w:bCs/>
                <w:lang w:val="en-US"/>
              </w:rPr>
            </w:pPr>
            <w:r w:rsidRPr="001D63BF">
              <w:rPr>
                <w:b/>
                <w:bCs/>
                <w:lang w:val="en-US"/>
              </w:rPr>
              <w:t>Subtotal – HFC Production and HFC-23 Sector</w:t>
            </w:r>
          </w:p>
        </w:tc>
        <w:tc>
          <w:tcPr>
            <w:tcW w:w="2819" w:type="dxa"/>
            <w:shd w:val="clear" w:color="auto" w:fill="FFFF00"/>
            <w:vAlign w:val="center"/>
          </w:tcPr>
          <w:p w14:paraId="01ED01D0" w14:textId="3BA3845D" w:rsidR="001321E7" w:rsidRPr="001D63BF" w:rsidRDefault="001321E7">
            <w:pPr>
              <w:spacing w:before="40" w:after="40"/>
              <w:jc w:val="right"/>
              <w:rPr>
                <w:b/>
                <w:bCs/>
              </w:rPr>
            </w:pPr>
            <w:r w:rsidRPr="001D63BF">
              <w:rPr>
                <w:b/>
                <w:bCs/>
              </w:rPr>
              <w:t>509,568</w:t>
            </w:r>
          </w:p>
        </w:tc>
        <w:tc>
          <w:tcPr>
            <w:tcW w:w="2595" w:type="dxa"/>
            <w:shd w:val="clear" w:color="auto" w:fill="FFFF00"/>
            <w:vAlign w:val="center"/>
          </w:tcPr>
          <w:p w14:paraId="7C6B2C86" w14:textId="77777777" w:rsidR="001321E7" w:rsidRPr="001D63BF" w:rsidRDefault="001321E7">
            <w:pPr>
              <w:spacing w:before="40" w:after="40"/>
              <w:jc w:val="right"/>
              <w:rPr>
                <w:b/>
                <w:bCs/>
              </w:rPr>
            </w:pPr>
            <w:r w:rsidRPr="001D63BF">
              <w:rPr>
                <w:b/>
                <w:bCs/>
              </w:rPr>
              <w:t>0</w:t>
            </w:r>
          </w:p>
        </w:tc>
      </w:tr>
    </w:tbl>
    <w:p w14:paraId="023450D2" w14:textId="77777777" w:rsidR="00EE7EF8" w:rsidRDefault="00EE7EF8" w:rsidP="00F178D0">
      <w:pPr>
        <w:spacing w:after="120"/>
        <w:rPr>
          <w:lang w:eastAsia="zh-CN"/>
        </w:rPr>
      </w:pPr>
    </w:p>
    <w:p w14:paraId="70A7E2AF" w14:textId="77777777" w:rsidR="00EE7EF8" w:rsidRDefault="00EE7EF8" w:rsidP="00F178D0">
      <w:pPr>
        <w:spacing w:after="120"/>
        <w:rPr>
          <w:lang w:eastAsia="zh-CN"/>
        </w:rPr>
      </w:pPr>
    </w:p>
    <w:p w14:paraId="4A06D9B9" w14:textId="77777777" w:rsidR="00B12D8F" w:rsidRDefault="00B0454A">
      <w:pPr>
        <w:tabs>
          <w:tab w:val="clear" w:pos="0"/>
        </w:tabs>
        <w:spacing w:after="0"/>
        <w:sectPr w:rsidR="00B12D8F" w:rsidSect="009D3A67">
          <w:headerReference w:type="even" r:id="rId39"/>
          <w:headerReference w:type="default" r:id="rId40"/>
          <w:footerReference w:type="even" r:id="rId41"/>
          <w:headerReference w:type="first" r:id="rId42"/>
          <w:pgSz w:w="11906" w:h="16838"/>
          <w:pgMar w:top="1411" w:right="1411" w:bottom="1411" w:left="1411" w:header="708" w:footer="708" w:gutter="0"/>
          <w:cols w:space="708"/>
          <w:docGrid w:linePitch="360"/>
        </w:sectPr>
      </w:pPr>
      <w:bookmarkStart w:id="241" w:name="_Toc119436589"/>
      <w:r>
        <w:br w:type="page"/>
      </w:r>
    </w:p>
    <w:p w14:paraId="69A10968" w14:textId="671D59EF" w:rsidR="0094174F" w:rsidRPr="00E42C5E" w:rsidRDefault="000E5797" w:rsidP="005D31A7">
      <w:pPr>
        <w:pStyle w:val="Heading1"/>
      </w:pPr>
      <w:bookmarkStart w:id="242" w:name="_Toc230099105"/>
      <w:r w:rsidRPr="00E42C5E">
        <w:lastRenderedPageBreak/>
        <w:t>5</w:t>
      </w:r>
      <w:r w:rsidRPr="00E42C5E">
        <w:tab/>
      </w:r>
      <w:bookmarkEnd w:id="241"/>
      <w:r w:rsidR="005041EB" w:rsidRPr="005041EB">
        <w:t>F</w:t>
      </w:r>
      <w:r w:rsidR="005041EB">
        <w:t>unding Requirements for Institutional Strengthening and Standard Activities for the 2027-2029 Triennium</w:t>
      </w:r>
      <w:bookmarkEnd w:id="242"/>
    </w:p>
    <w:p w14:paraId="1265AD58" w14:textId="4B0718E4" w:rsidR="00F91A0D" w:rsidRDefault="00F91A0D" w:rsidP="002D02B7">
      <w:pPr>
        <w:pStyle w:val="Heading2"/>
      </w:pPr>
      <w:bookmarkStart w:id="243" w:name="_Toc113319164"/>
      <w:bookmarkStart w:id="244" w:name="_Toc119436590"/>
      <w:bookmarkStart w:id="245" w:name="_Toc230099106"/>
      <w:r w:rsidRPr="00D7427C">
        <w:t>5.1</w:t>
      </w:r>
      <w:r w:rsidRPr="00D7427C">
        <w:tab/>
      </w:r>
      <w:r w:rsidR="005041EB">
        <w:t>Introduction</w:t>
      </w:r>
      <w:bookmarkEnd w:id="243"/>
      <w:bookmarkEnd w:id="244"/>
      <w:bookmarkEnd w:id="245"/>
    </w:p>
    <w:p w14:paraId="4A1B189E" w14:textId="072F2EA9" w:rsidR="0038639B" w:rsidRPr="000F4CAC" w:rsidRDefault="0038639B" w:rsidP="0038639B">
      <w:pPr>
        <w:spacing w:after="0"/>
        <w:contextualSpacing/>
        <w:rPr>
          <w:color w:val="000000"/>
        </w:rPr>
      </w:pPr>
      <w:bookmarkStart w:id="246" w:name="_Toc41495053"/>
      <w:bookmarkStart w:id="247" w:name="_Toc41840023"/>
      <w:bookmarkStart w:id="248" w:name="_Toc41841113"/>
      <w:r w:rsidRPr="4BE4E9B4">
        <w:t xml:space="preserve">This </w:t>
      </w:r>
      <w:r>
        <w:t xml:space="preserve">chapter </w:t>
      </w:r>
      <w:r w:rsidRPr="4BE4E9B4">
        <w:t xml:space="preserve">presents the funding requirements for IS and SA for the 2027-2029 triennium. The main sources of information </w:t>
      </w:r>
      <w:r>
        <w:t xml:space="preserve">used in this section </w:t>
      </w:r>
      <w:r w:rsidRPr="4BE4E9B4">
        <w:t>are informed by the relevant ExCom decisions</w:t>
      </w:r>
      <w:r>
        <w:t>, the</w:t>
      </w:r>
      <w:r w:rsidRPr="4BE4E9B4">
        <w:t xml:space="preserve"> </w:t>
      </w:r>
      <w:r w:rsidR="00762774">
        <w:t>BP</w:t>
      </w:r>
      <w:r w:rsidRPr="4BE4E9B4">
        <w:t>, reports of the meetings of the ExCom</w:t>
      </w:r>
      <w:r>
        <w:t xml:space="preserve"> and </w:t>
      </w:r>
      <w:r w:rsidRPr="4BE4E9B4">
        <w:t xml:space="preserve">relevant meeting documents prepared by the </w:t>
      </w:r>
      <w:r w:rsidR="00762774">
        <w:t>MLFS</w:t>
      </w:r>
      <w:r>
        <w:t xml:space="preserve"> at the request of the ExCom</w:t>
      </w:r>
      <w:r w:rsidRPr="4BE4E9B4">
        <w:t xml:space="preserve">. Consultations with secretariat staff have been very valuable and their inputs and insights are well appreciated. </w:t>
      </w:r>
    </w:p>
    <w:p w14:paraId="0C8C3713" w14:textId="77777777" w:rsidR="0038639B" w:rsidRPr="000F4CAC" w:rsidRDefault="0038639B" w:rsidP="0038639B">
      <w:pPr>
        <w:spacing w:after="0"/>
        <w:contextualSpacing/>
        <w:rPr>
          <w:color w:val="FF0000"/>
        </w:rPr>
      </w:pPr>
    </w:p>
    <w:p w14:paraId="7A2986ED" w14:textId="1BFE2F1C" w:rsidR="0038639B" w:rsidRPr="000F4CAC" w:rsidRDefault="0038639B" w:rsidP="0038639B">
      <w:pPr>
        <w:rPr>
          <w:color w:val="000000"/>
        </w:rPr>
      </w:pPr>
      <w:r w:rsidRPr="4BE4E9B4">
        <w:t>I</w:t>
      </w:r>
      <w:r w:rsidR="00762774">
        <w:t xml:space="preserve">S </w:t>
      </w:r>
      <w:r w:rsidR="002418AE">
        <w:t>and SA</w:t>
      </w:r>
      <w:r w:rsidR="009619FA">
        <w:t xml:space="preserve"> </w:t>
      </w:r>
      <w:r w:rsidRPr="4BE4E9B4">
        <w:t xml:space="preserve">are </w:t>
      </w:r>
      <w:r>
        <w:t xml:space="preserve">the core components of </w:t>
      </w:r>
      <w:r w:rsidRPr="4BE4E9B4">
        <w:t xml:space="preserve">the operation of the </w:t>
      </w:r>
      <w:r w:rsidR="002418AE">
        <w:t>MLF</w:t>
      </w:r>
      <w:r>
        <w:t xml:space="preserve"> </w:t>
      </w:r>
      <w:r w:rsidRPr="4BE4E9B4">
        <w:t xml:space="preserve">and </w:t>
      </w:r>
      <w:r>
        <w:t xml:space="preserve">constitute key elements </w:t>
      </w:r>
      <w:r w:rsidRPr="4BE4E9B4">
        <w:t xml:space="preserve">of the overall governance of the </w:t>
      </w:r>
      <w:r w:rsidR="00FB7C66">
        <w:t>MP</w:t>
      </w:r>
      <w:r w:rsidRPr="4BE4E9B4">
        <w:t xml:space="preserve">. </w:t>
      </w:r>
      <w:r>
        <w:t xml:space="preserve">Decision XIX/6 by </w:t>
      </w:r>
      <w:r w:rsidR="00FF0F7D">
        <w:t>MOP-19</w:t>
      </w:r>
      <w:r>
        <w:t xml:space="preserve"> accelerat</w:t>
      </w:r>
      <w:r w:rsidR="00B3620E">
        <w:t xml:space="preserve">ed </w:t>
      </w:r>
      <w:r>
        <w:t xml:space="preserve">the phase out of HCFCs to protect </w:t>
      </w:r>
      <w:r w:rsidR="00EF15BC">
        <w:t xml:space="preserve">the ozone layer and </w:t>
      </w:r>
      <w:r>
        <w:t>climate, and Decision XXVIII/1 by MOP</w:t>
      </w:r>
      <w:r w:rsidR="00277A2F">
        <w:t>-28</w:t>
      </w:r>
      <w:r w:rsidR="00EF15BC">
        <w:t xml:space="preserve"> adopted the </w:t>
      </w:r>
      <w:r w:rsidR="007E1B8D">
        <w:t>KA</w:t>
      </w:r>
      <w:r>
        <w:t xml:space="preserve"> to control and phase down HFCs because of their high global warming potential</w:t>
      </w:r>
      <w:r w:rsidR="0084093B">
        <w:t xml:space="preserve"> (GWP)</w:t>
      </w:r>
      <w:r>
        <w:t>. These groundbreaking decisions have unveiled the policy, technical and administrative complexities</w:t>
      </w:r>
      <w:r w:rsidR="00461DDB">
        <w:t xml:space="preserve"> </w:t>
      </w:r>
      <w:r w:rsidR="00C750DF">
        <w:t xml:space="preserve">in the overall implementation of the MP and </w:t>
      </w:r>
      <w:r>
        <w:t>further highlights the strategic value of IS and SA.</w:t>
      </w:r>
    </w:p>
    <w:p w14:paraId="262A26B0" w14:textId="5CA7A095" w:rsidR="0038639B" w:rsidRPr="000F4CAC" w:rsidRDefault="0038639B" w:rsidP="0038639B">
      <w:pPr>
        <w:spacing w:after="0"/>
        <w:contextualSpacing/>
        <w:rPr>
          <w:color w:val="000000"/>
        </w:rPr>
      </w:pPr>
      <w:r w:rsidRPr="4BE4E9B4">
        <w:t>I</w:t>
      </w:r>
      <w:r w:rsidR="0020613B">
        <w:t>S</w:t>
      </w:r>
      <w:r w:rsidRPr="4BE4E9B4">
        <w:t xml:space="preserve"> funding is directly linked to the implementation of the obligations of parties operating under paragraph 1 of </w:t>
      </w:r>
      <w:r w:rsidR="00CE615C">
        <w:t>A5</w:t>
      </w:r>
      <w:r>
        <w:t xml:space="preserve"> and</w:t>
      </w:r>
      <w:r w:rsidRPr="4BE4E9B4">
        <w:t xml:space="preserve"> it plays a major role in establishing</w:t>
      </w:r>
      <w:r>
        <w:t>, supporting and accompanying the operation of the</w:t>
      </w:r>
      <w:r w:rsidRPr="4BE4E9B4">
        <w:t xml:space="preserve"> </w:t>
      </w:r>
      <w:r>
        <w:t>N</w:t>
      </w:r>
      <w:r w:rsidRPr="4BE4E9B4">
        <w:t xml:space="preserve">ational </w:t>
      </w:r>
      <w:r>
        <w:t>O</w:t>
      </w:r>
      <w:r w:rsidRPr="4BE4E9B4">
        <w:t xml:space="preserve">zone </w:t>
      </w:r>
      <w:r>
        <w:t>U</w:t>
      </w:r>
      <w:r w:rsidRPr="4BE4E9B4">
        <w:t>nits</w:t>
      </w:r>
      <w:r>
        <w:t xml:space="preserve"> (NOU</w:t>
      </w:r>
      <w:r w:rsidR="007E7A9C">
        <w:t>s</w:t>
      </w:r>
      <w:r>
        <w:t>)</w:t>
      </w:r>
      <w:r w:rsidRPr="4BE4E9B4">
        <w:t xml:space="preserve">. The </w:t>
      </w:r>
      <w:r>
        <w:t xml:space="preserve">four </w:t>
      </w:r>
      <w:r w:rsidR="00325F8D">
        <w:t>IAs</w:t>
      </w:r>
      <w:r w:rsidRPr="4BE4E9B4">
        <w:t xml:space="preserve">, UNEP, UNDP, UNIDO and the WB, manage </w:t>
      </w:r>
      <w:r>
        <w:t xml:space="preserve">the </w:t>
      </w:r>
      <w:r w:rsidRPr="4BE4E9B4">
        <w:t xml:space="preserve">IS projects </w:t>
      </w:r>
      <w:r>
        <w:t xml:space="preserve">and work with the </w:t>
      </w:r>
      <w:r w:rsidR="00666A36">
        <w:t xml:space="preserve">NOUs </w:t>
      </w:r>
      <w:r>
        <w:t xml:space="preserve">to </w:t>
      </w:r>
      <w:r w:rsidRPr="4BE4E9B4">
        <w:t>maintaining</w:t>
      </w:r>
      <w:r>
        <w:t xml:space="preserve">, </w:t>
      </w:r>
      <w:r w:rsidRPr="4BE4E9B4">
        <w:t xml:space="preserve">building and developing the institutional capacity necessary to comply with obligations </w:t>
      </w:r>
      <w:r>
        <w:t xml:space="preserve">of A5 parties. </w:t>
      </w:r>
      <w:r w:rsidRPr="4BE4E9B4">
        <w:t xml:space="preserve"> </w:t>
      </w:r>
    </w:p>
    <w:p w14:paraId="3A1AF9B1" w14:textId="77777777" w:rsidR="0038639B" w:rsidRPr="000F4CAC" w:rsidRDefault="0038639B" w:rsidP="0038639B">
      <w:pPr>
        <w:spacing w:after="0"/>
        <w:contextualSpacing/>
        <w:rPr>
          <w:color w:val="000000"/>
        </w:rPr>
      </w:pPr>
    </w:p>
    <w:p w14:paraId="37E9C747" w14:textId="541FA245" w:rsidR="0038639B" w:rsidRPr="000F4CAC" w:rsidRDefault="00DA6516" w:rsidP="0038639B">
      <w:pPr>
        <w:spacing w:after="0"/>
        <w:contextualSpacing/>
        <w:rPr>
          <w:strike/>
          <w:color w:val="000000"/>
        </w:rPr>
      </w:pPr>
      <w:r>
        <w:t>SA</w:t>
      </w:r>
      <w:r w:rsidR="0038639B" w:rsidRPr="78D270E5">
        <w:t xml:space="preserve"> cover all activities related to the operation of the MLF</w:t>
      </w:r>
      <w:r w:rsidR="0038639B">
        <w:t xml:space="preserve">, </w:t>
      </w:r>
      <w:r w:rsidR="0038639B" w:rsidRPr="78D270E5">
        <w:t xml:space="preserve">the operation of the ExCom, the </w:t>
      </w:r>
      <w:r w:rsidR="003F3EB9">
        <w:t>MLFS,</w:t>
      </w:r>
      <w:r w:rsidR="0038639B">
        <w:t xml:space="preserve"> its monitoring and evaluation functions,</w:t>
      </w:r>
      <w:r w:rsidR="0038639B" w:rsidRPr="78D270E5">
        <w:t xml:space="preserve"> and its Treasury functions, the Core Unit funding of the </w:t>
      </w:r>
      <w:r w:rsidR="00325F8D">
        <w:t>IAs</w:t>
      </w:r>
      <w:r w:rsidR="0038639B" w:rsidRPr="78D270E5">
        <w:t xml:space="preserve"> UNDP, UNIDO and the WB, and</w:t>
      </w:r>
      <w:r w:rsidR="0038639B" w:rsidRPr="26C4EEEA">
        <w:t xml:space="preserve"> UNEP’s CAP</w:t>
      </w:r>
      <w:r w:rsidR="0038639B">
        <w:t>.</w:t>
      </w:r>
      <w:r w:rsidR="0038639B" w:rsidRPr="26C4EEEA">
        <w:t xml:space="preserve"> </w:t>
      </w:r>
    </w:p>
    <w:p w14:paraId="5B92DF5B" w14:textId="349733B2" w:rsidR="00F91A0D" w:rsidRDefault="00F91A0D" w:rsidP="002D02B7">
      <w:pPr>
        <w:pStyle w:val="Heading2"/>
      </w:pPr>
      <w:bookmarkStart w:id="249" w:name="_Toc113319168"/>
      <w:bookmarkStart w:id="250" w:name="_Toc119436594"/>
      <w:bookmarkStart w:id="251" w:name="_Toc230099107"/>
      <w:bookmarkEnd w:id="246"/>
      <w:bookmarkEnd w:id="247"/>
      <w:bookmarkEnd w:id="248"/>
      <w:r w:rsidRPr="00E42C5E">
        <w:t>5.2</w:t>
      </w:r>
      <w:r w:rsidRPr="00E42C5E">
        <w:tab/>
      </w:r>
      <w:r w:rsidR="0038639B">
        <w:t>Estimated funding requirements for institutional st</w:t>
      </w:r>
      <w:r w:rsidR="00C63B8A">
        <w:t>rengthening</w:t>
      </w:r>
      <w:bookmarkEnd w:id="249"/>
      <w:bookmarkEnd w:id="250"/>
      <w:bookmarkEnd w:id="251"/>
    </w:p>
    <w:p w14:paraId="20BCE5B9" w14:textId="1C0FBD60" w:rsidR="00EF2A8F" w:rsidRPr="00E55971" w:rsidRDefault="00EF2A8F" w:rsidP="00EF2A8F">
      <w:r>
        <w:t>IS is the core capacity-building programme of the MP; this programme supports A5 parties in their national efforts to comply with obligations under the MP and its amendments. IS has been instrumental for the phase out of ODS and HFCs; the NOU</w:t>
      </w:r>
      <w:r w:rsidR="00A87AFF">
        <w:t>s</w:t>
      </w:r>
      <w:r>
        <w:t xml:space="preserve"> established in A5 parties under this programme have ensured continuity, enhanced institutional capacity, and policy leadership in the implementation of the </w:t>
      </w:r>
      <w:r w:rsidR="00FB7C66">
        <w:t>MP</w:t>
      </w:r>
      <w:r>
        <w:t>. Perhaps more importantly, it has cemented a unique compliance-driven implementation of the MP.</w:t>
      </w:r>
      <w:r w:rsidR="00E55971">
        <w:t xml:space="preserve"> </w:t>
      </w:r>
      <w:r w:rsidRPr="00E55971">
        <w:t>As of today, a total amount of approximately US$ 210 million has been approved by the ExCom for IS, which represents about 5% of total funds approved under the MLF, which benefits about 14</w:t>
      </w:r>
      <w:r w:rsidR="00EF3C58">
        <w:t>6</w:t>
      </w:r>
      <w:r w:rsidRPr="00E55971">
        <w:t xml:space="preserve"> parties</w:t>
      </w:r>
      <w:r w:rsidR="004E09C8">
        <w:t xml:space="preserve"> </w:t>
      </w:r>
      <w:r w:rsidR="004E09C8" w:rsidRPr="004E09C8">
        <w:t>(including Croatia and Romania which no longer received funding from the MLF)</w:t>
      </w:r>
      <w:r w:rsidRPr="00E55971">
        <w:t>.</w:t>
      </w:r>
    </w:p>
    <w:p w14:paraId="3726AFB8" w14:textId="59686200" w:rsidR="001F1323" w:rsidRDefault="00EF2A8F" w:rsidP="00975FAB">
      <w:r>
        <w:t>IS projects were approved for the first time at ExCom</w:t>
      </w:r>
      <w:r w:rsidR="001D0453">
        <w:t>-7</w:t>
      </w:r>
      <w:r>
        <w:t xml:space="preserve"> (June1992) where the initial rules for this programme were established. In consideration of the importance of IS, its funding levels </w:t>
      </w:r>
      <w:r w:rsidRPr="008129F2">
        <w:t>and criteria have been reviewed over the years</w:t>
      </w:r>
      <w:r w:rsidR="008A0177" w:rsidRPr="008129F2">
        <w:t xml:space="preserve">. </w:t>
      </w:r>
      <w:r w:rsidR="00EF022D" w:rsidRPr="008129F2">
        <w:t>An overview of r</w:t>
      </w:r>
      <w:r w:rsidR="008A0177" w:rsidRPr="008129F2">
        <w:t xml:space="preserve">elevant decisions taken by the </w:t>
      </w:r>
      <w:r w:rsidRPr="008129F2">
        <w:t xml:space="preserve">ExCom </w:t>
      </w:r>
      <w:r w:rsidR="00EF022D" w:rsidRPr="008129F2">
        <w:t xml:space="preserve">are in Annex </w:t>
      </w:r>
      <w:r w:rsidR="008129F2" w:rsidRPr="008129F2">
        <w:t>7</w:t>
      </w:r>
      <w:r w:rsidR="00463307" w:rsidRPr="008129F2">
        <w:t>.</w:t>
      </w:r>
    </w:p>
    <w:p w14:paraId="15DCFE02" w14:textId="2A0946CC" w:rsidR="00201266" w:rsidRPr="001537F3" w:rsidRDefault="00201266" w:rsidP="00201266">
      <w:pPr>
        <w:rPr>
          <w:lang w:val="en-US"/>
        </w:rPr>
      </w:pPr>
      <w:r>
        <w:t xml:space="preserve">IS </w:t>
      </w:r>
      <w:r w:rsidRPr="00EE3082">
        <w:t xml:space="preserve">estimates are based on historical levels and </w:t>
      </w:r>
      <w:r>
        <w:t>considering</w:t>
      </w:r>
      <w:r w:rsidRPr="00EE3082">
        <w:t xml:space="preserve"> </w:t>
      </w:r>
      <w:r>
        <w:t xml:space="preserve">all </w:t>
      </w:r>
      <w:r w:rsidRPr="00EE3082">
        <w:t>relevant decisions</w:t>
      </w:r>
      <w:r>
        <w:t xml:space="preserve"> </w:t>
      </w:r>
      <w:r w:rsidRPr="001537F3">
        <w:t>approved by the ExCom</w:t>
      </w:r>
      <w:r>
        <w:t xml:space="preserve">. In particular, for this replenishment study, the last </w:t>
      </w:r>
      <w:r w:rsidRPr="00EE3082">
        <w:t xml:space="preserve">decision </w:t>
      </w:r>
      <w:r>
        <w:t xml:space="preserve">on IS </w:t>
      </w:r>
      <w:r w:rsidRPr="00EE3082">
        <w:t xml:space="preserve">agreed </w:t>
      </w:r>
      <w:r>
        <w:t xml:space="preserve">by </w:t>
      </w:r>
      <w:r w:rsidR="001D0453">
        <w:t>ExCom-91</w:t>
      </w:r>
      <w:r w:rsidRPr="00EE3082">
        <w:t>,</w:t>
      </w:r>
      <w:r>
        <w:t xml:space="preserve"> Decision 91/63</w:t>
      </w:r>
      <w:r w:rsidR="00A9680A">
        <w:t>,</w:t>
      </w:r>
      <w:r w:rsidRPr="78D270E5">
        <w:rPr>
          <w:sz w:val="20"/>
          <w:szCs w:val="20"/>
        </w:rPr>
        <w:t xml:space="preserve"> </w:t>
      </w:r>
      <w:r>
        <w:t>e</w:t>
      </w:r>
      <w:r w:rsidRPr="004F2DFD">
        <w:t xml:space="preserve">xtend the duration of IS renewal implementation phases from two years to three years for IS renewal proposals submitted from </w:t>
      </w:r>
      <w:r w:rsidR="00A9680A">
        <w:t>ExCom-92</w:t>
      </w:r>
      <w:r w:rsidRPr="004F2DFD">
        <w:t xml:space="preserve"> onward</w:t>
      </w:r>
      <w:r>
        <w:t>s.</w:t>
      </w:r>
      <w:r w:rsidRPr="00EE3082">
        <w:t xml:space="preserve"> </w:t>
      </w:r>
      <w:r w:rsidRPr="001537F3">
        <w:t>That</w:t>
      </w:r>
      <w:r>
        <w:t xml:space="preserve"> same</w:t>
      </w:r>
      <w:r w:rsidRPr="001537F3">
        <w:t xml:space="preserve"> decision also increased </w:t>
      </w:r>
      <w:r>
        <w:t xml:space="preserve">the funding level of </w:t>
      </w:r>
      <w:r w:rsidRPr="001537F3">
        <w:t xml:space="preserve">IS projects </w:t>
      </w:r>
      <w:r>
        <w:t>by</w:t>
      </w:r>
      <w:r w:rsidRPr="001537F3">
        <w:t xml:space="preserve"> 38% </w:t>
      </w:r>
      <w:r>
        <w:t>with respect to what was</w:t>
      </w:r>
      <w:r w:rsidRPr="001537F3">
        <w:t xml:space="preserve"> agreed at </w:t>
      </w:r>
      <w:r w:rsidR="00A9680A">
        <w:t>ExCom-74</w:t>
      </w:r>
      <w:r w:rsidRPr="001537F3">
        <w:t xml:space="preserve">, with minimum funding </w:t>
      </w:r>
      <w:r>
        <w:t xml:space="preserve">level </w:t>
      </w:r>
      <w:r w:rsidRPr="001537F3">
        <w:t>of US$</w:t>
      </w:r>
      <w:r w:rsidR="007B431D">
        <w:t xml:space="preserve"> </w:t>
      </w:r>
      <w:r w:rsidRPr="001537F3">
        <w:t>60,000 per year.</w:t>
      </w:r>
    </w:p>
    <w:p w14:paraId="5A095231" w14:textId="43D57136" w:rsidR="00201266" w:rsidRDefault="00201266" w:rsidP="00201266">
      <w:r w:rsidRPr="00EE3082">
        <w:t xml:space="preserve">Accordingly, funding estimates for 2027 and 2028 are </w:t>
      </w:r>
      <w:r>
        <w:t xml:space="preserve">respectively, </w:t>
      </w:r>
      <w:r w:rsidRPr="00EE3082">
        <w:t>US$ 19</w:t>
      </w:r>
      <w:r>
        <w:t>,</w:t>
      </w:r>
      <w:r w:rsidRPr="00EE3082">
        <w:t>545</w:t>
      </w:r>
      <w:r>
        <w:t>,</w:t>
      </w:r>
      <w:r w:rsidRPr="00EE3082">
        <w:t>691 and US$</w:t>
      </w:r>
      <w:r>
        <w:t xml:space="preserve"> </w:t>
      </w:r>
      <w:r w:rsidRPr="00EE3082">
        <w:t>5</w:t>
      </w:r>
      <w:r>
        <w:t>,</w:t>
      </w:r>
      <w:r w:rsidRPr="00EE3082">
        <w:t>717</w:t>
      </w:r>
      <w:r>
        <w:t>,</w:t>
      </w:r>
      <w:r w:rsidRPr="00EE3082">
        <w:t>815. For 2029, the RTF</w:t>
      </w:r>
      <w:r>
        <w:t xml:space="preserve">, in accordance with the practice by the ExCom to replicate the funding </w:t>
      </w:r>
      <w:r>
        <w:lastRenderedPageBreak/>
        <w:t xml:space="preserve">of the previous year of the current triennium, </w:t>
      </w:r>
      <w:r w:rsidRPr="00EE3082">
        <w:t>has</w:t>
      </w:r>
      <w:r>
        <w:t xml:space="preserve"> </w:t>
      </w:r>
      <w:r w:rsidRPr="00EE3082">
        <w:t>used US$ 19</w:t>
      </w:r>
      <w:r>
        <w:t>,</w:t>
      </w:r>
      <w:r w:rsidRPr="00EE3082">
        <w:t>593</w:t>
      </w:r>
      <w:r>
        <w:t>,</w:t>
      </w:r>
      <w:r w:rsidRPr="00EE3082">
        <w:t xml:space="preserve">580 as per the revised budget adopted by the ExCom for 2026. </w:t>
      </w:r>
      <w:r>
        <w:t>Consequently, the</w:t>
      </w:r>
      <w:r w:rsidRPr="00EE3082">
        <w:t xml:space="preserve"> total estimated funding for the triennium 2027-2029 is th</w:t>
      </w:r>
      <w:r>
        <w:t>us</w:t>
      </w:r>
      <w:r w:rsidRPr="00EE3082">
        <w:t xml:space="preserve"> </w:t>
      </w:r>
      <w:r w:rsidRPr="006565DE">
        <w:rPr>
          <w:b/>
          <w:bCs/>
        </w:rPr>
        <w:t>US$ 44</w:t>
      </w:r>
      <w:r>
        <w:rPr>
          <w:b/>
          <w:bCs/>
        </w:rPr>
        <w:t>.9 million</w:t>
      </w:r>
      <w:r>
        <w:t xml:space="preserve"> as shown in Table 5</w:t>
      </w:r>
      <w:r w:rsidR="00534173">
        <w:t>.1</w:t>
      </w:r>
      <w:r>
        <w:t>.</w:t>
      </w:r>
      <w:r w:rsidRPr="00EE3082">
        <w:t xml:space="preserve"> All IS project costs include agency support costs, apart from IS projects that fall under UNEP</w:t>
      </w:r>
      <w:r>
        <w:t>.</w:t>
      </w:r>
      <w:r w:rsidRPr="00EE3082">
        <w:t xml:space="preserve"> </w:t>
      </w:r>
    </w:p>
    <w:p w14:paraId="740EA403" w14:textId="11A9DEA6" w:rsidR="00201266" w:rsidRDefault="00201266" w:rsidP="002135B0">
      <w:pPr>
        <w:tabs>
          <w:tab w:val="left" w:pos="1134"/>
        </w:tabs>
        <w:spacing w:after="0"/>
        <w:ind w:left="1412" w:hanging="1412"/>
        <w:rPr>
          <w:rFonts w:eastAsiaTheme="minorHAnsi"/>
          <w:b/>
          <w:bCs/>
        </w:rPr>
      </w:pPr>
      <w:r w:rsidRPr="00E42C5E">
        <w:rPr>
          <w:rFonts w:eastAsiaTheme="minorHAnsi"/>
          <w:b/>
          <w:bCs/>
        </w:rPr>
        <w:t xml:space="preserve">Table </w:t>
      </w:r>
      <w:r>
        <w:rPr>
          <w:rFonts w:eastAsiaTheme="minorHAnsi"/>
          <w:b/>
          <w:bCs/>
        </w:rPr>
        <w:t>5.</w:t>
      </w:r>
      <w:r w:rsidR="00E41BAE">
        <w:rPr>
          <w:rFonts w:eastAsiaTheme="minorHAnsi"/>
          <w:b/>
          <w:bCs/>
        </w:rPr>
        <w:t>1</w:t>
      </w:r>
      <w:r w:rsidR="00DC419E">
        <w:rPr>
          <w:rFonts w:eastAsiaTheme="minorHAnsi"/>
          <w:b/>
          <w:bCs/>
        </w:rPr>
        <w:t>:</w:t>
      </w:r>
      <w:r w:rsidRPr="00E42C5E">
        <w:rPr>
          <w:rFonts w:eastAsiaTheme="minorHAnsi"/>
          <w:b/>
          <w:bCs/>
        </w:rPr>
        <w:tab/>
      </w:r>
      <w:r>
        <w:rPr>
          <w:rFonts w:eastAsiaTheme="minorHAnsi"/>
          <w:b/>
          <w:bCs/>
        </w:rPr>
        <w:t>Estimated funding requirement for institutional strengthening for 2027-2029 (US$)</w:t>
      </w:r>
    </w:p>
    <w:p w14:paraId="6E871CCC" w14:textId="77777777" w:rsidR="001E63EB" w:rsidRDefault="001E63EB" w:rsidP="00201266">
      <w:pPr>
        <w:tabs>
          <w:tab w:val="left" w:pos="1418"/>
        </w:tabs>
        <w:spacing w:after="0"/>
        <w:ind w:left="1411" w:hanging="1411"/>
        <w:rPr>
          <w:rFonts w:eastAsiaTheme="minorHAnsi"/>
          <w:b/>
          <w:bCs/>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80"/>
        <w:gridCol w:w="1748"/>
        <w:gridCol w:w="1748"/>
        <w:gridCol w:w="1744"/>
        <w:gridCol w:w="1744"/>
      </w:tblGrid>
      <w:tr w:rsidR="001E63EB" w:rsidRPr="00553A31" w14:paraId="6EAC08B8" w14:textId="77777777" w:rsidTr="001D79E5">
        <w:trPr>
          <w:trHeight w:val="240"/>
          <w:jc w:val="center"/>
        </w:trPr>
        <w:tc>
          <w:tcPr>
            <w:tcW w:w="1148" w:type="pct"/>
            <w:shd w:val="clear" w:color="auto" w:fill="E2EFD9" w:themeFill="accent6" w:themeFillTint="33"/>
            <w:tcMar>
              <w:top w:w="0" w:type="dxa"/>
              <w:left w:w="108" w:type="dxa"/>
              <w:bottom w:w="0" w:type="dxa"/>
              <w:right w:w="108" w:type="dxa"/>
            </w:tcMar>
            <w:hideMark/>
          </w:tcPr>
          <w:p w14:paraId="73E86C7F" w14:textId="77777777" w:rsidR="001E63EB" w:rsidRPr="00553A31" w:rsidRDefault="001E63EB" w:rsidP="006233FA">
            <w:pPr>
              <w:spacing w:after="0"/>
              <w:jc w:val="both"/>
              <w:rPr>
                <w:b/>
                <w:bCs/>
                <w:color w:val="000000"/>
              </w:rPr>
            </w:pPr>
          </w:p>
        </w:tc>
        <w:tc>
          <w:tcPr>
            <w:tcW w:w="964" w:type="pct"/>
            <w:shd w:val="clear" w:color="auto" w:fill="E2EFD9" w:themeFill="accent6" w:themeFillTint="33"/>
            <w:tcMar>
              <w:top w:w="0" w:type="dxa"/>
              <w:left w:w="108" w:type="dxa"/>
              <w:bottom w:w="0" w:type="dxa"/>
              <w:right w:w="108" w:type="dxa"/>
            </w:tcMar>
            <w:hideMark/>
          </w:tcPr>
          <w:p w14:paraId="3697374D" w14:textId="77777777" w:rsidR="001E63EB" w:rsidRPr="00553A31" w:rsidRDefault="001E63EB" w:rsidP="006233FA">
            <w:pPr>
              <w:spacing w:after="0"/>
              <w:jc w:val="center"/>
              <w:rPr>
                <w:b/>
                <w:bCs/>
                <w:color w:val="000000"/>
              </w:rPr>
            </w:pPr>
            <w:r w:rsidRPr="00553A31">
              <w:rPr>
                <w:b/>
                <w:bCs/>
                <w:color w:val="000000"/>
              </w:rPr>
              <w:t>2027</w:t>
            </w:r>
          </w:p>
        </w:tc>
        <w:tc>
          <w:tcPr>
            <w:tcW w:w="964" w:type="pct"/>
            <w:shd w:val="clear" w:color="auto" w:fill="E2EFD9" w:themeFill="accent6" w:themeFillTint="33"/>
          </w:tcPr>
          <w:p w14:paraId="623165DA" w14:textId="77777777" w:rsidR="001E63EB" w:rsidRPr="00553A31" w:rsidRDefault="001E63EB" w:rsidP="006233FA">
            <w:pPr>
              <w:spacing w:after="0"/>
              <w:jc w:val="center"/>
              <w:rPr>
                <w:b/>
                <w:bCs/>
                <w:color w:val="000000"/>
              </w:rPr>
            </w:pPr>
            <w:r w:rsidRPr="00553A31">
              <w:rPr>
                <w:b/>
                <w:bCs/>
                <w:color w:val="000000"/>
              </w:rPr>
              <w:t>2028</w:t>
            </w:r>
          </w:p>
        </w:tc>
        <w:tc>
          <w:tcPr>
            <w:tcW w:w="962" w:type="pct"/>
            <w:shd w:val="clear" w:color="auto" w:fill="E2EFD9" w:themeFill="accent6" w:themeFillTint="33"/>
          </w:tcPr>
          <w:p w14:paraId="1C1D5715" w14:textId="77777777" w:rsidR="001E63EB" w:rsidRPr="00553A31" w:rsidRDefault="001E63EB" w:rsidP="006233FA">
            <w:pPr>
              <w:spacing w:after="0"/>
              <w:jc w:val="center"/>
              <w:rPr>
                <w:b/>
                <w:bCs/>
                <w:color w:val="000000"/>
              </w:rPr>
            </w:pPr>
            <w:r w:rsidRPr="00553A31">
              <w:rPr>
                <w:b/>
                <w:bCs/>
                <w:color w:val="000000"/>
              </w:rPr>
              <w:t>2029</w:t>
            </w:r>
          </w:p>
        </w:tc>
        <w:tc>
          <w:tcPr>
            <w:tcW w:w="962" w:type="pct"/>
            <w:shd w:val="clear" w:color="auto" w:fill="E2EFD9" w:themeFill="accent6" w:themeFillTint="33"/>
          </w:tcPr>
          <w:p w14:paraId="2CA26FE9" w14:textId="77777777" w:rsidR="001E63EB" w:rsidRPr="00553A31" w:rsidRDefault="001E63EB" w:rsidP="006233FA">
            <w:pPr>
              <w:spacing w:after="0"/>
              <w:jc w:val="center"/>
              <w:rPr>
                <w:b/>
                <w:bCs/>
                <w:color w:val="000000"/>
              </w:rPr>
            </w:pPr>
            <w:r w:rsidRPr="00553A31">
              <w:rPr>
                <w:b/>
                <w:bCs/>
              </w:rPr>
              <w:t xml:space="preserve">TOTAL </w:t>
            </w:r>
          </w:p>
        </w:tc>
      </w:tr>
      <w:tr w:rsidR="001E63EB" w:rsidRPr="00553A31" w14:paraId="20CB0C4C" w14:textId="77777777" w:rsidTr="001D79E5">
        <w:trPr>
          <w:trHeight w:val="240"/>
          <w:jc w:val="center"/>
        </w:trPr>
        <w:tc>
          <w:tcPr>
            <w:tcW w:w="1148" w:type="pct"/>
            <w:shd w:val="clear" w:color="auto" w:fill="FFFF00"/>
            <w:tcMar>
              <w:top w:w="0" w:type="dxa"/>
              <w:left w:w="108" w:type="dxa"/>
              <w:bottom w:w="0" w:type="dxa"/>
              <w:right w:w="108" w:type="dxa"/>
            </w:tcMar>
            <w:vAlign w:val="center"/>
          </w:tcPr>
          <w:p w14:paraId="58D77B32" w14:textId="77777777" w:rsidR="001E63EB" w:rsidRPr="00553A31" w:rsidRDefault="001E63EB" w:rsidP="006233FA">
            <w:pPr>
              <w:spacing w:before="40" w:after="40"/>
              <w:rPr>
                <w:b/>
                <w:bCs/>
                <w:color w:val="000000"/>
              </w:rPr>
            </w:pPr>
            <w:r w:rsidRPr="00553A31">
              <w:rPr>
                <w:b/>
                <w:bCs/>
              </w:rPr>
              <w:t>Institutional Strengthening</w:t>
            </w:r>
          </w:p>
        </w:tc>
        <w:tc>
          <w:tcPr>
            <w:tcW w:w="964" w:type="pct"/>
            <w:shd w:val="clear" w:color="auto" w:fill="FFFF00"/>
            <w:tcMar>
              <w:top w:w="0" w:type="dxa"/>
              <w:left w:w="108" w:type="dxa"/>
              <w:bottom w:w="0" w:type="dxa"/>
              <w:right w:w="108" w:type="dxa"/>
            </w:tcMar>
            <w:vAlign w:val="center"/>
          </w:tcPr>
          <w:p w14:paraId="5D9E0CD9" w14:textId="77777777" w:rsidR="001E63EB" w:rsidRPr="00553A31" w:rsidRDefault="001E63EB" w:rsidP="006233FA">
            <w:pPr>
              <w:spacing w:before="40" w:after="40"/>
              <w:jc w:val="right"/>
              <w:rPr>
                <w:b/>
                <w:bCs/>
              </w:rPr>
            </w:pPr>
            <w:r w:rsidRPr="00553A31">
              <w:t>19,545,691</w:t>
            </w:r>
          </w:p>
        </w:tc>
        <w:tc>
          <w:tcPr>
            <w:tcW w:w="964" w:type="pct"/>
            <w:shd w:val="clear" w:color="auto" w:fill="FFFF00"/>
            <w:vAlign w:val="center"/>
          </w:tcPr>
          <w:p w14:paraId="135FB8F3" w14:textId="77777777" w:rsidR="001E63EB" w:rsidRPr="00553A31" w:rsidRDefault="001E63EB" w:rsidP="006233FA">
            <w:pPr>
              <w:spacing w:before="40" w:after="40"/>
              <w:jc w:val="right"/>
              <w:rPr>
                <w:b/>
                <w:bCs/>
              </w:rPr>
            </w:pPr>
            <w:r w:rsidRPr="00553A31">
              <w:t>5,717,815</w:t>
            </w:r>
          </w:p>
        </w:tc>
        <w:tc>
          <w:tcPr>
            <w:tcW w:w="962" w:type="pct"/>
            <w:shd w:val="clear" w:color="auto" w:fill="FFFF00"/>
            <w:vAlign w:val="center"/>
          </w:tcPr>
          <w:p w14:paraId="5A470D21" w14:textId="77777777" w:rsidR="001E63EB" w:rsidRPr="00553A31" w:rsidRDefault="001E63EB" w:rsidP="006233FA">
            <w:pPr>
              <w:spacing w:before="40" w:after="40"/>
              <w:jc w:val="right"/>
              <w:rPr>
                <w:b/>
                <w:bCs/>
              </w:rPr>
            </w:pPr>
            <w:r w:rsidRPr="00553A31">
              <w:t>19,593,580</w:t>
            </w:r>
          </w:p>
        </w:tc>
        <w:tc>
          <w:tcPr>
            <w:tcW w:w="962" w:type="pct"/>
            <w:shd w:val="clear" w:color="auto" w:fill="FFFF00"/>
            <w:vAlign w:val="center"/>
          </w:tcPr>
          <w:p w14:paraId="72CF966F" w14:textId="77777777" w:rsidR="001E63EB" w:rsidRPr="00553A31" w:rsidRDefault="001E63EB" w:rsidP="006233FA">
            <w:pPr>
              <w:spacing w:before="40" w:after="40"/>
              <w:jc w:val="right"/>
              <w:rPr>
                <w:b/>
                <w:bCs/>
              </w:rPr>
            </w:pPr>
            <w:r w:rsidRPr="00553A31">
              <w:rPr>
                <w:b/>
                <w:bCs/>
              </w:rPr>
              <w:t>44,857,086</w:t>
            </w:r>
          </w:p>
        </w:tc>
      </w:tr>
    </w:tbl>
    <w:p w14:paraId="5BA2140F" w14:textId="77777777" w:rsidR="001E63EB" w:rsidRDefault="001E63EB" w:rsidP="00201266">
      <w:pPr>
        <w:tabs>
          <w:tab w:val="left" w:pos="1418"/>
        </w:tabs>
        <w:spacing w:after="0"/>
        <w:ind w:left="1411" w:hanging="1411"/>
        <w:rPr>
          <w:rFonts w:eastAsiaTheme="minorHAnsi"/>
          <w:b/>
          <w:bCs/>
        </w:rPr>
      </w:pPr>
    </w:p>
    <w:p w14:paraId="7552B429" w14:textId="1EC38076" w:rsidR="00F91A0D" w:rsidRDefault="00F91A0D" w:rsidP="002D02B7">
      <w:pPr>
        <w:pStyle w:val="Heading2"/>
      </w:pPr>
      <w:bookmarkStart w:id="252" w:name="_Toc113319171"/>
      <w:bookmarkStart w:id="253" w:name="_Toc119436597"/>
      <w:bookmarkStart w:id="254" w:name="_Toc230099108"/>
      <w:r w:rsidRPr="00E42C5E">
        <w:t>5.3</w:t>
      </w:r>
      <w:r w:rsidRPr="00E42C5E">
        <w:tab/>
      </w:r>
      <w:r w:rsidR="006A03E5">
        <w:t>Es</w:t>
      </w:r>
      <w:r w:rsidR="00DE20D0">
        <w:t xml:space="preserve">timated </w:t>
      </w:r>
      <w:r w:rsidR="005222D7">
        <w:t>funding for sta</w:t>
      </w:r>
      <w:r w:rsidR="00905A83">
        <w:t>ndard activities</w:t>
      </w:r>
      <w:bookmarkEnd w:id="252"/>
      <w:bookmarkEnd w:id="253"/>
      <w:bookmarkEnd w:id="254"/>
    </w:p>
    <w:p w14:paraId="4B0692AC" w14:textId="03B1CD79" w:rsidR="006A03E5" w:rsidRPr="00E42C5E" w:rsidRDefault="006A03E5" w:rsidP="007C77CF">
      <w:pPr>
        <w:pStyle w:val="Heading3"/>
      </w:pPr>
      <w:bookmarkStart w:id="255" w:name="_Toc113319169"/>
      <w:bookmarkStart w:id="256" w:name="_Toc119436595"/>
      <w:bookmarkStart w:id="257" w:name="_Toc230099109"/>
      <w:r w:rsidRPr="00E42C5E">
        <w:t>5.</w:t>
      </w:r>
      <w:r w:rsidR="009A38A9">
        <w:t>3</w:t>
      </w:r>
      <w:r w:rsidRPr="00E42C5E">
        <w:t>.1</w:t>
      </w:r>
      <w:r w:rsidRPr="00E42C5E">
        <w:tab/>
      </w:r>
      <w:r w:rsidR="00F05C22">
        <w:t>UNEP Compliance Assistance Programme</w:t>
      </w:r>
      <w:bookmarkEnd w:id="255"/>
      <w:bookmarkEnd w:id="256"/>
      <w:bookmarkEnd w:id="257"/>
    </w:p>
    <w:p w14:paraId="22E9972A" w14:textId="2CCF8E0E" w:rsidR="00783E71" w:rsidRDefault="4BCEE662" w:rsidP="00783E71">
      <w:r>
        <w:t xml:space="preserve">The CAP is implemented by UNEP’s OzoneAction in its role as an Implementing Agency. UNEP’s OzonAction was established in 1991 and was relaunched through a substantive transformation as the CAP in early 2000, when the programme was restructured from a centralized to a regionalized operation located in UNEP’s five regional offices. The CAP provides support and assistance to A5 parties through a dedicated team in each region. The CAP is a natural complement to the </w:t>
      </w:r>
      <w:r w:rsidR="00F64E92">
        <w:t>IS</w:t>
      </w:r>
      <w:r>
        <w:t xml:space="preserve"> projects of each A5 party individually and provides a permanent forum of communication.</w:t>
      </w:r>
    </w:p>
    <w:p w14:paraId="7658E5DE" w14:textId="2A5E6747" w:rsidR="00783E71" w:rsidRDefault="00783E71" w:rsidP="00783E71">
      <w:r>
        <w:t xml:space="preserve">The CAP has been instrumental in building and maintaining the Regional Networks of Ozone Officers, where the </w:t>
      </w:r>
      <w:r w:rsidR="00004E72">
        <w:t>o</w:t>
      </w:r>
      <w:r>
        <w:t>fficers periodically exchange views, experiences, information and knowledge. Over the years, this mechanism</w:t>
      </w:r>
      <w:r w:rsidRPr="00DE58D9">
        <w:t xml:space="preserve"> </w:t>
      </w:r>
      <w:r>
        <w:t>has proven to be very cost-effective; originally designed as a coordination and information-sharing mechanism, it has become a more comprehensive and focused compliance mechanism, dealing with higher levels of complexity as the parties agree new decisions strengthening the Protocol, e.g. the HCFCs accelerat</w:t>
      </w:r>
      <w:r w:rsidR="00EA0717">
        <w:t>ed</w:t>
      </w:r>
      <w:r>
        <w:t xml:space="preserve"> phase</w:t>
      </w:r>
      <w:r w:rsidR="00EA0717">
        <w:t>-</w:t>
      </w:r>
      <w:r>
        <w:t xml:space="preserve">out, the </w:t>
      </w:r>
      <w:r w:rsidR="00C750DF">
        <w:t>KA</w:t>
      </w:r>
      <w:r>
        <w:t>, aligning EE with the HFC phase</w:t>
      </w:r>
      <w:r w:rsidR="00EA0717">
        <w:t>-</w:t>
      </w:r>
      <w:r>
        <w:t>down, LRM, complex technologies transitions</w:t>
      </w:r>
      <w:r w:rsidR="00BA7FE7">
        <w:t>,</w:t>
      </w:r>
      <w:r>
        <w:t xml:space="preserve"> etc. </w:t>
      </w:r>
    </w:p>
    <w:p w14:paraId="422A4FC5" w14:textId="25C86174" w:rsidR="00783E71" w:rsidRDefault="1BEE5067" w:rsidP="00783E71">
      <w:r>
        <w:t xml:space="preserve">At an operative level, the Regional Network Meetings facilitate the sharing of relevant decisions of the MOPs and the ExCom, the consideration of different technical reports of the </w:t>
      </w:r>
      <w:r w:rsidR="707A5DD9">
        <w:t>a</w:t>
      </w:r>
      <w:r>
        <w:t xml:space="preserve">ssessment </w:t>
      </w:r>
      <w:r w:rsidR="707A5DD9">
        <w:t>p</w:t>
      </w:r>
      <w:r>
        <w:t xml:space="preserve">anels, the development of training initiatives and the exchange of policy, technical and administrative initiatives as well as sharing implementation experiences </w:t>
      </w:r>
      <w:r w:rsidR="707A5DD9">
        <w:t>with</w:t>
      </w:r>
      <w:r>
        <w:t xml:space="preserve">in a solid institutional structure. Such networking has fostered much needed dialogues serving as catalysers for the implementation of control measures agreed under the </w:t>
      </w:r>
      <w:r w:rsidR="00FB7C66">
        <w:t>MP</w:t>
      </w:r>
      <w:r>
        <w:t>. Regional networks have become a unique and effective two-way platform not only for National Ozone Officers</w:t>
      </w:r>
      <w:r w:rsidR="20A47629">
        <w:t xml:space="preserve"> </w:t>
      </w:r>
      <w:r>
        <w:t>(NOO</w:t>
      </w:r>
      <w:r w:rsidR="007E7A9C">
        <w:t>s</w:t>
      </w:r>
      <w:r>
        <w:t>)</w:t>
      </w:r>
      <w:r w:rsidR="15D8097D">
        <w:t xml:space="preserve"> </w:t>
      </w:r>
      <w:r>
        <w:t>but also for other bodies such as I</w:t>
      </w:r>
      <w:r w:rsidR="5F101576">
        <w:t>As</w:t>
      </w:r>
      <w:r>
        <w:t xml:space="preserve">, </w:t>
      </w:r>
      <w:r w:rsidR="5F101576">
        <w:t>b</w:t>
      </w:r>
      <w:r>
        <w:t xml:space="preserve">ilateral </w:t>
      </w:r>
      <w:r w:rsidR="15D8097D">
        <w:t>a</w:t>
      </w:r>
      <w:r>
        <w:t xml:space="preserve">gencies, the </w:t>
      </w:r>
      <w:r w:rsidR="00185768">
        <w:t>OS</w:t>
      </w:r>
      <w:r>
        <w:t>, the MLF</w:t>
      </w:r>
      <w:r w:rsidR="5F101576">
        <w:t>S</w:t>
      </w:r>
      <w:r>
        <w:t xml:space="preserve"> and the </w:t>
      </w:r>
      <w:r w:rsidR="5F101576">
        <w:t>a</w:t>
      </w:r>
      <w:r>
        <w:t xml:space="preserve">ssessment </w:t>
      </w:r>
      <w:r w:rsidR="5F101576">
        <w:t>p</w:t>
      </w:r>
      <w:r>
        <w:t>anels to exchange latest developments and gather updated information from NOOs.</w:t>
      </w:r>
    </w:p>
    <w:p w14:paraId="6C431D1E" w14:textId="577EAD31" w:rsidR="00783E71" w:rsidRDefault="004A2D6A" w:rsidP="00783E71">
      <w:r>
        <w:t>Almost 1</w:t>
      </w:r>
      <w:r w:rsidR="00783E71">
        <w:t xml:space="preserve">0 years after the </w:t>
      </w:r>
      <w:r w:rsidR="00C750DF">
        <w:t>KA</w:t>
      </w:r>
      <w:r w:rsidR="00783E71">
        <w:t xml:space="preserve"> was adopted </w:t>
      </w:r>
      <w:r>
        <w:t xml:space="preserve">parties at </w:t>
      </w:r>
      <w:r w:rsidR="00C750DF">
        <w:t>MOP-28</w:t>
      </w:r>
      <w:r w:rsidR="00783E71">
        <w:t xml:space="preserve">, implementation of </w:t>
      </w:r>
      <w:r>
        <w:t xml:space="preserve">HFC phase-down </w:t>
      </w:r>
      <w:r w:rsidR="00783E71">
        <w:t xml:space="preserve">obligations involves a variety of policy, regulatory and technical issues requiring assertive actions through open communication and engagement at the national levels. In response to these requirements, Regional Network Meetings have been exchanging information and knowledge in new and complex technical issues related to safety standards, flammable refrigerants, </w:t>
      </w:r>
      <w:r w:rsidR="00D02C1C">
        <w:t>EE</w:t>
      </w:r>
      <w:r w:rsidR="00783E71">
        <w:t>, feedstocks, illegal trade, dumping, LRM, and other</w:t>
      </w:r>
      <w:r w:rsidR="00205394">
        <w:t xml:space="preserve"> issues </w:t>
      </w:r>
      <w:r w:rsidR="00106BB3">
        <w:t xml:space="preserve">of interest to </w:t>
      </w:r>
      <w:r w:rsidR="00783E71">
        <w:t xml:space="preserve">the parties. </w:t>
      </w:r>
    </w:p>
    <w:p w14:paraId="0FE73EA3" w14:textId="113F1501" w:rsidR="00106BB3" w:rsidRDefault="00106BB3" w:rsidP="00783E71">
      <w:r w:rsidRPr="008129F2">
        <w:t xml:space="preserve">Annex </w:t>
      </w:r>
      <w:r w:rsidR="008129F2" w:rsidRPr="008129F2">
        <w:t>7</w:t>
      </w:r>
      <w:r w:rsidRPr="008129F2">
        <w:t xml:space="preserve"> </w:t>
      </w:r>
      <w:r w:rsidR="0037704C" w:rsidRPr="008129F2">
        <w:t>includes</w:t>
      </w:r>
      <w:r w:rsidR="0037704C">
        <w:t xml:space="preserve"> information on </w:t>
      </w:r>
      <w:r w:rsidR="009E4A8E">
        <w:t>the most relevant decisions taken by the ExCom on this important programme; they show the evolution and signals the approach followed by the ExCom to continuously strengthen the CAP.</w:t>
      </w:r>
    </w:p>
    <w:p w14:paraId="31EDEBBA" w14:textId="075CC4E9" w:rsidR="009372BC" w:rsidRDefault="4BCEE662" w:rsidP="009372BC">
      <w:pPr>
        <w:rPr>
          <w:b/>
          <w:bCs/>
          <w:lang w:val="en-US"/>
        </w:rPr>
      </w:pPr>
      <w:r>
        <w:t xml:space="preserve">The RTF used the level of funding of the revised budget for 2026, approved </w:t>
      </w:r>
      <w:r w:rsidR="00320ACA">
        <w:t>at ExCom-97</w:t>
      </w:r>
      <w:r>
        <w:t xml:space="preserve">, and applied a 3% increase per year for the triennia 2027-2029. These figures also include 8% for </w:t>
      </w:r>
      <w:r>
        <w:lastRenderedPageBreak/>
        <w:t xml:space="preserve">programme support costs. Consequently, as shown in Table 5.4, the </w:t>
      </w:r>
      <w:r w:rsidRPr="4BCEE662">
        <w:rPr>
          <w:lang w:val="en-US"/>
        </w:rPr>
        <w:t xml:space="preserve">estimated total funding requirement for CAP during the period 2027-2029 is </w:t>
      </w:r>
      <w:r w:rsidRPr="4BCEE662">
        <w:rPr>
          <w:b/>
          <w:bCs/>
          <w:lang w:val="en-US"/>
        </w:rPr>
        <w:t>US$ 39.4 million</w:t>
      </w:r>
      <w:r w:rsidRPr="4BCEE662">
        <w:rPr>
          <w:lang w:val="en-US"/>
        </w:rPr>
        <w:t>.</w:t>
      </w:r>
    </w:p>
    <w:p w14:paraId="3370C867" w14:textId="2F33DE9F" w:rsidR="009372BC" w:rsidRDefault="002808DD" w:rsidP="002135B0">
      <w:pPr>
        <w:tabs>
          <w:tab w:val="left" w:pos="1134"/>
        </w:tabs>
        <w:spacing w:after="0"/>
        <w:ind w:left="1412" w:hanging="1412"/>
        <w:rPr>
          <w:rFonts w:eastAsiaTheme="minorHAnsi"/>
          <w:b/>
          <w:bCs/>
        </w:rPr>
      </w:pPr>
      <w:r w:rsidRPr="00E42C5E">
        <w:rPr>
          <w:rFonts w:eastAsiaTheme="minorHAnsi"/>
          <w:b/>
          <w:bCs/>
        </w:rPr>
        <w:t xml:space="preserve">Table </w:t>
      </w:r>
      <w:r>
        <w:rPr>
          <w:rFonts w:eastAsiaTheme="minorHAnsi"/>
          <w:b/>
          <w:bCs/>
        </w:rPr>
        <w:t>5.2</w:t>
      </w:r>
      <w:r w:rsidR="00974B61">
        <w:rPr>
          <w:rFonts w:eastAsiaTheme="minorHAnsi"/>
          <w:b/>
          <w:bCs/>
        </w:rPr>
        <w:t>:</w:t>
      </w:r>
      <w:r w:rsidRPr="00E42C5E">
        <w:rPr>
          <w:rFonts w:eastAsiaTheme="minorHAnsi"/>
          <w:b/>
          <w:bCs/>
        </w:rPr>
        <w:tab/>
      </w:r>
      <w:r>
        <w:rPr>
          <w:rFonts w:eastAsiaTheme="minorHAnsi"/>
          <w:b/>
          <w:bCs/>
        </w:rPr>
        <w:t>Estimated funding requirement for CAP</w:t>
      </w:r>
      <w:r w:rsidR="005A1065">
        <w:rPr>
          <w:rFonts w:eastAsiaTheme="minorHAnsi"/>
          <w:b/>
          <w:bCs/>
        </w:rPr>
        <w:t xml:space="preserve"> f</w:t>
      </w:r>
      <w:r>
        <w:rPr>
          <w:rFonts w:eastAsiaTheme="minorHAnsi"/>
          <w:b/>
          <w:bCs/>
        </w:rPr>
        <w:t>or 2027-2029 (US$)</w:t>
      </w:r>
    </w:p>
    <w:p w14:paraId="6C3EB57E" w14:textId="77777777" w:rsidR="005A1065" w:rsidRPr="005A1065" w:rsidRDefault="005A1065" w:rsidP="005A1065">
      <w:pPr>
        <w:tabs>
          <w:tab w:val="left" w:pos="1418"/>
        </w:tabs>
        <w:spacing w:after="0"/>
        <w:ind w:left="1411" w:hanging="1411"/>
        <w:rPr>
          <w:rFonts w:eastAsiaTheme="minorHAnsi"/>
          <w:b/>
          <w:bCs/>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8"/>
        <w:gridCol w:w="1983"/>
        <w:gridCol w:w="1418"/>
        <w:gridCol w:w="1276"/>
        <w:gridCol w:w="1419"/>
      </w:tblGrid>
      <w:tr w:rsidR="009372BC" w:rsidRPr="00553A31" w14:paraId="25AE128F" w14:textId="77777777" w:rsidTr="005D31A7">
        <w:trPr>
          <w:trHeight w:val="317"/>
          <w:jc w:val="center"/>
        </w:trPr>
        <w:tc>
          <w:tcPr>
            <w:tcW w:w="1637" w:type="pct"/>
            <w:shd w:val="clear" w:color="auto" w:fill="E2EFD9" w:themeFill="accent6" w:themeFillTint="33"/>
            <w:tcMar>
              <w:top w:w="0" w:type="dxa"/>
              <w:left w:w="108" w:type="dxa"/>
              <w:bottom w:w="0" w:type="dxa"/>
              <w:right w:w="108" w:type="dxa"/>
            </w:tcMar>
            <w:hideMark/>
          </w:tcPr>
          <w:p w14:paraId="08C4F681" w14:textId="77777777" w:rsidR="009372BC" w:rsidRPr="00553A31" w:rsidRDefault="009372BC" w:rsidP="006233FA">
            <w:pPr>
              <w:spacing w:after="0"/>
              <w:rPr>
                <w:b/>
                <w:bCs/>
              </w:rPr>
            </w:pPr>
          </w:p>
        </w:tc>
        <w:tc>
          <w:tcPr>
            <w:tcW w:w="1094" w:type="pct"/>
            <w:shd w:val="clear" w:color="auto" w:fill="E2EFD9" w:themeFill="accent6" w:themeFillTint="33"/>
            <w:tcMar>
              <w:top w:w="0" w:type="dxa"/>
              <w:left w:w="108" w:type="dxa"/>
              <w:bottom w:w="0" w:type="dxa"/>
              <w:right w:w="108" w:type="dxa"/>
            </w:tcMar>
            <w:vAlign w:val="center"/>
            <w:hideMark/>
          </w:tcPr>
          <w:p w14:paraId="07317999" w14:textId="77777777" w:rsidR="009372BC" w:rsidRPr="00553A31" w:rsidRDefault="009372BC" w:rsidP="00974B61">
            <w:pPr>
              <w:spacing w:after="0"/>
              <w:jc w:val="center"/>
              <w:rPr>
                <w:b/>
                <w:bCs/>
              </w:rPr>
            </w:pPr>
            <w:r w:rsidRPr="00553A31">
              <w:rPr>
                <w:b/>
                <w:bCs/>
              </w:rPr>
              <w:t>2027</w:t>
            </w:r>
          </w:p>
        </w:tc>
        <w:tc>
          <w:tcPr>
            <w:tcW w:w="782" w:type="pct"/>
            <w:shd w:val="clear" w:color="auto" w:fill="E2EFD9" w:themeFill="accent6" w:themeFillTint="33"/>
            <w:vAlign w:val="center"/>
          </w:tcPr>
          <w:p w14:paraId="1012A80B" w14:textId="77777777" w:rsidR="009372BC" w:rsidRPr="00553A31" w:rsidRDefault="009372BC" w:rsidP="00974B61">
            <w:pPr>
              <w:spacing w:after="0"/>
              <w:jc w:val="center"/>
              <w:rPr>
                <w:b/>
                <w:bCs/>
              </w:rPr>
            </w:pPr>
            <w:r w:rsidRPr="00553A31">
              <w:rPr>
                <w:b/>
                <w:bCs/>
              </w:rPr>
              <w:t>2028</w:t>
            </w:r>
          </w:p>
        </w:tc>
        <w:tc>
          <w:tcPr>
            <w:tcW w:w="704" w:type="pct"/>
            <w:shd w:val="clear" w:color="auto" w:fill="E2EFD9" w:themeFill="accent6" w:themeFillTint="33"/>
            <w:vAlign w:val="center"/>
          </w:tcPr>
          <w:p w14:paraId="36C57015" w14:textId="77777777" w:rsidR="009372BC" w:rsidRPr="00553A31" w:rsidRDefault="009372BC" w:rsidP="00974B61">
            <w:pPr>
              <w:spacing w:after="0"/>
              <w:jc w:val="center"/>
              <w:rPr>
                <w:b/>
                <w:bCs/>
              </w:rPr>
            </w:pPr>
            <w:r w:rsidRPr="00553A31">
              <w:rPr>
                <w:b/>
                <w:bCs/>
              </w:rPr>
              <w:t>2029</w:t>
            </w:r>
          </w:p>
        </w:tc>
        <w:tc>
          <w:tcPr>
            <w:tcW w:w="783" w:type="pct"/>
            <w:shd w:val="clear" w:color="auto" w:fill="E2EFD9" w:themeFill="accent6" w:themeFillTint="33"/>
            <w:vAlign w:val="center"/>
          </w:tcPr>
          <w:p w14:paraId="4F69B769" w14:textId="77777777" w:rsidR="009372BC" w:rsidRPr="00553A31" w:rsidRDefault="009372BC" w:rsidP="00974B61">
            <w:pPr>
              <w:spacing w:after="0"/>
              <w:jc w:val="center"/>
              <w:rPr>
                <w:b/>
                <w:bCs/>
              </w:rPr>
            </w:pPr>
            <w:r w:rsidRPr="00553A31">
              <w:rPr>
                <w:b/>
                <w:bCs/>
              </w:rPr>
              <w:t>TOTAL</w:t>
            </w:r>
          </w:p>
        </w:tc>
      </w:tr>
      <w:tr w:rsidR="009372BC" w:rsidRPr="00553A31" w14:paraId="033F341A" w14:textId="77777777" w:rsidTr="005D31A7">
        <w:trPr>
          <w:trHeight w:val="240"/>
          <w:jc w:val="center"/>
        </w:trPr>
        <w:tc>
          <w:tcPr>
            <w:tcW w:w="1637" w:type="pct"/>
            <w:shd w:val="clear" w:color="auto" w:fill="FFFF00"/>
            <w:tcMar>
              <w:top w:w="0" w:type="dxa"/>
              <w:left w:w="108" w:type="dxa"/>
              <w:bottom w:w="0" w:type="dxa"/>
              <w:right w:w="108" w:type="dxa"/>
            </w:tcMar>
          </w:tcPr>
          <w:p w14:paraId="220AC281" w14:textId="5643324E" w:rsidR="009372BC" w:rsidRPr="00553A31" w:rsidRDefault="274D2446" w:rsidP="006233FA">
            <w:pPr>
              <w:spacing w:before="40" w:after="40"/>
              <w:rPr>
                <w:b/>
                <w:bCs/>
              </w:rPr>
            </w:pPr>
            <w:r w:rsidRPr="274D2446">
              <w:rPr>
                <w:b/>
                <w:bCs/>
              </w:rPr>
              <w:t xml:space="preserve">CAP Funding Requirements </w:t>
            </w:r>
            <w:r w:rsidR="00E401F3">
              <w:rPr>
                <w:b/>
                <w:bCs/>
              </w:rPr>
              <w:t>per year and total for triennium</w:t>
            </w:r>
            <w:r w:rsidRPr="274D2446">
              <w:rPr>
                <w:b/>
                <w:bCs/>
              </w:rPr>
              <w:t xml:space="preserve"> </w:t>
            </w:r>
          </w:p>
        </w:tc>
        <w:tc>
          <w:tcPr>
            <w:tcW w:w="1094" w:type="pct"/>
            <w:shd w:val="clear" w:color="auto" w:fill="FFFF00"/>
            <w:tcMar>
              <w:top w:w="0" w:type="dxa"/>
              <w:left w:w="108" w:type="dxa"/>
              <w:bottom w:w="0" w:type="dxa"/>
              <w:right w:w="108" w:type="dxa"/>
            </w:tcMar>
            <w:vAlign w:val="center"/>
          </w:tcPr>
          <w:p w14:paraId="11D49E71" w14:textId="77777777" w:rsidR="009372BC" w:rsidRPr="00553A31" w:rsidRDefault="009372BC" w:rsidP="006233FA">
            <w:pPr>
              <w:spacing w:before="40" w:after="40"/>
              <w:jc w:val="right"/>
              <w:rPr>
                <w:b/>
                <w:bCs/>
              </w:rPr>
            </w:pPr>
            <w:r w:rsidRPr="00553A31">
              <w:t>12,748,967</w:t>
            </w:r>
          </w:p>
        </w:tc>
        <w:tc>
          <w:tcPr>
            <w:tcW w:w="782" w:type="pct"/>
            <w:shd w:val="clear" w:color="auto" w:fill="FFFF00"/>
            <w:vAlign w:val="center"/>
          </w:tcPr>
          <w:p w14:paraId="24CF04C8" w14:textId="77777777" w:rsidR="009372BC" w:rsidRPr="00553A31" w:rsidRDefault="009372BC" w:rsidP="006233FA">
            <w:pPr>
              <w:spacing w:before="40" w:after="40"/>
              <w:jc w:val="right"/>
              <w:rPr>
                <w:b/>
                <w:bCs/>
              </w:rPr>
            </w:pPr>
            <w:r w:rsidRPr="00553A31">
              <w:t>13,131,436</w:t>
            </w:r>
          </w:p>
        </w:tc>
        <w:tc>
          <w:tcPr>
            <w:tcW w:w="704" w:type="pct"/>
            <w:shd w:val="clear" w:color="auto" w:fill="FFFF00"/>
            <w:vAlign w:val="center"/>
          </w:tcPr>
          <w:p w14:paraId="34F73B2F" w14:textId="77777777" w:rsidR="009372BC" w:rsidRPr="00553A31" w:rsidRDefault="009372BC" w:rsidP="006233FA">
            <w:pPr>
              <w:spacing w:before="40" w:after="40"/>
              <w:jc w:val="right"/>
              <w:rPr>
                <w:b/>
                <w:bCs/>
              </w:rPr>
            </w:pPr>
            <w:r w:rsidRPr="00553A31">
              <w:t>13,525,3793</w:t>
            </w:r>
          </w:p>
        </w:tc>
        <w:tc>
          <w:tcPr>
            <w:tcW w:w="783" w:type="pct"/>
            <w:shd w:val="clear" w:color="auto" w:fill="FFFF00"/>
            <w:vAlign w:val="center"/>
          </w:tcPr>
          <w:p w14:paraId="0BA63B57" w14:textId="77777777" w:rsidR="009372BC" w:rsidRPr="00553A31" w:rsidRDefault="009372BC" w:rsidP="006233FA">
            <w:pPr>
              <w:spacing w:before="40" w:after="40"/>
              <w:jc w:val="right"/>
              <w:rPr>
                <w:b/>
                <w:bCs/>
              </w:rPr>
            </w:pPr>
            <w:r w:rsidRPr="00553A31">
              <w:rPr>
                <w:b/>
                <w:bCs/>
              </w:rPr>
              <w:t>39,405,782</w:t>
            </w:r>
          </w:p>
        </w:tc>
      </w:tr>
    </w:tbl>
    <w:p w14:paraId="5635B556" w14:textId="77777777" w:rsidR="006A03E5" w:rsidRPr="00D7427C" w:rsidRDefault="006A03E5" w:rsidP="006A03E5">
      <w:pPr>
        <w:rPr>
          <w:rFonts w:eastAsiaTheme="minorEastAsia"/>
        </w:rPr>
      </w:pPr>
    </w:p>
    <w:p w14:paraId="657A90D0" w14:textId="57DC93A0" w:rsidR="006A03E5" w:rsidRPr="00E42C5E" w:rsidRDefault="274D2446" w:rsidP="007C77CF">
      <w:pPr>
        <w:pStyle w:val="Heading3"/>
      </w:pPr>
      <w:bookmarkStart w:id="258" w:name="_Toc113319170"/>
      <w:bookmarkStart w:id="259" w:name="_Toc119436596"/>
      <w:bookmarkStart w:id="260" w:name="_Toc230099110"/>
      <w:r>
        <w:t>5.3.2</w:t>
      </w:r>
      <w:r w:rsidR="006A03E5">
        <w:tab/>
      </w:r>
      <w:bookmarkEnd w:id="258"/>
      <w:bookmarkEnd w:id="259"/>
      <w:r>
        <w:t>Core Unit Funding for UNDP, UNIDO and the World Bank</w:t>
      </w:r>
      <w:bookmarkEnd w:id="260"/>
    </w:p>
    <w:p w14:paraId="43C5FC51" w14:textId="4B812F27" w:rsidR="009275CC" w:rsidRPr="00354BEB" w:rsidRDefault="6931426C" w:rsidP="009275CC">
      <w:r w:rsidRPr="00354BEB">
        <w:t xml:space="preserve">The current administrative cost regime provides for the staffing levels of UNDP, UNIDO and the </w:t>
      </w:r>
      <w:r w:rsidR="009619FA">
        <w:t>WB</w:t>
      </w:r>
      <w:r w:rsidRPr="00354BEB">
        <w:t xml:space="preserve"> to be maintained by the core unit funding, which is additional to the agency fees (support costs) applied to projects. For UNDP, UNIDO and the </w:t>
      </w:r>
      <w:r w:rsidR="009619FA">
        <w:t>WB</w:t>
      </w:r>
      <w:r w:rsidR="00833E7C">
        <w:t>,</w:t>
      </w:r>
      <w:r w:rsidRPr="00354BEB">
        <w:t xml:space="preserve"> </w:t>
      </w:r>
      <w:r w:rsidR="001E74C7">
        <w:t>agency</w:t>
      </w:r>
      <w:r w:rsidRPr="00354BEB">
        <w:t xml:space="preserve"> support </w:t>
      </w:r>
      <w:r w:rsidR="00041460" w:rsidRPr="00354BEB">
        <w:t>costs vary</w:t>
      </w:r>
      <w:r w:rsidRPr="00354BEB">
        <w:t xml:space="preserve"> from 6.5 to 9%, depending on the type and cost of the project.</w:t>
      </w:r>
      <w:r w:rsidR="009275CC" w:rsidRPr="00354BEB">
        <w:rPr>
          <w:vertAlign w:val="superscript"/>
        </w:rPr>
        <w:footnoteReference w:id="68"/>
      </w:r>
      <w:r w:rsidRPr="00354BEB">
        <w:t xml:space="preserve">  </w:t>
      </w:r>
    </w:p>
    <w:p w14:paraId="0EAAC235" w14:textId="660B8B91" w:rsidR="009275CC" w:rsidRPr="00354BEB" w:rsidRDefault="6931426C" w:rsidP="009275CC">
      <w:r w:rsidRPr="00354BEB">
        <w:t xml:space="preserve">The core unit budgets for UNDP, UNIDO and the </w:t>
      </w:r>
      <w:r w:rsidR="009619FA">
        <w:t>WB</w:t>
      </w:r>
      <w:r w:rsidRPr="00354BEB">
        <w:t xml:space="preserve"> were first approved at </w:t>
      </w:r>
      <w:r w:rsidR="00F50B20">
        <w:t>ExCom-38</w:t>
      </w:r>
      <w:r w:rsidRPr="00354BEB">
        <w:t xml:space="preserve">, while agency support costs associated with project proposals were adjusted. Main duties </w:t>
      </w:r>
      <w:r w:rsidR="00E5492E" w:rsidRPr="00E5492E">
        <w:t xml:space="preserve">for both core unit and administrative and technical project staff </w:t>
      </w:r>
      <w:r w:rsidRPr="00354BEB">
        <w:t xml:space="preserve">include </w:t>
      </w:r>
      <w:r w:rsidR="00950D96" w:rsidRPr="00950D96">
        <w:t>financial reporting to MLFS on expenditures and interest ac</w:t>
      </w:r>
      <w:r w:rsidR="00950D96">
        <w:t>c</w:t>
      </w:r>
      <w:r w:rsidR="00950D96" w:rsidRPr="00950D96">
        <w:t>rued on funding balance with the agency</w:t>
      </w:r>
      <w:r w:rsidR="00BA53F5">
        <w:t>;</w:t>
      </w:r>
      <w:r w:rsidR="00950D96" w:rsidRPr="00950D96">
        <w:t xml:space="preserve"> </w:t>
      </w:r>
      <w:r w:rsidRPr="00354BEB">
        <w:t>reviewing project applications and preparing project proposals; coordinating with representatives from the Governments, establishing legal agreements and terms of reference for subcontracts; submission of project reports, business plans, project proposals on behalf of A5 parties, reports on specific on-going projects, project completion reports for consideration by the Ex</w:t>
      </w:r>
      <w:r w:rsidR="00BA53F5">
        <w:t>Com</w:t>
      </w:r>
      <w:r w:rsidRPr="00354BEB">
        <w:t xml:space="preserve">, addressing all issues raised by the Secretariat; mobilizing additional resources for implementation of approved projects when required, processing contractual and accounting project documents, and undertaking bidding process, following up on implementation status, including country visits if there is evidence of undue delays or difficulties; and participating in meetings of the ExCom, and the </w:t>
      </w:r>
      <w:r w:rsidR="00F50B20">
        <w:t>MLFS</w:t>
      </w:r>
      <w:r w:rsidR="1C189397">
        <w:t>.</w:t>
      </w:r>
      <w:r w:rsidR="009275CC" w:rsidRPr="00354BEB">
        <w:rPr>
          <w:vertAlign w:val="superscript"/>
        </w:rPr>
        <w:footnoteReference w:id="69"/>
      </w:r>
      <w:r w:rsidRPr="00354BEB">
        <w:t xml:space="preserve"> In addition, IAs also participate in regional CAP meetings at their own cost.</w:t>
      </w:r>
    </w:p>
    <w:p w14:paraId="47E912E4" w14:textId="432B1BEC" w:rsidR="009275CC" w:rsidRDefault="009275CC" w:rsidP="009275CC">
      <w:r w:rsidRPr="00354BEB">
        <w:t>The RTF used the level of funding approved by the ExCom in 2025 for 2026, and applied a 0.7% increase per year, according to the current administrative cost regime for UNDP, UNIDO</w:t>
      </w:r>
      <w:r>
        <w:t>,</w:t>
      </w:r>
      <w:r w:rsidRPr="00354BEB">
        <w:t xml:space="preserve"> and the </w:t>
      </w:r>
      <w:r w:rsidR="009619FA">
        <w:t>WB</w:t>
      </w:r>
      <w:r w:rsidRPr="00354BEB">
        <w:t>; these figures do not include programme support costs</w:t>
      </w:r>
      <w:r w:rsidR="0071571B">
        <w:t>.</w:t>
      </w:r>
      <w:r w:rsidRPr="00354BEB">
        <w:t xml:space="preserve"> </w:t>
      </w:r>
      <w:r w:rsidRPr="00354BEB">
        <w:rPr>
          <w:color w:val="000000"/>
        </w:rPr>
        <w:t xml:space="preserve">The total </w:t>
      </w:r>
      <w:r>
        <w:rPr>
          <w:color w:val="000000"/>
        </w:rPr>
        <w:t xml:space="preserve">funding is </w:t>
      </w:r>
      <w:r w:rsidRPr="00354BEB">
        <w:rPr>
          <w:color w:val="000000"/>
        </w:rPr>
        <w:t>estimate</w:t>
      </w:r>
      <w:r>
        <w:rPr>
          <w:color w:val="000000"/>
        </w:rPr>
        <w:t>d</w:t>
      </w:r>
      <w:r w:rsidRPr="00354BEB">
        <w:rPr>
          <w:color w:val="000000"/>
        </w:rPr>
        <w:t xml:space="preserve"> </w:t>
      </w:r>
      <w:r>
        <w:rPr>
          <w:color w:val="000000"/>
        </w:rPr>
        <w:t xml:space="preserve">at </w:t>
      </w:r>
      <w:r w:rsidRPr="00354BEB">
        <w:rPr>
          <w:b/>
          <w:bCs/>
          <w:color w:val="000000"/>
        </w:rPr>
        <w:t>US$ 18,432,779</w:t>
      </w:r>
      <w:r w:rsidRPr="00354BEB">
        <w:rPr>
          <w:color w:val="000000"/>
        </w:rPr>
        <w:t xml:space="preserve">, as </w:t>
      </w:r>
      <w:r>
        <w:t>shown in Table 5</w:t>
      </w:r>
      <w:r w:rsidR="00E83507">
        <w:t>.</w:t>
      </w:r>
      <w:r>
        <w:t>5.</w:t>
      </w:r>
    </w:p>
    <w:p w14:paraId="0DFBD3C0" w14:textId="3B3C7A92" w:rsidR="00C24F34" w:rsidRDefault="00C24F34" w:rsidP="002135B0">
      <w:pPr>
        <w:tabs>
          <w:tab w:val="left" w:pos="1134"/>
        </w:tabs>
        <w:spacing w:after="0"/>
        <w:ind w:left="1134" w:hanging="1134"/>
        <w:rPr>
          <w:b/>
          <w:bCs/>
          <w:lang w:val="en-US"/>
        </w:rPr>
      </w:pPr>
      <w:r w:rsidRPr="00E42C5E">
        <w:rPr>
          <w:rFonts w:eastAsiaTheme="minorHAnsi"/>
          <w:b/>
          <w:bCs/>
        </w:rPr>
        <w:t xml:space="preserve">Table </w:t>
      </w:r>
      <w:r>
        <w:rPr>
          <w:rFonts w:eastAsiaTheme="minorHAnsi"/>
          <w:b/>
          <w:bCs/>
        </w:rPr>
        <w:t>5.3</w:t>
      </w:r>
      <w:r w:rsidR="00974B61">
        <w:rPr>
          <w:rFonts w:eastAsiaTheme="minorHAnsi"/>
          <w:b/>
          <w:bCs/>
        </w:rPr>
        <w:t>:</w:t>
      </w:r>
      <w:r w:rsidRPr="00E42C5E">
        <w:rPr>
          <w:rFonts w:eastAsiaTheme="minorHAnsi"/>
          <w:b/>
          <w:bCs/>
        </w:rPr>
        <w:tab/>
      </w:r>
      <w:r w:rsidR="00BC66FB" w:rsidRPr="3F364DC2">
        <w:rPr>
          <w:b/>
          <w:bCs/>
          <w:lang w:val="en-US"/>
        </w:rPr>
        <w:t>202</w:t>
      </w:r>
      <w:r w:rsidR="00BC66FB">
        <w:rPr>
          <w:b/>
          <w:bCs/>
          <w:lang w:val="en-US"/>
        </w:rPr>
        <w:t>7</w:t>
      </w:r>
      <w:r w:rsidR="00BC66FB" w:rsidRPr="3F364DC2">
        <w:rPr>
          <w:b/>
          <w:bCs/>
          <w:lang w:val="en-US"/>
        </w:rPr>
        <w:t>-202</w:t>
      </w:r>
      <w:r w:rsidR="00BC66FB">
        <w:rPr>
          <w:b/>
          <w:bCs/>
          <w:lang w:val="en-US"/>
        </w:rPr>
        <w:t>9</w:t>
      </w:r>
      <w:r w:rsidR="00BC66FB" w:rsidRPr="3F364DC2">
        <w:rPr>
          <w:b/>
          <w:bCs/>
          <w:lang w:val="en-US"/>
        </w:rPr>
        <w:t xml:space="preserve"> Core Unit Funding requirements of UNDP, UNIDO and the World Bank (US$)</w:t>
      </w:r>
    </w:p>
    <w:p w14:paraId="65D9323D" w14:textId="77777777" w:rsidR="00B33E09" w:rsidRDefault="00B33E09" w:rsidP="00C24F34">
      <w:pPr>
        <w:tabs>
          <w:tab w:val="left" w:pos="1418"/>
        </w:tabs>
        <w:spacing w:after="0"/>
        <w:ind w:left="1411" w:hanging="1411"/>
        <w:rPr>
          <w:rFonts w:eastAsiaTheme="minorHAnsi"/>
          <w:b/>
          <w:bCs/>
        </w:rPr>
      </w:pPr>
    </w:p>
    <w:tbl>
      <w:tblPr>
        <w:tblStyle w:val="TableGridLight"/>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15"/>
        <w:gridCol w:w="1815"/>
        <w:gridCol w:w="1815"/>
        <w:gridCol w:w="1815"/>
        <w:gridCol w:w="1815"/>
      </w:tblGrid>
      <w:tr w:rsidR="00B33E09" w:rsidRPr="00553A31" w14:paraId="23A10EF8" w14:textId="77777777" w:rsidTr="002135B0">
        <w:trPr>
          <w:trHeight w:val="300"/>
        </w:trPr>
        <w:tc>
          <w:tcPr>
            <w:tcW w:w="1815" w:type="dxa"/>
            <w:shd w:val="clear" w:color="auto" w:fill="E2EFD9" w:themeFill="accent6" w:themeFillTint="33"/>
            <w:tcMar>
              <w:left w:w="108" w:type="dxa"/>
              <w:right w:w="108" w:type="dxa"/>
            </w:tcMar>
            <w:vAlign w:val="center"/>
          </w:tcPr>
          <w:p w14:paraId="21B02DEB" w14:textId="77777777" w:rsidR="00B33E09" w:rsidRPr="00553A31" w:rsidRDefault="00B33E09" w:rsidP="006D621E">
            <w:pPr>
              <w:spacing w:after="0"/>
              <w:rPr>
                <w:b/>
                <w:bCs/>
                <w:lang w:val="en-US"/>
              </w:rPr>
            </w:pPr>
            <w:r w:rsidRPr="00553A31">
              <w:rPr>
                <w:b/>
                <w:bCs/>
                <w:lang w:val="en-US"/>
              </w:rPr>
              <w:t>Years</w:t>
            </w:r>
          </w:p>
        </w:tc>
        <w:tc>
          <w:tcPr>
            <w:tcW w:w="1815" w:type="dxa"/>
            <w:shd w:val="clear" w:color="auto" w:fill="E2EFD9" w:themeFill="accent6" w:themeFillTint="33"/>
            <w:tcMar>
              <w:left w:w="108" w:type="dxa"/>
              <w:right w:w="108" w:type="dxa"/>
            </w:tcMar>
            <w:vAlign w:val="center"/>
          </w:tcPr>
          <w:p w14:paraId="7EDE4C3C" w14:textId="77777777" w:rsidR="00B33E09" w:rsidRPr="00553A31" w:rsidRDefault="00B33E09" w:rsidP="006D621E">
            <w:pPr>
              <w:spacing w:after="0"/>
              <w:jc w:val="center"/>
              <w:rPr>
                <w:b/>
                <w:bCs/>
                <w:lang w:val="en-US"/>
              </w:rPr>
            </w:pPr>
            <w:r w:rsidRPr="00553A31">
              <w:rPr>
                <w:b/>
                <w:bCs/>
                <w:lang w:val="en-US"/>
              </w:rPr>
              <w:t>2027</w:t>
            </w:r>
          </w:p>
        </w:tc>
        <w:tc>
          <w:tcPr>
            <w:tcW w:w="1815" w:type="dxa"/>
            <w:shd w:val="clear" w:color="auto" w:fill="E2EFD9" w:themeFill="accent6" w:themeFillTint="33"/>
            <w:tcMar>
              <w:left w:w="108" w:type="dxa"/>
              <w:right w:w="108" w:type="dxa"/>
            </w:tcMar>
            <w:vAlign w:val="center"/>
          </w:tcPr>
          <w:p w14:paraId="311F9F05" w14:textId="77777777" w:rsidR="00B33E09" w:rsidRPr="00553A31" w:rsidRDefault="00B33E09" w:rsidP="006D621E">
            <w:pPr>
              <w:spacing w:after="0"/>
              <w:jc w:val="center"/>
              <w:rPr>
                <w:b/>
                <w:bCs/>
                <w:lang w:val="en-US"/>
              </w:rPr>
            </w:pPr>
            <w:r w:rsidRPr="00553A31">
              <w:rPr>
                <w:b/>
                <w:bCs/>
                <w:lang w:val="en-US"/>
              </w:rPr>
              <w:t>2028</w:t>
            </w:r>
          </w:p>
        </w:tc>
        <w:tc>
          <w:tcPr>
            <w:tcW w:w="1815" w:type="dxa"/>
            <w:shd w:val="clear" w:color="auto" w:fill="E2EFD9" w:themeFill="accent6" w:themeFillTint="33"/>
            <w:tcMar>
              <w:left w:w="108" w:type="dxa"/>
              <w:right w:w="108" w:type="dxa"/>
            </w:tcMar>
            <w:vAlign w:val="center"/>
          </w:tcPr>
          <w:p w14:paraId="25245B29" w14:textId="77777777" w:rsidR="00B33E09" w:rsidRPr="00553A31" w:rsidRDefault="00B33E09" w:rsidP="006D621E">
            <w:pPr>
              <w:spacing w:after="0"/>
              <w:jc w:val="center"/>
              <w:rPr>
                <w:b/>
                <w:bCs/>
                <w:lang w:val="en-US"/>
              </w:rPr>
            </w:pPr>
            <w:r w:rsidRPr="00553A31">
              <w:rPr>
                <w:b/>
                <w:bCs/>
                <w:lang w:val="en-US"/>
              </w:rPr>
              <w:t>2029</w:t>
            </w:r>
          </w:p>
        </w:tc>
        <w:tc>
          <w:tcPr>
            <w:tcW w:w="1815" w:type="dxa"/>
            <w:shd w:val="clear" w:color="auto" w:fill="E2EFD9" w:themeFill="accent6" w:themeFillTint="33"/>
            <w:tcMar>
              <w:left w:w="108" w:type="dxa"/>
              <w:right w:w="108" w:type="dxa"/>
            </w:tcMar>
            <w:vAlign w:val="center"/>
          </w:tcPr>
          <w:p w14:paraId="7EC9ED49" w14:textId="77777777" w:rsidR="00B33E09" w:rsidRPr="00553A31" w:rsidRDefault="00B33E09" w:rsidP="006D621E">
            <w:pPr>
              <w:spacing w:after="0"/>
              <w:jc w:val="center"/>
              <w:rPr>
                <w:b/>
                <w:bCs/>
                <w:lang w:val="en-US"/>
              </w:rPr>
            </w:pPr>
            <w:r w:rsidRPr="00553A31">
              <w:rPr>
                <w:b/>
                <w:bCs/>
                <w:lang w:val="en-US"/>
              </w:rPr>
              <w:t>TOTAL</w:t>
            </w:r>
          </w:p>
        </w:tc>
      </w:tr>
      <w:tr w:rsidR="00B33E09" w:rsidRPr="00553A31" w14:paraId="67A31907" w14:textId="77777777" w:rsidTr="002135B0">
        <w:trPr>
          <w:trHeight w:val="729"/>
        </w:trPr>
        <w:tc>
          <w:tcPr>
            <w:tcW w:w="1815" w:type="dxa"/>
            <w:shd w:val="clear" w:color="auto" w:fill="FFFF00"/>
            <w:tcMar>
              <w:left w:w="108" w:type="dxa"/>
              <w:right w:w="108" w:type="dxa"/>
            </w:tcMar>
            <w:vAlign w:val="center"/>
          </w:tcPr>
          <w:p w14:paraId="74C806E6" w14:textId="52E3FFEE" w:rsidR="00B33E09" w:rsidRPr="00553A31" w:rsidRDefault="274D2446" w:rsidP="006D621E">
            <w:pPr>
              <w:spacing w:after="0"/>
              <w:rPr>
                <w:b/>
                <w:bCs/>
              </w:rPr>
            </w:pPr>
            <w:r w:rsidRPr="274D2446">
              <w:rPr>
                <w:b/>
                <w:bCs/>
                <w:lang w:val="en-US"/>
              </w:rPr>
              <w:t>0.7% annual increase</w:t>
            </w:r>
            <w:r w:rsidR="00A37A27" w:rsidRPr="274D2446">
              <w:rPr>
                <w:b/>
                <w:bCs/>
                <w:lang w:val="en-US"/>
              </w:rPr>
              <w:t xml:space="preserve"> </w:t>
            </w:r>
            <w:r w:rsidR="00A37A27">
              <w:rPr>
                <w:b/>
                <w:bCs/>
                <w:lang w:val="en-US"/>
              </w:rPr>
              <w:t xml:space="preserve">applied to </w:t>
            </w:r>
            <w:r w:rsidR="00A37A27" w:rsidRPr="274D2446">
              <w:rPr>
                <w:b/>
                <w:bCs/>
                <w:lang w:val="en-US"/>
              </w:rPr>
              <w:t xml:space="preserve">Core Unit Funding </w:t>
            </w:r>
          </w:p>
        </w:tc>
        <w:tc>
          <w:tcPr>
            <w:tcW w:w="1815" w:type="dxa"/>
            <w:shd w:val="clear" w:color="auto" w:fill="FFFF00"/>
            <w:tcMar>
              <w:left w:w="108" w:type="dxa"/>
              <w:right w:w="108" w:type="dxa"/>
            </w:tcMar>
            <w:vAlign w:val="center"/>
          </w:tcPr>
          <w:p w14:paraId="38BD9858" w14:textId="77777777" w:rsidR="00B33E09" w:rsidRPr="00553A31" w:rsidRDefault="00B33E09" w:rsidP="006233FA">
            <w:pPr>
              <w:spacing w:after="0" w:line="259" w:lineRule="auto"/>
              <w:jc w:val="right"/>
              <w:rPr>
                <w:lang w:val="en-US"/>
              </w:rPr>
            </w:pPr>
            <w:r w:rsidRPr="00553A31">
              <w:rPr>
                <w:lang w:val="en-US"/>
              </w:rPr>
              <w:t>6,101,450</w:t>
            </w:r>
          </w:p>
        </w:tc>
        <w:tc>
          <w:tcPr>
            <w:tcW w:w="1815" w:type="dxa"/>
            <w:shd w:val="clear" w:color="auto" w:fill="FFFF00"/>
            <w:tcMar>
              <w:left w:w="108" w:type="dxa"/>
              <w:right w:w="108" w:type="dxa"/>
            </w:tcMar>
            <w:vAlign w:val="center"/>
          </w:tcPr>
          <w:p w14:paraId="5C8A4C4C" w14:textId="77777777" w:rsidR="00B33E09" w:rsidRPr="00553A31" w:rsidRDefault="00B33E09" w:rsidP="006233FA">
            <w:pPr>
              <w:spacing w:after="0"/>
              <w:jc w:val="right"/>
            </w:pPr>
            <w:r w:rsidRPr="00553A31">
              <w:rPr>
                <w:lang w:val="en-US"/>
              </w:rPr>
              <w:t>6,144,160</w:t>
            </w:r>
          </w:p>
        </w:tc>
        <w:tc>
          <w:tcPr>
            <w:tcW w:w="1815" w:type="dxa"/>
            <w:shd w:val="clear" w:color="auto" w:fill="FFFF00"/>
            <w:tcMar>
              <w:left w:w="108" w:type="dxa"/>
              <w:right w:w="108" w:type="dxa"/>
            </w:tcMar>
            <w:vAlign w:val="center"/>
          </w:tcPr>
          <w:p w14:paraId="409DE1C4" w14:textId="77777777" w:rsidR="00B33E09" w:rsidRPr="00553A31" w:rsidRDefault="00B33E09" w:rsidP="006233FA">
            <w:pPr>
              <w:spacing w:after="0"/>
              <w:jc w:val="right"/>
            </w:pPr>
            <w:r w:rsidRPr="00553A31">
              <w:rPr>
                <w:lang w:val="en-US"/>
              </w:rPr>
              <w:t>6,187,169</w:t>
            </w:r>
          </w:p>
        </w:tc>
        <w:tc>
          <w:tcPr>
            <w:tcW w:w="1815" w:type="dxa"/>
            <w:shd w:val="clear" w:color="auto" w:fill="FFFF00"/>
            <w:tcMar>
              <w:left w:w="108" w:type="dxa"/>
              <w:right w:w="108" w:type="dxa"/>
            </w:tcMar>
            <w:vAlign w:val="center"/>
          </w:tcPr>
          <w:p w14:paraId="03EAF419" w14:textId="77777777" w:rsidR="00B33E09" w:rsidRPr="00553A31" w:rsidRDefault="00B33E09" w:rsidP="006233FA">
            <w:pPr>
              <w:spacing w:after="0" w:line="259" w:lineRule="auto"/>
              <w:jc w:val="right"/>
              <w:rPr>
                <w:lang w:val="en-US"/>
              </w:rPr>
            </w:pPr>
            <w:r w:rsidRPr="00553A31">
              <w:rPr>
                <w:b/>
                <w:bCs/>
                <w:lang w:val="en-US"/>
              </w:rPr>
              <w:t>18,432,779</w:t>
            </w:r>
          </w:p>
        </w:tc>
      </w:tr>
    </w:tbl>
    <w:p w14:paraId="23A33432" w14:textId="77777777" w:rsidR="006A03E5" w:rsidRDefault="006A03E5" w:rsidP="006A03E5"/>
    <w:p w14:paraId="19279109" w14:textId="3FE030D3" w:rsidR="00C84DA0" w:rsidRDefault="00C84DA0" w:rsidP="007C77CF">
      <w:pPr>
        <w:pStyle w:val="Heading3"/>
      </w:pPr>
      <w:bookmarkStart w:id="261" w:name="_Toc230099111"/>
      <w:r w:rsidRPr="00E42C5E">
        <w:lastRenderedPageBreak/>
        <w:t>5.</w:t>
      </w:r>
      <w:r>
        <w:t>3</w:t>
      </w:r>
      <w:r w:rsidRPr="00E42C5E">
        <w:t>.</w:t>
      </w:r>
      <w:r w:rsidR="00DA623E">
        <w:t>3</w:t>
      </w:r>
      <w:r w:rsidRPr="00E42C5E">
        <w:tab/>
      </w:r>
      <w:r w:rsidR="00586620">
        <w:t>Operating Costs of the MLFS, the ExCom, and Treasury Functions</w:t>
      </w:r>
      <w:bookmarkEnd w:id="261"/>
    </w:p>
    <w:p w14:paraId="796BC6B9" w14:textId="6FB601ED" w:rsidR="005F2B9F" w:rsidRPr="00354BEB" w:rsidRDefault="5C97C834" w:rsidP="005F2B9F">
      <w:r w:rsidRPr="00354BEB">
        <w:t>Funding required for ExCom operating costs including the MLF</w:t>
      </w:r>
      <w:r>
        <w:t>S</w:t>
      </w:r>
      <w:r w:rsidRPr="00354BEB">
        <w:t xml:space="preserve"> and monitoring and evaluation (M&amp;E) costs was determined through consultations with the MLF Secretariat, ExCom members and considering the relevant decisions and documents. In particular, in </w:t>
      </w:r>
      <w:r w:rsidR="00F50B20">
        <w:t>ExCom-97,</w:t>
      </w:r>
      <w:r w:rsidRPr="00354BEB">
        <w:t xml:space="preserve"> the ExCom adopted Decision 97/5</w:t>
      </w:r>
      <w:r w:rsidR="005F2B9F" w:rsidRPr="00354BEB">
        <w:rPr>
          <w:vertAlign w:val="superscript"/>
        </w:rPr>
        <w:footnoteReference w:id="70"/>
      </w:r>
      <w:r w:rsidRPr="00354BEB">
        <w:t xml:space="preserve">, where an adjusted budget for 2026 was approved reflecting retroactive salary increases for the 2024 and 2025 as well as an increase for 2026 in the scale of salaries of the general staff, to account for the revised salary scale for general staff as informed by the Lead United Nations Headquarters Agency in Montreal , ICAO. The RTF used the figures approved by the ExCom in 2025 for 2026, and budgets projected for 2027 and 2028, and applied an average annual increase for staff costs of 3% for 2029 following the scale established by the UN General Assembly on the recommendation of the International Civil Service Commission (ICSC). </w:t>
      </w:r>
    </w:p>
    <w:p w14:paraId="36B3AB3B" w14:textId="77777777" w:rsidR="005F2B9F" w:rsidRPr="00354BEB" w:rsidRDefault="005F2B9F" w:rsidP="005F2B9F">
      <w:r w:rsidRPr="00354BEB">
        <w:t xml:space="preserve">These figures aim to cover operation of the ExCom and </w:t>
      </w:r>
      <w:r>
        <w:t>the MLFS</w:t>
      </w:r>
      <w:r w:rsidRPr="00354BEB">
        <w:t xml:space="preserve"> and do not consider the provision of additional services related to any support needed in relation to the continued implementation of HCFC phase out projects or the increasing number of KIPs to phase down HFCs. </w:t>
      </w:r>
    </w:p>
    <w:p w14:paraId="25BCD25F" w14:textId="77777777" w:rsidR="005F2B9F" w:rsidRDefault="005F2B9F" w:rsidP="005F2B9F">
      <w:r w:rsidRPr="00354BEB">
        <w:t>As in the previous triennium, costs for the Treasurer are budgeted at US$ 0.5 million per year for a total funding requirement of US$ 1.5 million for the 2027-2029 triennium (as per ExCom 59/51(b).</w:t>
      </w:r>
    </w:p>
    <w:p w14:paraId="57DF5B7B" w14:textId="62091E5E" w:rsidR="005F2B9F" w:rsidRDefault="005F2B9F" w:rsidP="005F2B9F">
      <w:r>
        <w:t>The estimated total funding requirement for the MLFS, the cost of M&amp;E and the ExCom is presented in Table 5</w:t>
      </w:r>
      <w:r w:rsidR="00CE1A09">
        <w:t>.4</w:t>
      </w:r>
      <w:r>
        <w:t xml:space="preserve"> for the 2027-2029 triennium at </w:t>
      </w:r>
      <w:r w:rsidRPr="4F2EB710">
        <w:rPr>
          <w:b/>
          <w:bCs/>
        </w:rPr>
        <w:t>US$ 2</w:t>
      </w:r>
      <w:r>
        <w:rPr>
          <w:b/>
          <w:bCs/>
        </w:rPr>
        <w:t>6.4 million</w:t>
      </w:r>
      <w:r>
        <w:t xml:space="preserve">. </w:t>
      </w:r>
    </w:p>
    <w:p w14:paraId="24DD0B56" w14:textId="4A5D861C" w:rsidR="005F2B9F" w:rsidRDefault="005F2B9F" w:rsidP="002135B0">
      <w:pPr>
        <w:tabs>
          <w:tab w:val="left" w:pos="1134"/>
        </w:tabs>
        <w:spacing w:after="0"/>
        <w:ind w:left="1134" w:hanging="1134"/>
        <w:rPr>
          <w:b/>
          <w:bCs/>
          <w:lang w:val="en-US"/>
        </w:rPr>
      </w:pPr>
      <w:r w:rsidRPr="00E42C5E">
        <w:rPr>
          <w:rFonts w:eastAsiaTheme="minorHAnsi"/>
          <w:b/>
          <w:bCs/>
        </w:rPr>
        <w:t xml:space="preserve">Table </w:t>
      </w:r>
      <w:r>
        <w:rPr>
          <w:rFonts w:eastAsiaTheme="minorHAnsi"/>
          <w:b/>
          <w:bCs/>
        </w:rPr>
        <w:t>5.4</w:t>
      </w:r>
      <w:r w:rsidR="006D621E">
        <w:rPr>
          <w:rFonts w:eastAsiaTheme="minorHAnsi"/>
          <w:b/>
          <w:bCs/>
        </w:rPr>
        <w:t>:</w:t>
      </w:r>
      <w:r w:rsidRPr="00E42C5E">
        <w:rPr>
          <w:rFonts w:eastAsiaTheme="minorHAnsi"/>
          <w:b/>
          <w:bCs/>
        </w:rPr>
        <w:tab/>
      </w:r>
      <w:r w:rsidR="00B636CB" w:rsidRPr="00B636CB">
        <w:rPr>
          <w:b/>
          <w:bCs/>
        </w:rPr>
        <w:t xml:space="preserve">2027-2029 </w:t>
      </w:r>
      <w:r w:rsidR="00400732">
        <w:rPr>
          <w:b/>
          <w:bCs/>
        </w:rPr>
        <w:t>f</w:t>
      </w:r>
      <w:r w:rsidR="00B636CB" w:rsidRPr="00B636CB">
        <w:rPr>
          <w:b/>
          <w:bCs/>
        </w:rPr>
        <w:t xml:space="preserve">unding </w:t>
      </w:r>
      <w:r w:rsidR="00400732">
        <w:rPr>
          <w:b/>
          <w:bCs/>
        </w:rPr>
        <w:t>r</w:t>
      </w:r>
      <w:r w:rsidR="00B636CB" w:rsidRPr="00B636CB">
        <w:rPr>
          <w:b/>
          <w:bCs/>
        </w:rPr>
        <w:t xml:space="preserve">equirements for the </w:t>
      </w:r>
      <w:r w:rsidR="00400732">
        <w:rPr>
          <w:b/>
          <w:bCs/>
        </w:rPr>
        <w:t>o</w:t>
      </w:r>
      <w:r w:rsidR="00B636CB" w:rsidRPr="00B636CB">
        <w:rPr>
          <w:b/>
          <w:bCs/>
        </w:rPr>
        <w:t xml:space="preserve">perating </w:t>
      </w:r>
      <w:r w:rsidR="00400732">
        <w:rPr>
          <w:b/>
          <w:bCs/>
        </w:rPr>
        <w:t>c</w:t>
      </w:r>
      <w:r w:rsidR="00B636CB" w:rsidRPr="00B636CB">
        <w:rPr>
          <w:b/>
          <w:bCs/>
        </w:rPr>
        <w:t>osts of the Ex</w:t>
      </w:r>
      <w:r w:rsidR="00A917BF">
        <w:rPr>
          <w:b/>
          <w:bCs/>
        </w:rPr>
        <w:t xml:space="preserve">Com, MFLS, </w:t>
      </w:r>
      <w:r w:rsidR="00B636CB" w:rsidRPr="00B636CB">
        <w:rPr>
          <w:b/>
          <w:bCs/>
        </w:rPr>
        <w:t xml:space="preserve">including </w:t>
      </w:r>
      <w:r w:rsidR="00A917BF">
        <w:rPr>
          <w:b/>
          <w:bCs/>
        </w:rPr>
        <w:t>monitoring and evaluation, and T</w:t>
      </w:r>
      <w:r w:rsidR="00B636CB" w:rsidRPr="00B636CB">
        <w:rPr>
          <w:b/>
          <w:bCs/>
        </w:rPr>
        <w:t>reasurer (US$)</w:t>
      </w:r>
    </w:p>
    <w:p w14:paraId="6F389DB6" w14:textId="77777777" w:rsidR="00E9651C" w:rsidRDefault="00E9651C" w:rsidP="005F2B9F">
      <w:pPr>
        <w:tabs>
          <w:tab w:val="left" w:pos="1418"/>
        </w:tabs>
        <w:spacing w:after="0"/>
        <w:ind w:left="1411" w:hanging="1411"/>
        <w:rPr>
          <w:b/>
          <w:bCs/>
          <w:lang w:val="en-US"/>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17"/>
        <w:gridCol w:w="1530"/>
        <w:gridCol w:w="1686"/>
        <w:gridCol w:w="1693"/>
        <w:gridCol w:w="1238"/>
      </w:tblGrid>
      <w:tr w:rsidR="00E439DC" w:rsidRPr="001D79E5" w14:paraId="5CB15845" w14:textId="77777777" w:rsidTr="002135B0">
        <w:trPr>
          <w:trHeight w:val="240"/>
          <w:jc w:val="center"/>
        </w:trPr>
        <w:tc>
          <w:tcPr>
            <w:tcW w:w="1609" w:type="pct"/>
            <w:shd w:val="clear" w:color="auto" w:fill="E2EFD9" w:themeFill="accent6" w:themeFillTint="33"/>
            <w:tcMar>
              <w:top w:w="0" w:type="dxa"/>
              <w:left w:w="108" w:type="dxa"/>
              <w:bottom w:w="0" w:type="dxa"/>
              <w:right w:w="108" w:type="dxa"/>
            </w:tcMar>
            <w:hideMark/>
          </w:tcPr>
          <w:p w14:paraId="0A78D846" w14:textId="77777777" w:rsidR="00E439DC" w:rsidRPr="001D79E5" w:rsidRDefault="00E439DC" w:rsidP="006233FA">
            <w:pPr>
              <w:spacing w:after="0"/>
              <w:jc w:val="both"/>
              <w:rPr>
                <w:b/>
                <w:bCs/>
                <w:color w:val="000000"/>
              </w:rPr>
            </w:pPr>
          </w:p>
        </w:tc>
        <w:tc>
          <w:tcPr>
            <w:tcW w:w="844" w:type="pct"/>
            <w:shd w:val="clear" w:color="auto" w:fill="E2EFD9" w:themeFill="accent6" w:themeFillTint="33"/>
            <w:tcMar>
              <w:top w:w="0" w:type="dxa"/>
              <w:left w:w="108" w:type="dxa"/>
              <w:bottom w:w="0" w:type="dxa"/>
              <w:right w:w="108" w:type="dxa"/>
            </w:tcMar>
            <w:vAlign w:val="center"/>
            <w:hideMark/>
          </w:tcPr>
          <w:p w14:paraId="590D9D37" w14:textId="77777777" w:rsidR="00E439DC" w:rsidRPr="001D79E5" w:rsidRDefault="00E439DC" w:rsidP="006D621E">
            <w:pPr>
              <w:spacing w:after="0"/>
              <w:jc w:val="center"/>
              <w:rPr>
                <w:b/>
                <w:bCs/>
                <w:color w:val="000000"/>
              </w:rPr>
            </w:pPr>
            <w:r w:rsidRPr="001D79E5">
              <w:rPr>
                <w:b/>
                <w:bCs/>
              </w:rPr>
              <w:t>2027</w:t>
            </w:r>
          </w:p>
        </w:tc>
        <w:tc>
          <w:tcPr>
            <w:tcW w:w="930" w:type="pct"/>
            <w:shd w:val="clear" w:color="auto" w:fill="E2EFD9" w:themeFill="accent6" w:themeFillTint="33"/>
            <w:vAlign w:val="center"/>
          </w:tcPr>
          <w:p w14:paraId="7A553220" w14:textId="77777777" w:rsidR="00E439DC" w:rsidRPr="001D79E5" w:rsidRDefault="00E439DC" w:rsidP="006D621E">
            <w:pPr>
              <w:spacing w:after="0"/>
              <w:jc w:val="center"/>
              <w:rPr>
                <w:b/>
                <w:bCs/>
                <w:color w:val="000000"/>
              </w:rPr>
            </w:pPr>
            <w:r w:rsidRPr="001D79E5">
              <w:rPr>
                <w:b/>
                <w:bCs/>
                <w:color w:val="000000"/>
              </w:rPr>
              <w:t>2028</w:t>
            </w:r>
          </w:p>
        </w:tc>
        <w:tc>
          <w:tcPr>
            <w:tcW w:w="934" w:type="pct"/>
            <w:shd w:val="clear" w:color="auto" w:fill="E2EFD9" w:themeFill="accent6" w:themeFillTint="33"/>
            <w:vAlign w:val="center"/>
          </w:tcPr>
          <w:p w14:paraId="3170EC16" w14:textId="77777777" w:rsidR="00E439DC" w:rsidRPr="001D79E5" w:rsidRDefault="00E439DC" w:rsidP="006D621E">
            <w:pPr>
              <w:spacing w:after="0"/>
              <w:jc w:val="center"/>
              <w:rPr>
                <w:b/>
                <w:bCs/>
                <w:color w:val="000000"/>
              </w:rPr>
            </w:pPr>
            <w:r w:rsidRPr="001D79E5">
              <w:rPr>
                <w:b/>
                <w:bCs/>
                <w:color w:val="000000"/>
              </w:rPr>
              <w:t>2029</w:t>
            </w:r>
          </w:p>
        </w:tc>
        <w:tc>
          <w:tcPr>
            <w:tcW w:w="683" w:type="pct"/>
            <w:shd w:val="clear" w:color="auto" w:fill="E2EFD9" w:themeFill="accent6" w:themeFillTint="33"/>
            <w:vAlign w:val="center"/>
          </w:tcPr>
          <w:p w14:paraId="1A702E6A" w14:textId="77777777" w:rsidR="00E439DC" w:rsidRPr="001D79E5" w:rsidRDefault="00E439DC" w:rsidP="006D621E">
            <w:pPr>
              <w:spacing w:after="0"/>
              <w:jc w:val="center"/>
              <w:rPr>
                <w:b/>
                <w:bCs/>
                <w:color w:val="000000"/>
              </w:rPr>
            </w:pPr>
            <w:r w:rsidRPr="001D79E5">
              <w:rPr>
                <w:b/>
                <w:bCs/>
                <w:color w:val="000000"/>
              </w:rPr>
              <w:t>TOTAL</w:t>
            </w:r>
          </w:p>
        </w:tc>
      </w:tr>
      <w:tr w:rsidR="00E439DC" w:rsidRPr="001D79E5" w14:paraId="38543889" w14:textId="77777777" w:rsidTr="00A0479E">
        <w:trPr>
          <w:trHeight w:val="240"/>
          <w:jc w:val="center"/>
        </w:trPr>
        <w:tc>
          <w:tcPr>
            <w:tcW w:w="1609" w:type="pct"/>
            <w:shd w:val="clear" w:color="auto" w:fill="E2EFD9" w:themeFill="accent6" w:themeFillTint="33"/>
            <w:tcMar>
              <w:top w:w="0" w:type="dxa"/>
              <w:left w:w="108" w:type="dxa"/>
              <w:bottom w:w="0" w:type="dxa"/>
              <w:right w:w="108" w:type="dxa"/>
            </w:tcMar>
          </w:tcPr>
          <w:p w14:paraId="1A943F03" w14:textId="39EE681F" w:rsidR="00E439DC" w:rsidRPr="001D79E5" w:rsidRDefault="274D2446" w:rsidP="006233FA">
            <w:pPr>
              <w:spacing w:after="0"/>
              <w:rPr>
                <w:b/>
                <w:bCs/>
              </w:rPr>
            </w:pPr>
            <w:r w:rsidRPr="274D2446">
              <w:rPr>
                <w:b/>
                <w:bCs/>
              </w:rPr>
              <w:t>ExCom, MLFS* and</w:t>
            </w:r>
          </w:p>
          <w:p w14:paraId="444217CD" w14:textId="77777777" w:rsidR="00E439DC" w:rsidRPr="001D79E5" w:rsidRDefault="00E439DC" w:rsidP="006233FA">
            <w:pPr>
              <w:spacing w:before="40" w:after="40"/>
              <w:rPr>
                <w:b/>
                <w:bCs/>
                <w:color w:val="000000"/>
              </w:rPr>
            </w:pPr>
            <w:r w:rsidRPr="001D79E5">
              <w:rPr>
                <w:b/>
                <w:bCs/>
              </w:rPr>
              <w:t xml:space="preserve">Monitoring &amp; Evaluation </w:t>
            </w:r>
          </w:p>
        </w:tc>
        <w:tc>
          <w:tcPr>
            <w:tcW w:w="844" w:type="pct"/>
            <w:shd w:val="clear" w:color="auto" w:fill="FFFFFF" w:themeFill="background1"/>
            <w:tcMar>
              <w:top w:w="0" w:type="dxa"/>
              <w:left w:w="108" w:type="dxa"/>
              <w:bottom w:w="0" w:type="dxa"/>
              <w:right w:w="108" w:type="dxa"/>
            </w:tcMar>
            <w:vAlign w:val="center"/>
          </w:tcPr>
          <w:p w14:paraId="3697F8C7" w14:textId="77777777" w:rsidR="00E439DC" w:rsidRPr="001D79E5" w:rsidRDefault="00E439DC" w:rsidP="00A0479E">
            <w:pPr>
              <w:spacing w:after="0"/>
              <w:jc w:val="right"/>
              <w:rPr>
                <w:b/>
                <w:bCs/>
              </w:rPr>
            </w:pPr>
            <w:r w:rsidRPr="001D79E5">
              <w:t>8,192,234</w:t>
            </w:r>
          </w:p>
        </w:tc>
        <w:tc>
          <w:tcPr>
            <w:tcW w:w="930" w:type="pct"/>
            <w:shd w:val="clear" w:color="auto" w:fill="FFFFFF" w:themeFill="background1"/>
            <w:vAlign w:val="center"/>
          </w:tcPr>
          <w:p w14:paraId="7F2FB3F2" w14:textId="77777777" w:rsidR="00E439DC" w:rsidRPr="001D79E5" w:rsidRDefault="00E439DC" w:rsidP="00A0479E">
            <w:pPr>
              <w:spacing w:after="0"/>
              <w:jc w:val="right"/>
              <w:rPr>
                <w:b/>
                <w:bCs/>
              </w:rPr>
            </w:pPr>
            <w:r w:rsidRPr="001D79E5">
              <w:t>8,280,544</w:t>
            </w:r>
          </w:p>
        </w:tc>
        <w:tc>
          <w:tcPr>
            <w:tcW w:w="934" w:type="pct"/>
            <w:shd w:val="clear" w:color="auto" w:fill="FFFFFF" w:themeFill="background1"/>
            <w:vAlign w:val="center"/>
          </w:tcPr>
          <w:p w14:paraId="641739F5" w14:textId="77777777" w:rsidR="00E439DC" w:rsidRPr="001D79E5" w:rsidRDefault="00E439DC" w:rsidP="00A0479E">
            <w:pPr>
              <w:spacing w:after="0"/>
              <w:jc w:val="right"/>
              <w:rPr>
                <w:b/>
                <w:bCs/>
              </w:rPr>
            </w:pPr>
            <w:r w:rsidRPr="001D79E5">
              <w:t>8,462,073</w:t>
            </w:r>
          </w:p>
        </w:tc>
        <w:tc>
          <w:tcPr>
            <w:tcW w:w="683" w:type="pct"/>
            <w:shd w:val="clear" w:color="auto" w:fill="FFFFFF" w:themeFill="background1"/>
            <w:vAlign w:val="center"/>
          </w:tcPr>
          <w:p w14:paraId="1AFEB436" w14:textId="77777777" w:rsidR="00E439DC" w:rsidRPr="001D79E5" w:rsidRDefault="00E439DC" w:rsidP="00A0479E">
            <w:pPr>
              <w:spacing w:after="0"/>
              <w:jc w:val="right"/>
              <w:rPr>
                <w:b/>
                <w:bCs/>
              </w:rPr>
            </w:pPr>
            <w:r w:rsidRPr="001D79E5">
              <w:rPr>
                <w:b/>
                <w:bCs/>
              </w:rPr>
              <w:t>24,934,851</w:t>
            </w:r>
          </w:p>
        </w:tc>
      </w:tr>
      <w:tr w:rsidR="00E439DC" w:rsidRPr="001D79E5" w14:paraId="49178EAF" w14:textId="77777777" w:rsidTr="274D2446">
        <w:trPr>
          <w:trHeight w:val="240"/>
          <w:jc w:val="center"/>
        </w:trPr>
        <w:tc>
          <w:tcPr>
            <w:tcW w:w="1609" w:type="pct"/>
            <w:shd w:val="clear" w:color="auto" w:fill="E2EFD9" w:themeFill="accent6" w:themeFillTint="33"/>
            <w:tcMar>
              <w:top w:w="0" w:type="dxa"/>
              <w:left w:w="108" w:type="dxa"/>
              <w:bottom w:w="0" w:type="dxa"/>
              <w:right w:w="108" w:type="dxa"/>
            </w:tcMar>
          </w:tcPr>
          <w:p w14:paraId="1209AD19" w14:textId="77777777" w:rsidR="00E439DC" w:rsidRPr="001D79E5" w:rsidRDefault="00E439DC" w:rsidP="006233FA">
            <w:pPr>
              <w:spacing w:after="0"/>
              <w:rPr>
                <w:b/>
                <w:bCs/>
              </w:rPr>
            </w:pPr>
            <w:r w:rsidRPr="001D79E5">
              <w:rPr>
                <w:b/>
                <w:bCs/>
              </w:rPr>
              <w:t>Treasurer</w:t>
            </w:r>
          </w:p>
        </w:tc>
        <w:tc>
          <w:tcPr>
            <w:tcW w:w="844" w:type="pct"/>
            <w:shd w:val="clear" w:color="auto" w:fill="FFFFFF" w:themeFill="background1"/>
            <w:tcMar>
              <w:top w:w="0" w:type="dxa"/>
              <w:left w:w="108" w:type="dxa"/>
              <w:bottom w:w="0" w:type="dxa"/>
              <w:right w:w="108" w:type="dxa"/>
            </w:tcMar>
          </w:tcPr>
          <w:p w14:paraId="18425CF2" w14:textId="77777777" w:rsidR="00E439DC" w:rsidRPr="001D79E5" w:rsidRDefault="00E439DC" w:rsidP="00E439DC">
            <w:pPr>
              <w:spacing w:after="0"/>
              <w:jc w:val="right"/>
            </w:pPr>
            <w:r w:rsidRPr="001D79E5">
              <w:t>500,000</w:t>
            </w:r>
          </w:p>
        </w:tc>
        <w:tc>
          <w:tcPr>
            <w:tcW w:w="930" w:type="pct"/>
            <w:shd w:val="clear" w:color="auto" w:fill="FFFFFF" w:themeFill="background1"/>
          </w:tcPr>
          <w:p w14:paraId="44F4609E" w14:textId="77777777" w:rsidR="00E439DC" w:rsidRPr="001D79E5" w:rsidRDefault="00E439DC" w:rsidP="00E439DC">
            <w:pPr>
              <w:spacing w:after="0"/>
              <w:jc w:val="right"/>
            </w:pPr>
            <w:r w:rsidRPr="001D79E5">
              <w:t>500,000</w:t>
            </w:r>
          </w:p>
        </w:tc>
        <w:tc>
          <w:tcPr>
            <w:tcW w:w="934" w:type="pct"/>
            <w:shd w:val="clear" w:color="auto" w:fill="FFFFFF" w:themeFill="background1"/>
          </w:tcPr>
          <w:p w14:paraId="6E2B69C8" w14:textId="77777777" w:rsidR="00E439DC" w:rsidRPr="001D79E5" w:rsidRDefault="00E439DC" w:rsidP="00E439DC">
            <w:pPr>
              <w:spacing w:after="0"/>
              <w:jc w:val="right"/>
            </w:pPr>
            <w:r w:rsidRPr="001D79E5">
              <w:t>500,000</w:t>
            </w:r>
          </w:p>
        </w:tc>
        <w:tc>
          <w:tcPr>
            <w:tcW w:w="683" w:type="pct"/>
            <w:shd w:val="clear" w:color="auto" w:fill="FFFFFF" w:themeFill="background1"/>
          </w:tcPr>
          <w:p w14:paraId="3DFDB50D" w14:textId="77777777" w:rsidR="00E439DC" w:rsidRPr="001D79E5" w:rsidRDefault="00E439DC" w:rsidP="00E439DC">
            <w:pPr>
              <w:spacing w:after="0"/>
              <w:jc w:val="right"/>
              <w:rPr>
                <w:b/>
                <w:bCs/>
              </w:rPr>
            </w:pPr>
            <w:r w:rsidRPr="001D79E5">
              <w:rPr>
                <w:b/>
                <w:bCs/>
              </w:rPr>
              <w:t>1,500,000</w:t>
            </w:r>
          </w:p>
        </w:tc>
      </w:tr>
      <w:tr w:rsidR="00E439DC" w:rsidRPr="001D79E5" w14:paraId="438EA556" w14:textId="77777777" w:rsidTr="274D2446">
        <w:trPr>
          <w:trHeight w:val="240"/>
          <w:jc w:val="center"/>
        </w:trPr>
        <w:tc>
          <w:tcPr>
            <w:tcW w:w="1609" w:type="pct"/>
            <w:shd w:val="clear" w:color="auto" w:fill="FFFF00"/>
            <w:tcMar>
              <w:top w:w="0" w:type="dxa"/>
              <w:left w:w="108" w:type="dxa"/>
              <w:bottom w:w="0" w:type="dxa"/>
              <w:right w:w="108" w:type="dxa"/>
            </w:tcMar>
          </w:tcPr>
          <w:p w14:paraId="27C9BD0C" w14:textId="77777777" w:rsidR="00E439DC" w:rsidRPr="001D79E5" w:rsidRDefault="00E439DC" w:rsidP="006233FA">
            <w:pPr>
              <w:spacing w:after="0"/>
              <w:rPr>
                <w:b/>
                <w:bCs/>
              </w:rPr>
            </w:pPr>
            <w:r w:rsidRPr="001D79E5">
              <w:rPr>
                <w:b/>
                <w:bCs/>
              </w:rPr>
              <w:t>Subtotal</w:t>
            </w:r>
          </w:p>
        </w:tc>
        <w:tc>
          <w:tcPr>
            <w:tcW w:w="844" w:type="pct"/>
            <w:shd w:val="clear" w:color="auto" w:fill="FFFF00"/>
            <w:tcMar>
              <w:top w:w="0" w:type="dxa"/>
              <w:left w:w="108" w:type="dxa"/>
              <w:bottom w:w="0" w:type="dxa"/>
              <w:right w:w="108" w:type="dxa"/>
            </w:tcMar>
            <w:vAlign w:val="center"/>
          </w:tcPr>
          <w:p w14:paraId="0166374D" w14:textId="77777777" w:rsidR="00E439DC" w:rsidRPr="001D79E5" w:rsidRDefault="00E439DC" w:rsidP="006233FA">
            <w:pPr>
              <w:spacing w:after="0"/>
              <w:jc w:val="right"/>
            </w:pPr>
            <w:r w:rsidRPr="001D79E5">
              <w:t>8,692,234</w:t>
            </w:r>
          </w:p>
        </w:tc>
        <w:tc>
          <w:tcPr>
            <w:tcW w:w="930" w:type="pct"/>
            <w:shd w:val="clear" w:color="auto" w:fill="FFFF00"/>
            <w:vAlign w:val="center"/>
          </w:tcPr>
          <w:p w14:paraId="49643274" w14:textId="77777777" w:rsidR="00E439DC" w:rsidRPr="001D79E5" w:rsidRDefault="00E439DC" w:rsidP="006233FA">
            <w:pPr>
              <w:spacing w:after="0"/>
              <w:jc w:val="right"/>
            </w:pPr>
            <w:r w:rsidRPr="001D79E5">
              <w:t>8,780,544</w:t>
            </w:r>
          </w:p>
        </w:tc>
        <w:tc>
          <w:tcPr>
            <w:tcW w:w="934" w:type="pct"/>
            <w:shd w:val="clear" w:color="auto" w:fill="FFFF00"/>
            <w:vAlign w:val="center"/>
          </w:tcPr>
          <w:p w14:paraId="23F06FCC" w14:textId="77777777" w:rsidR="00E439DC" w:rsidRPr="001D79E5" w:rsidRDefault="00E439DC" w:rsidP="006233FA">
            <w:pPr>
              <w:spacing w:after="0"/>
              <w:jc w:val="right"/>
            </w:pPr>
            <w:r w:rsidRPr="001D79E5">
              <w:t>8,962,073</w:t>
            </w:r>
          </w:p>
        </w:tc>
        <w:tc>
          <w:tcPr>
            <w:tcW w:w="683" w:type="pct"/>
            <w:shd w:val="clear" w:color="auto" w:fill="FFFF00"/>
            <w:vAlign w:val="center"/>
          </w:tcPr>
          <w:p w14:paraId="75E3E9D6" w14:textId="77777777" w:rsidR="00E439DC" w:rsidRPr="001D79E5" w:rsidRDefault="00E439DC" w:rsidP="006233FA">
            <w:pPr>
              <w:spacing w:after="0"/>
              <w:jc w:val="right"/>
              <w:rPr>
                <w:b/>
                <w:bCs/>
              </w:rPr>
            </w:pPr>
            <w:r w:rsidRPr="001D79E5">
              <w:rPr>
                <w:b/>
                <w:bCs/>
              </w:rPr>
              <w:t>26,434,851</w:t>
            </w:r>
          </w:p>
        </w:tc>
      </w:tr>
    </w:tbl>
    <w:p w14:paraId="30FA3966" w14:textId="405BACF4" w:rsidR="00E9651C" w:rsidRDefault="4BCEE662" w:rsidP="4BCEE662">
      <w:pPr>
        <w:tabs>
          <w:tab w:val="left" w:pos="1418"/>
        </w:tabs>
        <w:spacing w:after="0"/>
      </w:pPr>
      <w:r w:rsidRPr="4BCEE662">
        <w:rPr>
          <w:lang w:val="en-US"/>
        </w:rPr>
        <w:t>* RTF used the figures approved by the ExCom in 2025 for 2026. For 2027 and 2028, RTF projected the budgets, and applied an increase for staff costs of 3% for 2029.</w:t>
      </w:r>
    </w:p>
    <w:p w14:paraId="38E3BCBD" w14:textId="77777777" w:rsidR="006A03E5" w:rsidRPr="006A03E5" w:rsidRDefault="006A03E5" w:rsidP="006A03E5"/>
    <w:p w14:paraId="189848B1" w14:textId="3B85831E" w:rsidR="00F91A0D" w:rsidRDefault="00756EA8" w:rsidP="002D02B7">
      <w:pPr>
        <w:pStyle w:val="Heading2"/>
      </w:pPr>
      <w:bookmarkStart w:id="262" w:name="_Toc113319172"/>
      <w:bookmarkStart w:id="263" w:name="_Toc119436598"/>
      <w:bookmarkStart w:id="264" w:name="_Toc230099112"/>
      <w:r w:rsidRPr="00D7427C">
        <w:t>5.</w:t>
      </w:r>
      <w:r w:rsidR="00F91A0D" w:rsidRPr="00D7427C">
        <w:t>4</w:t>
      </w:r>
      <w:r w:rsidR="00F91A0D" w:rsidRPr="00D7427C">
        <w:tab/>
      </w:r>
      <w:r w:rsidR="00E55076">
        <w:t xml:space="preserve">Summary of </w:t>
      </w:r>
      <w:r w:rsidR="00A047E7">
        <w:t>funding requirements for IS and SA for 2027-202</w:t>
      </w:r>
      <w:bookmarkEnd w:id="262"/>
      <w:bookmarkEnd w:id="263"/>
      <w:r w:rsidR="00A047E7">
        <w:t>9</w:t>
      </w:r>
      <w:bookmarkEnd w:id="264"/>
    </w:p>
    <w:p w14:paraId="53BE5DFE" w14:textId="2A10C5B8" w:rsidR="00D66292" w:rsidRDefault="00D66292" w:rsidP="00D66292">
      <w:pPr>
        <w:spacing w:after="0"/>
        <w:rPr>
          <w:lang w:val="en-US"/>
        </w:rPr>
      </w:pPr>
      <w:r>
        <w:t xml:space="preserve">The estimated total funding requirement for the 2027-2029 triennium for IS and SA is </w:t>
      </w:r>
      <w:r w:rsidRPr="1AB6E3AA">
        <w:rPr>
          <w:b/>
          <w:bCs/>
        </w:rPr>
        <w:t>US$ 12</w:t>
      </w:r>
      <w:r>
        <w:rPr>
          <w:b/>
          <w:bCs/>
        </w:rPr>
        <w:t xml:space="preserve">9.1 </w:t>
      </w:r>
      <w:r w:rsidRPr="1AB6E3AA">
        <w:rPr>
          <w:b/>
          <w:bCs/>
        </w:rPr>
        <w:t>million</w:t>
      </w:r>
      <w:r>
        <w:t>, as shown in Table 5.5.</w:t>
      </w:r>
    </w:p>
    <w:p w14:paraId="1F8EEBDA" w14:textId="77777777" w:rsidR="00D66292" w:rsidRDefault="00D66292" w:rsidP="00E55076">
      <w:pPr>
        <w:tabs>
          <w:tab w:val="left" w:pos="1418"/>
        </w:tabs>
        <w:spacing w:after="0"/>
        <w:ind w:left="1411" w:hanging="1411"/>
        <w:rPr>
          <w:rFonts w:eastAsiaTheme="minorHAnsi"/>
          <w:b/>
          <w:bCs/>
        </w:rPr>
      </w:pPr>
    </w:p>
    <w:p w14:paraId="6B9855D3" w14:textId="77777777" w:rsidR="00CF0FB7" w:rsidRDefault="00CF0FB7" w:rsidP="00E55076">
      <w:pPr>
        <w:tabs>
          <w:tab w:val="left" w:pos="1418"/>
        </w:tabs>
        <w:spacing w:after="0"/>
        <w:ind w:left="1411" w:hanging="1411"/>
        <w:rPr>
          <w:rFonts w:eastAsiaTheme="minorHAnsi"/>
          <w:b/>
          <w:bCs/>
        </w:rPr>
      </w:pPr>
      <w:r>
        <w:rPr>
          <w:rFonts w:eastAsiaTheme="minorHAnsi"/>
          <w:b/>
          <w:bCs/>
        </w:rPr>
        <w:br w:type="page"/>
      </w:r>
    </w:p>
    <w:p w14:paraId="53DED95D" w14:textId="3FF479EE" w:rsidR="00E55076" w:rsidRDefault="00E55076" w:rsidP="002135B0">
      <w:pPr>
        <w:spacing w:after="0"/>
        <w:ind w:left="1276" w:hanging="1276"/>
        <w:rPr>
          <w:b/>
          <w:bCs/>
        </w:rPr>
      </w:pPr>
      <w:r w:rsidRPr="00E42C5E">
        <w:rPr>
          <w:rFonts w:eastAsiaTheme="minorHAnsi"/>
          <w:b/>
          <w:bCs/>
        </w:rPr>
        <w:lastRenderedPageBreak/>
        <w:t xml:space="preserve">Table </w:t>
      </w:r>
      <w:r>
        <w:rPr>
          <w:rFonts w:eastAsiaTheme="minorHAnsi"/>
          <w:b/>
          <w:bCs/>
        </w:rPr>
        <w:t>5.</w:t>
      </w:r>
      <w:r w:rsidR="00D66292">
        <w:rPr>
          <w:rFonts w:eastAsiaTheme="minorHAnsi"/>
          <w:b/>
          <w:bCs/>
        </w:rPr>
        <w:t>5</w:t>
      </w:r>
      <w:r w:rsidR="006D621E">
        <w:rPr>
          <w:rFonts w:eastAsiaTheme="minorHAnsi"/>
          <w:b/>
          <w:bCs/>
        </w:rPr>
        <w:t>:</w:t>
      </w:r>
      <w:r w:rsidRPr="00E42C5E">
        <w:rPr>
          <w:rFonts w:eastAsiaTheme="minorHAnsi"/>
          <w:b/>
          <w:bCs/>
        </w:rPr>
        <w:tab/>
      </w:r>
      <w:r w:rsidRPr="00B636CB">
        <w:rPr>
          <w:b/>
          <w:bCs/>
        </w:rPr>
        <w:t xml:space="preserve">2027-2029 </w:t>
      </w:r>
      <w:r>
        <w:rPr>
          <w:b/>
          <w:bCs/>
        </w:rPr>
        <w:t>f</w:t>
      </w:r>
      <w:r w:rsidRPr="00B636CB">
        <w:rPr>
          <w:b/>
          <w:bCs/>
        </w:rPr>
        <w:t xml:space="preserve">unding </w:t>
      </w:r>
      <w:r>
        <w:rPr>
          <w:b/>
          <w:bCs/>
        </w:rPr>
        <w:t>r</w:t>
      </w:r>
      <w:r w:rsidRPr="00B636CB">
        <w:rPr>
          <w:b/>
          <w:bCs/>
        </w:rPr>
        <w:t xml:space="preserve">equirements for the </w:t>
      </w:r>
      <w:r>
        <w:rPr>
          <w:b/>
          <w:bCs/>
        </w:rPr>
        <w:t>o</w:t>
      </w:r>
      <w:r w:rsidRPr="00B636CB">
        <w:rPr>
          <w:b/>
          <w:bCs/>
        </w:rPr>
        <w:t xml:space="preserve">perating </w:t>
      </w:r>
      <w:r>
        <w:rPr>
          <w:b/>
          <w:bCs/>
        </w:rPr>
        <w:t>c</w:t>
      </w:r>
      <w:r w:rsidRPr="00B636CB">
        <w:rPr>
          <w:b/>
          <w:bCs/>
        </w:rPr>
        <w:t>osts of the Ex</w:t>
      </w:r>
      <w:r>
        <w:rPr>
          <w:b/>
          <w:bCs/>
        </w:rPr>
        <w:t xml:space="preserve">Com, MFLS, </w:t>
      </w:r>
      <w:r w:rsidRPr="00B636CB">
        <w:rPr>
          <w:b/>
          <w:bCs/>
        </w:rPr>
        <w:t xml:space="preserve">including </w:t>
      </w:r>
      <w:r>
        <w:rPr>
          <w:b/>
          <w:bCs/>
        </w:rPr>
        <w:t>monitoring and evaluation, and T</w:t>
      </w:r>
      <w:r w:rsidRPr="00B636CB">
        <w:rPr>
          <w:b/>
          <w:bCs/>
        </w:rPr>
        <w:t>reasurer (US$)</w:t>
      </w:r>
    </w:p>
    <w:p w14:paraId="1C76CA04" w14:textId="77777777" w:rsidR="009D7EDF" w:rsidRDefault="009D7EDF" w:rsidP="002135B0">
      <w:pPr>
        <w:tabs>
          <w:tab w:val="left" w:pos="1418"/>
        </w:tabs>
        <w:spacing w:after="0"/>
        <w:ind w:left="1412" w:hanging="1412"/>
        <w:rPr>
          <w:b/>
          <w:bCs/>
          <w:lang w:val="en-US"/>
        </w:rPr>
      </w:pPr>
    </w:p>
    <w:tbl>
      <w:tblPr>
        <w:tblStyle w:val="GridTable5Dark-Accent11"/>
        <w:tblW w:w="80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65"/>
        <w:gridCol w:w="2805"/>
      </w:tblGrid>
      <w:tr w:rsidR="00650665" w:rsidRPr="001D79E5" w14:paraId="733CF0F1" w14:textId="77777777" w:rsidTr="002135B0">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265" w:type="dxa"/>
            <w:tcBorders>
              <w:top w:val="none" w:sz="0" w:space="0" w:color="auto"/>
              <w:left w:val="none" w:sz="0" w:space="0" w:color="auto"/>
              <w:right w:val="none" w:sz="0" w:space="0" w:color="auto"/>
            </w:tcBorders>
            <w:shd w:val="clear" w:color="auto" w:fill="E2EFD9" w:themeFill="accent6" w:themeFillTint="33"/>
            <w:noWrap/>
            <w:vAlign w:val="center"/>
            <w:hideMark/>
          </w:tcPr>
          <w:p w14:paraId="5DC0D579" w14:textId="77777777" w:rsidR="00650665" w:rsidRPr="001D79E5" w:rsidRDefault="00650665" w:rsidP="007A799B">
            <w:pPr>
              <w:spacing w:before="40" w:after="40"/>
              <w:rPr>
                <w:b w:val="0"/>
                <w:color w:val="000000"/>
                <w:lang w:val="en-US"/>
              </w:rPr>
            </w:pPr>
            <w:r w:rsidRPr="001D79E5">
              <w:rPr>
                <w:lang w:val="en-US"/>
              </w:rPr>
              <w:t>2027-2029 Triennium</w:t>
            </w:r>
          </w:p>
        </w:tc>
        <w:tc>
          <w:tcPr>
            <w:tcW w:w="2805" w:type="dxa"/>
            <w:tcBorders>
              <w:top w:val="none" w:sz="0" w:space="0" w:color="auto"/>
              <w:left w:val="none" w:sz="0" w:space="0" w:color="auto"/>
              <w:right w:val="none" w:sz="0" w:space="0" w:color="auto"/>
            </w:tcBorders>
            <w:shd w:val="clear" w:color="auto" w:fill="E2EFD9" w:themeFill="accent6" w:themeFillTint="33"/>
            <w:vAlign w:val="center"/>
          </w:tcPr>
          <w:p w14:paraId="49CA5C1F" w14:textId="2A15745D" w:rsidR="00650665" w:rsidRPr="001D79E5" w:rsidRDefault="4BCEE662" w:rsidP="007A799B">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000000"/>
                <w:lang w:val="en-US"/>
              </w:rPr>
            </w:pPr>
            <w:r w:rsidRPr="4BCEE662">
              <w:rPr>
                <w:lang w:val="en-US"/>
              </w:rPr>
              <w:t>Estimated Funding (US$)</w:t>
            </w:r>
          </w:p>
        </w:tc>
      </w:tr>
      <w:tr w:rsidR="00650665" w:rsidRPr="001D79E5" w14:paraId="2DB892ED" w14:textId="77777777" w:rsidTr="002135B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265" w:type="dxa"/>
            <w:tcBorders>
              <w:left w:val="none" w:sz="0" w:space="0" w:color="auto"/>
            </w:tcBorders>
            <w:shd w:val="clear" w:color="auto" w:fill="E2EFD9" w:themeFill="accent6" w:themeFillTint="33"/>
            <w:noWrap/>
            <w:hideMark/>
          </w:tcPr>
          <w:p w14:paraId="03F44C09" w14:textId="77777777" w:rsidR="00650665" w:rsidRPr="001D79E5" w:rsidRDefault="00650665" w:rsidP="006233FA">
            <w:pPr>
              <w:spacing w:before="40" w:after="40"/>
              <w:rPr>
                <w:b w:val="0"/>
                <w:bCs w:val="0"/>
                <w:color w:val="000000"/>
                <w:lang w:val="en-US"/>
              </w:rPr>
            </w:pPr>
            <w:r w:rsidRPr="001D79E5">
              <w:rPr>
                <w:b w:val="0"/>
                <w:bCs w:val="0"/>
                <w:lang w:val="en-US"/>
              </w:rPr>
              <w:t>Institutional Strengthening</w:t>
            </w:r>
          </w:p>
        </w:tc>
        <w:tc>
          <w:tcPr>
            <w:tcW w:w="2805" w:type="dxa"/>
            <w:shd w:val="clear" w:color="auto" w:fill="FFFFFF" w:themeFill="background1"/>
            <w:noWrap/>
            <w:vAlign w:val="center"/>
          </w:tcPr>
          <w:p w14:paraId="4E1599C2" w14:textId="67035C11" w:rsidR="00650665" w:rsidRPr="001D79E5"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rPr>
                <w:color w:val="000000"/>
                <w:lang w:val="en-US"/>
              </w:rPr>
            </w:pPr>
            <w:r>
              <w:t>44,857,086</w:t>
            </w:r>
          </w:p>
        </w:tc>
      </w:tr>
      <w:tr w:rsidR="00650665" w:rsidRPr="001D79E5" w14:paraId="489FA9D5" w14:textId="77777777" w:rsidTr="002135B0">
        <w:trPr>
          <w:trHeight w:val="50"/>
        </w:trPr>
        <w:tc>
          <w:tcPr>
            <w:cnfStyle w:val="001000000000" w:firstRow="0" w:lastRow="0" w:firstColumn="1" w:lastColumn="0" w:oddVBand="0" w:evenVBand="0" w:oddHBand="0" w:evenHBand="0" w:firstRowFirstColumn="0" w:firstRowLastColumn="0" w:lastRowFirstColumn="0" w:lastRowLastColumn="0"/>
            <w:tcW w:w="5265" w:type="dxa"/>
            <w:tcBorders>
              <w:left w:val="none" w:sz="0" w:space="0" w:color="auto"/>
            </w:tcBorders>
            <w:shd w:val="clear" w:color="auto" w:fill="E2EFD9" w:themeFill="accent6" w:themeFillTint="33"/>
            <w:noWrap/>
            <w:hideMark/>
          </w:tcPr>
          <w:p w14:paraId="1CE953B5" w14:textId="77777777" w:rsidR="00650665" w:rsidRPr="001D79E5" w:rsidRDefault="00650665" w:rsidP="006233FA">
            <w:pPr>
              <w:spacing w:before="40" w:after="40"/>
              <w:rPr>
                <w:b w:val="0"/>
                <w:bCs w:val="0"/>
                <w:color w:val="000000"/>
                <w:lang w:val="en-US"/>
              </w:rPr>
            </w:pPr>
            <w:r w:rsidRPr="001D79E5">
              <w:rPr>
                <w:b w:val="0"/>
                <w:bCs w:val="0"/>
                <w:lang w:val="en-US"/>
              </w:rPr>
              <w:t>UNEP Compliance Assistance Programme</w:t>
            </w:r>
          </w:p>
        </w:tc>
        <w:tc>
          <w:tcPr>
            <w:tcW w:w="2805" w:type="dxa"/>
            <w:shd w:val="clear" w:color="auto" w:fill="FFFFFF" w:themeFill="background1"/>
            <w:noWrap/>
            <w:vAlign w:val="center"/>
          </w:tcPr>
          <w:p w14:paraId="3E3D16C7" w14:textId="0A465BCD" w:rsidR="00650665" w:rsidRPr="001D79E5"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rPr>
                <w:color w:val="000000"/>
                <w:lang w:val="en-US"/>
              </w:rPr>
            </w:pPr>
            <w:r>
              <w:t>39,405,782</w:t>
            </w:r>
          </w:p>
        </w:tc>
      </w:tr>
      <w:tr w:rsidR="00650665" w:rsidRPr="001D79E5" w14:paraId="430ADD74" w14:textId="77777777" w:rsidTr="002135B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65" w:type="dxa"/>
            <w:tcBorders>
              <w:left w:val="none" w:sz="0" w:space="0" w:color="auto"/>
            </w:tcBorders>
            <w:shd w:val="clear" w:color="auto" w:fill="E2EFD9" w:themeFill="accent6" w:themeFillTint="33"/>
            <w:noWrap/>
            <w:hideMark/>
          </w:tcPr>
          <w:p w14:paraId="30432C8B" w14:textId="77777777" w:rsidR="00650665" w:rsidRPr="001D79E5" w:rsidRDefault="00650665" w:rsidP="006233FA">
            <w:pPr>
              <w:spacing w:before="40" w:after="40"/>
              <w:rPr>
                <w:b w:val="0"/>
                <w:bCs w:val="0"/>
                <w:color w:val="000000"/>
                <w:lang w:val="en-US"/>
              </w:rPr>
            </w:pPr>
            <w:r w:rsidRPr="001D79E5">
              <w:rPr>
                <w:b w:val="0"/>
                <w:bCs w:val="0"/>
                <w:lang w:val="en-US"/>
              </w:rPr>
              <w:t xml:space="preserve">UNDP, UNIDO, World Bank Core Unit </w:t>
            </w:r>
          </w:p>
        </w:tc>
        <w:tc>
          <w:tcPr>
            <w:tcW w:w="2805" w:type="dxa"/>
            <w:shd w:val="clear" w:color="auto" w:fill="FFFFFF" w:themeFill="background1"/>
            <w:noWrap/>
            <w:vAlign w:val="center"/>
          </w:tcPr>
          <w:p w14:paraId="1C109402" w14:textId="483C8956" w:rsidR="00650665" w:rsidRPr="001D79E5"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rPr>
                <w:highlight w:val="yellow"/>
                <w:lang w:val="en-US"/>
              </w:rPr>
            </w:pPr>
            <w:r>
              <w:t>18,432,779</w:t>
            </w:r>
          </w:p>
        </w:tc>
      </w:tr>
      <w:tr w:rsidR="00650665" w:rsidRPr="001D79E5" w14:paraId="6B4AEC93" w14:textId="77777777" w:rsidTr="002135B0">
        <w:trPr>
          <w:trHeight w:val="314"/>
        </w:trPr>
        <w:tc>
          <w:tcPr>
            <w:cnfStyle w:val="001000000000" w:firstRow="0" w:lastRow="0" w:firstColumn="1" w:lastColumn="0" w:oddVBand="0" w:evenVBand="0" w:oddHBand="0" w:evenHBand="0" w:firstRowFirstColumn="0" w:firstRowLastColumn="0" w:lastRowFirstColumn="0" w:lastRowLastColumn="0"/>
            <w:tcW w:w="5265" w:type="dxa"/>
            <w:tcBorders>
              <w:left w:val="none" w:sz="0" w:space="0" w:color="auto"/>
            </w:tcBorders>
            <w:shd w:val="clear" w:color="auto" w:fill="E2EFD9" w:themeFill="accent6" w:themeFillTint="33"/>
            <w:hideMark/>
          </w:tcPr>
          <w:p w14:paraId="12DE84FC" w14:textId="19494B3A" w:rsidR="00650665" w:rsidRPr="001D79E5" w:rsidRDefault="00650665" w:rsidP="006233FA">
            <w:pPr>
              <w:spacing w:before="40" w:after="40"/>
              <w:rPr>
                <w:b w:val="0"/>
                <w:bCs w:val="0"/>
                <w:color w:val="000000"/>
                <w:lang w:val="en-US"/>
              </w:rPr>
            </w:pPr>
            <w:r w:rsidRPr="001D79E5">
              <w:rPr>
                <w:b w:val="0"/>
                <w:bCs w:val="0"/>
                <w:color w:val="000000"/>
                <w:lang w:val="en-US"/>
              </w:rPr>
              <w:t xml:space="preserve">ExCom, </w:t>
            </w:r>
            <w:r w:rsidR="008A413E" w:rsidRPr="001D79E5">
              <w:rPr>
                <w:b w:val="0"/>
                <w:bCs w:val="0"/>
                <w:color w:val="000000"/>
                <w:lang w:val="en-US"/>
              </w:rPr>
              <w:t xml:space="preserve">MLFS, </w:t>
            </w:r>
            <w:r w:rsidRPr="001D79E5">
              <w:rPr>
                <w:b w:val="0"/>
                <w:bCs w:val="0"/>
                <w:color w:val="000000"/>
                <w:lang w:val="en-US"/>
              </w:rPr>
              <w:t>M</w:t>
            </w:r>
            <w:r w:rsidR="00E67AFD" w:rsidRPr="001D79E5">
              <w:rPr>
                <w:b w:val="0"/>
                <w:bCs w:val="0"/>
                <w:color w:val="000000"/>
                <w:lang w:val="en-US"/>
              </w:rPr>
              <w:t>&amp;E</w:t>
            </w:r>
            <w:r w:rsidRPr="001D79E5">
              <w:rPr>
                <w:b w:val="0"/>
                <w:bCs w:val="0"/>
                <w:color w:val="000000"/>
                <w:lang w:val="en-US"/>
              </w:rPr>
              <w:t xml:space="preserve">  </w:t>
            </w:r>
          </w:p>
        </w:tc>
        <w:tc>
          <w:tcPr>
            <w:tcW w:w="2805" w:type="dxa"/>
            <w:shd w:val="clear" w:color="auto" w:fill="FFFFFF" w:themeFill="background1"/>
            <w:noWrap/>
            <w:vAlign w:val="center"/>
          </w:tcPr>
          <w:p w14:paraId="0CFD44F4" w14:textId="4E50A2F4" w:rsidR="00650665" w:rsidRPr="001D79E5"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pPr>
            <w:r>
              <w:t>24,934,851</w:t>
            </w:r>
          </w:p>
        </w:tc>
      </w:tr>
      <w:tr w:rsidR="00650665" w:rsidRPr="001D79E5" w14:paraId="6D4D44F5" w14:textId="77777777" w:rsidTr="002135B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65" w:type="dxa"/>
            <w:tcBorders>
              <w:left w:val="none" w:sz="0" w:space="0" w:color="auto"/>
            </w:tcBorders>
            <w:shd w:val="clear" w:color="auto" w:fill="E2EFD9" w:themeFill="accent6" w:themeFillTint="33"/>
          </w:tcPr>
          <w:p w14:paraId="3462BC7D" w14:textId="77777777" w:rsidR="00650665" w:rsidRPr="001D79E5" w:rsidRDefault="00650665" w:rsidP="006233FA">
            <w:pPr>
              <w:spacing w:before="40" w:after="40"/>
              <w:rPr>
                <w:b w:val="0"/>
                <w:bCs w:val="0"/>
                <w:lang w:val="en-US"/>
              </w:rPr>
            </w:pPr>
            <w:r w:rsidRPr="001D79E5">
              <w:rPr>
                <w:b w:val="0"/>
                <w:bCs w:val="0"/>
                <w:lang w:val="en-US"/>
              </w:rPr>
              <w:t>Treasurer functions</w:t>
            </w:r>
          </w:p>
        </w:tc>
        <w:tc>
          <w:tcPr>
            <w:tcW w:w="2805" w:type="dxa"/>
            <w:shd w:val="clear" w:color="auto" w:fill="FFFFFF" w:themeFill="background1"/>
            <w:noWrap/>
            <w:vAlign w:val="center"/>
          </w:tcPr>
          <w:p w14:paraId="4AE5CF44" w14:textId="5B1C99E1" w:rsidR="00650665" w:rsidRPr="001D79E5"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 xml:space="preserve">   1,500,000       </w:t>
            </w:r>
          </w:p>
        </w:tc>
      </w:tr>
      <w:tr w:rsidR="00650665" w:rsidRPr="001D79E5" w14:paraId="54DAEB42" w14:textId="77777777" w:rsidTr="002135B0">
        <w:trPr>
          <w:trHeight w:val="128"/>
        </w:trPr>
        <w:tc>
          <w:tcPr>
            <w:cnfStyle w:val="001000000000" w:firstRow="0" w:lastRow="0" w:firstColumn="1" w:lastColumn="0" w:oddVBand="0" w:evenVBand="0" w:oddHBand="0" w:evenHBand="0" w:firstRowFirstColumn="0" w:firstRowLastColumn="0" w:lastRowFirstColumn="0" w:lastRowLastColumn="0"/>
            <w:tcW w:w="5265" w:type="dxa"/>
            <w:tcBorders>
              <w:left w:val="none" w:sz="0" w:space="0" w:color="auto"/>
              <w:bottom w:val="none" w:sz="0" w:space="0" w:color="auto"/>
            </w:tcBorders>
            <w:shd w:val="clear" w:color="auto" w:fill="FFFF00"/>
            <w:hideMark/>
          </w:tcPr>
          <w:p w14:paraId="485B625D" w14:textId="77777777" w:rsidR="00650665" w:rsidRPr="001D79E5" w:rsidRDefault="00650665" w:rsidP="006233FA">
            <w:pPr>
              <w:spacing w:before="40" w:after="40"/>
              <w:rPr>
                <w:b w:val="0"/>
                <w:color w:val="000000"/>
                <w:lang w:val="en-US"/>
              </w:rPr>
            </w:pPr>
            <w:r w:rsidRPr="001D79E5">
              <w:rPr>
                <w:lang w:val="en-US"/>
              </w:rPr>
              <w:t>SUBTOTAL - IS &amp; Standard Activities</w:t>
            </w:r>
          </w:p>
        </w:tc>
        <w:tc>
          <w:tcPr>
            <w:tcW w:w="2805" w:type="dxa"/>
            <w:shd w:val="clear" w:color="auto" w:fill="FFFF00"/>
            <w:noWrap/>
            <w:vAlign w:val="center"/>
          </w:tcPr>
          <w:p w14:paraId="74D97142" w14:textId="01F122B0" w:rsidR="00650665" w:rsidRPr="001D79E5"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rPr>
                <w:b/>
                <w:bCs/>
                <w:lang w:val="en-US"/>
              </w:rPr>
            </w:pPr>
            <w:r w:rsidRPr="4BCEE662">
              <w:rPr>
                <w:b/>
                <w:bCs/>
              </w:rPr>
              <w:t>129,130,498</w:t>
            </w:r>
          </w:p>
        </w:tc>
      </w:tr>
    </w:tbl>
    <w:p w14:paraId="6E5D3150" w14:textId="77777777" w:rsidR="001C77C1" w:rsidRDefault="001C77C1" w:rsidP="000E5797">
      <w:pPr>
        <w:rPr>
          <w:lang w:eastAsia="zh-CN"/>
        </w:rPr>
      </w:pPr>
    </w:p>
    <w:p w14:paraId="0839B0F1" w14:textId="3AF8460E" w:rsidR="001C77C1" w:rsidRPr="00D7427C" w:rsidRDefault="001C77C1" w:rsidP="002D02B7">
      <w:pPr>
        <w:pStyle w:val="Heading2"/>
      </w:pPr>
      <w:bookmarkStart w:id="265" w:name="_Toc230099113"/>
      <w:r w:rsidRPr="00D7427C">
        <w:t>5.</w:t>
      </w:r>
      <w:r w:rsidR="00E271FA">
        <w:t>5</w:t>
      </w:r>
      <w:r w:rsidRPr="00D7427C">
        <w:tab/>
      </w:r>
      <w:r w:rsidR="00163434">
        <w:t xml:space="preserve">Indicative funding for </w:t>
      </w:r>
      <w:r w:rsidR="00163434" w:rsidRPr="00E271FA">
        <w:t>future</w:t>
      </w:r>
      <w:r w:rsidR="00163434">
        <w:t xml:space="preserve"> triennia, 2030-2032 and 2033-2035</w:t>
      </w:r>
      <w:bookmarkEnd w:id="265"/>
    </w:p>
    <w:p w14:paraId="6AB6D160" w14:textId="1C5EDCB5" w:rsidR="00C35D47" w:rsidRDefault="4BCEE662" w:rsidP="006A4F29">
      <w:r>
        <w:t>The IS funding requirements recognise that a revision is expected, and revised funding levels will be introduced with effect from 2029 (Decision 91/63).</w:t>
      </w:r>
    </w:p>
    <w:p w14:paraId="7B2BBAF1" w14:textId="5A331494" w:rsidR="00C35D47" w:rsidRDefault="274D2446" w:rsidP="006A4F29">
      <w:r>
        <w:t xml:space="preserve">RTF assumed that the UNEP CAP would increase by 3% </w:t>
      </w:r>
      <w:r w:rsidR="00E15024">
        <w:t xml:space="preserve">per year </w:t>
      </w:r>
      <w:r>
        <w:t xml:space="preserve">in both triennia, to reflect increasing staff costs. RTF also assumed that the budget for UNDP, UNIDO, and </w:t>
      </w:r>
      <w:r w:rsidR="009619FA">
        <w:t>WB</w:t>
      </w:r>
      <w:r>
        <w:t xml:space="preserve"> as well as the MLFS would rise by 3%</w:t>
      </w:r>
      <w:r w:rsidR="004D3A10">
        <w:t xml:space="preserve"> per year</w:t>
      </w:r>
      <w:r>
        <w:t xml:space="preserve"> in both triennia to reflect increasing staff costs.</w:t>
      </w:r>
    </w:p>
    <w:p w14:paraId="30DDBA75" w14:textId="32C6B70B" w:rsidR="006B5B8C" w:rsidRDefault="274D2446" w:rsidP="006A4F29">
      <w:r>
        <w:t xml:space="preserve">The estimated total funding requirement for the 2030-2032 and 2033-2035 triennia for IS and SA is estimated to be </w:t>
      </w:r>
      <w:r w:rsidRPr="274D2446">
        <w:rPr>
          <w:b/>
          <w:bCs/>
        </w:rPr>
        <w:t>US$ 13</w:t>
      </w:r>
      <w:r w:rsidR="00BA4066">
        <w:rPr>
          <w:b/>
          <w:bCs/>
        </w:rPr>
        <w:t>7</w:t>
      </w:r>
      <w:r w:rsidRPr="274D2446">
        <w:rPr>
          <w:b/>
          <w:bCs/>
        </w:rPr>
        <w:t xml:space="preserve"> million and US$ 1</w:t>
      </w:r>
      <w:r w:rsidR="00BA4066">
        <w:rPr>
          <w:b/>
          <w:bCs/>
        </w:rPr>
        <w:t>45</w:t>
      </w:r>
      <w:r w:rsidRPr="274D2446">
        <w:rPr>
          <w:b/>
          <w:bCs/>
        </w:rPr>
        <w:t xml:space="preserve"> million,</w:t>
      </w:r>
      <w:r>
        <w:t xml:space="preserve"> respectively, as shown in Table 5.6.</w:t>
      </w:r>
    </w:p>
    <w:p w14:paraId="244666A7" w14:textId="1BBD2A57" w:rsidR="006B5B8C" w:rsidRDefault="006B5B8C" w:rsidP="002135B0">
      <w:pPr>
        <w:tabs>
          <w:tab w:val="left" w:pos="1134"/>
        </w:tabs>
        <w:spacing w:after="0"/>
        <w:ind w:left="1411" w:hanging="1411"/>
        <w:rPr>
          <w:b/>
          <w:bCs/>
        </w:rPr>
      </w:pPr>
      <w:r w:rsidRPr="00E42C5E">
        <w:rPr>
          <w:rFonts w:eastAsiaTheme="minorHAnsi"/>
          <w:b/>
          <w:bCs/>
        </w:rPr>
        <w:t xml:space="preserve">Table </w:t>
      </w:r>
      <w:r>
        <w:rPr>
          <w:rFonts w:eastAsiaTheme="minorHAnsi"/>
          <w:b/>
          <w:bCs/>
        </w:rPr>
        <w:t>5.6</w:t>
      </w:r>
      <w:r w:rsidR="00064E8C">
        <w:rPr>
          <w:rFonts w:eastAsiaTheme="minorHAnsi"/>
          <w:b/>
          <w:bCs/>
        </w:rPr>
        <w:t>:</w:t>
      </w:r>
      <w:r w:rsidRPr="00E42C5E">
        <w:rPr>
          <w:rFonts w:eastAsiaTheme="minorHAnsi"/>
          <w:b/>
          <w:bCs/>
        </w:rPr>
        <w:tab/>
      </w:r>
      <w:r w:rsidR="001D79E5">
        <w:rPr>
          <w:rFonts w:eastAsiaTheme="minorHAnsi"/>
          <w:b/>
          <w:bCs/>
        </w:rPr>
        <w:t>Funding requirement for IS and SA in Future Triennia</w:t>
      </w:r>
      <w:r w:rsidRPr="00B636CB">
        <w:rPr>
          <w:b/>
          <w:bCs/>
        </w:rPr>
        <w:t xml:space="preserve"> (US$)</w:t>
      </w:r>
    </w:p>
    <w:p w14:paraId="3BDCCE70" w14:textId="77777777" w:rsidR="006B5B8C" w:rsidRDefault="006B5B8C" w:rsidP="006B5B8C">
      <w:pPr>
        <w:tabs>
          <w:tab w:val="left" w:pos="1418"/>
        </w:tabs>
        <w:spacing w:after="0"/>
        <w:ind w:left="1411" w:hanging="1411"/>
        <w:rPr>
          <w:b/>
          <w:bCs/>
          <w:lang w:val="en-US"/>
        </w:rPr>
      </w:pPr>
    </w:p>
    <w:tbl>
      <w:tblPr>
        <w:tblStyle w:val="GridTable5Dark-Accent11"/>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90"/>
        <w:gridCol w:w="2160"/>
      </w:tblGrid>
      <w:tr w:rsidR="001D79E5" w:rsidRPr="00044EE9" w14:paraId="45635D5B" w14:textId="386A75F3" w:rsidTr="002135B0">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130" w:type="dxa"/>
            <w:tcBorders>
              <w:top w:val="none" w:sz="0" w:space="0" w:color="auto"/>
              <w:left w:val="none" w:sz="0" w:space="0" w:color="auto"/>
              <w:right w:val="none" w:sz="0" w:space="0" w:color="auto"/>
            </w:tcBorders>
            <w:shd w:val="clear" w:color="auto" w:fill="FFFFFF" w:themeFill="background1"/>
            <w:noWrap/>
            <w:hideMark/>
          </w:tcPr>
          <w:p w14:paraId="20E87A41" w14:textId="41D828E8" w:rsidR="001D79E5" w:rsidRPr="00044EE9" w:rsidRDefault="001D79E5">
            <w:pPr>
              <w:spacing w:before="40" w:after="40"/>
              <w:rPr>
                <w:b w:val="0"/>
                <w:color w:val="000000"/>
                <w:lang w:val="en-US"/>
              </w:rPr>
            </w:pPr>
          </w:p>
        </w:tc>
        <w:tc>
          <w:tcPr>
            <w:tcW w:w="2190" w:type="dxa"/>
            <w:tcBorders>
              <w:top w:val="none" w:sz="0" w:space="0" w:color="auto"/>
              <w:left w:val="none" w:sz="0" w:space="0" w:color="auto"/>
              <w:right w:val="none" w:sz="0" w:space="0" w:color="auto"/>
            </w:tcBorders>
            <w:shd w:val="clear" w:color="auto" w:fill="FFFFFF" w:themeFill="background1"/>
            <w:vAlign w:val="center"/>
          </w:tcPr>
          <w:p w14:paraId="11A6C1BE" w14:textId="17D894F3" w:rsidR="001D79E5" w:rsidRPr="00044EE9" w:rsidRDefault="00540D52" w:rsidP="00064E8C">
            <w:pPr>
              <w:spacing w:before="40" w:after="40"/>
              <w:jc w:val="center"/>
              <w:cnfStyle w:val="100000000000" w:firstRow="1" w:lastRow="0" w:firstColumn="0" w:lastColumn="0" w:oddVBand="0" w:evenVBand="0" w:oddHBand="0" w:evenHBand="0" w:firstRowFirstColumn="0" w:firstRowLastColumn="0" w:lastRowFirstColumn="0" w:lastRowLastColumn="0"/>
              <w:rPr>
                <w:b w:val="0"/>
                <w:color w:val="000000"/>
                <w:lang w:val="en-US"/>
              </w:rPr>
            </w:pPr>
            <w:r w:rsidRPr="00044EE9">
              <w:rPr>
                <w:lang w:val="en-US"/>
              </w:rPr>
              <w:t>2030-2032</w:t>
            </w:r>
          </w:p>
        </w:tc>
        <w:tc>
          <w:tcPr>
            <w:tcW w:w="2160" w:type="dxa"/>
            <w:tcBorders>
              <w:top w:val="none" w:sz="0" w:space="0" w:color="auto"/>
              <w:left w:val="none" w:sz="0" w:space="0" w:color="auto"/>
              <w:right w:val="none" w:sz="0" w:space="0" w:color="auto"/>
            </w:tcBorders>
            <w:shd w:val="clear" w:color="auto" w:fill="FFFFFF" w:themeFill="background1"/>
            <w:vAlign w:val="center"/>
          </w:tcPr>
          <w:p w14:paraId="673BB022" w14:textId="490437A9" w:rsidR="001D79E5" w:rsidRPr="00044EE9" w:rsidRDefault="00540D52" w:rsidP="00064E8C">
            <w:pPr>
              <w:spacing w:before="40" w:after="40"/>
              <w:jc w:val="center"/>
              <w:cnfStyle w:val="100000000000" w:firstRow="1" w:lastRow="0" w:firstColumn="0" w:lastColumn="0" w:oddVBand="0" w:evenVBand="0" w:oddHBand="0" w:evenHBand="0" w:firstRowFirstColumn="0" w:firstRowLastColumn="0" w:lastRowFirstColumn="0" w:lastRowLastColumn="0"/>
              <w:rPr>
                <w:lang w:val="en-US"/>
              </w:rPr>
            </w:pPr>
            <w:r w:rsidRPr="00044EE9">
              <w:rPr>
                <w:lang w:val="en-US"/>
              </w:rPr>
              <w:t>2033-2035</w:t>
            </w:r>
          </w:p>
        </w:tc>
      </w:tr>
      <w:tr w:rsidR="001D79E5" w:rsidRPr="00044EE9" w14:paraId="4108B0D5" w14:textId="5099CC7C" w:rsidTr="002135B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130" w:type="dxa"/>
            <w:tcBorders>
              <w:left w:val="none" w:sz="0" w:space="0" w:color="auto"/>
            </w:tcBorders>
            <w:shd w:val="clear" w:color="auto" w:fill="E2EFD9" w:themeFill="accent6" w:themeFillTint="33"/>
            <w:noWrap/>
            <w:hideMark/>
          </w:tcPr>
          <w:p w14:paraId="100142E7" w14:textId="77777777" w:rsidR="001D79E5" w:rsidRPr="00044EE9" w:rsidRDefault="001D79E5">
            <w:pPr>
              <w:spacing w:before="40" w:after="40"/>
              <w:rPr>
                <w:b w:val="0"/>
                <w:bCs w:val="0"/>
                <w:color w:val="000000"/>
                <w:lang w:val="en-US"/>
              </w:rPr>
            </w:pPr>
            <w:r w:rsidRPr="00044EE9">
              <w:rPr>
                <w:b w:val="0"/>
                <w:bCs w:val="0"/>
                <w:lang w:val="en-US"/>
              </w:rPr>
              <w:t>Institutional Strengthening</w:t>
            </w:r>
          </w:p>
        </w:tc>
        <w:tc>
          <w:tcPr>
            <w:tcW w:w="2190" w:type="dxa"/>
            <w:shd w:val="clear" w:color="auto" w:fill="FFFFFF" w:themeFill="background1"/>
            <w:noWrap/>
            <w:vAlign w:val="center"/>
          </w:tcPr>
          <w:p w14:paraId="1B705F67" w14:textId="77777777" w:rsidR="001D79E5"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rPr>
                <w:color w:val="000000"/>
                <w:lang w:val="en-US"/>
              </w:rPr>
            </w:pPr>
            <w:r>
              <w:t>44,857,086</w:t>
            </w:r>
          </w:p>
        </w:tc>
        <w:tc>
          <w:tcPr>
            <w:tcW w:w="2160" w:type="dxa"/>
            <w:shd w:val="clear" w:color="auto" w:fill="FFFFFF" w:themeFill="background1"/>
            <w:vAlign w:val="center"/>
          </w:tcPr>
          <w:p w14:paraId="37469EBE" w14:textId="04CBF2A4" w:rsidR="001D79E5" w:rsidRPr="00044EE9" w:rsidRDefault="4BCEE662" w:rsidP="002135B0">
            <w:pPr>
              <w:spacing w:before="40" w:after="40" w:line="259" w:lineRule="auto"/>
              <w:jc w:val="right"/>
              <w:cnfStyle w:val="000000100000" w:firstRow="0" w:lastRow="0" w:firstColumn="0" w:lastColumn="0" w:oddVBand="0" w:evenVBand="0" w:oddHBand="1" w:evenHBand="0" w:firstRowFirstColumn="0" w:firstRowLastColumn="0" w:lastRowFirstColumn="0" w:lastRowLastColumn="0"/>
            </w:pPr>
            <w:r>
              <w:t>44,857,086</w:t>
            </w:r>
          </w:p>
        </w:tc>
      </w:tr>
      <w:tr w:rsidR="001D79E5" w:rsidRPr="00044EE9" w14:paraId="36381EAD" w14:textId="0E274FC5" w:rsidTr="002135B0">
        <w:trPr>
          <w:trHeight w:val="50"/>
        </w:trPr>
        <w:tc>
          <w:tcPr>
            <w:cnfStyle w:val="001000000000" w:firstRow="0" w:lastRow="0" w:firstColumn="1" w:lastColumn="0" w:oddVBand="0" w:evenVBand="0" w:oddHBand="0" w:evenHBand="0" w:firstRowFirstColumn="0" w:firstRowLastColumn="0" w:lastRowFirstColumn="0" w:lastRowLastColumn="0"/>
            <w:tcW w:w="4130" w:type="dxa"/>
            <w:tcBorders>
              <w:left w:val="none" w:sz="0" w:space="0" w:color="auto"/>
            </w:tcBorders>
            <w:shd w:val="clear" w:color="auto" w:fill="E2EFD9" w:themeFill="accent6" w:themeFillTint="33"/>
            <w:noWrap/>
            <w:hideMark/>
          </w:tcPr>
          <w:p w14:paraId="0574C0FC" w14:textId="77777777" w:rsidR="001D79E5" w:rsidRPr="00044EE9" w:rsidRDefault="001D79E5">
            <w:pPr>
              <w:spacing w:before="40" w:after="40"/>
              <w:rPr>
                <w:b w:val="0"/>
                <w:bCs w:val="0"/>
                <w:color w:val="000000"/>
                <w:lang w:val="en-US"/>
              </w:rPr>
            </w:pPr>
            <w:r w:rsidRPr="00044EE9">
              <w:rPr>
                <w:b w:val="0"/>
                <w:bCs w:val="0"/>
                <w:lang w:val="en-US"/>
              </w:rPr>
              <w:t>UNEP Compliance Assistance Programme</w:t>
            </w:r>
          </w:p>
        </w:tc>
        <w:tc>
          <w:tcPr>
            <w:tcW w:w="2190" w:type="dxa"/>
            <w:shd w:val="clear" w:color="auto" w:fill="FFFFFF" w:themeFill="background1"/>
            <w:noWrap/>
            <w:vAlign w:val="center"/>
          </w:tcPr>
          <w:p w14:paraId="6B1C42B6" w14:textId="1D5ADDE1" w:rsidR="001D79E5"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rPr>
                <w:color w:val="000000"/>
                <w:lang w:val="en-US"/>
              </w:rPr>
            </w:pPr>
            <w:r>
              <w:t>43,069,762</w:t>
            </w:r>
          </w:p>
        </w:tc>
        <w:tc>
          <w:tcPr>
            <w:tcW w:w="2160" w:type="dxa"/>
            <w:shd w:val="clear" w:color="auto" w:fill="FFFFFF" w:themeFill="background1"/>
            <w:vAlign w:val="center"/>
          </w:tcPr>
          <w:p w14:paraId="152BF7CF" w14:textId="1118DB38" w:rsidR="001D79E5"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pPr>
            <w:r>
              <w:t>47,052,564</w:t>
            </w:r>
          </w:p>
        </w:tc>
      </w:tr>
      <w:tr w:rsidR="001D79E5" w:rsidRPr="00044EE9" w14:paraId="46D0B5F1" w14:textId="274F9FA7" w:rsidTr="002135B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130" w:type="dxa"/>
            <w:tcBorders>
              <w:left w:val="none" w:sz="0" w:space="0" w:color="auto"/>
            </w:tcBorders>
            <w:shd w:val="clear" w:color="auto" w:fill="E2EFD9" w:themeFill="accent6" w:themeFillTint="33"/>
            <w:noWrap/>
            <w:hideMark/>
          </w:tcPr>
          <w:p w14:paraId="21FDB5AE" w14:textId="77777777" w:rsidR="001D79E5" w:rsidRPr="00044EE9" w:rsidRDefault="001D79E5">
            <w:pPr>
              <w:spacing w:before="40" w:after="40"/>
              <w:rPr>
                <w:b w:val="0"/>
                <w:bCs w:val="0"/>
                <w:color w:val="000000"/>
                <w:lang w:val="en-US"/>
              </w:rPr>
            </w:pPr>
            <w:r w:rsidRPr="00044EE9">
              <w:rPr>
                <w:b w:val="0"/>
                <w:bCs w:val="0"/>
                <w:lang w:val="en-US"/>
              </w:rPr>
              <w:t xml:space="preserve">UNDP, UNIDO, World Bank Core Unit </w:t>
            </w:r>
          </w:p>
        </w:tc>
        <w:tc>
          <w:tcPr>
            <w:tcW w:w="2190" w:type="dxa"/>
            <w:shd w:val="clear" w:color="auto" w:fill="FFFFFF" w:themeFill="background1"/>
            <w:noWrap/>
            <w:vAlign w:val="center"/>
          </w:tcPr>
          <w:p w14:paraId="1D2F9E18" w14:textId="79288CA2" w:rsidR="001D79E5"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rPr>
                <w:highlight w:val="yellow"/>
                <w:lang w:val="en-US"/>
              </w:rPr>
            </w:pPr>
            <w:r>
              <w:t>20,141,995</w:t>
            </w:r>
          </w:p>
        </w:tc>
        <w:tc>
          <w:tcPr>
            <w:tcW w:w="2160" w:type="dxa"/>
            <w:shd w:val="clear" w:color="auto" w:fill="FFFFFF" w:themeFill="background1"/>
            <w:vAlign w:val="center"/>
          </w:tcPr>
          <w:p w14:paraId="34AC859D" w14:textId="6B8EEDB3" w:rsidR="001D79E5"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22,009,702</w:t>
            </w:r>
          </w:p>
        </w:tc>
      </w:tr>
      <w:tr w:rsidR="001D79E5" w:rsidRPr="00044EE9" w14:paraId="1F9570B8" w14:textId="757EFC3C" w:rsidTr="002135B0">
        <w:trPr>
          <w:trHeight w:val="314"/>
        </w:trPr>
        <w:tc>
          <w:tcPr>
            <w:cnfStyle w:val="001000000000" w:firstRow="0" w:lastRow="0" w:firstColumn="1" w:lastColumn="0" w:oddVBand="0" w:evenVBand="0" w:oddHBand="0" w:evenHBand="0" w:firstRowFirstColumn="0" w:firstRowLastColumn="0" w:lastRowFirstColumn="0" w:lastRowLastColumn="0"/>
            <w:tcW w:w="4130" w:type="dxa"/>
            <w:tcBorders>
              <w:left w:val="none" w:sz="0" w:space="0" w:color="auto"/>
            </w:tcBorders>
            <w:shd w:val="clear" w:color="auto" w:fill="E2EFD9" w:themeFill="accent6" w:themeFillTint="33"/>
            <w:hideMark/>
          </w:tcPr>
          <w:p w14:paraId="4FE0B35E" w14:textId="77777777" w:rsidR="001D79E5" w:rsidRPr="00044EE9" w:rsidRDefault="001D79E5">
            <w:pPr>
              <w:spacing w:before="40" w:after="40"/>
              <w:rPr>
                <w:b w:val="0"/>
                <w:bCs w:val="0"/>
                <w:color w:val="000000"/>
                <w:lang w:val="en-US"/>
              </w:rPr>
            </w:pPr>
            <w:r w:rsidRPr="00044EE9">
              <w:rPr>
                <w:b w:val="0"/>
                <w:bCs w:val="0"/>
                <w:color w:val="000000"/>
                <w:lang w:val="en-US"/>
              </w:rPr>
              <w:t xml:space="preserve">ExCom, MLFS, M&amp;E  </w:t>
            </w:r>
          </w:p>
        </w:tc>
        <w:tc>
          <w:tcPr>
            <w:tcW w:w="2190" w:type="dxa"/>
            <w:shd w:val="clear" w:color="auto" w:fill="FFFFFF" w:themeFill="background1"/>
            <w:noWrap/>
            <w:vAlign w:val="center"/>
          </w:tcPr>
          <w:p w14:paraId="7A4E0EA9" w14:textId="1F785B52" w:rsidR="001D79E5"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pPr>
            <w:r>
              <w:t>27,246,985</w:t>
            </w:r>
          </w:p>
        </w:tc>
        <w:tc>
          <w:tcPr>
            <w:tcW w:w="2160" w:type="dxa"/>
            <w:shd w:val="clear" w:color="auto" w:fill="FFFFFF" w:themeFill="background1"/>
            <w:vAlign w:val="center"/>
          </w:tcPr>
          <w:p w14:paraId="239F6D9A" w14:textId="2F3B9747" w:rsidR="001D79E5"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pPr>
            <w:r>
              <w:t>29,773,516</w:t>
            </w:r>
          </w:p>
        </w:tc>
      </w:tr>
      <w:tr w:rsidR="001D79E5" w:rsidRPr="00044EE9" w14:paraId="79916AA1" w14:textId="082030C1" w:rsidTr="002135B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30" w:type="dxa"/>
            <w:tcBorders>
              <w:left w:val="none" w:sz="0" w:space="0" w:color="auto"/>
            </w:tcBorders>
            <w:shd w:val="clear" w:color="auto" w:fill="E2EFD9" w:themeFill="accent6" w:themeFillTint="33"/>
          </w:tcPr>
          <w:p w14:paraId="4311F81E" w14:textId="77777777" w:rsidR="001D79E5" w:rsidRPr="00044EE9" w:rsidRDefault="001D79E5">
            <w:pPr>
              <w:spacing w:before="40" w:after="40"/>
              <w:rPr>
                <w:b w:val="0"/>
                <w:bCs w:val="0"/>
                <w:lang w:val="en-US"/>
              </w:rPr>
            </w:pPr>
            <w:r w:rsidRPr="00044EE9">
              <w:rPr>
                <w:b w:val="0"/>
                <w:bCs w:val="0"/>
                <w:lang w:val="en-US"/>
              </w:rPr>
              <w:t>Treasurer functions</w:t>
            </w:r>
          </w:p>
        </w:tc>
        <w:tc>
          <w:tcPr>
            <w:tcW w:w="2190" w:type="dxa"/>
            <w:shd w:val="clear" w:color="auto" w:fill="FFFFFF" w:themeFill="background1"/>
            <w:noWrap/>
            <w:vAlign w:val="center"/>
          </w:tcPr>
          <w:p w14:paraId="2368765C" w14:textId="77777777" w:rsidR="001D79E5" w:rsidRPr="00044EE9" w:rsidRDefault="001D79E5" w:rsidP="00064E8C">
            <w:pPr>
              <w:spacing w:before="40" w:after="40"/>
              <w:jc w:val="right"/>
              <w:cnfStyle w:val="000000100000" w:firstRow="0" w:lastRow="0" w:firstColumn="0" w:lastColumn="0" w:oddVBand="0" w:evenVBand="0" w:oddHBand="1" w:evenHBand="0" w:firstRowFirstColumn="0" w:firstRowLastColumn="0" w:lastRowFirstColumn="0" w:lastRowLastColumn="0"/>
            </w:pPr>
            <w:r w:rsidRPr="00044EE9">
              <w:t xml:space="preserve">   1,500,000         </w:t>
            </w:r>
          </w:p>
        </w:tc>
        <w:tc>
          <w:tcPr>
            <w:tcW w:w="2160" w:type="dxa"/>
            <w:shd w:val="clear" w:color="auto" w:fill="FFFFFF" w:themeFill="background1"/>
            <w:vAlign w:val="center"/>
          </w:tcPr>
          <w:p w14:paraId="55FB1FD9" w14:textId="60C998C8" w:rsidR="001D79E5"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1,500,000</w:t>
            </w:r>
          </w:p>
        </w:tc>
      </w:tr>
      <w:tr w:rsidR="001D79E5" w:rsidRPr="00044EE9" w14:paraId="2D337CAD" w14:textId="61677D8C" w:rsidTr="002135B0">
        <w:trPr>
          <w:trHeight w:val="128"/>
        </w:trPr>
        <w:tc>
          <w:tcPr>
            <w:cnfStyle w:val="001000000000" w:firstRow="0" w:lastRow="0" w:firstColumn="1" w:lastColumn="0" w:oddVBand="0" w:evenVBand="0" w:oddHBand="0" w:evenHBand="0" w:firstRowFirstColumn="0" w:firstRowLastColumn="0" w:lastRowFirstColumn="0" w:lastRowLastColumn="0"/>
            <w:tcW w:w="4130" w:type="dxa"/>
            <w:tcBorders>
              <w:left w:val="none" w:sz="0" w:space="0" w:color="auto"/>
              <w:bottom w:val="none" w:sz="0" w:space="0" w:color="auto"/>
            </w:tcBorders>
            <w:shd w:val="clear" w:color="auto" w:fill="FFFF00"/>
            <w:hideMark/>
          </w:tcPr>
          <w:p w14:paraId="5AB4A011" w14:textId="77777777" w:rsidR="001D79E5" w:rsidRPr="00044EE9" w:rsidRDefault="001D79E5">
            <w:pPr>
              <w:spacing w:before="40" w:after="40"/>
              <w:rPr>
                <w:b w:val="0"/>
                <w:color w:val="000000"/>
                <w:lang w:val="en-US"/>
              </w:rPr>
            </w:pPr>
            <w:r w:rsidRPr="00044EE9">
              <w:rPr>
                <w:lang w:val="en-US"/>
              </w:rPr>
              <w:t>SUBTOTAL - IS &amp; Standard Activities</w:t>
            </w:r>
          </w:p>
        </w:tc>
        <w:tc>
          <w:tcPr>
            <w:tcW w:w="2190" w:type="dxa"/>
            <w:shd w:val="clear" w:color="auto" w:fill="FFFF00"/>
            <w:noWrap/>
            <w:vAlign w:val="center"/>
          </w:tcPr>
          <w:p w14:paraId="5E6D967F" w14:textId="11C5E8F7" w:rsidR="001D79E5"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rPr>
                <w:b/>
                <w:bCs/>
                <w:lang w:val="en-US"/>
              </w:rPr>
            </w:pPr>
            <w:r w:rsidRPr="4BCEE662">
              <w:rPr>
                <w:b/>
                <w:bCs/>
              </w:rPr>
              <w:t>136,805,828</w:t>
            </w:r>
          </w:p>
        </w:tc>
        <w:tc>
          <w:tcPr>
            <w:tcW w:w="2160" w:type="dxa"/>
            <w:shd w:val="clear" w:color="auto" w:fill="FFFF00"/>
            <w:vAlign w:val="center"/>
          </w:tcPr>
          <w:p w14:paraId="5A48590C" w14:textId="15B54FF9" w:rsidR="001D79E5"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rPr>
                <w:b/>
                <w:bCs/>
              </w:rPr>
            </w:pPr>
            <w:r w:rsidRPr="4BCEE662">
              <w:rPr>
                <w:b/>
                <w:bCs/>
              </w:rPr>
              <w:t>145,192,869</w:t>
            </w:r>
          </w:p>
        </w:tc>
      </w:tr>
    </w:tbl>
    <w:p w14:paraId="2B42B9F6" w14:textId="77777777" w:rsidR="006B5B8C" w:rsidRDefault="006B5B8C" w:rsidP="006B5B8C">
      <w:pPr>
        <w:rPr>
          <w:lang w:eastAsia="zh-CN"/>
        </w:rPr>
      </w:pPr>
    </w:p>
    <w:p w14:paraId="7C1EE20A" w14:textId="1FCBEBE3" w:rsidR="125AA117" w:rsidRDefault="125AA117" w:rsidP="125AA117">
      <w:pPr>
        <w:rPr>
          <w:lang w:eastAsia="zh-CN"/>
        </w:rPr>
      </w:pPr>
    </w:p>
    <w:p w14:paraId="0566CEBC" w14:textId="1AE72734" w:rsidR="125AA117" w:rsidRDefault="125AA117" w:rsidP="125AA117">
      <w:pPr>
        <w:rPr>
          <w:lang w:eastAsia="zh-CN"/>
        </w:rPr>
      </w:pPr>
    </w:p>
    <w:p w14:paraId="34B18542" w14:textId="77777777" w:rsidR="00C217BC" w:rsidRDefault="00044EE9">
      <w:pPr>
        <w:tabs>
          <w:tab w:val="clear" w:pos="0"/>
        </w:tabs>
        <w:spacing w:after="0"/>
        <w:sectPr w:rsidR="00C217BC" w:rsidSect="00B12D8F">
          <w:type w:val="oddPage"/>
          <w:pgSz w:w="11906" w:h="16838"/>
          <w:pgMar w:top="1411" w:right="1411" w:bottom="1411" w:left="1411" w:header="708" w:footer="708" w:gutter="0"/>
          <w:cols w:space="708"/>
          <w:docGrid w:linePitch="360"/>
        </w:sectPr>
      </w:pPr>
      <w:r>
        <w:br w:type="page"/>
      </w:r>
    </w:p>
    <w:p w14:paraId="58696A9D" w14:textId="56886D60" w:rsidR="00544D09" w:rsidRDefault="00544D09" w:rsidP="005D31A7">
      <w:pPr>
        <w:pStyle w:val="Heading1"/>
      </w:pPr>
      <w:bookmarkStart w:id="266" w:name="_Toc119436599"/>
      <w:bookmarkStart w:id="267" w:name="_Toc230099114"/>
      <w:r w:rsidRPr="00E42C5E">
        <w:lastRenderedPageBreak/>
        <w:t>6</w:t>
      </w:r>
      <w:r w:rsidRPr="00E42C5E">
        <w:tab/>
      </w:r>
      <w:r w:rsidR="00911DB3">
        <w:t>Special Needs of LVC and VLVC Countries</w:t>
      </w:r>
      <w:bookmarkEnd w:id="266"/>
      <w:bookmarkEnd w:id="267"/>
    </w:p>
    <w:p w14:paraId="4D2D08B1" w14:textId="09DC3376" w:rsidR="006659EC" w:rsidRDefault="006659EC" w:rsidP="006659EC">
      <w:r w:rsidRPr="26C4EEEA">
        <w:t xml:space="preserve">Paragraph 2 (b) of Decision XXXI/1 directs the RTF to “consider the special needs of low volume- and very-low-volume-consuming countries” and emphasizes these special needs in Paragraph 2 (f). RTF has in the past two reports included sections on LVCs and VLVCs addressing their challenges and making recommendations on better addressing their needs. While not adopting RTF recommendations fully, the ExCom did consider providing funding for KIP </w:t>
      </w:r>
      <w:r w:rsidR="00BD36D9">
        <w:t>S</w:t>
      </w:r>
      <w:r w:rsidRPr="26C4EEEA">
        <w:t>tage I at higher relative cost effectiveness factors than what used for the HPMPs; noting that in both cases LVCs and VLVCs are funded as a lumpsum and not based on CE factors.</w:t>
      </w:r>
    </w:p>
    <w:p w14:paraId="17F2DEC8" w14:textId="553AF951" w:rsidR="00D43258" w:rsidRDefault="00D43258" w:rsidP="002D02B7">
      <w:pPr>
        <w:pStyle w:val="Heading2"/>
      </w:pPr>
      <w:bookmarkStart w:id="268" w:name="_Toc113319174"/>
      <w:bookmarkStart w:id="269" w:name="_Toc119436600"/>
      <w:bookmarkStart w:id="270" w:name="_Toc230099115"/>
      <w:r w:rsidRPr="00E42C5E">
        <w:t>6.1</w:t>
      </w:r>
      <w:r w:rsidRPr="00E42C5E">
        <w:tab/>
      </w:r>
      <w:r w:rsidR="006659EC">
        <w:t>Background and summary from 2020 and 2023 RTF reports</w:t>
      </w:r>
      <w:bookmarkEnd w:id="268"/>
      <w:bookmarkEnd w:id="269"/>
      <w:bookmarkEnd w:id="270"/>
    </w:p>
    <w:p w14:paraId="32105B3F" w14:textId="77777777" w:rsidR="00FF4B9B" w:rsidRDefault="00FF4B9B" w:rsidP="00FF4B9B">
      <w:r>
        <w:t xml:space="preserve">This section provides a synopsis of the challenges and recommendations for VLVCs and LVCs articulated in the 2020 and 2023 RTF reports. </w:t>
      </w:r>
    </w:p>
    <w:p w14:paraId="2A7B5636" w14:textId="03DF1789" w:rsidR="00FF4B9B" w:rsidRDefault="001408F6" w:rsidP="007C77CF">
      <w:pPr>
        <w:pStyle w:val="Heading3"/>
        <w:rPr>
          <w:snapToGrid w:val="0"/>
        </w:rPr>
      </w:pPr>
      <w:bookmarkStart w:id="271" w:name="_Toc230099116"/>
      <w:bookmarkStart w:id="272" w:name="_Toc113319175"/>
      <w:bookmarkStart w:id="273" w:name="_Toc119436601"/>
      <w:r>
        <w:rPr>
          <w:snapToGrid w:val="0"/>
        </w:rPr>
        <w:t>6</w:t>
      </w:r>
      <w:r w:rsidR="00FF4B9B" w:rsidRPr="00C3634A">
        <w:rPr>
          <w:snapToGrid w:val="0"/>
        </w:rPr>
        <w:t>.</w:t>
      </w:r>
      <w:r>
        <w:rPr>
          <w:snapToGrid w:val="0"/>
        </w:rPr>
        <w:t>1</w:t>
      </w:r>
      <w:r w:rsidR="00FF4B9B" w:rsidRPr="00C3634A">
        <w:rPr>
          <w:snapToGrid w:val="0"/>
        </w:rPr>
        <w:t>.1</w:t>
      </w:r>
      <w:r w:rsidR="00FF4B9B" w:rsidRPr="00C3634A">
        <w:rPr>
          <w:snapToGrid w:val="0"/>
        </w:rPr>
        <w:tab/>
        <w:t>R</w:t>
      </w:r>
      <w:r w:rsidR="00FF4B9B">
        <w:rPr>
          <w:snapToGrid w:val="0"/>
        </w:rPr>
        <w:t>TF 2020 Report</w:t>
      </w:r>
      <w:bookmarkEnd w:id="271"/>
    </w:p>
    <w:p w14:paraId="6DE299BA" w14:textId="7637F2F4" w:rsidR="00C041D0" w:rsidRDefault="274D2446" w:rsidP="274D2446">
      <w:pPr>
        <w:rPr>
          <w:rFonts w:asciiTheme="majorBidi" w:hAnsiTheme="majorBidi" w:cstheme="majorBidi"/>
        </w:rPr>
      </w:pPr>
      <w:r w:rsidRPr="274D2446">
        <w:rPr>
          <w:rFonts w:asciiTheme="majorBidi" w:hAnsiTheme="majorBidi" w:cstheme="majorBidi"/>
        </w:rPr>
        <w:t xml:space="preserve">The 2020 RTF report highlighted some key challenges for V/LVCs. These challenges include: 1) the implementation of the HPMPs; 2) the uptake of new technologies, which possess safety issues and the high emissions of GHGs, 2) policy issues, including end-user incentives to increase the use of new technologies; 4) paradigm shift required to improve and upgrade training to include </w:t>
      </w:r>
      <w:r w:rsidR="00D02C1C">
        <w:rPr>
          <w:rFonts w:asciiTheme="majorBidi" w:hAnsiTheme="majorBidi" w:cstheme="majorBidi"/>
        </w:rPr>
        <w:t>EE</w:t>
      </w:r>
      <w:r w:rsidRPr="274D2446">
        <w:rPr>
          <w:rFonts w:asciiTheme="majorBidi" w:hAnsiTheme="majorBidi" w:cstheme="majorBidi"/>
        </w:rPr>
        <w:t xml:space="preserve">, CO2 emissions and equipment design, and 5) disposal and destruction of refrigerants. </w:t>
      </w:r>
    </w:p>
    <w:p w14:paraId="29307047" w14:textId="77777777" w:rsidR="00C041D0" w:rsidRDefault="00C041D0" w:rsidP="00C041D0">
      <w:pPr>
        <w:rPr>
          <w:rFonts w:asciiTheme="majorBidi" w:hAnsiTheme="majorBidi" w:cstheme="majorBidi"/>
        </w:rPr>
      </w:pPr>
      <w:r>
        <w:t>The RTF further considered the potential to integrate HPMPs and KIPs for servicing sector activities in LVC countries to maintain the momentum of activities under the HPMP, while building on those under KIPs. In this regard, the concept of ‘maintain and build’ was proposed, which was to “maintain the programs that were developed for the HPMPs, and build additional programs under the KIPs.” Moreover, the “... approach described the activities needed to build on the declining funds available from the HPMPs which would allow for the maintenance of a sustainable funding infrastructure for LVCs and VLVCs to respond to the dual challenges of the phaseout out ODS and phasing down HFCs.” And calculated a cost that was fixed across the different categories of LVC funding.</w:t>
      </w:r>
    </w:p>
    <w:p w14:paraId="42502970" w14:textId="77777777" w:rsidR="00C041D0" w:rsidRDefault="00C041D0" w:rsidP="00C041D0">
      <w:r>
        <w:rPr>
          <w:rFonts w:asciiTheme="majorBidi" w:hAnsiTheme="majorBidi" w:cstheme="majorBidi"/>
        </w:rPr>
        <w:t xml:space="preserve">Additionally, the RTF report focused on the need for updated and upgraded training for technicians in alternative technologies, including those with safety (flammability) issues. Regional and national Centres </w:t>
      </w:r>
      <w:r>
        <w:t xml:space="preserve">of Excellence were suggested for the training of technicians and engineers and the demonstration of the applications of low-GWP refrigerants in refrigeration and air-conditioning systems. It was also noted that funding for training was low and that, to have been effective and efficient training, some LVC and VLVCs expended much of their funding on training leaving scarce funds for other programmes and activities. </w:t>
      </w:r>
    </w:p>
    <w:p w14:paraId="4B624851" w14:textId="22A58E2E" w:rsidR="001408F6" w:rsidRDefault="001408F6" w:rsidP="007C77CF">
      <w:pPr>
        <w:pStyle w:val="Heading3"/>
        <w:rPr>
          <w:snapToGrid w:val="0"/>
        </w:rPr>
      </w:pPr>
      <w:bookmarkStart w:id="274" w:name="_Toc230099117"/>
      <w:r>
        <w:rPr>
          <w:snapToGrid w:val="0"/>
        </w:rPr>
        <w:t>6</w:t>
      </w:r>
      <w:r w:rsidRPr="00C3634A">
        <w:rPr>
          <w:snapToGrid w:val="0"/>
        </w:rPr>
        <w:t>.</w:t>
      </w:r>
      <w:r>
        <w:rPr>
          <w:snapToGrid w:val="0"/>
        </w:rPr>
        <w:t>1</w:t>
      </w:r>
      <w:r w:rsidRPr="00C3634A">
        <w:rPr>
          <w:snapToGrid w:val="0"/>
        </w:rPr>
        <w:t>.</w:t>
      </w:r>
      <w:r>
        <w:rPr>
          <w:snapToGrid w:val="0"/>
        </w:rPr>
        <w:t>2</w:t>
      </w:r>
      <w:r w:rsidRPr="00C3634A">
        <w:rPr>
          <w:snapToGrid w:val="0"/>
        </w:rPr>
        <w:tab/>
        <w:t>R</w:t>
      </w:r>
      <w:r>
        <w:rPr>
          <w:snapToGrid w:val="0"/>
        </w:rPr>
        <w:t>TF 2023 Report</w:t>
      </w:r>
      <w:bookmarkEnd w:id="274"/>
    </w:p>
    <w:p w14:paraId="05D8FB84" w14:textId="3AEB6F51" w:rsidR="00327EAA" w:rsidRPr="00B72B13" w:rsidRDefault="00327EAA" w:rsidP="00327EAA">
      <w:pPr>
        <w:spacing w:before="240"/>
        <w:rPr>
          <w:rFonts w:asciiTheme="majorBidi" w:hAnsiTheme="majorBidi" w:cstheme="majorBidi"/>
        </w:rPr>
      </w:pPr>
      <w:r w:rsidRPr="00B72B13">
        <w:rPr>
          <w:rFonts w:asciiTheme="majorBidi" w:hAnsiTheme="majorBidi" w:cstheme="majorBidi"/>
        </w:rPr>
        <w:t xml:space="preserve">The RTF report 2023 noted the overarching challenge that “... </w:t>
      </w:r>
      <w:r w:rsidRPr="00B72B13">
        <w:t xml:space="preserve">the proposed funding limits within LVCs to implement activities in the first tranche of the KIP </w:t>
      </w:r>
      <w:r w:rsidR="00B142D1">
        <w:t>Stage</w:t>
      </w:r>
      <w:r w:rsidRPr="00B72B13">
        <w:t xml:space="preserve"> 1 are close in value to the budgets received for the preparation of the KIP project document.” </w:t>
      </w:r>
    </w:p>
    <w:p w14:paraId="7035A089" w14:textId="66BCBB62" w:rsidR="00327EAA" w:rsidRPr="00B72B13" w:rsidRDefault="00327EAA" w:rsidP="00327EAA">
      <w:pPr>
        <w:spacing w:before="240"/>
      </w:pPr>
      <w:r w:rsidRPr="00B72B13">
        <w:rPr>
          <w:rFonts w:asciiTheme="majorBidi" w:hAnsiTheme="majorBidi" w:cstheme="majorBidi"/>
        </w:rPr>
        <w:t>Other challenges discussed in the 2023 report included the l</w:t>
      </w:r>
      <w:r w:rsidRPr="00B72B13">
        <w:t xml:space="preserve">ack of direct policy options that can transform the market. It was noted that the policies were geared mainly to the supply side of the market, using quotas to restrict the consumption of controlled substances. It was recommended that </w:t>
      </w:r>
      <w:r w:rsidRPr="00B72B13">
        <w:rPr>
          <w:rFonts w:asciiTheme="majorBidi" w:hAnsiTheme="majorBidi" w:cstheme="majorBidi"/>
        </w:rPr>
        <w:t xml:space="preserve">demand side management is employed to deal with the challenge. This would include activities to increase the demand for alternatives to reduce the natural transition to high-GWP refrigerants and raise consumers’ and technicians' awareness of these technologies. However, it was also noted that there is difficulty in implementing demand side policies, such a ban on equipment, which can lead to market reduction in future consumption. These policies can also result in unintended market confusion around equipment shortages and illegal importation of equipment. The RTF 2023 Report noted that </w:t>
      </w:r>
      <w:r w:rsidR="00B142D1">
        <w:rPr>
          <w:rFonts w:asciiTheme="majorBidi" w:hAnsiTheme="majorBidi" w:cstheme="majorBidi"/>
        </w:rPr>
        <w:t xml:space="preserve">a </w:t>
      </w:r>
      <w:r w:rsidRPr="00B72B13">
        <w:rPr>
          <w:rFonts w:asciiTheme="majorBidi" w:hAnsiTheme="majorBidi" w:cstheme="majorBidi"/>
        </w:rPr>
        <w:t>“</w:t>
      </w:r>
      <w:r w:rsidRPr="00B72B13">
        <w:t xml:space="preserve">rough </w:t>
      </w:r>
      <w:r w:rsidRPr="00B72B13">
        <w:lastRenderedPageBreak/>
        <w:t>estimate for the cost of demand side management is around US$</w:t>
      </w:r>
      <w:r w:rsidR="00283337">
        <w:t xml:space="preserve"> </w:t>
      </w:r>
      <w:r w:rsidRPr="00B72B13">
        <w:t xml:space="preserve">100,000 which is close to the total proposed KIP budget for KIP </w:t>
      </w:r>
      <w:r w:rsidR="00154D41">
        <w:t>Stage</w:t>
      </w:r>
      <w:r w:rsidRPr="00B72B13">
        <w:t xml:space="preserve"> I for VLVCs.”</w:t>
      </w:r>
    </w:p>
    <w:p w14:paraId="545CA0B4" w14:textId="77777777" w:rsidR="00327EAA" w:rsidRPr="00B72B13" w:rsidRDefault="00327EAA" w:rsidP="00327EAA">
      <w:pPr>
        <w:spacing w:before="240"/>
      </w:pPr>
      <w:r w:rsidRPr="00B72B13">
        <w:t xml:space="preserve">Limited success to early equipment replacement/end user programmes was identified as a critical challenge citing low implementation mainly due to some projects being redirected by Decisions 72/17, 72/40, and 73/34 as mentioned in Document UNEP/OzL.Pro/ExCom/84/63. It was suggested that LVCs can benefit from the application of lessons learned from the earlier experience to make these programmes work. </w:t>
      </w:r>
    </w:p>
    <w:p w14:paraId="008DF9D4" w14:textId="77777777" w:rsidR="00327EAA" w:rsidRPr="00B72B13" w:rsidRDefault="00327EAA" w:rsidP="00327EAA">
      <w:pPr>
        <w:spacing w:before="240"/>
      </w:pPr>
      <w:r w:rsidRPr="00B72B13">
        <w:t>Low private sector interest in domestic market pull is a problem. LVC markets are generally small, with a limited number of importers who are generally not interested or motivated to create technology pull. Moreover, as technology takers highly dependent on what is available on the international market, these LVCs are influenced by global market trends, which may not be in sync with the local market.</w:t>
      </w:r>
    </w:p>
    <w:p w14:paraId="61B5E4B9" w14:textId="3C465898" w:rsidR="00327EAA" w:rsidRPr="00B72B13" w:rsidRDefault="274D2446" w:rsidP="00327EAA">
      <w:pPr>
        <w:spacing w:before="240"/>
      </w:pPr>
      <w:r>
        <w:t xml:space="preserve">As the markets in LVCs slowly transition to alternative technologies, consumer concerns are raised. These relate to issues of safety (flammability) and toxicity of new refrigerants, concerns with the initial costs to obtain lower GWP, energy efficient equipment employing inverter technology, the expertise of technicians to install, service, and operate these new technologies, and the availability of parts and refrigerant replacements. </w:t>
      </w:r>
    </w:p>
    <w:p w14:paraId="1A147B95" w14:textId="77777777" w:rsidR="00327EAA" w:rsidRPr="00B72B13" w:rsidRDefault="274D2446" w:rsidP="00327EAA">
      <w:pPr>
        <w:spacing w:before="240"/>
      </w:pPr>
      <w:r>
        <w:t xml:space="preserve">Outside of the </w:t>
      </w:r>
      <w:r w:rsidRPr="274D2446">
        <w:rPr>
          <w:i/>
          <w:iCs/>
        </w:rPr>
        <w:t>ad hoc</w:t>
      </w:r>
      <w:r>
        <w:t xml:space="preserve"> training sessions that may be offered by manufacturers, training of technicians is mainly offered with funding from the MLF, which leaves gaps in accessibility to continuous and timely training. New technologies are sometimes introduced into the market without properly training technicians to install or maintain these technologies.  </w:t>
      </w:r>
    </w:p>
    <w:p w14:paraId="1ED5B110" w14:textId="25E3DB0B" w:rsidR="00327EAA" w:rsidRPr="00B72B13" w:rsidRDefault="274D2446" w:rsidP="00327EAA">
      <w:pPr>
        <w:spacing w:before="240"/>
      </w:pPr>
      <w:r>
        <w:t xml:space="preserve">LVCs parties </w:t>
      </w:r>
      <w:bookmarkStart w:id="275" w:name="_Int_35hphG9V"/>
      <w:r>
        <w:t>experience difficulty</w:t>
      </w:r>
      <w:bookmarkEnd w:id="275"/>
      <w:r>
        <w:t xml:space="preserve"> in enforcing labelling and other standards since markets are fragmented with diversified products from different regions of the world. Additionally, the specifications of the imported equipment might not fit well local climate conditions and the status of power supply, such as frequency and current stability. </w:t>
      </w:r>
      <w:r w:rsidR="00A567B0" w:rsidRPr="005B5DCA">
        <w:t>Dumping of obsolete technologies is also a challenge.</w:t>
      </w:r>
    </w:p>
    <w:p w14:paraId="7DFAD706" w14:textId="77777777" w:rsidR="00327EAA" w:rsidRDefault="00D43258" w:rsidP="002D02B7">
      <w:pPr>
        <w:pStyle w:val="Heading2"/>
      </w:pPr>
      <w:bookmarkStart w:id="276" w:name="_Toc230099118"/>
      <w:r w:rsidRPr="00C3634A">
        <w:t>6.2</w:t>
      </w:r>
      <w:r w:rsidRPr="00C3634A">
        <w:tab/>
      </w:r>
      <w:r w:rsidR="00327EAA">
        <w:t>Approach to understanding LVC and VLVC challenges</w:t>
      </w:r>
      <w:bookmarkEnd w:id="272"/>
      <w:bookmarkEnd w:id="273"/>
      <w:bookmarkEnd w:id="276"/>
    </w:p>
    <w:p w14:paraId="0FF2C725" w14:textId="12F6EA18" w:rsidR="000D7EB0" w:rsidRPr="007668E1" w:rsidRDefault="5AD5DB8B" w:rsidP="000D7EB0">
      <w:pPr>
        <w:rPr>
          <w:rFonts w:eastAsia="Aptos"/>
          <w:color w:val="000000"/>
        </w:rPr>
      </w:pPr>
      <w:r w:rsidRPr="5AD5DB8B">
        <w:rPr>
          <w:rFonts w:eastAsia="Aptos"/>
          <w:color w:val="auto"/>
        </w:rPr>
        <w:t xml:space="preserve">In order to provide a more detailed analysis, RTF worked on a sample case based on </w:t>
      </w:r>
      <w:r w:rsidR="000D7EB0" w:rsidRPr="000929D6">
        <w:rPr>
          <w:rFonts w:eastAsia="Aptos"/>
          <w:color w:val="auto"/>
        </w:rPr>
        <w:t xml:space="preserve">one LVC party to assess the needs for implementing KIP </w:t>
      </w:r>
      <w:r w:rsidR="00283337">
        <w:rPr>
          <w:rFonts w:eastAsia="Aptos"/>
          <w:color w:val="auto"/>
        </w:rPr>
        <w:t>S</w:t>
      </w:r>
      <w:r w:rsidR="000D7EB0" w:rsidRPr="000929D6">
        <w:rPr>
          <w:rFonts w:eastAsia="Aptos"/>
          <w:color w:val="auto"/>
        </w:rPr>
        <w:t xml:space="preserve">tage II. </w:t>
      </w:r>
      <w:r w:rsidR="000D7EB0" w:rsidRPr="26C4EEEA">
        <w:rPr>
          <w:rFonts w:eastAsia="Aptos"/>
        </w:rPr>
        <w:t xml:space="preserve">The assessment sought to determine which current activities need to be enhanced and what additional activities would be needed for </w:t>
      </w:r>
      <w:r w:rsidR="00154D41">
        <w:rPr>
          <w:rFonts w:eastAsia="Aptos"/>
        </w:rPr>
        <w:t>Stage</w:t>
      </w:r>
      <w:r w:rsidR="000D7EB0" w:rsidRPr="26C4EEEA">
        <w:rPr>
          <w:rFonts w:eastAsia="Aptos"/>
        </w:rPr>
        <w:t xml:space="preserve"> II. The survey identified 11 activities prioritised in the following order: 1) demonstration projects for low</w:t>
      </w:r>
      <w:r w:rsidR="00283337">
        <w:rPr>
          <w:rFonts w:eastAsia="Aptos"/>
        </w:rPr>
        <w:t xml:space="preserve">er </w:t>
      </w:r>
      <w:r w:rsidR="000D7EB0" w:rsidRPr="26C4EEEA">
        <w:rPr>
          <w:rFonts w:eastAsia="Aptos"/>
        </w:rPr>
        <w:t>GWP technologies; 2) strengthening of the RAC servicing sector, 3) the establishment of regional service centers, 4) the establishment of EOL/</w:t>
      </w:r>
      <w:r w:rsidR="29570A4D" w:rsidRPr="29570A4D">
        <w:rPr>
          <w:rFonts w:eastAsia="Aptos"/>
        </w:rPr>
        <w:t>LR</w:t>
      </w:r>
      <w:r w:rsidRPr="29570A4D" w:rsidDel="29570A4D">
        <w:rPr>
          <w:rFonts w:eastAsia="Aptos"/>
        </w:rPr>
        <w:t>M</w:t>
      </w:r>
      <w:r w:rsidR="000D7EB0" w:rsidRPr="26C4EEEA">
        <w:rPr>
          <w:rFonts w:eastAsia="Aptos"/>
        </w:rPr>
        <w:t xml:space="preserve"> facilities, 5) strengthening policy and regulatory frameworks, 6) strengthening customs and enforcement mechanisms, 7) conducting feasibility studies, 8) development of the cold chain, 9) data monitoring and market intelligence, 10) regional cooperation, and 11) gender youth and workforce development. </w:t>
      </w:r>
    </w:p>
    <w:p w14:paraId="6FCE9A66" w14:textId="0E5541D4" w:rsidR="000D7EB0" w:rsidRPr="007668E1" w:rsidRDefault="000D7EB0" w:rsidP="000D7EB0">
      <w:pPr>
        <w:rPr>
          <w:rFonts w:eastAsia="Aptos"/>
          <w:color w:val="000000"/>
        </w:rPr>
      </w:pPr>
      <w:r w:rsidRPr="007668E1">
        <w:rPr>
          <w:rFonts w:eastAsia="Aptos"/>
          <w:color w:val="000000"/>
        </w:rPr>
        <w:t xml:space="preserve">The RTF adopted a two-pronged approach to understanding the challenges facing LVCs and VLVCs in designing and implementing plans to phase-down HFCs in the context of the </w:t>
      </w:r>
      <w:r w:rsidR="00AA0326">
        <w:rPr>
          <w:rFonts w:eastAsia="Aptos"/>
          <w:color w:val="000000"/>
        </w:rPr>
        <w:t>KA</w:t>
      </w:r>
      <w:r w:rsidRPr="007668E1">
        <w:rPr>
          <w:rFonts w:eastAsia="Aptos"/>
          <w:color w:val="000000"/>
        </w:rPr>
        <w:t xml:space="preserve">. Based on the needs assessment mentioned above and through deliberations, RTF determined that there are two issues related to the funding of LVC and VLVC plans that impact their ability to transition out HFCs into low-GWP alternatives and energy efficient systems. </w:t>
      </w:r>
    </w:p>
    <w:p w14:paraId="64063197" w14:textId="77777777" w:rsidR="000D7EB0" w:rsidRPr="007668E1" w:rsidRDefault="000D7EB0" w:rsidP="000D7EB0">
      <w:pPr>
        <w:rPr>
          <w:rFonts w:eastAsia="Aptos"/>
          <w:color w:val="000000"/>
        </w:rPr>
      </w:pPr>
      <w:r w:rsidRPr="007668E1">
        <w:rPr>
          <w:rFonts w:eastAsia="Aptos"/>
          <w:color w:val="000000"/>
        </w:rPr>
        <w:t xml:space="preserve">The first issue is related to activities that countries incur system-building at fixed costs irrespective of their level of consumption and consequently the funding bracket into which they fall. </w:t>
      </w:r>
    </w:p>
    <w:p w14:paraId="5CA9557B" w14:textId="21559164" w:rsidR="000D7EB0" w:rsidRPr="007668E1" w:rsidRDefault="000D7EB0" w:rsidP="000D7EB0">
      <w:pPr>
        <w:rPr>
          <w:rFonts w:eastAsia="Aptos"/>
          <w:color w:val="000000"/>
        </w:rPr>
      </w:pPr>
      <w:r w:rsidRPr="007668E1">
        <w:rPr>
          <w:rFonts w:eastAsia="Aptos"/>
          <w:color w:val="000000"/>
        </w:rPr>
        <w:lastRenderedPageBreak/>
        <w:t>The second issue is related to the cost and accessibility to technician training to enable a safe and efficient transition to low</w:t>
      </w:r>
      <w:r w:rsidR="0059764F">
        <w:rPr>
          <w:rFonts w:eastAsia="Aptos"/>
          <w:color w:val="000000"/>
        </w:rPr>
        <w:t xml:space="preserve">er </w:t>
      </w:r>
      <w:r w:rsidRPr="007668E1">
        <w:rPr>
          <w:rFonts w:eastAsia="Aptos"/>
          <w:color w:val="000000"/>
        </w:rPr>
        <w:t xml:space="preserve">GWP refrigerants with flammable or toxic properties and its share of the total funding provided under KIP </w:t>
      </w:r>
      <w:r w:rsidR="0059764F">
        <w:rPr>
          <w:rFonts w:eastAsia="Aptos"/>
          <w:color w:val="000000"/>
        </w:rPr>
        <w:t>S</w:t>
      </w:r>
      <w:r w:rsidRPr="007668E1">
        <w:rPr>
          <w:rFonts w:eastAsia="Aptos"/>
          <w:color w:val="000000"/>
        </w:rPr>
        <w:t>tage I, as well as strengthening the RAC servicing sector.</w:t>
      </w:r>
    </w:p>
    <w:p w14:paraId="6741318A" w14:textId="318097DD" w:rsidR="000D7EB0" w:rsidRDefault="000D7EB0" w:rsidP="000D7EB0">
      <w:pPr>
        <w:rPr>
          <w:rFonts w:eastAsia="Aptos"/>
          <w:color w:val="000000"/>
        </w:rPr>
      </w:pPr>
      <w:r w:rsidRPr="007668E1">
        <w:rPr>
          <w:rFonts w:eastAsia="Aptos"/>
          <w:color w:val="000000"/>
        </w:rPr>
        <w:t xml:space="preserve">As a reminder, LVCs &amp; VLVCs parties are funded in bracket depending on the average consumption in the </w:t>
      </w:r>
      <w:r w:rsidR="00670EF2">
        <w:rPr>
          <w:rFonts w:eastAsia="Aptos"/>
          <w:color w:val="000000"/>
        </w:rPr>
        <w:t xml:space="preserve">servicing sector </w:t>
      </w:r>
      <w:r w:rsidRPr="007668E1">
        <w:rPr>
          <w:rFonts w:eastAsia="Aptos"/>
          <w:color w:val="000000"/>
        </w:rPr>
        <w:t>in the baseline years as per</w:t>
      </w:r>
      <w:r w:rsidR="00533280">
        <w:rPr>
          <w:rFonts w:eastAsia="Aptos"/>
          <w:color w:val="000000"/>
        </w:rPr>
        <w:t xml:space="preserve"> </w:t>
      </w:r>
      <w:r w:rsidR="00206F67" w:rsidRPr="00206F67">
        <w:rPr>
          <w:rFonts w:eastAsia="Aptos"/>
          <w:color w:val="000000"/>
        </w:rPr>
        <w:t>T</w:t>
      </w:r>
      <w:r w:rsidR="00206F67">
        <w:rPr>
          <w:rFonts w:eastAsia="Aptos"/>
          <w:color w:val="000000"/>
        </w:rPr>
        <w:t>able 6.1</w:t>
      </w:r>
      <w:r w:rsidR="00533280">
        <w:rPr>
          <w:rFonts w:eastAsia="Aptos"/>
          <w:color w:val="000000"/>
        </w:rPr>
        <w:t xml:space="preserve"> </w:t>
      </w:r>
      <w:r w:rsidRPr="007668E1">
        <w:rPr>
          <w:rFonts w:eastAsia="Aptos"/>
          <w:color w:val="000000"/>
        </w:rPr>
        <w:t>below</w:t>
      </w:r>
      <w:r w:rsidR="003E757B">
        <w:rPr>
          <w:rFonts w:eastAsia="Aptos"/>
          <w:color w:val="000000"/>
        </w:rPr>
        <w:t>.</w:t>
      </w:r>
    </w:p>
    <w:p w14:paraId="727D42D1" w14:textId="63690933" w:rsidR="003E757B" w:rsidRDefault="003E757B" w:rsidP="002135B0">
      <w:pPr>
        <w:tabs>
          <w:tab w:val="left" w:pos="1276"/>
        </w:tabs>
        <w:spacing w:after="0"/>
        <w:ind w:left="1134" w:hanging="1134"/>
        <w:rPr>
          <w:rFonts w:eastAsiaTheme="minorHAnsi"/>
          <w:b/>
          <w:bCs/>
        </w:rPr>
      </w:pPr>
      <w:r w:rsidRPr="00E42C5E">
        <w:rPr>
          <w:rFonts w:eastAsiaTheme="minorHAnsi"/>
          <w:b/>
          <w:bCs/>
        </w:rPr>
        <w:t xml:space="preserve">Table </w:t>
      </w:r>
      <w:r>
        <w:rPr>
          <w:rFonts w:eastAsiaTheme="minorHAnsi"/>
          <w:b/>
          <w:bCs/>
        </w:rPr>
        <w:t>6.1</w:t>
      </w:r>
      <w:r w:rsidR="00FE1488">
        <w:rPr>
          <w:rFonts w:eastAsiaTheme="minorHAnsi"/>
          <w:b/>
          <w:bCs/>
        </w:rPr>
        <w:t>:</w:t>
      </w:r>
      <w:r w:rsidRPr="00E42C5E">
        <w:rPr>
          <w:rFonts w:eastAsiaTheme="minorHAnsi"/>
          <w:b/>
          <w:bCs/>
        </w:rPr>
        <w:tab/>
      </w:r>
      <w:r w:rsidR="00D8154A">
        <w:rPr>
          <w:rFonts w:eastAsiaTheme="minorHAnsi"/>
          <w:b/>
          <w:bCs/>
        </w:rPr>
        <w:t>LVC and VLVC brackets</w:t>
      </w:r>
    </w:p>
    <w:p w14:paraId="0E58ADFD" w14:textId="77777777" w:rsidR="008C0AA8" w:rsidRDefault="008C0AA8" w:rsidP="003E757B">
      <w:pPr>
        <w:tabs>
          <w:tab w:val="left" w:pos="1418"/>
        </w:tabs>
        <w:spacing w:after="0"/>
        <w:ind w:left="1411" w:hanging="1411"/>
        <w:rPr>
          <w:b/>
          <w:bCs/>
          <w:lang w:val="en-US"/>
        </w:rPr>
      </w:pPr>
    </w:p>
    <w:tbl>
      <w:tblPr>
        <w:tblW w:w="93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bottom w:w="15" w:type="dxa"/>
        </w:tblCellMar>
        <w:tblLook w:val="04A0" w:firstRow="1" w:lastRow="0" w:firstColumn="1" w:lastColumn="0" w:noHBand="0" w:noVBand="1"/>
      </w:tblPr>
      <w:tblGrid>
        <w:gridCol w:w="2725"/>
        <w:gridCol w:w="6625"/>
      </w:tblGrid>
      <w:tr w:rsidR="008C0AA8" w:rsidRPr="007668E1" w14:paraId="661490BC" w14:textId="77777777" w:rsidTr="009D095F">
        <w:trPr>
          <w:trHeight w:val="542"/>
          <w:tblHeader/>
        </w:trPr>
        <w:tc>
          <w:tcPr>
            <w:tcW w:w="1074" w:type="dxa"/>
            <w:shd w:val="clear" w:color="auto" w:fill="F2F2F2"/>
            <w:noWrap/>
            <w:vAlign w:val="center"/>
            <w:hideMark/>
          </w:tcPr>
          <w:p w14:paraId="0CA6D87D" w14:textId="77777777" w:rsidR="008C0AA8" w:rsidRPr="007668E1" w:rsidRDefault="008C0AA8" w:rsidP="006233FA">
            <w:pPr>
              <w:spacing w:after="0"/>
              <w:jc w:val="center"/>
              <w:rPr>
                <w:b/>
                <w:color w:val="000000"/>
                <w:lang w:eastAsia="en-CA"/>
              </w:rPr>
            </w:pPr>
            <w:r w:rsidRPr="007668E1">
              <w:rPr>
                <w:b/>
                <w:color w:val="000000"/>
                <w:lang w:eastAsia="en-CA"/>
              </w:rPr>
              <w:t>Bracket</w:t>
            </w:r>
          </w:p>
        </w:tc>
        <w:tc>
          <w:tcPr>
            <w:tcW w:w="2611" w:type="dxa"/>
            <w:shd w:val="clear" w:color="auto" w:fill="F2F2F2"/>
            <w:vAlign w:val="center"/>
            <w:hideMark/>
          </w:tcPr>
          <w:p w14:paraId="77CBF21F" w14:textId="718C0380" w:rsidR="008C0AA8" w:rsidRPr="007668E1" w:rsidRDefault="008C0AA8" w:rsidP="006233FA">
            <w:pPr>
              <w:spacing w:after="0"/>
              <w:jc w:val="center"/>
              <w:rPr>
                <w:b/>
                <w:color w:val="000000"/>
                <w:lang w:eastAsia="en-CA"/>
              </w:rPr>
            </w:pPr>
            <w:r w:rsidRPr="007668E1">
              <w:rPr>
                <w:b/>
                <w:color w:val="000000"/>
                <w:lang w:eastAsia="en-CA"/>
              </w:rPr>
              <w:t xml:space="preserve">Average consumption in baseline years </w:t>
            </w:r>
            <w:r w:rsidR="00670EF2">
              <w:rPr>
                <w:b/>
                <w:color w:val="000000"/>
                <w:lang w:eastAsia="en-CA"/>
              </w:rPr>
              <w:t xml:space="preserve">in the servicing sector </w:t>
            </w:r>
            <w:r w:rsidRPr="007668E1">
              <w:rPr>
                <w:b/>
                <w:color w:val="000000"/>
                <w:lang w:eastAsia="en-CA"/>
              </w:rPr>
              <w:t>(metric tonnes)</w:t>
            </w:r>
          </w:p>
        </w:tc>
      </w:tr>
      <w:tr w:rsidR="008C0AA8" w:rsidRPr="007668E1" w14:paraId="6FCF545E" w14:textId="77777777" w:rsidTr="009D095F">
        <w:trPr>
          <w:trHeight w:val="300"/>
        </w:trPr>
        <w:tc>
          <w:tcPr>
            <w:tcW w:w="1074" w:type="dxa"/>
            <w:noWrap/>
            <w:vAlign w:val="bottom"/>
            <w:hideMark/>
          </w:tcPr>
          <w:p w14:paraId="3E0177B4" w14:textId="77777777" w:rsidR="008C0AA8" w:rsidRPr="007668E1" w:rsidRDefault="008C0AA8" w:rsidP="006233FA">
            <w:pPr>
              <w:spacing w:after="0"/>
              <w:jc w:val="center"/>
              <w:rPr>
                <w:color w:val="000000"/>
                <w:lang w:eastAsia="en-CA"/>
              </w:rPr>
            </w:pPr>
            <w:r w:rsidRPr="007668E1">
              <w:rPr>
                <w:color w:val="000000"/>
                <w:lang w:eastAsia="en-CA"/>
              </w:rPr>
              <w:t>1</w:t>
            </w:r>
          </w:p>
        </w:tc>
        <w:tc>
          <w:tcPr>
            <w:tcW w:w="2611" w:type="dxa"/>
            <w:vAlign w:val="center"/>
            <w:hideMark/>
          </w:tcPr>
          <w:p w14:paraId="595A1473" w14:textId="77777777" w:rsidR="008C0AA8" w:rsidRPr="007668E1" w:rsidRDefault="008C0AA8" w:rsidP="006233FA">
            <w:pPr>
              <w:spacing w:after="0"/>
              <w:ind w:leftChars="73" w:left="161"/>
              <w:jc w:val="center"/>
              <w:rPr>
                <w:color w:val="000000"/>
                <w:lang w:eastAsia="en-CA"/>
              </w:rPr>
            </w:pPr>
            <w:r w:rsidRPr="007668E1">
              <w:rPr>
                <w:color w:val="000000"/>
                <w:lang w:eastAsia="en-CA"/>
              </w:rPr>
              <w:t>&gt; 0 &lt; 15</w:t>
            </w:r>
          </w:p>
        </w:tc>
      </w:tr>
      <w:tr w:rsidR="008C0AA8" w:rsidRPr="007668E1" w14:paraId="61997D91" w14:textId="77777777" w:rsidTr="009D095F">
        <w:trPr>
          <w:trHeight w:val="300"/>
        </w:trPr>
        <w:tc>
          <w:tcPr>
            <w:tcW w:w="1074" w:type="dxa"/>
            <w:noWrap/>
            <w:vAlign w:val="bottom"/>
            <w:hideMark/>
          </w:tcPr>
          <w:p w14:paraId="7FE49D1F" w14:textId="77777777" w:rsidR="008C0AA8" w:rsidRPr="007668E1" w:rsidRDefault="008C0AA8" w:rsidP="006233FA">
            <w:pPr>
              <w:spacing w:after="0"/>
              <w:jc w:val="center"/>
              <w:rPr>
                <w:color w:val="000000"/>
                <w:lang w:eastAsia="en-CA"/>
              </w:rPr>
            </w:pPr>
            <w:r w:rsidRPr="007668E1">
              <w:rPr>
                <w:color w:val="000000"/>
                <w:lang w:eastAsia="en-CA"/>
              </w:rPr>
              <w:t>2</w:t>
            </w:r>
          </w:p>
        </w:tc>
        <w:tc>
          <w:tcPr>
            <w:tcW w:w="2611" w:type="dxa"/>
            <w:vAlign w:val="center"/>
            <w:hideMark/>
          </w:tcPr>
          <w:p w14:paraId="006C9B96" w14:textId="77777777" w:rsidR="008C0AA8" w:rsidRPr="007668E1" w:rsidRDefault="008C0AA8" w:rsidP="006233FA">
            <w:pPr>
              <w:spacing w:after="0"/>
              <w:ind w:left="162"/>
              <w:jc w:val="center"/>
              <w:rPr>
                <w:color w:val="000000"/>
                <w:lang w:eastAsia="en-CA"/>
              </w:rPr>
            </w:pPr>
            <w:r w:rsidRPr="007668E1">
              <w:rPr>
                <w:color w:val="000000"/>
                <w:lang w:eastAsia="en-CA"/>
              </w:rPr>
              <w:t>15 &lt; 40</w:t>
            </w:r>
          </w:p>
        </w:tc>
      </w:tr>
      <w:tr w:rsidR="008C0AA8" w:rsidRPr="007668E1" w14:paraId="6450BA47" w14:textId="77777777" w:rsidTr="009D095F">
        <w:trPr>
          <w:trHeight w:val="300"/>
        </w:trPr>
        <w:tc>
          <w:tcPr>
            <w:tcW w:w="1074" w:type="dxa"/>
            <w:noWrap/>
            <w:vAlign w:val="bottom"/>
            <w:hideMark/>
          </w:tcPr>
          <w:p w14:paraId="587306BB" w14:textId="77777777" w:rsidR="008C0AA8" w:rsidRPr="007668E1" w:rsidRDefault="008C0AA8" w:rsidP="006233FA">
            <w:pPr>
              <w:spacing w:after="0"/>
              <w:jc w:val="center"/>
              <w:rPr>
                <w:color w:val="000000"/>
                <w:lang w:eastAsia="en-CA"/>
              </w:rPr>
            </w:pPr>
            <w:r w:rsidRPr="007668E1">
              <w:rPr>
                <w:color w:val="000000"/>
                <w:lang w:eastAsia="en-CA"/>
              </w:rPr>
              <w:t>3</w:t>
            </w:r>
          </w:p>
        </w:tc>
        <w:tc>
          <w:tcPr>
            <w:tcW w:w="2611" w:type="dxa"/>
            <w:vAlign w:val="center"/>
            <w:hideMark/>
          </w:tcPr>
          <w:p w14:paraId="4FD61E2E" w14:textId="77777777" w:rsidR="008C0AA8" w:rsidRPr="007668E1" w:rsidRDefault="008C0AA8" w:rsidP="006233FA">
            <w:pPr>
              <w:spacing w:after="0"/>
              <w:ind w:leftChars="73" w:left="161" w:firstLine="1"/>
              <w:jc w:val="center"/>
              <w:rPr>
                <w:color w:val="000000"/>
                <w:lang w:eastAsia="en-CA"/>
              </w:rPr>
            </w:pPr>
            <w:r w:rsidRPr="007668E1">
              <w:rPr>
                <w:color w:val="000000"/>
                <w:lang w:eastAsia="en-CA"/>
              </w:rPr>
              <w:t>40 &lt; 80</w:t>
            </w:r>
          </w:p>
        </w:tc>
      </w:tr>
      <w:tr w:rsidR="008C0AA8" w:rsidRPr="007668E1" w14:paraId="44F87528" w14:textId="77777777" w:rsidTr="009D095F">
        <w:trPr>
          <w:trHeight w:val="300"/>
        </w:trPr>
        <w:tc>
          <w:tcPr>
            <w:tcW w:w="1074" w:type="dxa"/>
            <w:noWrap/>
            <w:vAlign w:val="bottom"/>
            <w:hideMark/>
          </w:tcPr>
          <w:p w14:paraId="08072165" w14:textId="77777777" w:rsidR="008C0AA8" w:rsidRPr="007668E1" w:rsidRDefault="008C0AA8" w:rsidP="006233FA">
            <w:pPr>
              <w:spacing w:after="0"/>
              <w:jc w:val="center"/>
              <w:rPr>
                <w:color w:val="000000"/>
                <w:lang w:eastAsia="en-CA"/>
              </w:rPr>
            </w:pPr>
            <w:r w:rsidRPr="007668E1">
              <w:rPr>
                <w:color w:val="000000"/>
                <w:lang w:eastAsia="en-CA"/>
              </w:rPr>
              <w:t>4</w:t>
            </w:r>
          </w:p>
        </w:tc>
        <w:tc>
          <w:tcPr>
            <w:tcW w:w="2611" w:type="dxa"/>
            <w:vAlign w:val="center"/>
            <w:hideMark/>
          </w:tcPr>
          <w:p w14:paraId="1498CCE0" w14:textId="77777777" w:rsidR="008C0AA8" w:rsidRPr="007668E1" w:rsidRDefault="008C0AA8" w:rsidP="006233FA">
            <w:pPr>
              <w:spacing w:after="0"/>
              <w:ind w:left="162"/>
              <w:jc w:val="center"/>
              <w:rPr>
                <w:color w:val="000000"/>
                <w:lang w:eastAsia="en-CA"/>
              </w:rPr>
            </w:pPr>
            <w:r w:rsidRPr="007668E1">
              <w:rPr>
                <w:color w:val="000000"/>
                <w:lang w:eastAsia="en-CA"/>
              </w:rPr>
              <w:t>80 &lt; 120</w:t>
            </w:r>
          </w:p>
        </w:tc>
      </w:tr>
      <w:tr w:rsidR="008C0AA8" w:rsidRPr="007668E1" w14:paraId="442856CF" w14:textId="77777777" w:rsidTr="009D095F">
        <w:trPr>
          <w:trHeight w:val="300"/>
        </w:trPr>
        <w:tc>
          <w:tcPr>
            <w:tcW w:w="1074" w:type="dxa"/>
            <w:noWrap/>
            <w:vAlign w:val="bottom"/>
            <w:hideMark/>
          </w:tcPr>
          <w:p w14:paraId="0AB359D3" w14:textId="77777777" w:rsidR="008C0AA8" w:rsidRPr="007668E1" w:rsidRDefault="008C0AA8" w:rsidP="006233FA">
            <w:pPr>
              <w:spacing w:after="0"/>
              <w:jc w:val="center"/>
              <w:rPr>
                <w:color w:val="000000"/>
                <w:lang w:eastAsia="en-CA"/>
              </w:rPr>
            </w:pPr>
            <w:r w:rsidRPr="007668E1">
              <w:rPr>
                <w:color w:val="000000"/>
                <w:lang w:eastAsia="en-CA"/>
              </w:rPr>
              <w:t>5</w:t>
            </w:r>
          </w:p>
        </w:tc>
        <w:tc>
          <w:tcPr>
            <w:tcW w:w="2611" w:type="dxa"/>
            <w:vAlign w:val="center"/>
            <w:hideMark/>
          </w:tcPr>
          <w:p w14:paraId="1D89A269" w14:textId="77777777" w:rsidR="008C0AA8" w:rsidRPr="007668E1" w:rsidRDefault="008C0AA8" w:rsidP="006233FA">
            <w:pPr>
              <w:spacing w:after="0"/>
              <w:ind w:leftChars="73" w:left="161" w:firstLine="1"/>
              <w:jc w:val="center"/>
              <w:rPr>
                <w:color w:val="000000"/>
                <w:lang w:eastAsia="en-CA"/>
              </w:rPr>
            </w:pPr>
            <w:r w:rsidRPr="007668E1">
              <w:rPr>
                <w:color w:val="000000"/>
                <w:lang w:eastAsia="en-CA"/>
              </w:rPr>
              <w:t>120 &lt; 160</w:t>
            </w:r>
          </w:p>
        </w:tc>
      </w:tr>
      <w:tr w:rsidR="008C0AA8" w:rsidRPr="007668E1" w14:paraId="0AFF0765" w14:textId="77777777" w:rsidTr="009D095F">
        <w:trPr>
          <w:trHeight w:val="300"/>
        </w:trPr>
        <w:tc>
          <w:tcPr>
            <w:tcW w:w="1074" w:type="dxa"/>
            <w:noWrap/>
            <w:vAlign w:val="bottom"/>
            <w:hideMark/>
          </w:tcPr>
          <w:p w14:paraId="5A9713AC" w14:textId="77777777" w:rsidR="008C0AA8" w:rsidRPr="007668E1" w:rsidRDefault="008C0AA8" w:rsidP="006233FA">
            <w:pPr>
              <w:spacing w:after="0"/>
              <w:jc w:val="center"/>
              <w:rPr>
                <w:color w:val="000000"/>
                <w:lang w:eastAsia="en-CA"/>
              </w:rPr>
            </w:pPr>
            <w:r w:rsidRPr="007668E1">
              <w:rPr>
                <w:color w:val="000000"/>
                <w:lang w:eastAsia="en-CA"/>
              </w:rPr>
              <w:t>6</w:t>
            </w:r>
          </w:p>
        </w:tc>
        <w:tc>
          <w:tcPr>
            <w:tcW w:w="2611" w:type="dxa"/>
            <w:vAlign w:val="center"/>
            <w:hideMark/>
          </w:tcPr>
          <w:p w14:paraId="70DA8A78" w14:textId="77777777" w:rsidR="008C0AA8" w:rsidRPr="007668E1" w:rsidRDefault="008C0AA8" w:rsidP="006233FA">
            <w:pPr>
              <w:spacing w:after="0"/>
              <w:ind w:left="162"/>
              <w:jc w:val="center"/>
              <w:rPr>
                <w:color w:val="000000"/>
                <w:lang w:eastAsia="en-CA"/>
              </w:rPr>
            </w:pPr>
            <w:r w:rsidRPr="007668E1">
              <w:rPr>
                <w:color w:val="000000"/>
                <w:lang w:eastAsia="en-CA"/>
              </w:rPr>
              <w:t>160 &lt; 200</w:t>
            </w:r>
          </w:p>
        </w:tc>
      </w:tr>
      <w:tr w:rsidR="008C0AA8" w:rsidRPr="007668E1" w14:paraId="2172841C" w14:textId="77777777" w:rsidTr="009D095F">
        <w:trPr>
          <w:trHeight w:val="300"/>
        </w:trPr>
        <w:tc>
          <w:tcPr>
            <w:tcW w:w="1074" w:type="dxa"/>
            <w:noWrap/>
            <w:vAlign w:val="bottom"/>
            <w:hideMark/>
          </w:tcPr>
          <w:p w14:paraId="74CB7372" w14:textId="77777777" w:rsidR="008C0AA8" w:rsidRPr="007668E1" w:rsidRDefault="008C0AA8" w:rsidP="006233FA">
            <w:pPr>
              <w:spacing w:after="0"/>
              <w:jc w:val="center"/>
              <w:rPr>
                <w:color w:val="000000"/>
                <w:lang w:eastAsia="en-CA"/>
              </w:rPr>
            </w:pPr>
            <w:r w:rsidRPr="007668E1">
              <w:rPr>
                <w:color w:val="000000"/>
                <w:lang w:eastAsia="en-CA"/>
              </w:rPr>
              <w:t>7</w:t>
            </w:r>
          </w:p>
        </w:tc>
        <w:tc>
          <w:tcPr>
            <w:tcW w:w="2611" w:type="dxa"/>
            <w:vAlign w:val="center"/>
            <w:hideMark/>
          </w:tcPr>
          <w:p w14:paraId="3C18E0BD" w14:textId="77777777" w:rsidR="008C0AA8" w:rsidRPr="007668E1" w:rsidRDefault="008C0AA8" w:rsidP="006233FA">
            <w:pPr>
              <w:spacing w:after="0"/>
              <w:ind w:left="162"/>
              <w:jc w:val="center"/>
              <w:rPr>
                <w:color w:val="000000"/>
                <w:lang w:eastAsia="en-CA"/>
              </w:rPr>
            </w:pPr>
            <w:r w:rsidRPr="007668E1">
              <w:rPr>
                <w:color w:val="000000"/>
                <w:lang w:eastAsia="en-CA"/>
              </w:rPr>
              <w:t>200 &lt; 300</w:t>
            </w:r>
          </w:p>
        </w:tc>
      </w:tr>
      <w:tr w:rsidR="008C0AA8" w:rsidRPr="007668E1" w14:paraId="574AE364" w14:textId="77777777" w:rsidTr="009D095F">
        <w:trPr>
          <w:trHeight w:val="285"/>
        </w:trPr>
        <w:tc>
          <w:tcPr>
            <w:tcW w:w="1074" w:type="dxa"/>
            <w:noWrap/>
            <w:vAlign w:val="bottom"/>
            <w:hideMark/>
          </w:tcPr>
          <w:p w14:paraId="4142EAA8" w14:textId="77777777" w:rsidR="008C0AA8" w:rsidRPr="007668E1" w:rsidRDefault="008C0AA8" w:rsidP="006233FA">
            <w:pPr>
              <w:spacing w:after="0"/>
              <w:jc w:val="center"/>
              <w:rPr>
                <w:color w:val="000000"/>
                <w:lang w:eastAsia="en-CA"/>
              </w:rPr>
            </w:pPr>
            <w:r w:rsidRPr="007668E1">
              <w:rPr>
                <w:color w:val="000000"/>
                <w:lang w:eastAsia="en-CA"/>
              </w:rPr>
              <w:t>8</w:t>
            </w:r>
          </w:p>
        </w:tc>
        <w:tc>
          <w:tcPr>
            <w:tcW w:w="2611" w:type="dxa"/>
            <w:vAlign w:val="center"/>
            <w:hideMark/>
          </w:tcPr>
          <w:p w14:paraId="3F31099F" w14:textId="77777777" w:rsidR="008C0AA8" w:rsidRPr="007668E1" w:rsidRDefault="008C0AA8" w:rsidP="006233FA">
            <w:pPr>
              <w:spacing w:after="0"/>
              <w:ind w:left="162"/>
              <w:jc w:val="center"/>
              <w:rPr>
                <w:color w:val="000000"/>
                <w:lang w:eastAsia="en-CA"/>
              </w:rPr>
            </w:pPr>
            <w:r w:rsidRPr="007668E1">
              <w:rPr>
                <w:color w:val="000000"/>
                <w:lang w:eastAsia="en-CA"/>
              </w:rPr>
              <w:t>300 &lt; 360</w:t>
            </w:r>
          </w:p>
        </w:tc>
      </w:tr>
    </w:tbl>
    <w:p w14:paraId="10DEF97A" w14:textId="77777777" w:rsidR="003E757B" w:rsidRPr="007668E1" w:rsidRDefault="003E757B" w:rsidP="000D7EB0">
      <w:pPr>
        <w:rPr>
          <w:rFonts w:eastAsia="Aptos"/>
          <w:color w:val="000000"/>
        </w:rPr>
      </w:pPr>
    </w:p>
    <w:p w14:paraId="45EA80BA" w14:textId="34C9405B" w:rsidR="00327EAA" w:rsidRDefault="00327EAA" w:rsidP="007C77CF">
      <w:pPr>
        <w:pStyle w:val="Heading3"/>
        <w:rPr>
          <w:snapToGrid w:val="0"/>
        </w:rPr>
      </w:pPr>
      <w:bookmarkStart w:id="277" w:name="_Toc230099119"/>
      <w:r>
        <w:rPr>
          <w:snapToGrid w:val="0"/>
        </w:rPr>
        <w:t>6</w:t>
      </w:r>
      <w:r w:rsidRPr="00C3634A">
        <w:rPr>
          <w:snapToGrid w:val="0"/>
        </w:rPr>
        <w:t>.</w:t>
      </w:r>
      <w:r w:rsidR="008C0AA8">
        <w:rPr>
          <w:snapToGrid w:val="0"/>
        </w:rPr>
        <w:t>2</w:t>
      </w:r>
      <w:r w:rsidRPr="00C3634A">
        <w:rPr>
          <w:snapToGrid w:val="0"/>
        </w:rPr>
        <w:t>.</w:t>
      </w:r>
      <w:r w:rsidR="009917F1">
        <w:rPr>
          <w:snapToGrid w:val="0"/>
        </w:rPr>
        <w:t>1</w:t>
      </w:r>
      <w:r w:rsidRPr="00C3634A">
        <w:rPr>
          <w:snapToGrid w:val="0"/>
        </w:rPr>
        <w:tab/>
      </w:r>
      <w:r w:rsidR="00F13A38" w:rsidRPr="00F13A38">
        <w:rPr>
          <w:snapToGrid w:val="0"/>
        </w:rPr>
        <w:t>Cost of fixed-cost activities across all brackets</w:t>
      </w:r>
      <w:bookmarkEnd w:id="277"/>
    </w:p>
    <w:p w14:paraId="738B809E" w14:textId="09B1E939" w:rsidR="00F13A38" w:rsidRPr="00ED5D04" w:rsidRDefault="00ED5D04" w:rsidP="00ED5D04">
      <w:pPr>
        <w:spacing w:after="160" w:line="259" w:lineRule="auto"/>
        <w:rPr>
          <w:rFonts w:eastAsia="Aptos"/>
          <w:color w:val="000000"/>
        </w:rPr>
      </w:pPr>
      <w:r w:rsidRPr="007668E1">
        <w:rPr>
          <w:rFonts w:eastAsia="Aptos"/>
          <w:color w:val="000000"/>
        </w:rPr>
        <w:t xml:space="preserve">This section provides an in-depth analysis of the first issue mentioned related to system-building activities that are fixed cost across all brackets. The objective is to find whether these costs are sufficiently compensated across the brackets by the total funding available for KIP </w:t>
      </w:r>
      <w:r w:rsidR="0059764F">
        <w:rPr>
          <w:rFonts w:eastAsia="Aptos"/>
          <w:color w:val="000000"/>
        </w:rPr>
        <w:t>S</w:t>
      </w:r>
      <w:r w:rsidRPr="007668E1">
        <w:rPr>
          <w:rFonts w:eastAsia="Aptos"/>
          <w:color w:val="000000"/>
        </w:rPr>
        <w:t>tage I</w:t>
      </w:r>
      <w:r>
        <w:rPr>
          <w:rFonts w:eastAsia="Aptos"/>
          <w:color w:val="000000"/>
        </w:rPr>
        <w:t>.</w:t>
      </w:r>
    </w:p>
    <w:p w14:paraId="09BD05AA" w14:textId="570A8D1E" w:rsidR="00327EAA" w:rsidRDefault="00327EAA" w:rsidP="00ED5D04">
      <w:pPr>
        <w:pStyle w:val="Heading4"/>
        <w:rPr>
          <w:snapToGrid w:val="0"/>
        </w:rPr>
      </w:pPr>
      <w:r>
        <w:rPr>
          <w:snapToGrid w:val="0"/>
        </w:rPr>
        <w:t>6</w:t>
      </w:r>
      <w:r w:rsidRPr="00C3634A">
        <w:rPr>
          <w:snapToGrid w:val="0"/>
        </w:rPr>
        <w:t>.</w:t>
      </w:r>
      <w:r w:rsidR="00D53507">
        <w:rPr>
          <w:snapToGrid w:val="0"/>
        </w:rPr>
        <w:t>2</w:t>
      </w:r>
      <w:r w:rsidRPr="00C3634A">
        <w:rPr>
          <w:snapToGrid w:val="0"/>
        </w:rPr>
        <w:t>.</w:t>
      </w:r>
      <w:r w:rsidR="009917F1">
        <w:rPr>
          <w:snapToGrid w:val="0"/>
        </w:rPr>
        <w:t>1.1</w:t>
      </w:r>
      <w:r w:rsidRPr="00C3634A">
        <w:rPr>
          <w:snapToGrid w:val="0"/>
        </w:rPr>
        <w:tab/>
      </w:r>
      <w:r w:rsidR="009917F1">
        <w:rPr>
          <w:snapToGrid w:val="0"/>
        </w:rPr>
        <w:t>Concept</w:t>
      </w:r>
    </w:p>
    <w:p w14:paraId="03839697" w14:textId="22BC053F" w:rsidR="00D53507" w:rsidRPr="007668E1" w:rsidRDefault="00D53507" w:rsidP="00D53507">
      <w:pPr>
        <w:spacing w:after="160" w:line="259" w:lineRule="auto"/>
        <w:rPr>
          <w:rFonts w:eastAsia="Aptos"/>
          <w:color w:val="000000"/>
        </w:rPr>
      </w:pPr>
      <w:r w:rsidRPr="007668E1">
        <w:rPr>
          <w:rFonts w:eastAsia="Aptos"/>
          <w:color w:val="000000"/>
        </w:rPr>
        <w:t xml:space="preserve">A review of the eight representative countries indicates a consistent structural feature across all funding brackets. A significant proportion of </w:t>
      </w:r>
      <w:r w:rsidR="00154D41">
        <w:rPr>
          <w:rFonts w:eastAsia="Aptos"/>
          <w:color w:val="000000"/>
        </w:rPr>
        <w:t>Stage</w:t>
      </w:r>
      <w:r w:rsidRPr="007668E1">
        <w:rPr>
          <w:rFonts w:eastAsia="Aptos"/>
          <w:color w:val="000000"/>
        </w:rPr>
        <w:t> I resources is allocated to the establishment of the minimum enabling systems required to operationalize HFC phasedown. These activities include, among others, the preparation and enforcement of regulatory measures and bans, refinement of quota and licensing systems, development of customs and enforcement procedures, standards-related work, revision of training curricula, establishment of reporting and monitoring arrangements, and overall programme coordination. These costs are largely fixed or quasi-fixed in nature, as they are incurred irrespective of the relative size of the national servicing sector. </w:t>
      </w:r>
    </w:p>
    <w:p w14:paraId="6A34C391" w14:textId="77777777" w:rsidR="00D53507" w:rsidRPr="007668E1" w:rsidRDefault="00D53507" w:rsidP="00D53507">
      <w:pPr>
        <w:spacing w:after="160" w:line="259" w:lineRule="auto"/>
        <w:rPr>
          <w:rFonts w:eastAsia="Aptos"/>
          <w:color w:val="000000"/>
        </w:rPr>
      </w:pPr>
      <w:r w:rsidRPr="007668E1">
        <w:rPr>
          <w:rFonts w:eastAsia="Aptos"/>
          <w:color w:val="000000"/>
        </w:rPr>
        <w:t>Technician training, provision of equipment, demonstration projects, broad awareness campaigns, and gender outreach are scale-sensitive deployment activities reflecting the size of the servicing sector. Other costs such as management and monitoring were apportioned between the two.</w:t>
      </w:r>
    </w:p>
    <w:p w14:paraId="01CFC19D" w14:textId="60C0B45A" w:rsidR="009917F1" w:rsidRDefault="009917F1" w:rsidP="009917F1">
      <w:pPr>
        <w:pStyle w:val="Heading4"/>
        <w:rPr>
          <w:snapToGrid w:val="0"/>
        </w:rPr>
      </w:pPr>
      <w:r>
        <w:rPr>
          <w:snapToGrid w:val="0"/>
        </w:rPr>
        <w:t>6</w:t>
      </w:r>
      <w:r w:rsidRPr="00C3634A">
        <w:rPr>
          <w:snapToGrid w:val="0"/>
        </w:rPr>
        <w:t>.</w:t>
      </w:r>
      <w:r w:rsidR="008E2BE4">
        <w:rPr>
          <w:snapToGrid w:val="0"/>
        </w:rPr>
        <w:t>2</w:t>
      </w:r>
      <w:r w:rsidRPr="00C3634A">
        <w:rPr>
          <w:snapToGrid w:val="0"/>
        </w:rPr>
        <w:t>.</w:t>
      </w:r>
      <w:r>
        <w:rPr>
          <w:snapToGrid w:val="0"/>
        </w:rPr>
        <w:t>1.</w:t>
      </w:r>
      <w:r w:rsidR="008E2BE4">
        <w:rPr>
          <w:snapToGrid w:val="0"/>
        </w:rPr>
        <w:t>2</w:t>
      </w:r>
      <w:r w:rsidRPr="00C3634A">
        <w:rPr>
          <w:snapToGrid w:val="0"/>
        </w:rPr>
        <w:tab/>
      </w:r>
      <w:r w:rsidR="008E2BE4">
        <w:rPr>
          <w:snapToGrid w:val="0"/>
        </w:rPr>
        <w:t>Methodology and result</w:t>
      </w:r>
    </w:p>
    <w:p w14:paraId="41130445" w14:textId="5054FB3B" w:rsidR="00B81AAF" w:rsidRDefault="00B81AAF" w:rsidP="00B81AAF">
      <w:pPr>
        <w:spacing w:after="160" w:line="259" w:lineRule="auto"/>
        <w:rPr>
          <w:rFonts w:eastAsia="Aptos"/>
          <w:color w:val="000000"/>
        </w:rPr>
      </w:pPr>
      <w:r w:rsidRPr="007668E1">
        <w:rPr>
          <w:rFonts w:eastAsia="Aptos"/>
          <w:color w:val="000000"/>
        </w:rPr>
        <w:t>RTF</w:t>
      </w:r>
      <w:r w:rsidRPr="007668E1">
        <w:rPr>
          <w:rFonts w:eastAsia="Aptos"/>
          <w:b/>
          <w:color w:val="000000"/>
        </w:rPr>
        <w:t xml:space="preserve"> </w:t>
      </w:r>
      <w:r w:rsidRPr="007668E1">
        <w:rPr>
          <w:rFonts w:eastAsia="Aptos"/>
          <w:color w:val="000000"/>
        </w:rPr>
        <w:t>analysed</w:t>
      </w:r>
      <w:r w:rsidRPr="007668E1">
        <w:rPr>
          <w:rFonts w:eastAsia="Aptos"/>
          <w:b/>
          <w:color w:val="000000"/>
        </w:rPr>
        <w:t xml:space="preserve"> </w:t>
      </w:r>
      <w:r w:rsidRPr="007668E1">
        <w:rPr>
          <w:rFonts w:eastAsia="Aptos"/>
          <w:color w:val="000000"/>
        </w:rPr>
        <w:t>one country per bracket to calculate the fixed costs mentioned above.</w:t>
      </w:r>
      <w:r w:rsidRPr="007668E1">
        <w:rPr>
          <w:rFonts w:eastAsia="Aptos"/>
          <w:b/>
          <w:color w:val="000000"/>
        </w:rPr>
        <w:t xml:space="preserve"> </w:t>
      </w:r>
      <w:r w:rsidRPr="007668E1">
        <w:rPr>
          <w:rFonts w:eastAsia="Aptos"/>
          <w:color w:val="000000"/>
        </w:rPr>
        <w:t>Only countries with 10</w:t>
      </w:r>
      <w:r w:rsidR="00741807">
        <w:rPr>
          <w:rFonts w:eastAsia="Aptos"/>
          <w:color w:val="000000"/>
        </w:rPr>
        <w:t>%</w:t>
      </w:r>
      <w:r w:rsidRPr="007668E1">
        <w:rPr>
          <w:rFonts w:eastAsia="Aptos"/>
          <w:color w:val="000000"/>
        </w:rPr>
        <w:t xml:space="preserve"> reduction from baseline were selected for comparison and analysis.</w:t>
      </w:r>
      <w:r w:rsidRPr="007668E1">
        <w:rPr>
          <w:rFonts w:eastAsia="Aptos"/>
          <w:b/>
          <w:color w:val="000000"/>
        </w:rPr>
        <w:t xml:space="preserve">  </w:t>
      </w:r>
      <w:r w:rsidRPr="007668E1">
        <w:rPr>
          <w:rFonts w:eastAsia="Aptos"/>
          <w:color w:val="000000"/>
        </w:rPr>
        <w:t>Analysing one country per bracket gives only indicative results, but it can reveal trends that are inducive to conclusions.</w:t>
      </w:r>
      <w:r w:rsidR="00BF24A1">
        <w:rPr>
          <w:rFonts w:eastAsia="Aptos"/>
          <w:color w:val="000000"/>
        </w:rPr>
        <w:t xml:space="preserve"> Table 6.</w:t>
      </w:r>
      <w:r w:rsidR="00F77C2B">
        <w:rPr>
          <w:rFonts w:eastAsia="Aptos"/>
          <w:color w:val="000000"/>
        </w:rPr>
        <w:t xml:space="preserve">2 </w:t>
      </w:r>
      <w:r w:rsidRPr="007668E1">
        <w:rPr>
          <w:rFonts w:eastAsia="Aptos"/>
          <w:color w:val="000000"/>
        </w:rPr>
        <w:t xml:space="preserve">below shows those costs and the corresponding percentage of the total available KIP </w:t>
      </w:r>
      <w:r w:rsidR="00741807">
        <w:rPr>
          <w:rFonts w:eastAsia="Aptos"/>
          <w:color w:val="000000"/>
        </w:rPr>
        <w:t>S</w:t>
      </w:r>
      <w:r w:rsidRPr="007668E1">
        <w:rPr>
          <w:rFonts w:eastAsia="Aptos"/>
          <w:color w:val="000000"/>
        </w:rPr>
        <w:t>tage I funding for LVCs in brackets 2 to 8. </w:t>
      </w:r>
    </w:p>
    <w:p w14:paraId="336FAE79" w14:textId="77777777" w:rsidR="00574F00" w:rsidRDefault="00574F00" w:rsidP="00904F66">
      <w:pPr>
        <w:tabs>
          <w:tab w:val="left" w:pos="1418"/>
        </w:tabs>
        <w:spacing w:after="0"/>
        <w:ind w:left="1411" w:hanging="1411"/>
        <w:rPr>
          <w:rFonts w:eastAsiaTheme="minorHAnsi"/>
          <w:b/>
          <w:bCs/>
        </w:rPr>
      </w:pPr>
    </w:p>
    <w:p w14:paraId="3F9626EE" w14:textId="77777777" w:rsidR="00574F00" w:rsidRDefault="00574F00" w:rsidP="00904F66">
      <w:pPr>
        <w:tabs>
          <w:tab w:val="left" w:pos="1418"/>
        </w:tabs>
        <w:spacing w:after="0"/>
        <w:ind w:left="1411" w:hanging="1411"/>
        <w:rPr>
          <w:rFonts w:eastAsiaTheme="minorHAnsi"/>
          <w:b/>
          <w:bCs/>
        </w:rPr>
      </w:pPr>
    </w:p>
    <w:p w14:paraId="61D98036" w14:textId="2B5B0600" w:rsidR="00B81AAF" w:rsidRDefault="00B81AAF" w:rsidP="002135B0">
      <w:pPr>
        <w:tabs>
          <w:tab w:val="left" w:pos="1134"/>
        </w:tabs>
        <w:spacing w:after="0"/>
        <w:ind w:left="1411" w:hanging="1411"/>
        <w:rPr>
          <w:rFonts w:eastAsiaTheme="minorHAnsi"/>
          <w:b/>
          <w:bCs/>
        </w:rPr>
      </w:pPr>
      <w:r w:rsidRPr="00E42C5E">
        <w:rPr>
          <w:rFonts w:eastAsiaTheme="minorHAnsi"/>
          <w:b/>
          <w:bCs/>
        </w:rPr>
        <w:lastRenderedPageBreak/>
        <w:t xml:space="preserve">Table </w:t>
      </w:r>
      <w:r>
        <w:rPr>
          <w:rFonts w:eastAsiaTheme="minorHAnsi"/>
          <w:b/>
          <w:bCs/>
        </w:rPr>
        <w:t>6.2</w:t>
      </w:r>
      <w:r w:rsidR="00D03A55">
        <w:rPr>
          <w:rFonts w:eastAsiaTheme="minorHAnsi"/>
          <w:b/>
          <w:bCs/>
        </w:rPr>
        <w:t>:</w:t>
      </w:r>
      <w:r w:rsidRPr="00E42C5E">
        <w:rPr>
          <w:rFonts w:eastAsiaTheme="minorHAnsi"/>
          <w:b/>
          <w:bCs/>
        </w:rPr>
        <w:tab/>
      </w:r>
      <w:r w:rsidR="00904F66" w:rsidRPr="00904F66">
        <w:rPr>
          <w:rFonts w:eastAsiaTheme="minorHAnsi"/>
          <w:b/>
          <w:bCs/>
        </w:rPr>
        <w:t xml:space="preserve">Fixed cost activities and their percentage of KIP </w:t>
      </w:r>
      <w:r w:rsidR="00154D41">
        <w:rPr>
          <w:rFonts w:eastAsiaTheme="minorHAnsi"/>
          <w:b/>
          <w:bCs/>
        </w:rPr>
        <w:t>Stage</w:t>
      </w:r>
      <w:r w:rsidR="00904F66" w:rsidRPr="00904F66">
        <w:rPr>
          <w:rFonts w:eastAsiaTheme="minorHAnsi"/>
          <w:b/>
          <w:bCs/>
        </w:rPr>
        <w:t xml:space="preserve"> I funding for LVCs</w:t>
      </w:r>
    </w:p>
    <w:p w14:paraId="023E4E0C" w14:textId="77777777" w:rsidR="00904F66" w:rsidRDefault="00904F66" w:rsidP="00904F66">
      <w:pPr>
        <w:tabs>
          <w:tab w:val="left" w:pos="1418"/>
        </w:tabs>
        <w:spacing w:after="0"/>
        <w:ind w:left="1411" w:hanging="1411"/>
        <w:rPr>
          <w:rFonts w:eastAsia="Aptos"/>
          <w:color w:val="000000"/>
        </w:rPr>
      </w:pPr>
    </w:p>
    <w:tbl>
      <w:tblPr>
        <w:tblW w:w="89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4"/>
        <w:gridCol w:w="1261"/>
        <w:gridCol w:w="1440"/>
        <w:gridCol w:w="1440"/>
        <w:gridCol w:w="3960"/>
      </w:tblGrid>
      <w:tr w:rsidR="00D7232D" w:rsidRPr="00813EEB" w14:paraId="54160552" w14:textId="77777777" w:rsidTr="00A0479E">
        <w:trPr>
          <w:trHeight w:val="300"/>
          <w:tblHeader/>
        </w:trPr>
        <w:tc>
          <w:tcPr>
            <w:tcW w:w="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580555" w14:textId="77777777" w:rsidR="00D7232D" w:rsidRPr="000929D6" w:rsidRDefault="00D7232D" w:rsidP="00A0479E">
            <w:pPr>
              <w:spacing w:before="120" w:after="120" w:line="259" w:lineRule="auto"/>
              <w:rPr>
                <w:rFonts w:eastAsia="Aptos"/>
                <w:b/>
                <w:color w:val="000000"/>
                <w:sz w:val="20"/>
                <w:szCs w:val="20"/>
              </w:rPr>
            </w:pPr>
            <w:r w:rsidRPr="000929D6">
              <w:rPr>
                <w:rFonts w:eastAsia="Aptos"/>
                <w:b/>
                <w:color w:val="000000"/>
                <w:sz w:val="20"/>
                <w:szCs w:val="20"/>
              </w:rPr>
              <w:t>Bracket</w:t>
            </w:r>
          </w:p>
        </w:tc>
        <w:tc>
          <w:tcPr>
            <w:tcW w:w="126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2D153A4" w14:textId="77777777" w:rsidR="00D7232D" w:rsidRPr="000929D6" w:rsidRDefault="00D7232D" w:rsidP="00A0479E">
            <w:pPr>
              <w:spacing w:before="120" w:after="120" w:line="259" w:lineRule="auto"/>
              <w:rPr>
                <w:rFonts w:eastAsia="Aptos"/>
                <w:sz w:val="20"/>
                <w:szCs w:val="20"/>
              </w:rPr>
            </w:pPr>
            <w:r w:rsidRPr="000929D6">
              <w:rPr>
                <w:rFonts w:eastAsia="Aptos"/>
                <w:b/>
                <w:sz w:val="20"/>
                <w:szCs w:val="20"/>
              </w:rPr>
              <w:t>Stage I KIP total (US$)</w:t>
            </w:r>
            <w:r w:rsidRPr="000929D6">
              <w:rPr>
                <w:rFonts w:eastAsia="Aptos"/>
                <w:sz w:val="20"/>
                <w:szCs w:val="20"/>
              </w:rPr>
              <w:t> </w:t>
            </w:r>
          </w:p>
        </w:tc>
        <w:tc>
          <w:tcPr>
            <w:tcW w:w="14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382722D" w14:textId="77777777" w:rsidR="00D7232D" w:rsidRPr="000929D6" w:rsidRDefault="00D7232D" w:rsidP="00A0479E">
            <w:pPr>
              <w:spacing w:before="120" w:after="120" w:line="259" w:lineRule="auto"/>
              <w:rPr>
                <w:rFonts w:eastAsia="Aptos"/>
                <w:color w:val="000000"/>
                <w:sz w:val="20"/>
                <w:szCs w:val="20"/>
              </w:rPr>
            </w:pPr>
            <w:r w:rsidRPr="000929D6">
              <w:rPr>
                <w:rFonts w:eastAsia="Aptos"/>
                <w:b/>
                <w:color w:val="000000"/>
                <w:sz w:val="20"/>
                <w:szCs w:val="20"/>
              </w:rPr>
              <w:t>Estimated fixed cost amount (US$)</w:t>
            </w:r>
            <w:r w:rsidRPr="000929D6">
              <w:rPr>
                <w:rFonts w:eastAsia="Aptos"/>
                <w:color w:val="000000"/>
                <w:sz w:val="20"/>
                <w:szCs w:val="20"/>
              </w:rPr>
              <w:t> </w:t>
            </w:r>
          </w:p>
        </w:tc>
        <w:tc>
          <w:tcPr>
            <w:tcW w:w="14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E62F9A6" w14:textId="77777777" w:rsidR="00D7232D" w:rsidRPr="000929D6" w:rsidRDefault="00D7232D" w:rsidP="00A0479E">
            <w:pPr>
              <w:spacing w:before="120" w:after="120" w:line="259" w:lineRule="auto"/>
              <w:rPr>
                <w:rFonts w:eastAsia="Aptos"/>
                <w:color w:val="000000"/>
                <w:sz w:val="20"/>
                <w:szCs w:val="20"/>
              </w:rPr>
            </w:pPr>
            <w:r w:rsidRPr="000929D6">
              <w:rPr>
                <w:rFonts w:eastAsia="Aptos"/>
                <w:b/>
                <w:color w:val="000000"/>
                <w:sz w:val="20"/>
                <w:szCs w:val="20"/>
              </w:rPr>
              <w:t>Estimated fixed cost share</w:t>
            </w:r>
            <w:r w:rsidRPr="000929D6">
              <w:rPr>
                <w:rFonts w:eastAsia="Aptos"/>
                <w:color w:val="000000"/>
                <w:sz w:val="20"/>
                <w:szCs w:val="20"/>
              </w:rPr>
              <w:t> %</w:t>
            </w:r>
          </w:p>
        </w:tc>
        <w:tc>
          <w:tcPr>
            <w:tcW w:w="39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61022DB" w14:textId="77777777" w:rsidR="00D7232D" w:rsidRPr="000929D6" w:rsidRDefault="00D7232D" w:rsidP="00A0479E">
            <w:pPr>
              <w:spacing w:before="120" w:after="120" w:line="259" w:lineRule="auto"/>
              <w:rPr>
                <w:rFonts w:eastAsia="Aptos"/>
                <w:color w:val="000000"/>
                <w:sz w:val="20"/>
                <w:szCs w:val="20"/>
              </w:rPr>
            </w:pPr>
            <w:r w:rsidRPr="000929D6">
              <w:rPr>
                <w:rFonts w:eastAsia="Aptos"/>
                <w:b/>
                <w:color w:val="000000"/>
                <w:sz w:val="20"/>
                <w:szCs w:val="20"/>
              </w:rPr>
              <w:t>Main fixed-cost drivers identified from line items</w:t>
            </w:r>
            <w:r w:rsidRPr="000929D6">
              <w:rPr>
                <w:rFonts w:eastAsia="Aptos"/>
                <w:color w:val="000000"/>
                <w:sz w:val="20"/>
                <w:szCs w:val="20"/>
              </w:rPr>
              <w:t> </w:t>
            </w:r>
          </w:p>
        </w:tc>
      </w:tr>
      <w:tr w:rsidR="00D7232D" w:rsidRPr="007668E1" w14:paraId="6145AF0D" w14:textId="77777777" w:rsidTr="006233FA">
        <w:trPr>
          <w:trHeight w:val="300"/>
        </w:trPr>
        <w:tc>
          <w:tcPr>
            <w:tcW w:w="804" w:type="dxa"/>
            <w:tcBorders>
              <w:top w:val="single" w:sz="4" w:space="0" w:color="auto"/>
              <w:left w:val="single" w:sz="4" w:space="0" w:color="auto"/>
              <w:bottom w:val="single" w:sz="4" w:space="0" w:color="auto"/>
              <w:right w:val="single" w:sz="4" w:space="0" w:color="auto"/>
            </w:tcBorders>
            <w:vAlign w:val="center"/>
          </w:tcPr>
          <w:p w14:paraId="6BD70BDA" w14:textId="77777777" w:rsidR="00D7232D" w:rsidRPr="007668E1" w:rsidRDefault="00D7232D" w:rsidP="006233FA">
            <w:pPr>
              <w:spacing w:after="160" w:line="259" w:lineRule="auto"/>
              <w:jc w:val="center"/>
              <w:rPr>
                <w:rFonts w:eastAsia="Aptos"/>
                <w:b/>
                <w:color w:val="000000"/>
              </w:rPr>
            </w:pPr>
            <w:r w:rsidRPr="007668E1">
              <w:rPr>
                <w:rFonts w:eastAsia="Aptos"/>
                <w:b/>
                <w:color w:val="000000"/>
              </w:rPr>
              <w:t>2</w:t>
            </w:r>
          </w:p>
        </w:tc>
        <w:tc>
          <w:tcPr>
            <w:tcW w:w="1261" w:type="dxa"/>
            <w:tcBorders>
              <w:top w:val="single" w:sz="6" w:space="0" w:color="auto"/>
              <w:left w:val="single" w:sz="6" w:space="0" w:color="auto"/>
              <w:bottom w:val="single" w:sz="6" w:space="0" w:color="auto"/>
              <w:right w:val="single" w:sz="6" w:space="0" w:color="auto"/>
            </w:tcBorders>
            <w:vAlign w:val="center"/>
            <w:hideMark/>
          </w:tcPr>
          <w:p w14:paraId="33EEAE12" w14:textId="77777777" w:rsidR="00D7232D" w:rsidRPr="007668E1" w:rsidRDefault="00D7232D" w:rsidP="006233FA">
            <w:pPr>
              <w:spacing w:after="160" w:line="259" w:lineRule="auto"/>
              <w:jc w:val="right"/>
              <w:rPr>
                <w:rFonts w:eastAsia="Aptos"/>
                <w:color w:val="000000"/>
              </w:rPr>
            </w:pPr>
            <w:r w:rsidRPr="007668E1">
              <w:rPr>
                <w:rFonts w:eastAsia="Aptos"/>
                <w:color w:val="000000"/>
              </w:rPr>
              <w:t>145,000 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698B663" w14:textId="77777777" w:rsidR="00D7232D" w:rsidRPr="007668E1" w:rsidRDefault="00D7232D" w:rsidP="006233FA">
            <w:pPr>
              <w:spacing w:after="160" w:line="259" w:lineRule="auto"/>
              <w:jc w:val="right"/>
              <w:rPr>
                <w:rFonts w:eastAsia="Aptos"/>
                <w:color w:val="000000"/>
              </w:rPr>
            </w:pPr>
            <w:r w:rsidRPr="007668E1">
              <w:rPr>
                <w:rFonts w:eastAsia="Aptos"/>
                <w:color w:val="000000"/>
              </w:rPr>
              <w:t>58,500 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99E99B" w14:textId="77777777" w:rsidR="00D7232D" w:rsidRPr="007668E1" w:rsidRDefault="00D7232D" w:rsidP="006233FA">
            <w:pPr>
              <w:spacing w:after="160" w:line="259" w:lineRule="auto"/>
              <w:jc w:val="right"/>
              <w:rPr>
                <w:rFonts w:eastAsia="Aptos"/>
                <w:color w:val="000000"/>
              </w:rPr>
            </w:pPr>
            <w:r w:rsidRPr="007668E1">
              <w:rPr>
                <w:rFonts w:eastAsia="Aptos"/>
                <w:b/>
                <w:color w:val="000000"/>
              </w:rPr>
              <w:t>40.3</w:t>
            </w:r>
            <w:r w:rsidRPr="007668E1">
              <w:rPr>
                <w:rFonts w:eastAsia="Aptos"/>
                <w:color w:val="000000"/>
              </w:rPr>
              <w:t>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2AA39988" w14:textId="77777777" w:rsidR="00D7232D" w:rsidRPr="007668E1" w:rsidRDefault="00D7232D" w:rsidP="006233FA">
            <w:pPr>
              <w:spacing w:after="0" w:line="259" w:lineRule="auto"/>
              <w:ind w:left="72"/>
              <w:rPr>
                <w:rFonts w:eastAsia="Aptos"/>
                <w:color w:val="000000"/>
              </w:rPr>
            </w:pPr>
            <w:r w:rsidRPr="007668E1">
              <w:rPr>
                <w:rFonts w:eastAsia="Aptos"/>
                <w:color w:val="000000"/>
              </w:rPr>
              <w:t>Policy/licensing update; certification scheme; customs/curriculum revision </w:t>
            </w:r>
          </w:p>
        </w:tc>
      </w:tr>
      <w:tr w:rsidR="00D7232D" w:rsidRPr="007668E1" w14:paraId="4CAA09F9" w14:textId="77777777" w:rsidTr="006233FA">
        <w:trPr>
          <w:trHeight w:val="300"/>
        </w:trPr>
        <w:tc>
          <w:tcPr>
            <w:tcW w:w="804" w:type="dxa"/>
            <w:tcBorders>
              <w:top w:val="single" w:sz="4" w:space="0" w:color="auto"/>
              <w:left w:val="single" w:sz="4" w:space="0" w:color="auto"/>
              <w:bottom w:val="single" w:sz="4" w:space="0" w:color="auto"/>
              <w:right w:val="single" w:sz="4" w:space="0" w:color="auto"/>
            </w:tcBorders>
            <w:vAlign w:val="center"/>
          </w:tcPr>
          <w:p w14:paraId="49596BDA" w14:textId="77777777" w:rsidR="00D7232D" w:rsidRPr="007668E1" w:rsidRDefault="00D7232D" w:rsidP="006233FA">
            <w:pPr>
              <w:spacing w:after="160" w:line="259" w:lineRule="auto"/>
              <w:jc w:val="center"/>
              <w:rPr>
                <w:rFonts w:eastAsia="Aptos"/>
                <w:b/>
                <w:color w:val="000000"/>
              </w:rPr>
            </w:pPr>
            <w:r w:rsidRPr="007668E1">
              <w:rPr>
                <w:rFonts w:eastAsia="Aptos"/>
                <w:b/>
                <w:color w:val="000000"/>
              </w:rPr>
              <w:t>3</w:t>
            </w:r>
          </w:p>
        </w:tc>
        <w:tc>
          <w:tcPr>
            <w:tcW w:w="1261" w:type="dxa"/>
            <w:tcBorders>
              <w:top w:val="single" w:sz="6" w:space="0" w:color="auto"/>
              <w:left w:val="single" w:sz="6" w:space="0" w:color="auto"/>
              <w:bottom w:val="single" w:sz="6" w:space="0" w:color="auto"/>
              <w:right w:val="single" w:sz="6" w:space="0" w:color="auto"/>
            </w:tcBorders>
            <w:vAlign w:val="center"/>
            <w:hideMark/>
          </w:tcPr>
          <w:p w14:paraId="068B53C7" w14:textId="77777777" w:rsidR="00D7232D" w:rsidRPr="007668E1" w:rsidRDefault="00D7232D" w:rsidP="006233FA">
            <w:pPr>
              <w:spacing w:after="160" w:line="259" w:lineRule="auto"/>
              <w:jc w:val="right"/>
              <w:rPr>
                <w:rFonts w:eastAsia="Aptos"/>
                <w:color w:val="000000"/>
              </w:rPr>
            </w:pPr>
            <w:r w:rsidRPr="007668E1">
              <w:rPr>
                <w:rFonts w:eastAsia="Aptos"/>
                <w:color w:val="000000"/>
              </w:rPr>
              <w:t>158,000 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A19BB02" w14:textId="77777777" w:rsidR="00D7232D" w:rsidRPr="007668E1" w:rsidRDefault="00D7232D" w:rsidP="006233FA">
            <w:pPr>
              <w:spacing w:after="160" w:line="259" w:lineRule="auto"/>
              <w:jc w:val="right"/>
              <w:rPr>
                <w:rFonts w:eastAsia="Aptos"/>
                <w:color w:val="000000"/>
              </w:rPr>
            </w:pPr>
            <w:r w:rsidRPr="007668E1">
              <w:rPr>
                <w:rFonts w:eastAsia="Aptos"/>
                <w:color w:val="000000"/>
              </w:rPr>
              <w:t>60,000 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827FAAB" w14:textId="77777777" w:rsidR="00D7232D" w:rsidRPr="007668E1" w:rsidRDefault="00D7232D" w:rsidP="006233FA">
            <w:pPr>
              <w:spacing w:after="160" w:line="259" w:lineRule="auto"/>
              <w:jc w:val="right"/>
              <w:rPr>
                <w:rFonts w:eastAsia="Aptos"/>
                <w:color w:val="000000"/>
              </w:rPr>
            </w:pPr>
            <w:r w:rsidRPr="007668E1">
              <w:rPr>
                <w:rFonts w:eastAsia="Aptos"/>
                <w:b/>
                <w:color w:val="000000"/>
              </w:rPr>
              <w:t>38.0</w:t>
            </w:r>
            <w:r w:rsidRPr="007668E1">
              <w:rPr>
                <w:rFonts w:eastAsia="Aptos"/>
                <w:color w:val="000000"/>
              </w:rPr>
              <w:t>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70C83BC6" w14:textId="77777777" w:rsidR="00D7232D" w:rsidRPr="007668E1" w:rsidRDefault="00D7232D" w:rsidP="006233FA">
            <w:pPr>
              <w:spacing w:after="0" w:line="259" w:lineRule="auto"/>
              <w:ind w:left="72"/>
              <w:rPr>
                <w:rFonts w:eastAsia="Aptos"/>
                <w:color w:val="000000"/>
              </w:rPr>
            </w:pPr>
            <w:r w:rsidRPr="007668E1">
              <w:rPr>
                <w:rFonts w:eastAsia="Aptos"/>
                <w:color w:val="000000"/>
              </w:rPr>
              <w:t>Guidelines and bans/incentives; curricula update; leakage/energy study; project support </w:t>
            </w:r>
          </w:p>
        </w:tc>
      </w:tr>
      <w:tr w:rsidR="00D7232D" w:rsidRPr="007668E1" w14:paraId="0661F103" w14:textId="77777777" w:rsidTr="006233FA">
        <w:trPr>
          <w:trHeight w:val="300"/>
        </w:trPr>
        <w:tc>
          <w:tcPr>
            <w:tcW w:w="804" w:type="dxa"/>
            <w:tcBorders>
              <w:top w:val="single" w:sz="4" w:space="0" w:color="auto"/>
              <w:left w:val="single" w:sz="4" w:space="0" w:color="auto"/>
              <w:bottom w:val="single" w:sz="4" w:space="0" w:color="auto"/>
              <w:right w:val="single" w:sz="4" w:space="0" w:color="auto"/>
            </w:tcBorders>
            <w:vAlign w:val="center"/>
          </w:tcPr>
          <w:p w14:paraId="324D76CA" w14:textId="77777777" w:rsidR="00D7232D" w:rsidRPr="007668E1" w:rsidRDefault="00D7232D" w:rsidP="006233FA">
            <w:pPr>
              <w:spacing w:after="160" w:line="259" w:lineRule="auto"/>
              <w:jc w:val="center"/>
              <w:rPr>
                <w:rFonts w:eastAsia="Aptos"/>
                <w:b/>
                <w:color w:val="000000"/>
              </w:rPr>
            </w:pPr>
            <w:r w:rsidRPr="007668E1">
              <w:rPr>
                <w:rFonts w:eastAsia="Aptos"/>
                <w:b/>
                <w:color w:val="000000"/>
              </w:rPr>
              <w:t>4</w:t>
            </w:r>
          </w:p>
        </w:tc>
        <w:tc>
          <w:tcPr>
            <w:tcW w:w="1261" w:type="dxa"/>
            <w:tcBorders>
              <w:top w:val="single" w:sz="6" w:space="0" w:color="auto"/>
              <w:left w:val="single" w:sz="6" w:space="0" w:color="auto"/>
              <w:bottom w:val="single" w:sz="6" w:space="0" w:color="auto"/>
              <w:right w:val="single" w:sz="6" w:space="0" w:color="auto"/>
            </w:tcBorders>
            <w:vAlign w:val="center"/>
            <w:hideMark/>
          </w:tcPr>
          <w:p w14:paraId="60D2FB59" w14:textId="77777777" w:rsidR="00D7232D" w:rsidRPr="007668E1" w:rsidRDefault="00D7232D" w:rsidP="006233FA">
            <w:pPr>
              <w:spacing w:after="160" w:line="259" w:lineRule="auto"/>
              <w:jc w:val="right"/>
              <w:rPr>
                <w:rFonts w:eastAsia="Aptos"/>
                <w:color w:val="000000"/>
              </w:rPr>
            </w:pPr>
            <w:r w:rsidRPr="007668E1">
              <w:rPr>
                <w:rFonts w:eastAsia="Aptos"/>
                <w:color w:val="000000"/>
              </w:rPr>
              <w:t>170,000 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901689D" w14:textId="77777777" w:rsidR="00D7232D" w:rsidRPr="007668E1" w:rsidRDefault="00D7232D" w:rsidP="006233FA">
            <w:pPr>
              <w:spacing w:after="160" w:line="259" w:lineRule="auto"/>
              <w:jc w:val="right"/>
              <w:rPr>
                <w:rFonts w:eastAsia="Aptos"/>
                <w:color w:val="000000"/>
              </w:rPr>
            </w:pPr>
            <w:r w:rsidRPr="007668E1">
              <w:rPr>
                <w:rFonts w:eastAsia="Aptos"/>
                <w:color w:val="000000"/>
              </w:rPr>
              <w:t>94,935 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6171C5C" w14:textId="77777777" w:rsidR="00D7232D" w:rsidRPr="007668E1" w:rsidRDefault="00D7232D" w:rsidP="006233FA">
            <w:pPr>
              <w:spacing w:after="160" w:line="259" w:lineRule="auto"/>
              <w:jc w:val="right"/>
              <w:rPr>
                <w:rFonts w:eastAsia="Aptos"/>
                <w:color w:val="000000"/>
              </w:rPr>
            </w:pPr>
            <w:r w:rsidRPr="007668E1">
              <w:rPr>
                <w:rFonts w:eastAsia="Aptos"/>
                <w:b/>
                <w:color w:val="000000"/>
              </w:rPr>
              <w:t>55.8</w:t>
            </w:r>
            <w:r w:rsidRPr="007668E1">
              <w:rPr>
                <w:rFonts w:eastAsia="Aptos"/>
                <w:color w:val="000000"/>
              </w:rPr>
              <w:t>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1FA7E0A6" w14:textId="77777777" w:rsidR="00D7232D" w:rsidRPr="007668E1" w:rsidRDefault="00D7232D" w:rsidP="006233FA">
            <w:pPr>
              <w:spacing w:after="0" w:line="259" w:lineRule="auto"/>
              <w:ind w:left="72"/>
              <w:rPr>
                <w:rFonts w:eastAsia="Aptos"/>
                <w:color w:val="000000"/>
              </w:rPr>
            </w:pPr>
            <w:r w:rsidRPr="007668E1">
              <w:rPr>
                <w:rFonts w:eastAsia="Aptos"/>
                <w:color w:val="000000"/>
              </w:rPr>
              <w:t>Licensing/data system review; bans and supply-chain study; standards/curriculum integration </w:t>
            </w:r>
          </w:p>
        </w:tc>
      </w:tr>
      <w:tr w:rsidR="00D7232D" w:rsidRPr="007668E1" w14:paraId="1E5E9110" w14:textId="77777777" w:rsidTr="006233FA">
        <w:trPr>
          <w:trHeight w:val="300"/>
        </w:trPr>
        <w:tc>
          <w:tcPr>
            <w:tcW w:w="804" w:type="dxa"/>
            <w:tcBorders>
              <w:top w:val="single" w:sz="4" w:space="0" w:color="auto"/>
              <w:left w:val="single" w:sz="4" w:space="0" w:color="auto"/>
              <w:bottom w:val="single" w:sz="4" w:space="0" w:color="auto"/>
              <w:right w:val="single" w:sz="4" w:space="0" w:color="auto"/>
            </w:tcBorders>
            <w:vAlign w:val="center"/>
          </w:tcPr>
          <w:p w14:paraId="7667B61C" w14:textId="77777777" w:rsidR="00D7232D" w:rsidRPr="007668E1" w:rsidRDefault="00D7232D" w:rsidP="006233FA">
            <w:pPr>
              <w:spacing w:after="160" w:line="259" w:lineRule="auto"/>
              <w:jc w:val="center"/>
              <w:rPr>
                <w:rFonts w:eastAsia="Aptos"/>
                <w:b/>
                <w:color w:val="000000"/>
              </w:rPr>
            </w:pPr>
            <w:r w:rsidRPr="007668E1">
              <w:rPr>
                <w:rFonts w:eastAsia="Aptos"/>
                <w:b/>
                <w:color w:val="000000"/>
              </w:rPr>
              <w:t>5</w:t>
            </w:r>
          </w:p>
        </w:tc>
        <w:tc>
          <w:tcPr>
            <w:tcW w:w="1261" w:type="dxa"/>
            <w:tcBorders>
              <w:top w:val="single" w:sz="6" w:space="0" w:color="auto"/>
              <w:left w:val="single" w:sz="6" w:space="0" w:color="auto"/>
              <w:bottom w:val="single" w:sz="6" w:space="0" w:color="auto"/>
              <w:right w:val="single" w:sz="6" w:space="0" w:color="auto"/>
            </w:tcBorders>
            <w:vAlign w:val="center"/>
            <w:hideMark/>
          </w:tcPr>
          <w:p w14:paraId="03C24EF4" w14:textId="77777777" w:rsidR="00D7232D" w:rsidRPr="007668E1" w:rsidRDefault="00D7232D" w:rsidP="006233FA">
            <w:pPr>
              <w:spacing w:after="160" w:line="259" w:lineRule="auto"/>
              <w:jc w:val="right"/>
              <w:rPr>
                <w:rFonts w:eastAsia="Aptos"/>
                <w:color w:val="000000"/>
              </w:rPr>
            </w:pPr>
            <w:r w:rsidRPr="007668E1">
              <w:rPr>
                <w:rFonts w:eastAsia="Aptos"/>
                <w:color w:val="000000"/>
              </w:rPr>
              <w:t>180,000 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05BA701" w14:textId="77777777" w:rsidR="00D7232D" w:rsidRPr="007668E1" w:rsidRDefault="00D7232D" w:rsidP="006233FA">
            <w:pPr>
              <w:spacing w:after="160" w:line="259" w:lineRule="auto"/>
              <w:jc w:val="right"/>
              <w:rPr>
                <w:rFonts w:eastAsia="Aptos"/>
                <w:color w:val="000000"/>
              </w:rPr>
            </w:pPr>
            <w:r w:rsidRPr="007668E1">
              <w:rPr>
                <w:rFonts w:eastAsia="Aptos"/>
                <w:color w:val="000000"/>
              </w:rPr>
              <w:t>112,700 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722AC53" w14:textId="77777777" w:rsidR="00D7232D" w:rsidRPr="007668E1" w:rsidRDefault="00D7232D" w:rsidP="006233FA">
            <w:pPr>
              <w:spacing w:after="160" w:line="259" w:lineRule="auto"/>
              <w:jc w:val="right"/>
              <w:rPr>
                <w:rFonts w:eastAsia="Aptos"/>
                <w:color w:val="000000"/>
              </w:rPr>
            </w:pPr>
            <w:r w:rsidRPr="007668E1">
              <w:rPr>
                <w:rFonts w:eastAsia="Aptos"/>
                <w:b/>
                <w:color w:val="000000"/>
              </w:rPr>
              <w:t>62.6</w:t>
            </w:r>
            <w:r w:rsidRPr="007668E1">
              <w:rPr>
                <w:rFonts w:eastAsia="Aptos"/>
                <w:color w:val="000000"/>
              </w:rPr>
              <w:t>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3839D9A0" w14:textId="77777777" w:rsidR="00D7232D" w:rsidRPr="007668E1" w:rsidRDefault="00D7232D" w:rsidP="006233FA">
            <w:pPr>
              <w:spacing w:after="0" w:line="259" w:lineRule="auto"/>
              <w:ind w:left="72"/>
              <w:rPr>
                <w:rFonts w:eastAsia="Aptos"/>
                <w:color w:val="000000"/>
              </w:rPr>
            </w:pPr>
            <w:r w:rsidRPr="007668E1">
              <w:rPr>
                <w:rFonts w:eastAsia="Aptos"/>
                <w:color w:val="000000"/>
              </w:rPr>
              <w:t>Quota/bans/building-code package; curriculum and centre-of-excellence set-up; coordination </w:t>
            </w:r>
          </w:p>
        </w:tc>
      </w:tr>
      <w:tr w:rsidR="00D7232D" w:rsidRPr="007668E1" w14:paraId="49D1C719" w14:textId="77777777" w:rsidTr="006233FA">
        <w:trPr>
          <w:trHeight w:val="300"/>
        </w:trPr>
        <w:tc>
          <w:tcPr>
            <w:tcW w:w="804" w:type="dxa"/>
            <w:tcBorders>
              <w:top w:val="single" w:sz="4" w:space="0" w:color="auto"/>
              <w:left w:val="single" w:sz="4" w:space="0" w:color="auto"/>
              <w:bottom w:val="single" w:sz="4" w:space="0" w:color="auto"/>
              <w:right w:val="single" w:sz="4" w:space="0" w:color="auto"/>
            </w:tcBorders>
            <w:vAlign w:val="center"/>
          </w:tcPr>
          <w:p w14:paraId="2CEFE6A9" w14:textId="77777777" w:rsidR="00D7232D" w:rsidRPr="007668E1" w:rsidRDefault="00D7232D" w:rsidP="006233FA">
            <w:pPr>
              <w:spacing w:after="160" w:line="259" w:lineRule="auto"/>
              <w:jc w:val="center"/>
              <w:rPr>
                <w:rFonts w:eastAsia="Aptos"/>
                <w:b/>
                <w:color w:val="000000"/>
              </w:rPr>
            </w:pPr>
            <w:r w:rsidRPr="007668E1">
              <w:rPr>
                <w:rFonts w:eastAsia="Aptos"/>
                <w:b/>
                <w:color w:val="000000"/>
              </w:rPr>
              <w:t>6</w:t>
            </w:r>
          </w:p>
        </w:tc>
        <w:tc>
          <w:tcPr>
            <w:tcW w:w="1261" w:type="dxa"/>
            <w:tcBorders>
              <w:top w:val="single" w:sz="6" w:space="0" w:color="auto"/>
              <w:left w:val="single" w:sz="6" w:space="0" w:color="auto"/>
              <w:bottom w:val="single" w:sz="6" w:space="0" w:color="auto"/>
              <w:right w:val="single" w:sz="6" w:space="0" w:color="auto"/>
            </w:tcBorders>
            <w:vAlign w:val="center"/>
            <w:hideMark/>
          </w:tcPr>
          <w:p w14:paraId="0A709EB1" w14:textId="77777777" w:rsidR="00D7232D" w:rsidRPr="007668E1" w:rsidRDefault="00D7232D" w:rsidP="006233FA">
            <w:pPr>
              <w:spacing w:after="160" w:line="259" w:lineRule="auto"/>
              <w:jc w:val="right"/>
              <w:rPr>
                <w:rFonts w:eastAsia="Aptos"/>
                <w:color w:val="000000"/>
              </w:rPr>
            </w:pPr>
            <w:r w:rsidRPr="007668E1">
              <w:rPr>
                <w:rFonts w:eastAsia="Aptos"/>
                <w:color w:val="000000"/>
              </w:rPr>
              <w:t>190,000 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D848FBF" w14:textId="77777777" w:rsidR="00D7232D" w:rsidRPr="007668E1" w:rsidRDefault="00D7232D" w:rsidP="006233FA">
            <w:pPr>
              <w:spacing w:after="160" w:line="259" w:lineRule="auto"/>
              <w:jc w:val="right"/>
              <w:rPr>
                <w:rFonts w:eastAsia="Aptos"/>
                <w:color w:val="000000"/>
              </w:rPr>
            </w:pPr>
            <w:r w:rsidRPr="007668E1">
              <w:rPr>
                <w:rFonts w:eastAsia="Aptos"/>
                <w:color w:val="000000"/>
              </w:rPr>
              <w:t>116,400 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18B42A5" w14:textId="77777777" w:rsidR="00D7232D" w:rsidRPr="007668E1" w:rsidRDefault="00D7232D" w:rsidP="006233FA">
            <w:pPr>
              <w:spacing w:after="160" w:line="259" w:lineRule="auto"/>
              <w:jc w:val="right"/>
              <w:rPr>
                <w:rFonts w:eastAsia="Aptos"/>
                <w:color w:val="000000"/>
              </w:rPr>
            </w:pPr>
            <w:r w:rsidRPr="007668E1">
              <w:rPr>
                <w:rFonts w:eastAsia="Aptos"/>
                <w:b/>
                <w:color w:val="000000"/>
              </w:rPr>
              <w:t>61.3</w:t>
            </w:r>
            <w:r w:rsidRPr="007668E1">
              <w:rPr>
                <w:rFonts w:eastAsia="Aptos"/>
                <w:color w:val="000000"/>
              </w:rPr>
              <w:t>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56886684" w14:textId="77777777" w:rsidR="00D7232D" w:rsidRPr="007668E1" w:rsidRDefault="00D7232D" w:rsidP="006233FA">
            <w:pPr>
              <w:spacing w:after="0" w:line="259" w:lineRule="auto"/>
              <w:ind w:left="72"/>
              <w:rPr>
                <w:rFonts w:eastAsia="Aptos"/>
                <w:color w:val="000000"/>
              </w:rPr>
            </w:pPr>
            <w:r w:rsidRPr="007668E1">
              <w:rPr>
                <w:rFonts w:eastAsia="Aptos"/>
                <w:color w:val="000000"/>
              </w:rPr>
              <w:t>New legislation; customs-broker guidelines; trainer development; coordination </w:t>
            </w:r>
          </w:p>
        </w:tc>
      </w:tr>
      <w:tr w:rsidR="00D7232D" w:rsidRPr="007668E1" w14:paraId="23EC8FCB" w14:textId="77777777" w:rsidTr="006233FA">
        <w:trPr>
          <w:trHeight w:val="300"/>
        </w:trPr>
        <w:tc>
          <w:tcPr>
            <w:tcW w:w="804" w:type="dxa"/>
            <w:tcBorders>
              <w:top w:val="single" w:sz="4" w:space="0" w:color="auto"/>
              <w:left w:val="single" w:sz="4" w:space="0" w:color="auto"/>
              <w:bottom w:val="single" w:sz="4" w:space="0" w:color="auto"/>
              <w:right w:val="single" w:sz="4" w:space="0" w:color="auto"/>
            </w:tcBorders>
            <w:vAlign w:val="center"/>
          </w:tcPr>
          <w:p w14:paraId="0FCFD3AA" w14:textId="77777777" w:rsidR="00D7232D" w:rsidRPr="007668E1" w:rsidRDefault="00D7232D" w:rsidP="006233FA">
            <w:pPr>
              <w:spacing w:after="160" w:line="259" w:lineRule="auto"/>
              <w:jc w:val="center"/>
              <w:rPr>
                <w:rFonts w:eastAsia="Aptos"/>
                <w:b/>
                <w:color w:val="000000"/>
              </w:rPr>
            </w:pPr>
            <w:r w:rsidRPr="007668E1">
              <w:rPr>
                <w:rFonts w:eastAsia="Aptos"/>
                <w:b/>
                <w:color w:val="000000"/>
              </w:rPr>
              <w:t>7</w:t>
            </w:r>
          </w:p>
        </w:tc>
        <w:tc>
          <w:tcPr>
            <w:tcW w:w="1261" w:type="dxa"/>
            <w:tcBorders>
              <w:top w:val="single" w:sz="6" w:space="0" w:color="auto"/>
              <w:left w:val="single" w:sz="6" w:space="0" w:color="auto"/>
              <w:bottom w:val="single" w:sz="6" w:space="0" w:color="auto"/>
              <w:right w:val="single" w:sz="6" w:space="0" w:color="auto"/>
            </w:tcBorders>
            <w:vAlign w:val="center"/>
            <w:hideMark/>
          </w:tcPr>
          <w:p w14:paraId="32F7E279" w14:textId="77777777" w:rsidR="00D7232D" w:rsidRPr="007668E1" w:rsidRDefault="00D7232D" w:rsidP="006233FA">
            <w:pPr>
              <w:spacing w:after="160" w:line="259" w:lineRule="auto"/>
              <w:jc w:val="right"/>
              <w:rPr>
                <w:rFonts w:eastAsia="Aptos"/>
                <w:color w:val="000000"/>
              </w:rPr>
            </w:pPr>
            <w:r w:rsidRPr="007668E1">
              <w:rPr>
                <w:rFonts w:eastAsia="Aptos"/>
                <w:color w:val="000000"/>
              </w:rPr>
              <w:t>325,000 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AB7FAE5" w14:textId="77777777" w:rsidR="00D7232D" w:rsidRPr="007668E1" w:rsidRDefault="00D7232D" w:rsidP="006233FA">
            <w:pPr>
              <w:spacing w:after="160" w:line="259" w:lineRule="auto"/>
              <w:jc w:val="right"/>
              <w:rPr>
                <w:rFonts w:eastAsia="Aptos"/>
                <w:color w:val="000000"/>
              </w:rPr>
            </w:pPr>
            <w:r w:rsidRPr="007668E1">
              <w:rPr>
                <w:rFonts w:eastAsia="Aptos"/>
                <w:color w:val="000000"/>
              </w:rPr>
              <w:t>118,800 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F211336" w14:textId="77777777" w:rsidR="00D7232D" w:rsidRPr="007668E1" w:rsidRDefault="00D7232D" w:rsidP="006233FA">
            <w:pPr>
              <w:spacing w:after="160" w:line="259" w:lineRule="auto"/>
              <w:jc w:val="right"/>
              <w:rPr>
                <w:rFonts w:eastAsia="Aptos"/>
                <w:color w:val="000000"/>
              </w:rPr>
            </w:pPr>
            <w:r w:rsidRPr="007668E1">
              <w:rPr>
                <w:rFonts w:eastAsia="Aptos"/>
                <w:b/>
                <w:color w:val="000000"/>
              </w:rPr>
              <w:t>36.6</w:t>
            </w:r>
            <w:r w:rsidRPr="007668E1">
              <w:rPr>
                <w:rFonts w:eastAsia="Aptos"/>
                <w:color w:val="000000"/>
              </w:rPr>
              <w:t>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22EAC74D" w14:textId="77777777" w:rsidR="00D7232D" w:rsidRPr="007668E1" w:rsidRDefault="00D7232D" w:rsidP="006233FA">
            <w:pPr>
              <w:spacing w:after="0" w:line="259" w:lineRule="auto"/>
              <w:ind w:left="72"/>
              <w:rPr>
                <w:rFonts w:eastAsia="Aptos"/>
                <w:color w:val="000000"/>
              </w:rPr>
            </w:pPr>
            <w:r w:rsidRPr="007668E1">
              <w:rPr>
                <w:rFonts w:eastAsia="Aptos"/>
                <w:color w:val="000000"/>
              </w:rPr>
              <w:t>Customs market-monitoring and illegal-trade system; revised regulations; standards/labelling; coordination </w:t>
            </w:r>
          </w:p>
        </w:tc>
      </w:tr>
      <w:tr w:rsidR="00D7232D" w:rsidRPr="007668E1" w14:paraId="5F0A0E43" w14:textId="77777777" w:rsidTr="006233FA">
        <w:trPr>
          <w:trHeight w:val="300"/>
        </w:trPr>
        <w:tc>
          <w:tcPr>
            <w:tcW w:w="804" w:type="dxa"/>
            <w:tcBorders>
              <w:top w:val="single" w:sz="4" w:space="0" w:color="auto"/>
              <w:left w:val="single" w:sz="4" w:space="0" w:color="auto"/>
              <w:bottom w:val="single" w:sz="4" w:space="0" w:color="auto"/>
              <w:right w:val="single" w:sz="4" w:space="0" w:color="auto"/>
            </w:tcBorders>
            <w:vAlign w:val="center"/>
          </w:tcPr>
          <w:p w14:paraId="455528C6" w14:textId="77777777" w:rsidR="00D7232D" w:rsidRPr="007668E1" w:rsidRDefault="00D7232D" w:rsidP="006233FA">
            <w:pPr>
              <w:spacing w:after="160" w:line="259" w:lineRule="auto"/>
              <w:jc w:val="center"/>
              <w:rPr>
                <w:rFonts w:eastAsia="Aptos"/>
                <w:b/>
                <w:color w:val="000000"/>
              </w:rPr>
            </w:pPr>
            <w:r w:rsidRPr="007668E1">
              <w:rPr>
                <w:rFonts w:eastAsia="Aptos"/>
                <w:b/>
                <w:color w:val="000000"/>
              </w:rPr>
              <w:t>8</w:t>
            </w:r>
          </w:p>
        </w:tc>
        <w:tc>
          <w:tcPr>
            <w:tcW w:w="1261" w:type="dxa"/>
            <w:tcBorders>
              <w:top w:val="single" w:sz="6" w:space="0" w:color="auto"/>
              <w:left w:val="single" w:sz="6" w:space="0" w:color="auto"/>
              <w:bottom w:val="single" w:sz="6" w:space="0" w:color="auto"/>
              <w:right w:val="single" w:sz="6" w:space="0" w:color="auto"/>
            </w:tcBorders>
            <w:vAlign w:val="center"/>
            <w:hideMark/>
          </w:tcPr>
          <w:p w14:paraId="6F0A1F73" w14:textId="77777777" w:rsidR="00D7232D" w:rsidRPr="007668E1" w:rsidRDefault="00D7232D" w:rsidP="006233FA">
            <w:pPr>
              <w:spacing w:after="160" w:line="259" w:lineRule="auto"/>
              <w:jc w:val="right"/>
              <w:rPr>
                <w:rFonts w:eastAsia="Aptos"/>
                <w:color w:val="000000"/>
              </w:rPr>
            </w:pPr>
            <w:r w:rsidRPr="007668E1">
              <w:rPr>
                <w:rFonts w:eastAsia="Aptos"/>
                <w:color w:val="000000"/>
              </w:rPr>
              <w:t>360,000 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26571B7" w14:textId="77777777" w:rsidR="00D7232D" w:rsidRPr="007668E1" w:rsidRDefault="00D7232D" w:rsidP="006233FA">
            <w:pPr>
              <w:spacing w:after="160" w:line="259" w:lineRule="auto"/>
              <w:jc w:val="right"/>
              <w:rPr>
                <w:rFonts w:eastAsia="Aptos"/>
                <w:color w:val="000000"/>
              </w:rPr>
            </w:pPr>
            <w:r w:rsidRPr="007668E1">
              <w:rPr>
                <w:rFonts w:eastAsia="Aptos"/>
                <w:color w:val="000000"/>
              </w:rPr>
              <w:t>120,100 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8C86BE6" w14:textId="77777777" w:rsidR="00D7232D" w:rsidRPr="007668E1" w:rsidRDefault="00D7232D" w:rsidP="006233FA">
            <w:pPr>
              <w:spacing w:after="160" w:line="259" w:lineRule="auto"/>
              <w:jc w:val="right"/>
              <w:rPr>
                <w:rFonts w:eastAsia="Aptos"/>
                <w:color w:val="000000"/>
              </w:rPr>
            </w:pPr>
            <w:r w:rsidRPr="007668E1">
              <w:rPr>
                <w:rFonts w:eastAsia="Aptos"/>
                <w:b/>
                <w:color w:val="000000"/>
              </w:rPr>
              <w:t>33.4</w:t>
            </w:r>
            <w:r w:rsidRPr="007668E1">
              <w:rPr>
                <w:rFonts w:eastAsia="Aptos"/>
                <w:color w:val="000000"/>
              </w:rPr>
              <w:t>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7BE0181D" w14:textId="77777777" w:rsidR="00D7232D" w:rsidRPr="007668E1" w:rsidRDefault="00D7232D" w:rsidP="006233FA">
            <w:pPr>
              <w:spacing w:after="0" w:line="259" w:lineRule="auto"/>
              <w:ind w:left="72"/>
              <w:rPr>
                <w:rFonts w:eastAsia="Aptos"/>
                <w:color w:val="000000"/>
              </w:rPr>
            </w:pPr>
            <w:r w:rsidRPr="007668E1">
              <w:rPr>
                <w:rFonts w:eastAsia="Aptos"/>
                <w:color w:val="000000"/>
              </w:rPr>
              <w:t>Database and reporting architecture; licensing/quota completion and bans; standards/codes; coordination </w:t>
            </w:r>
          </w:p>
        </w:tc>
      </w:tr>
    </w:tbl>
    <w:p w14:paraId="26122A7D" w14:textId="77777777" w:rsidR="00D7232D" w:rsidRPr="007668E1" w:rsidRDefault="00D7232D" w:rsidP="00904F66">
      <w:pPr>
        <w:tabs>
          <w:tab w:val="left" w:pos="1418"/>
        </w:tabs>
        <w:spacing w:after="0"/>
        <w:ind w:left="1411" w:hanging="1411"/>
        <w:rPr>
          <w:rFonts w:eastAsia="Aptos"/>
          <w:color w:val="000000"/>
        </w:rPr>
      </w:pPr>
    </w:p>
    <w:p w14:paraId="2C063149" w14:textId="77777777" w:rsidR="009221BF" w:rsidRDefault="009917F1" w:rsidP="000B4E78">
      <w:pPr>
        <w:pStyle w:val="Heading4"/>
        <w:rPr>
          <w:snapToGrid w:val="0"/>
        </w:rPr>
      </w:pPr>
      <w:r>
        <w:rPr>
          <w:snapToGrid w:val="0"/>
        </w:rPr>
        <w:t>6</w:t>
      </w:r>
      <w:r w:rsidRPr="00C3634A">
        <w:rPr>
          <w:snapToGrid w:val="0"/>
        </w:rPr>
        <w:t>.</w:t>
      </w:r>
      <w:r w:rsidR="00F77C2B">
        <w:rPr>
          <w:snapToGrid w:val="0"/>
        </w:rPr>
        <w:t>2</w:t>
      </w:r>
      <w:r w:rsidRPr="00C3634A">
        <w:rPr>
          <w:snapToGrid w:val="0"/>
        </w:rPr>
        <w:t>.</w:t>
      </w:r>
      <w:r>
        <w:rPr>
          <w:snapToGrid w:val="0"/>
        </w:rPr>
        <w:t>1.</w:t>
      </w:r>
      <w:r w:rsidR="00F77C2B">
        <w:rPr>
          <w:snapToGrid w:val="0"/>
        </w:rPr>
        <w:t>3</w:t>
      </w:r>
      <w:r w:rsidRPr="00C3634A">
        <w:rPr>
          <w:snapToGrid w:val="0"/>
        </w:rPr>
        <w:tab/>
      </w:r>
      <w:r w:rsidR="00D7232D">
        <w:rPr>
          <w:snapToGrid w:val="0"/>
        </w:rPr>
        <w:t>Analysis</w:t>
      </w:r>
    </w:p>
    <w:p w14:paraId="359DD4FE" w14:textId="560229B0" w:rsidR="00552CA8" w:rsidRPr="009221BF" w:rsidRDefault="009E1942" w:rsidP="000B4E78">
      <w:pPr>
        <w:pStyle w:val="Heading4"/>
        <w:rPr>
          <w:b w:val="0"/>
          <w:bCs w:val="0"/>
          <w:i w:val="0"/>
          <w:iCs w:val="0"/>
          <w:snapToGrid w:val="0"/>
        </w:rPr>
      </w:pPr>
      <w:r w:rsidRPr="009221BF">
        <w:rPr>
          <w:rFonts w:eastAsia="Aptos"/>
          <w:b w:val="0"/>
          <w:bCs w:val="0"/>
          <w:i w:val="0"/>
          <w:iCs w:val="0"/>
          <w:color w:val="000000"/>
          <w:sz w:val="24"/>
          <w:szCs w:val="24"/>
        </w:rPr>
        <w:t xml:space="preserve">Figure 6.1 </w:t>
      </w:r>
      <w:r w:rsidR="00552CA8" w:rsidRPr="009221BF">
        <w:rPr>
          <w:rFonts w:eastAsia="Aptos"/>
          <w:b w:val="0"/>
          <w:bCs w:val="0"/>
          <w:i w:val="0"/>
          <w:iCs w:val="0"/>
          <w:color w:val="000000"/>
        </w:rPr>
        <w:t xml:space="preserve">below shows a chart of the funding for the fixed costs in absolute terms and as a percentage of the total funding available for KIP </w:t>
      </w:r>
      <w:r w:rsidR="00FF48B7" w:rsidRPr="009221BF">
        <w:rPr>
          <w:rFonts w:eastAsia="Aptos"/>
          <w:b w:val="0"/>
          <w:bCs w:val="0"/>
          <w:i w:val="0"/>
          <w:iCs w:val="0"/>
          <w:color w:val="000000"/>
        </w:rPr>
        <w:t>S</w:t>
      </w:r>
      <w:r w:rsidR="00552CA8" w:rsidRPr="009221BF">
        <w:rPr>
          <w:rFonts w:eastAsia="Aptos"/>
          <w:b w:val="0"/>
          <w:bCs w:val="0"/>
          <w:i w:val="0"/>
          <w:iCs w:val="0"/>
          <w:color w:val="000000"/>
        </w:rPr>
        <w:t>tage I.</w:t>
      </w:r>
    </w:p>
    <w:p w14:paraId="73C85563" w14:textId="36E0E7EC" w:rsidR="00552CA8" w:rsidRDefault="00552CA8" w:rsidP="00552CA8">
      <w:pPr>
        <w:tabs>
          <w:tab w:val="left" w:pos="1134"/>
        </w:tabs>
        <w:rPr>
          <w:rFonts w:eastAsiaTheme="minorHAnsi"/>
          <w:b/>
          <w:bCs/>
        </w:rPr>
      </w:pPr>
      <w:r w:rsidRPr="00D7427C">
        <w:rPr>
          <w:rFonts w:eastAsiaTheme="minorHAnsi"/>
          <w:b/>
          <w:bCs/>
        </w:rPr>
        <w:t>Figure 6.1</w:t>
      </w:r>
      <w:r w:rsidRPr="00D7427C">
        <w:rPr>
          <w:rFonts w:eastAsiaTheme="minorHAnsi"/>
          <w:b/>
          <w:bCs/>
        </w:rPr>
        <w:tab/>
      </w:r>
      <w:r w:rsidR="005F6831" w:rsidRPr="005F6831">
        <w:rPr>
          <w:rFonts w:eastAsiaTheme="minorHAnsi"/>
          <w:b/>
          <w:bCs/>
        </w:rPr>
        <w:t xml:space="preserve">Fixed costs as a percentage of total costs for KIP </w:t>
      </w:r>
      <w:r w:rsidR="00FF48B7">
        <w:rPr>
          <w:rFonts w:eastAsiaTheme="minorHAnsi"/>
          <w:b/>
          <w:bCs/>
        </w:rPr>
        <w:t>S</w:t>
      </w:r>
      <w:r w:rsidR="005F6831" w:rsidRPr="005F6831">
        <w:rPr>
          <w:rFonts w:eastAsiaTheme="minorHAnsi"/>
          <w:b/>
          <w:bCs/>
        </w:rPr>
        <w:t>tage I</w:t>
      </w:r>
    </w:p>
    <w:p w14:paraId="3D691DE9" w14:textId="127BF65B" w:rsidR="005F6831" w:rsidRPr="00D7427C" w:rsidRDefault="00D11FF9" w:rsidP="00552CA8">
      <w:pPr>
        <w:tabs>
          <w:tab w:val="left" w:pos="1134"/>
        </w:tabs>
        <w:rPr>
          <w:rFonts w:eastAsiaTheme="minorHAnsi"/>
          <w:b/>
          <w:bCs/>
        </w:rPr>
      </w:pPr>
      <w:r w:rsidRPr="007668E1">
        <w:rPr>
          <w:rFonts w:ascii="Calibri" w:eastAsia="Aptos" w:hAnsi="Calibri" w:cs="Aptos"/>
          <w:noProof/>
          <w:color w:val="000000"/>
        </w:rPr>
        <w:drawing>
          <wp:inline distT="0" distB="0" distL="0" distR="0" wp14:anchorId="38A6BCA1" wp14:editId="639BD74B">
            <wp:extent cx="5274945" cy="2596008"/>
            <wp:effectExtent l="0" t="0" r="1905" b="13970"/>
            <wp:docPr id="477245818" name="Chart 1">
              <a:extLst xmlns:a="http://schemas.openxmlformats.org/drawingml/2006/main">
                <a:ext uri="{FF2B5EF4-FFF2-40B4-BE49-F238E27FC236}">
                  <a16:creationId xmlns:a16="http://schemas.microsoft.com/office/drawing/2014/main" id="{7F4A72BB-6768-2308-9FB4-9EA336AF2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71B6C0" w14:textId="53742D7B" w:rsidR="00CD1A50" w:rsidRPr="007668E1" w:rsidRDefault="00CD1A50" w:rsidP="00CD1A50">
      <w:pPr>
        <w:spacing w:after="160" w:line="259" w:lineRule="auto"/>
        <w:rPr>
          <w:rFonts w:eastAsia="Aptos"/>
          <w:color w:val="000000"/>
        </w:rPr>
      </w:pPr>
      <w:r w:rsidRPr="007668E1">
        <w:rPr>
          <w:rFonts w:eastAsia="Aptos"/>
          <w:color w:val="000000"/>
        </w:rPr>
        <w:t>The system-building fixed costs vary between US$</w:t>
      </w:r>
      <w:r>
        <w:rPr>
          <w:rFonts w:eastAsia="Aptos"/>
          <w:color w:val="000000"/>
        </w:rPr>
        <w:t xml:space="preserve"> </w:t>
      </w:r>
      <w:r w:rsidRPr="007668E1">
        <w:rPr>
          <w:rFonts w:eastAsia="Aptos"/>
          <w:color w:val="000000"/>
        </w:rPr>
        <w:t>60,000 and US$</w:t>
      </w:r>
      <w:r>
        <w:rPr>
          <w:rFonts w:eastAsia="Aptos"/>
          <w:color w:val="000000"/>
        </w:rPr>
        <w:t xml:space="preserve"> </w:t>
      </w:r>
      <w:r w:rsidRPr="007668E1">
        <w:rPr>
          <w:rFonts w:eastAsia="Aptos"/>
          <w:color w:val="000000"/>
        </w:rPr>
        <w:t xml:space="preserve">120,000 with a proportional trendline across the brackets; however, their percentage of the total available funding varies and the </w:t>
      </w:r>
      <w:r w:rsidRPr="007668E1">
        <w:rPr>
          <w:rFonts w:eastAsia="Aptos"/>
          <w:color w:val="000000"/>
        </w:rPr>
        <w:lastRenderedPageBreak/>
        <w:t xml:space="preserve">curve indicates a bell-jar behaviour with lowest two brackets 2 </w:t>
      </w:r>
      <w:r w:rsidR="00FF48B7">
        <w:rPr>
          <w:rFonts w:eastAsia="Aptos"/>
          <w:color w:val="000000"/>
        </w:rPr>
        <w:t>and</w:t>
      </w:r>
      <w:r w:rsidRPr="007668E1">
        <w:rPr>
          <w:rFonts w:eastAsia="Aptos"/>
          <w:color w:val="000000"/>
        </w:rPr>
        <w:t xml:space="preserve"> 3, and the highest two brackets 7 </w:t>
      </w:r>
      <w:r w:rsidR="00FF48B7">
        <w:rPr>
          <w:rFonts w:eastAsia="Aptos"/>
          <w:color w:val="000000"/>
        </w:rPr>
        <w:t>and</w:t>
      </w:r>
      <w:r w:rsidRPr="007668E1">
        <w:rPr>
          <w:rFonts w:eastAsia="Aptos"/>
          <w:color w:val="000000"/>
        </w:rPr>
        <w:t xml:space="preserve"> 8 having almost similar percentages at around 30</w:t>
      </w:r>
      <w:r w:rsidR="00FF48B7">
        <w:rPr>
          <w:rFonts w:eastAsia="Aptos"/>
          <w:color w:val="000000"/>
        </w:rPr>
        <w:t>%</w:t>
      </w:r>
      <w:r w:rsidRPr="007668E1">
        <w:rPr>
          <w:rFonts w:eastAsia="Aptos"/>
          <w:color w:val="000000"/>
        </w:rPr>
        <w:t>+, while for brackets 4, 5, and 6 those costs account for almost double the percentage at around 60</w:t>
      </w:r>
      <w:r w:rsidR="00FF48B7">
        <w:rPr>
          <w:rFonts w:eastAsia="Aptos"/>
          <w:color w:val="000000"/>
        </w:rPr>
        <w:t>%</w:t>
      </w:r>
      <w:r w:rsidRPr="007668E1">
        <w:rPr>
          <w:rFonts w:eastAsia="Aptos"/>
          <w:color w:val="000000"/>
        </w:rPr>
        <w:t>.</w:t>
      </w:r>
    </w:p>
    <w:p w14:paraId="737CB678" w14:textId="77777777" w:rsidR="00CD1A50" w:rsidRPr="007668E1" w:rsidRDefault="00CD1A50" w:rsidP="00CD1A50">
      <w:pPr>
        <w:spacing w:after="160" w:line="259" w:lineRule="auto"/>
        <w:rPr>
          <w:rFonts w:eastAsia="Aptos"/>
          <w:color w:val="000000"/>
        </w:rPr>
      </w:pPr>
      <w:r w:rsidRPr="007668E1">
        <w:rPr>
          <w:rFonts w:eastAsia="Aptos"/>
          <w:color w:val="000000"/>
        </w:rPr>
        <w:t>In the lowest two brackets, the total funding amount does not allow adequate funding for either the system-building fixed costs activities nor the deployment activities which include provision of equipment, technician training, and demonstration projects. For the middle three brackets, the higher percentage for the fixed costs indicates that the deployment costs are underfunded to maintain adequate systems.</w:t>
      </w:r>
    </w:p>
    <w:p w14:paraId="127107D1" w14:textId="64FEB1A3" w:rsidR="00CD1A50" w:rsidRPr="007668E1" w:rsidRDefault="00CD1A50" w:rsidP="00CD1A50">
      <w:pPr>
        <w:spacing w:after="160" w:line="259" w:lineRule="auto"/>
        <w:rPr>
          <w:rFonts w:eastAsia="Aptos"/>
          <w:color w:val="000000"/>
        </w:rPr>
      </w:pPr>
      <w:r w:rsidRPr="007668E1">
        <w:rPr>
          <w:rFonts w:eastAsia="Aptos"/>
          <w:color w:val="000000"/>
        </w:rPr>
        <w:t>An example from Mongolia, the only VLVC other than PICs with an approved KIP, shows that the country plans to spend 35.2</w:t>
      </w:r>
      <w:r w:rsidR="00FF48B7">
        <w:rPr>
          <w:rFonts w:eastAsia="Aptos"/>
          <w:color w:val="000000"/>
        </w:rPr>
        <w:t>%</w:t>
      </w:r>
      <w:r w:rsidRPr="007668E1">
        <w:rPr>
          <w:rFonts w:eastAsia="Aptos"/>
          <w:color w:val="000000"/>
        </w:rPr>
        <w:t xml:space="preserve"> of its funding on the fixed cost activities as shown in</w:t>
      </w:r>
      <w:r w:rsidR="00D4646B">
        <w:rPr>
          <w:rFonts w:eastAsia="Aptos"/>
          <w:color w:val="000000"/>
        </w:rPr>
        <w:t xml:space="preserve"> Table 6.3 </w:t>
      </w:r>
      <w:r w:rsidRPr="007668E1">
        <w:rPr>
          <w:rFonts w:eastAsia="Aptos"/>
          <w:color w:val="000000"/>
        </w:rPr>
        <w:t>below, with the balance on training trainers and technicians.</w:t>
      </w:r>
    </w:p>
    <w:p w14:paraId="76885317" w14:textId="2629DD61" w:rsidR="004A6C5E" w:rsidRDefault="00CD1A50" w:rsidP="002135B0">
      <w:pPr>
        <w:spacing w:after="0"/>
        <w:ind w:left="1134" w:hanging="1134"/>
        <w:rPr>
          <w:rFonts w:eastAsiaTheme="minorHAnsi"/>
          <w:b/>
          <w:bCs/>
        </w:rPr>
      </w:pPr>
      <w:r w:rsidRPr="00E42C5E">
        <w:rPr>
          <w:rFonts w:eastAsiaTheme="minorHAnsi"/>
          <w:b/>
          <w:bCs/>
        </w:rPr>
        <w:t xml:space="preserve">Table </w:t>
      </w:r>
      <w:r>
        <w:rPr>
          <w:rFonts w:eastAsiaTheme="minorHAnsi"/>
          <w:b/>
          <w:bCs/>
        </w:rPr>
        <w:t>6.</w:t>
      </w:r>
      <w:r w:rsidR="00D03009">
        <w:rPr>
          <w:rFonts w:eastAsiaTheme="minorHAnsi"/>
          <w:b/>
          <w:bCs/>
        </w:rPr>
        <w:t>3</w:t>
      </w:r>
      <w:r w:rsidR="00CD6FB4">
        <w:rPr>
          <w:rFonts w:eastAsiaTheme="minorHAnsi"/>
          <w:b/>
          <w:bCs/>
        </w:rPr>
        <w:t>:</w:t>
      </w:r>
      <w:r w:rsidRPr="00E42C5E">
        <w:rPr>
          <w:rFonts w:eastAsiaTheme="minorHAnsi"/>
          <w:b/>
          <w:bCs/>
        </w:rPr>
        <w:tab/>
      </w:r>
      <w:r w:rsidRPr="00904F66">
        <w:rPr>
          <w:rFonts w:eastAsiaTheme="minorHAnsi"/>
          <w:b/>
          <w:bCs/>
        </w:rPr>
        <w:t xml:space="preserve">Fixed cost activities and their percentage of KIP </w:t>
      </w:r>
      <w:r w:rsidR="00FF48B7">
        <w:rPr>
          <w:rFonts w:eastAsiaTheme="minorHAnsi"/>
          <w:b/>
          <w:bCs/>
        </w:rPr>
        <w:t>S</w:t>
      </w:r>
      <w:r w:rsidRPr="00904F66">
        <w:rPr>
          <w:rFonts w:eastAsiaTheme="minorHAnsi"/>
          <w:b/>
          <w:bCs/>
        </w:rPr>
        <w:t xml:space="preserve">tage I funding for </w:t>
      </w:r>
      <w:r w:rsidR="00BD7CD7">
        <w:rPr>
          <w:rFonts w:eastAsiaTheme="minorHAnsi"/>
          <w:b/>
          <w:bCs/>
        </w:rPr>
        <w:t>V</w:t>
      </w:r>
      <w:r w:rsidRPr="00904F66">
        <w:rPr>
          <w:rFonts w:eastAsiaTheme="minorHAnsi"/>
          <w:b/>
          <w:bCs/>
        </w:rPr>
        <w:t>LVCs</w:t>
      </w:r>
    </w:p>
    <w:p w14:paraId="7E50780C" w14:textId="77777777" w:rsidR="008A14FF" w:rsidRPr="008A14FF" w:rsidRDefault="008A14FF" w:rsidP="008A14FF">
      <w:pPr>
        <w:tabs>
          <w:tab w:val="left" w:pos="1418"/>
        </w:tabs>
        <w:spacing w:after="0"/>
        <w:ind w:left="1411" w:hanging="1411"/>
        <w:rPr>
          <w:rFonts w:eastAsiaTheme="minorHAnsi"/>
          <w:b/>
          <w:bCs/>
        </w:rPr>
      </w:pPr>
    </w:p>
    <w:tbl>
      <w:tblPr>
        <w:tblW w:w="87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1"/>
        <w:gridCol w:w="1184"/>
        <w:gridCol w:w="1710"/>
        <w:gridCol w:w="1800"/>
        <w:gridCol w:w="3150"/>
      </w:tblGrid>
      <w:tr w:rsidR="008A14FF" w:rsidRPr="00813EEB" w14:paraId="40807AFD" w14:textId="77777777" w:rsidTr="006233FA">
        <w:trPr>
          <w:trHeight w:val="552"/>
        </w:trPr>
        <w:tc>
          <w:tcPr>
            <w:tcW w:w="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B61D9C" w14:textId="77777777" w:rsidR="008A14FF" w:rsidRPr="000929D6" w:rsidRDefault="008A14FF" w:rsidP="006233FA">
            <w:pPr>
              <w:spacing w:after="0" w:line="259" w:lineRule="auto"/>
              <w:rPr>
                <w:rFonts w:eastAsia="Aptos"/>
                <w:b/>
                <w:color w:val="000000"/>
                <w:sz w:val="20"/>
                <w:szCs w:val="20"/>
              </w:rPr>
            </w:pPr>
            <w:r w:rsidRPr="000929D6">
              <w:rPr>
                <w:rFonts w:eastAsia="Aptos"/>
                <w:b/>
                <w:color w:val="000000"/>
                <w:sz w:val="20"/>
                <w:szCs w:val="20"/>
              </w:rPr>
              <w:t>Bracket</w:t>
            </w:r>
          </w:p>
        </w:tc>
        <w:tc>
          <w:tcPr>
            <w:tcW w:w="118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09AE959" w14:textId="2E49EDB8" w:rsidR="008A14FF" w:rsidRPr="000929D6" w:rsidRDefault="008A14FF" w:rsidP="006233FA">
            <w:pPr>
              <w:spacing w:after="0" w:line="259" w:lineRule="auto"/>
              <w:ind w:right="84"/>
              <w:rPr>
                <w:rFonts w:eastAsia="Aptos"/>
                <w:color w:val="000000"/>
                <w:sz w:val="20"/>
                <w:szCs w:val="20"/>
              </w:rPr>
            </w:pPr>
            <w:r w:rsidRPr="000929D6">
              <w:rPr>
                <w:rFonts w:eastAsia="Aptos"/>
                <w:b/>
                <w:color w:val="000000"/>
                <w:sz w:val="20"/>
                <w:szCs w:val="20"/>
              </w:rPr>
              <w:t xml:space="preserve">KIP </w:t>
            </w:r>
            <w:r w:rsidR="00154D41">
              <w:rPr>
                <w:rFonts w:eastAsia="Aptos"/>
                <w:b/>
                <w:color w:val="000000"/>
                <w:sz w:val="20"/>
                <w:szCs w:val="20"/>
              </w:rPr>
              <w:t>Stage</w:t>
            </w:r>
            <w:r w:rsidRPr="000929D6">
              <w:rPr>
                <w:rFonts w:eastAsia="Aptos"/>
                <w:b/>
                <w:color w:val="000000"/>
                <w:sz w:val="20"/>
                <w:szCs w:val="20"/>
              </w:rPr>
              <w:t xml:space="preserve"> I total (US$)</w:t>
            </w:r>
            <w:r w:rsidRPr="000929D6">
              <w:rPr>
                <w:rFonts w:eastAsia="Aptos"/>
                <w:color w:val="000000"/>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1F6E8F3" w14:textId="77777777" w:rsidR="008A14FF" w:rsidRPr="000929D6" w:rsidRDefault="008A14FF" w:rsidP="006233FA">
            <w:pPr>
              <w:spacing w:after="0" w:line="259" w:lineRule="auto"/>
              <w:rPr>
                <w:rFonts w:eastAsia="Aptos"/>
                <w:color w:val="000000"/>
                <w:sz w:val="20"/>
                <w:szCs w:val="20"/>
              </w:rPr>
            </w:pPr>
            <w:r w:rsidRPr="000929D6">
              <w:rPr>
                <w:rFonts w:eastAsia="Aptos"/>
                <w:b/>
                <w:color w:val="000000"/>
                <w:sz w:val="20"/>
                <w:szCs w:val="20"/>
              </w:rPr>
              <w:t>Estimated fixed cost amount (US$)</w:t>
            </w:r>
            <w:r w:rsidRPr="000929D6">
              <w:rPr>
                <w:rFonts w:eastAsia="Aptos"/>
                <w:color w:val="000000"/>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853A883" w14:textId="77777777" w:rsidR="008A14FF" w:rsidRPr="000929D6" w:rsidRDefault="008A14FF" w:rsidP="006233FA">
            <w:pPr>
              <w:spacing w:after="0" w:line="259" w:lineRule="auto"/>
              <w:ind w:right="78"/>
              <w:jc w:val="right"/>
              <w:rPr>
                <w:rFonts w:eastAsia="Aptos"/>
                <w:b/>
                <w:color w:val="000000"/>
                <w:sz w:val="20"/>
                <w:szCs w:val="20"/>
              </w:rPr>
            </w:pPr>
            <w:r w:rsidRPr="000929D6">
              <w:rPr>
                <w:rFonts w:eastAsia="Aptos"/>
                <w:b/>
                <w:color w:val="000000"/>
                <w:sz w:val="20"/>
                <w:szCs w:val="20"/>
              </w:rPr>
              <w:t>Estimated fixed cost share</w:t>
            </w:r>
            <w:r w:rsidRPr="000929D6">
              <w:rPr>
                <w:rFonts w:eastAsia="Aptos"/>
                <w:color w:val="000000"/>
                <w:sz w:val="20"/>
                <w:szCs w:val="20"/>
              </w:rPr>
              <w:t> %</w:t>
            </w:r>
          </w:p>
        </w:tc>
        <w:tc>
          <w:tcPr>
            <w:tcW w:w="315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C749B8F" w14:textId="77777777" w:rsidR="008A14FF" w:rsidRPr="000929D6" w:rsidRDefault="008A14FF" w:rsidP="006233FA">
            <w:pPr>
              <w:spacing w:after="0" w:line="259" w:lineRule="auto"/>
              <w:ind w:left="72"/>
              <w:rPr>
                <w:rFonts w:eastAsia="Aptos"/>
                <w:color w:val="000000"/>
                <w:sz w:val="20"/>
                <w:szCs w:val="20"/>
              </w:rPr>
            </w:pPr>
            <w:r w:rsidRPr="000929D6">
              <w:rPr>
                <w:rFonts w:eastAsia="Aptos"/>
                <w:b/>
                <w:color w:val="000000"/>
                <w:sz w:val="20"/>
                <w:szCs w:val="20"/>
              </w:rPr>
              <w:t>Main fixed-cost drivers identified from line items</w:t>
            </w:r>
            <w:r w:rsidRPr="000929D6">
              <w:rPr>
                <w:rFonts w:eastAsia="Aptos"/>
                <w:color w:val="000000"/>
                <w:sz w:val="20"/>
                <w:szCs w:val="20"/>
              </w:rPr>
              <w:t> </w:t>
            </w:r>
          </w:p>
        </w:tc>
      </w:tr>
      <w:tr w:rsidR="008A14FF" w:rsidRPr="007668E1" w14:paraId="62C568AB" w14:textId="77777777" w:rsidTr="006233FA">
        <w:trPr>
          <w:trHeight w:val="300"/>
        </w:trPr>
        <w:tc>
          <w:tcPr>
            <w:tcW w:w="881" w:type="dxa"/>
            <w:tcBorders>
              <w:top w:val="single" w:sz="4" w:space="0" w:color="auto"/>
              <w:left w:val="single" w:sz="4" w:space="0" w:color="auto"/>
              <w:bottom w:val="single" w:sz="4" w:space="0" w:color="auto"/>
              <w:right w:val="single" w:sz="4" w:space="0" w:color="auto"/>
            </w:tcBorders>
            <w:vAlign w:val="center"/>
          </w:tcPr>
          <w:p w14:paraId="1BFB2509" w14:textId="77777777" w:rsidR="008A14FF" w:rsidRPr="007668E1" w:rsidRDefault="008A14FF" w:rsidP="006233FA">
            <w:pPr>
              <w:spacing w:after="160" w:line="259" w:lineRule="auto"/>
              <w:jc w:val="center"/>
              <w:rPr>
                <w:rFonts w:eastAsia="Aptos"/>
                <w:b/>
                <w:color w:val="000000"/>
              </w:rPr>
            </w:pPr>
            <w:r w:rsidRPr="007668E1">
              <w:rPr>
                <w:rFonts w:eastAsia="Aptos"/>
                <w:b/>
                <w:color w:val="000000"/>
              </w:rPr>
              <w:t>1</w:t>
            </w:r>
          </w:p>
        </w:tc>
        <w:tc>
          <w:tcPr>
            <w:tcW w:w="1184" w:type="dxa"/>
            <w:tcBorders>
              <w:top w:val="single" w:sz="6" w:space="0" w:color="auto"/>
              <w:left w:val="single" w:sz="6" w:space="0" w:color="auto"/>
              <w:bottom w:val="single" w:sz="6" w:space="0" w:color="auto"/>
              <w:right w:val="single" w:sz="6" w:space="0" w:color="auto"/>
            </w:tcBorders>
            <w:vAlign w:val="center"/>
            <w:hideMark/>
          </w:tcPr>
          <w:p w14:paraId="0CC89E0B" w14:textId="77777777" w:rsidR="008A14FF" w:rsidRPr="007668E1" w:rsidRDefault="008A14FF" w:rsidP="006233FA">
            <w:pPr>
              <w:spacing w:after="160" w:line="259" w:lineRule="auto"/>
              <w:jc w:val="right"/>
              <w:rPr>
                <w:rFonts w:eastAsia="Aptos"/>
                <w:color w:val="000000"/>
              </w:rPr>
            </w:pPr>
            <w:r w:rsidRPr="007668E1">
              <w:rPr>
                <w:rFonts w:eastAsia="Aptos"/>
                <w:color w:val="000000"/>
              </w:rPr>
              <w:t>135,000 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0763C253" w14:textId="77777777" w:rsidR="008A14FF" w:rsidRPr="007668E1" w:rsidRDefault="008A14FF" w:rsidP="006233FA">
            <w:pPr>
              <w:spacing w:after="160" w:line="259" w:lineRule="auto"/>
              <w:jc w:val="right"/>
              <w:rPr>
                <w:rFonts w:eastAsia="Aptos"/>
                <w:color w:val="000000"/>
              </w:rPr>
            </w:pPr>
            <w:r w:rsidRPr="007668E1">
              <w:rPr>
                <w:rFonts w:eastAsia="Aptos"/>
                <w:color w:val="000000"/>
              </w:rPr>
              <w:t>47,500 </w:t>
            </w:r>
          </w:p>
        </w:tc>
        <w:tc>
          <w:tcPr>
            <w:tcW w:w="1800" w:type="dxa"/>
            <w:tcBorders>
              <w:top w:val="single" w:sz="6" w:space="0" w:color="auto"/>
              <w:left w:val="single" w:sz="6" w:space="0" w:color="auto"/>
              <w:bottom w:val="single" w:sz="6" w:space="0" w:color="auto"/>
              <w:right w:val="single" w:sz="6" w:space="0" w:color="auto"/>
            </w:tcBorders>
            <w:vAlign w:val="center"/>
            <w:hideMark/>
          </w:tcPr>
          <w:p w14:paraId="192291B8" w14:textId="77777777" w:rsidR="008A14FF" w:rsidRPr="007668E1" w:rsidRDefault="008A14FF" w:rsidP="006233FA">
            <w:pPr>
              <w:spacing w:after="160" w:line="259" w:lineRule="auto"/>
              <w:jc w:val="right"/>
              <w:rPr>
                <w:rFonts w:eastAsia="Aptos"/>
                <w:color w:val="000000"/>
              </w:rPr>
            </w:pPr>
            <w:r w:rsidRPr="007668E1">
              <w:rPr>
                <w:rFonts w:eastAsia="Aptos"/>
                <w:color w:val="000000"/>
              </w:rPr>
              <w:t>35.2 </w:t>
            </w:r>
          </w:p>
        </w:tc>
        <w:tc>
          <w:tcPr>
            <w:tcW w:w="3150" w:type="dxa"/>
            <w:tcBorders>
              <w:top w:val="single" w:sz="6" w:space="0" w:color="auto"/>
              <w:left w:val="single" w:sz="6" w:space="0" w:color="auto"/>
              <w:bottom w:val="single" w:sz="6" w:space="0" w:color="auto"/>
              <w:right w:val="single" w:sz="6" w:space="0" w:color="auto"/>
            </w:tcBorders>
            <w:vAlign w:val="center"/>
            <w:hideMark/>
          </w:tcPr>
          <w:p w14:paraId="5E3CEFB9" w14:textId="77777777" w:rsidR="008A14FF" w:rsidRPr="007668E1" w:rsidRDefault="008A14FF" w:rsidP="006233FA">
            <w:pPr>
              <w:spacing w:after="0" w:line="259" w:lineRule="auto"/>
              <w:ind w:left="72"/>
              <w:rPr>
                <w:rFonts w:eastAsia="Aptos"/>
                <w:color w:val="000000"/>
              </w:rPr>
            </w:pPr>
            <w:r w:rsidRPr="007668E1">
              <w:rPr>
                <w:rFonts w:eastAsia="Aptos"/>
                <w:color w:val="000000"/>
              </w:rPr>
              <w:t>Policy feasibility/regulatory package; SOPs and standards; monitoring/reporting.</w:t>
            </w:r>
          </w:p>
        </w:tc>
      </w:tr>
    </w:tbl>
    <w:p w14:paraId="433BC9B6" w14:textId="77777777" w:rsidR="008A14FF" w:rsidRPr="004A6C5E" w:rsidRDefault="008A14FF" w:rsidP="004A6C5E"/>
    <w:p w14:paraId="49DA6458" w14:textId="77777777" w:rsidR="0040414A" w:rsidRPr="007668E1" w:rsidRDefault="0040414A" w:rsidP="0040414A">
      <w:pPr>
        <w:spacing w:before="240" w:after="160" w:line="259" w:lineRule="auto"/>
        <w:rPr>
          <w:rFonts w:eastAsia="Aptos"/>
          <w:color w:val="000000"/>
        </w:rPr>
      </w:pPr>
      <w:r w:rsidRPr="007668E1">
        <w:rPr>
          <w:rFonts w:eastAsia="Aptos"/>
          <w:color w:val="000000"/>
        </w:rPr>
        <w:t>RTF concluded that in the higher brackets, countries with larger overall allocations, the additional funding mainly provides scope for broader deployment activities, including larger equipment packages, expanded technician training, and demonstration or market-support measures. This indicates that the principal difference between lower and higher funding brackets is extent to which countries are able to fund activities beyond the basic system-building activities. </w:t>
      </w:r>
    </w:p>
    <w:p w14:paraId="5A486620" w14:textId="34F13E21" w:rsidR="0040414A" w:rsidRPr="007668E1" w:rsidRDefault="0040414A" w:rsidP="0040414A">
      <w:pPr>
        <w:spacing w:after="160" w:line="259" w:lineRule="auto"/>
        <w:rPr>
          <w:rFonts w:eastAsia="Aptos"/>
          <w:color w:val="000000"/>
        </w:rPr>
      </w:pPr>
      <w:r w:rsidRPr="007668E1">
        <w:rPr>
          <w:rFonts w:eastAsia="Aptos"/>
          <w:color w:val="000000"/>
        </w:rPr>
        <w:t xml:space="preserve">Accordingly, consideration may be given to whether funding approaches for subsequent stages could more explicitly account for: (a) the minimum system-building activities required in all countries, irrespective of size; and (b) the need to sustain, deepen and operationalize the deployment activities under </w:t>
      </w:r>
      <w:r w:rsidR="00154D41">
        <w:rPr>
          <w:rFonts w:eastAsia="Aptos"/>
          <w:color w:val="000000"/>
        </w:rPr>
        <w:t>Stage</w:t>
      </w:r>
      <w:r w:rsidRPr="007668E1">
        <w:rPr>
          <w:rFonts w:eastAsia="Aptos"/>
          <w:color w:val="000000"/>
        </w:rPr>
        <w:t xml:space="preserve"> I while also supporting broader implementation. Absent such recognition, lower funding brackets may face a greater risk that essential system-building expenditures crowd out deployment activities, resulting in programmes that are compliant in design but constrained in implementation depth. </w:t>
      </w:r>
    </w:p>
    <w:p w14:paraId="2682C885" w14:textId="77777777" w:rsidR="0040414A" w:rsidRPr="007668E1" w:rsidRDefault="0040414A" w:rsidP="0040414A">
      <w:pPr>
        <w:spacing w:after="160" w:line="259" w:lineRule="auto"/>
        <w:rPr>
          <w:rFonts w:eastAsia="Aptos"/>
          <w:color w:val="000000"/>
        </w:rPr>
      </w:pPr>
      <w:r w:rsidRPr="007668E1">
        <w:rPr>
          <w:rFonts w:eastAsia="Aptos"/>
          <w:color w:val="000000"/>
        </w:rPr>
        <w:t xml:space="preserve">In this regard, the distinction between system-building fixed costs and scalable deployment costs may be relevant to future discussions on bracket design and stage funding levels. </w:t>
      </w:r>
    </w:p>
    <w:p w14:paraId="72FE191F" w14:textId="7FE5E774" w:rsidR="009917F1" w:rsidRDefault="009917F1" w:rsidP="007C77CF">
      <w:pPr>
        <w:pStyle w:val="Heading3"/>
        <w:rPr>
          <w:snapToGrid w:val="0"/>
        </w:rPr>
      </w:pPr>
      <w:bookmarkStart w:id="278" w:name="_Toc230099120"/>
      <w:r>
        <w:rPr>
          <w:snapToGrid w:val="0"/>
        </w:rPr>
        <w:t>6</w:t>
      </w:r>
      <w:r w:rsidRPr="00C3634A">
        <w:rPr>
          <w:snapToGrid w:val="0"/>
        </w:rPr>
        <w:t>.</w:t>
      </w:r>
      <w:r w:rsidR="009174AC">
        <w:rPr>
          <w:snapToGrid w:val="0"/>
        </w:rPr>
        <w:t>2.2</w:t>
      </w:r>
      <w:r w:rsidRPr="00C3634A">
        <w:rPr>
          <w:snapToGrid w:val="0"/>
        </w:rPr>
        <w:tab/>
      </w:r>
      <w:r w:rsidR="009174AC">
        <w:rPr>
          <w:snapToGrid w:val="0"/>
        </w:rPr>
        <w:t>Technician training</w:t>
      </w:r>
      <w:r w:rsidR="00B116BF">
        <w:rPr>
          <w:snapToGrid w:val="0"/>
        </w:rPr>
        <w:t xml:space="preserve"> – an analysis of approved KIPs until the 97</w:t>
      </w:r>
      <w:r w:rsidR="00B116BF" w:rsidRPr="00B116BF">
        <w:rPr>
          <w:snapToGrid w:val="0"/>
          <w:vertAlign w:val="superscript"/>
        </w:rPr>
        <w:t>th</w:t>
      </w:r>
      <w:r w:rsidR="00B116BF">
        <w:rPr>
          <w:snapToGrid w:val="0"/>
        </w:rPr>
        <w:t xml:space="preserve"> ExCom</w:t>
      </w:r>
      <w:bookmarkEnd w:id="278"/>
    </w:p>
    <w:p w14:paraId="16FA3AB4" w14:textId="351A5EF5" w:rsidR="00D03009" w:rsidRDefault="00D03009" w:rsidP="00D03009">
      <w:pPr>
        <w:spacing w:after="160" w:line="259" w:lineRule="auto"/>
        <w:contextualSpacing/>
        <w:rPr>
          <w:rFonts w:eastAsia="Aptos"/>
          <w:color w:val="000000"/>
        </w:rPr>
      </w:pPr>
      <w:r w:rsidRPr="007668E1">
        <w:rPr>
          <w:rFonts w:eastAsia="Aptos"/>
          <w:color w:val="000000"/>
        </w:rPr>
        <w:t>Regarding the second issue on the adequacy of technician training and to further understand the needs and challenges of the LVC and VLVCs, the RTF analysed the KIPs submitted and approved up to the 97</w:t>
      </w:r>
      <w:r w:rsidRPr="007668E1">
        <w:rPr>
          <w:rFonts w:eastAsia="Aptos"/>
          <w:color w:val="000000"/>
          <w:vertAlign w:val="superscript"/>
        </w:rPr>
        <w:t>th</w:t>
      </w:r>
      <w:r w:rsidRPr="007668E1">
        <w:rPr>
          <w:rFonts w:eastAsia="Aptos"/>
          <w:color w:val="000000"/>
        </w:rPr>
        <w:t xml:space="preserve"> ExCom. This analysis allows the determination of how the available funds were used and if there were any trends that might present some commonalities among the different categories. There were 40 KIPs submitted, with one KIP covering all 12 Pacific Island Countries which are all VLVCs as shown in </w:t>
      </w:r>
      <w:r w:rsidR="00304497">
        <w:rPr>
          <w:rFonts w:eastAsia="Aptos"/>
          <w:color w:val="000000"/>
        </w:rPr>
        <w:t xml:space="preserve">Figure 6.2 </w:t>
      </w:r>
      <w:r w:rsidRPr="007668E1">
        <w:rPr>
          <w:rFonts w:eastAsia="Aptos"/>
          <w:color w:val="000000"/>
        </w:rPr>
        <w:t>below.</w:t>
      </w:r>
    </w:p>
    <w:p w14:paraId="75A7FAF9" w14:textId="77777777" w:rsidR="00D03009" w:rsidRDefault="00D03009" w:rsidP="00D03009">
      <w:pPr>
        <w:spacing w:after="160" w:line="259" w:lineRule="auto"/>
        <w:contextualSpacing/>
        <w:rPr>
          <w:rFonts w:eastAsia="Aptos"/>
          <w:color w:val="000000"/>
        </w:rPr>
      </w:pPr>
    </w:p>
    <w:p w14:paraId="0D30A280" w14:textId="77777777" w:rsidR="004A7C5D" w:rsidRDefault="004A7C5D" w:rsidP="00D03009">
      <w:pPr>
        <w:tabs>
          <w:tab w:val="left" w:pos="1418"/>
        </w:tabs>
        <w:spacing w:after="0"/>
        <w:ind w:left="1411" w:hanging="1411"/>
        <w:rPr>
          <w:rFonts w:eastAsiaTheme="minorHAnsi"/>
          <w:b/>
          <w:bCs/>
        </w:rPr>
      </w:pPr>
      <w:r>
        <w:rPr>
          <w:rFonts w:eastAsiaTheme="minorHAnsi"/>
          <w:b/>
          <w:bCs/>
        </w:rPr>
        <w:br w:type="page"/>
      </w:r>
    </w:p>
    <w:p w14:paraId="15ED6178" w14:textId="36BAE2B8" w:rsidR="00D03009" w:rsidRDefault="00D03009" w:rsidP="002135B0">
      <w:pPr>
        <w:tabs>
          <w:tab w:val="left" w:pos="1134"/>
        </w:tabs>
        <w:spacing w:after="0"/>
        <w:ind w:left="1412" w:hanging="1412"/>
        <w:rPr>
          <w:rFonts w:eastAsia="Aptos"/>
          <w:b/>
          <w:color w:val="0E2841"/>
        </w:rPr>
      </w:pPr>
      <w:r w:rsidRPr="00E42C5E">
        <w:rPr>
          <w:rFonts w:eastAsiaTheme="minorHAnsi"/>
          <w:b/>
          <w:bCs/>
        </w:rPr>
        <w:lastRenderedPageBreak/>
        <w:t xml:space="preserve">Table </w:t>
      </w:r>
      <w:r>
        <w:rPr>
          <w:rFonts w:eastAsiaTheme="minorHAnsi"/>
          <w:b/>
          <w:bCs/>
        </w:rPr>
        <w:t>6.4</w:t>
      </w:r>
      <w:r w:rsidR="00CD6FB4">
        <w:rPr>
          <w:rFonts w:eastAsiaTheme="minorHAnsi"/>
          <w:b/>
          <w:bCs/>
        </w:rPr>
        <w:t>:</w:t>
      </w:r>
      <w:r w:rsidRPr="00E42C5E">
        <w:rPr>
          <w:rFonts w:eastAsiaTheme="minorHAnsi"/>
          <w:b/>
          <w:bCs/>
        </w:rPr>
        <w:tab/>
      </w:r>
      <w:r w:rsidR="005542C3" w:rsidRPr="007668E1">
        <w:rPr>
          <w:rFonts w:eastAsia="Aptos"/>
          <w:b/>
          <w:color w:val="0E2841"/>
        </w:rPr>
        <w:t>LVC categories and KIPs submitted and approved until the 97th ExCom</w:t>
      </w:r>
    </w:p>
    <w:p w14:paraId="13C54F36" w14:textId="77777777" w:rsidR="005542C3" w:rsidRDefault="005542C3" w:rsidP="00D03009">
      <w:pPr>
        <w:tabs>
          <w:tab w:val="left" w:pos="1418"/>
        </w:tabs>
        <w:spacing w:after="0"/>
        <w:ind w:left="1411" w:hanging="1411"/>
        <w:rPr>
          <w:rFonts w:eastAsiaTheme="minorHAnsi"/>
          <w:b/>
          <w:bCs/>
        </w:rPr>
      </w:pPr>
    </w:p>
    <w:tbl>
      <w:tblPr>
        <w:tblW w:w="8275" w:type="dxa"/>
        <w:tblCellMar>
          <w:top w:w="15" w:type="dxa"/>
          <w:bottom w:w="15" w:type="dxa"/>
        </w:tblCellMar>
        <w:tblLook w:val="04A0" w:firstRow="1" w:lastRow="0" w:firstColumn="1" w:lastColumn="0" w:noHBand="0" w:noVBand="1"/>
      </w:tblPr>
      <w:tblGrid>
        <w:gridCol w:w="1074"/>
        <w:gridCol w:w="1891"/>
        <w:gridCol w:w="2970"/>
        <w:gridCol w:w="2340"/>
      </w:tblGrid>
      <w:tr w:rsidR="00D77CCD" w:rsidRPr="00813EEB" w14:paraId="442EAD7C" w14:textId="77777777" w:rsidTr="00A0479E">
        <w:trPr>
          <w:trHeight w:val="542"/>
          <w:tblHeader/>
        </w:trPr>
        <w:tc>
          <w:tcPr>
            <w:tcW w:w="107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3F3757" w14:textId="77777777" w:rsidR="00D77CCD" w:rsidRPr="007668E1" w:rsidRDefault="00D77CCD" w:rsidP="00A0479E">
            <w:pPr>
              <w:spacing w:after="0"/>
              <w:jc w:val="center"/>
              <w:rPr>
                <w:b/>
                <w:color w:val="000000"/>
                <w:lang w:eastAsia="en-CA"/>
              </w:rPr>
            </w:pPr>
            <w:r w:rsidRPr="007668E1">
              <w:rPr>
                <w:b/>
                <w:color w:val="000000"/>
                <w:lang w:eastAsia="en-CA"/>
              </w:rPr>
              <w:t>Bracket</w:t>
            </w:r>
          </w:p>
        </w:tc>
        <w:tc>
          <w:tcPr>
            <w:tcW w:w="1891" w:type="dxa"/>
            <w:tcBorders>
              <w:top w:val="single" w:sz="4" w:space="0" w:color="000000"/>
              <w:left w:val="nil"/>
              <w:bottom w:val="single" w:sz="8" w:space="0" w:color="auto"/>
              <w:right w:val="single" w:sz="4" w:space="0" w:color="auto"/>
            </w:tcBorders>
            <w:shd w:val="clear" w:color="auto" w:fill="F2F2F2"/>
            <w:vAlign w:val="center"/>
            <w:hideMark/>
          </w:tcPr>
          <w:p w14:paraId="573ACA5D" w14:textId="77777777" w:rsidR="00D77CCD" w:rsidRPr="007668E1" w:rsidRDefault="00D77CCD" w:rsidP="00A0479E">
            <w:pPr>
              <w:spacing w:after="0"/>
              <w:jc w:val="center"/>
              <w:rPr>
                <w:b/>
                <w:color w:val="000000"/>
                <w:lang w:eastAsia="en-CA"/>
              </w:rPr>
            </w:pPr>
            <w:r w:rsidRPr="007668E1">
              <w:rPr>
                <w:b/>
                <w:color w:val="000000"/>
                <w:lang w:eastAsia="en-CA"/>
              </w:rPr>
              <w:t>Average HFC consumption (metric tonnes)</w:t>
            </w:r>
          </w:p>
        </w:tc>
        <w:tc>
          <w:tcPr>
            <w:tcW w:w="2970" w:type="dxa"/>
            <w:tcBorders>
              <w:top w:val="single" w:sz="4" w:space="0" w:color="auto"/>
              <w:left w:val="single" w:sz="4" w:space="0" w:color="auto"/>
              <w:bottom w:val="single" w:sz="4" w:space="0" w:color="auto"/>
              <w:right w:val="single" w:sz="4" w:space="0" w:color="auto"/>
            </w:tcBorders>
            <w:shd w:val="clear" w:color="auto" w:fill="F2F2F2"/>
            <w:vAlign w:val="center"/>
          </w:tcPr>
          <w:p w14:paraId="05722FC0" w14:textId="77777777" w:rsidR="00D77CCD" w:rsidRPr="007668E1" w:rsidRDefault="00D77CCD" w:rsidP="00A0479E">
            <w:pPr>
              <w:spacing w:after="0"/>
              <w:jc w:val="center"/>
              <w:rPr>
                <w:b/>
                <w:color w:val="000000"/>
                <w:lang w:eastAsia="en-CA"/>
              </w:rPr>
            </w:pPr>
            <w:r w:rsidRPr="007668E1">
              <w:rPr>
                <w:b/>
                <w:color w:val="000000"/>
                <w:lang w:eastAsia="en-CA"/>
              </w:rPr>
              <w:t>Number of KIPs approved up to 97</w:t>
            </w:r>
            <w:r w:rsidRPr="007668E1">
              <w:rPr>
                <w:b/>
                <w:color w:val="000000"/>
                <w:vertAlign w:val="superscript"/>
                <w:lang w:eastAsia="en-CA"/>
              </w:rPr>
              <w:t>th</w:t>
            </w:r>
            <w:r w:rsidRPr="007668E1">
              <w:rPr>
                <w:b/>
                <w:color w:val="000000"/>
                <w:lang w:eastAsia="en-CA"/>
              </w:rPr>
              <w:t xml:space="preserve"> ExCom</w:t>
            </w:r>
          </w:p>
        </w:tc>
        <w:tc>
          <w:tcPr>
            <w:tcW w:w="2340" w:type="dxa"/>
            <w:tcBorders>
              <w:top w:val="single" w:sz="4" w:space="0" w:color="auto"/>
              <w:bottom w:val="single" w:sz="4" w:space="0" w:color="auto"/>
              <w:right w:val="single" w:sz="4" w:space="0" w:color="auto"/>
            </w:tcBorders>
            <w:shd w:val="clear" w:color="auto" w:fill="F2F2F2"/>
            <w:vAlign w:val="center"/>
          </w:tcPr>
          <w:p w14:paraId="089E83B0" w14:textId="77777777" w:rsidR="00D77CCD" w:rsidRPr="007668E1" w:rsidRDefault="00D77CCD" w:rsidP="00A0479E">
            <w:pPr>
              <w:spacing w:after="0"/>
              <w:jc w:val="center"/>
              <w:rPr>
                <w:b/>
                <w:color w:val="000000"/>
                <w:lang w:eastAsia="en-CA"/>
              </w:rPr>
            </w:pPr>
            <w:r w:rsidRPr="007668E1">
              <w:rPr>
                <w:b/>
                <w:color w:val="000000"/>
                <w:lang w:eastAsia="en-CA"/>
              </w:rPr>
              <w:t>Number of KIPs with reduction above 10%</w:t>
            </w:r>
          </w:p>
        </w:tc>
      </w:tr>
      <w:tr w:rsidR="00D77CCD" w:rsidRPr="007668E1" w14:paraId="1822484E" w14:textId="77777777" w:rsidTr="00AE35B4">
        <w:trPr>
          <w:trHeight w:val="300"/>
        </w:trPr>
        <w:tc>
          <w:tcPr>
            <w:tcW w:w="1074" w:type="dxa"/>
            <w:tcBorders>
              <w:top w:val="single" w:sz="4" w:space="0" w:color="auto"/>
              <w:left w:val="single" w:sz="4" w:space="0" w:color="auto"/>
              <w:bottom w:val="single" w:sz="4" w:space="0" w:color="auto"/>
              <w:right w:val="single" w:sz="4" w:space="0" w:color="auto"/>
            </w:tcBorders>
            <w:noWrap/>
            <w:vAlign w:val="bottom"/>
            <w:hideMark/>
          </w:tcPr>
          <w:p w14:paraId="4DC250E0" w14:textId="77777777" w:rsidR="00D77CCD" w:rsidRPr="007668E1" w:rsidRDefault="00D77CCD" w:rsidP="006233FA">
            <w:pPr>
              <w:spacing w:after="0"/>
              <w:jc w:val="center"/>
              <w:rPr>
                <w:color w:val="000000"/>
                <w:lang w:eastAsia="en-CA"/>
              </w:rPr>
            </w:pPr>
            <w:r w:rsidRPr="007668E1">
              <w:rPr>
                <w:color w:val="000000"/>
                <w:lang w:eastAsia="en-CA"/>
              </w:rPr>
              <w:t>1</w:t>
            </w:r>
          </w:p>
        </w:tc>
        <w:tc>
          <w:tcPr>
            <w:tcW w:w="1891" w:type="dxa"/>
            <w:tcBorders>
              <w:top w:val="nil"/>
              <w:left w:val="nil"/>
              <w:bottom w:val="single" w:sz="8" w:space="0" w:color="auto"/>
              <w:right w:val="single" w:sz="4" w:space="0" w:color="auto"/>
            </w:tcBorders>
            <w:vAlign w:val="center"/>
            <w:hideMark/>
          </w:tcPr>
          <w:p w14:paraId="32A5919E" w14:textId="77777777" w:rsidR="00D77CCD" w:rsidRPr="007668E1" w:rsidRDefault="00D77CCD" w:rsidP="006233FA">
            <w:pPr>
              <w:spacing w:after="0"/>
              <w:ind w:leftChars="73" w:left="161"/>
              <w:jc w:val="center"/>
              <w:rPr>
                <w:color w:val="000000"/>
                <w:lang w:eastAsia="en-CA"/>
              </w:rPr>
            </w:pPr>
            <w:r w:rsidRPr="007668E1">
              <w:rPr>
                <w:color w:val="000000"/>
                <w:lang w:eastAsia="en-CA"/>
              </w:rPr>
              <w:t>&gt; 0 &lt; 15</w:t>
            </w:r>
          </w:p>
        </w:tc>
        <w:tc>
          <w:tcPr>
            <w:tcW w:w="2970" w:type="dxa"/>
            <w:tcBorders>
              <w:top w:val="single" w:sz="4" w:space="0" w:color="auto"/>
              <w:left w:val="single" w:sz="4" w:space="0" w:color="auto"/>
              <w:bottom w:val="single" w:sz="4" w:space="0" w:color="auto"/>
              <w:right w:val="single" w:sz="4" w:space="0" w:color="auto"/>
            </w:tcBorders>
          </w:tcPr>
          <w:p w14:paraId="14D037FD" w14:textId="77777777" w:rsidR="00D77CCD" w:rsidRPr="007668E1" w:rsidRDefault="00D77CCD" w:rsidP="006233FA">
            <w:pPr>
              <w:spacing w:after="0"/>
              <w:ind w:leftChars="73" w:left="161"/>
              <w:jc w:val="center"/>
              <w:rPr>
                <w:color w:val="000000"/>
                <w:lang w:eastAsia="en-CA"/>
              </w:rPr>
            </w:pPr>
            <w:r w:rsidRPr="007668E1">
              <w:rPr>
                <w:color w:val="000000"/>
                <w:lang w:eastAsia="en-CA"/>
              </w:rPr>
              <w:t>2 (for 13 countries)</w:t>
            </w:r>
          </w:p>
        </w:tc>
        <w:tc>
          <w:tcPr>
            <w:tcW w:w="2340" w:type="dxa"/>
            <w:tcBorders>
              <w:top w:val="single" w:sz="4" w:space="0" w:color="auto"/>
              <w:bottom w:val="single" w:sz="4" w:space="0" w:color="auto"/>
              <w:right w:val="single" w:sz="4" w:space="0" w:color="auto"/>
            </w:tcBorders>
          </w:tcPr>
          <w:p w14:paraId="1300935E" w14:textId="77777777" w:rsidR="00D77CCD" w:rsidRPr="007668E1" w:rsidRDefault="00D77CCD" w:rsidP="006233FA">
            <w:pPr>
              <w:spacing w:after="0"/>
              <w:ind w:leftChars="73" w:left="161"/>
              <w:jc w:val="center"/>
              <w:rPr>
                <w:color w:val="000000"/>
                <w:lang w:eastAsia="en-CA"/>
              </w:rPr>
            </w:pPr>
            <w:r w:rsidRPr="007668E1">
              <w:rPr>
                <w:color w:val="000000"/>
                <w:lang w:eastAsia="en-CA"/>
              </w:rPr>
              <w:t>1</w:t>
            </w:r>
          </w:p>
        </w:tc>
      </w:tr>
      <w:tr w:rsidR="00D77CCD" w:rsidRPr="007668E1" w14:paraId="49F97975" w14:textId="77777777" w:rsidTr="00AE35B4">
        <w:trPr>
          <w:trHeight w:val="300"/>
        </w:trPr>
        <w:tc>
          <w:tcPr>
            <w:tcW w:w="1074" w:type="dxa"/>
            <w:tcBorders>
              <w:top w:val="single" w:sz="4" w:space="0" w:color="auto"/>
              <w:left w:val="single" w:sz="4" w:space="0" w:color="auto"/>
              <w:bottom w:val="single" w:sz="4" w:space="0" w:color="auto"/>
              <w:right w:val="single" w:sz="4" w:space="0" w:color="auto"/>
            </w:tcBorders>
            <w:noWrap/>
            <w:vAlign w:val="bottom"/>
            <w:hideMark/>
          </w:tcPr>
          <w:p w14:paraId="763C92ED" w14:textId="77777777" w:rsidR="00D77CCD" w:rsidRPr="007668E1" w:rsidRDefault="00D77CCD" w:rsidP="006233FA">
            <w:pPr>
              <w:spacing w:after="0"/>
              <w:jc w:val="center"/>
              <w:rPr>
                <w:color w:val="000000"/>
                <w:lang w:eastAsia="en-CA"/>
              </w:rPr>
            </w:pPr>
            <w:r w:rsidRPr="007668E1">
              <w:rPr>
                <w:color w:val="000000"/>
                <w:lang w:eastAsia="en-CA"/>
              </w:rPr>
              <w:t>2</w:t>
            </w:r>
          </w:p>
        </w:tc>
        <w:tc>
          <w:tcPr>
            <w:tcW w:w="1891" w:type="dxa"/>
            <w:tcBorders>
              <w:top w:val="nil"/>
              <w:left w:val="nil"/>
              <w:bottom w:val="single" w:sz="8" w:space="0" w:color="auto"/>
              <w:right w:val="single" w:sz="4" w:space="0" w:color="auto"/>
            </w:tcBorders>
            <w:vAlign w:val="center"/>
            <w:hideMark/>
          </w:tcPr>
          <w:p w14:paraId="0CDD8FF4" w14:textId="77777777" w:rsidR="00D77CCD" w:rsidRPr="007668E1" w:rsidRDefault="00D77CCD" w:rsidP="006233FA">
            <w:pPr>
              <w:spacing w:after="0"/>
              <w:ind w:left="162"/>
              <w:jc w:val="center"/>
              <w:rPr>
                <w:color w:val="000000"/>
                <w:lang w:eastAsia="en-CA"/>
              </w:rPr>
            </w:pPr>
            <w:r w:rsidRPr="007668E1">
              <w:rPr>
                <w:color w:val="000000"/>
                <w:lang w:eastAsia="en-CA"/>
              </w:rPr>
              <w:t>15 &lt; 40</w:t>
            </w:r>
          </w:p>
        </w:tc>
        <w:tc>
          <w:tcPr>
            <w:tcW w:w="2970" w:type="dxa"/>
            <w:tcBorders>
              <w:top w:val="single" w:sz="4" w:space="0" w:color="auto"/>
              <w:left w:val="single" w:sz="4" w:space="0" w:color="auto"/>
              <w:bottom w:val="single" w:sz="4" w:space="0" w:color="auto"/>
              <w:right w:val="single" w:sz="4" w:space="0" w:color="auto"/>
            </w:tcBorders>
          </w:tcPr>
          <w:p w14:paraId="2AE82EE0" w14:textId="77777777" w:rsidR="00D77CCD" w:rsidRPr="007668E1" w:rsidRDefault="00D77CCD" w:rsidP="006233FA">
            <w:pPr>
              <w:spacing w:after="0"/>
              <w:ind w:left="162"/>
              <w:jc w:val="center"/>
              <w:rPr>
                <w:color w:val="000000"/>
                <w:lang w:eastAsia="en-CA"/>
              </w:rPr>
            </w:pPr>
            <w:r w:rsidRPr="007668E1">
              <w:rPr>
                <w:color w:val="000000"/>
                <w:lang w:eastAsia="en-CA"/>
              </w:rPr>
              <w:t>4</w:t>
            </w:r>
          </w:p>
        </w:tc>
        <w:tc>
          <w:tcPr>
            <w:tcW w:w="2340" w:type="dxa"/>
            <w:tcBorders>
              <w:top w:val="single" w:sz="4" w:space="0" w:color="auto"/>
              <w:bottom w:val="single" w:sz="4" w:space="0" w:color="auto"/>
              <w:right w:val="single" w:sz="4" w:space="0" w:color="auto"/>
            </w:tcBorders>
          </w:tcPr>
          <w:p w14:paraId="285B19CC" w14:textId="77777777" w:rsidR="00D77CCD" w:rsidRPr="007668E1" w:rsidRDefault="00D77CCD" w:rsidP="006233FA">
            <w:pPr>
              <w:spacing w:after="0"/>
              <w:ind w:left="162"/>
              <w:jc w:val="center"/>
              <w:rPr>
                <w:color w:val="000000"/>
                <w:lang w:eastAsia="en-CA"/>
              </w:rPr>
            </w:pPr>
            <w:r w:rsidRPr="007668E1">
              <w:rPr>
                <w:color w:val="000000"/>
                <w:lang w:eastAsia="en-CA"/>
              </w:rPr>
              <w:t>-</w:t>
            </w:r>
          </w:p>
        </w:tc>
      </w:tr>
      <w:tr w:rsidR="00D77CCD" w:rsidRPr="007668E1" w14:paraId="27B7FF7F" w14:textId="77777777" w:rsidTr="00AE35B4">
        <w:trPr>
          <w:trHeight w:val="300"/>
        </w:trPr>
        <w:tc>
          <w:tcPr>
            <w:tcW w:w="1074" w:type="dxa"/>
            <w:tcBorders>
              <w:top w:val="single" w:sz="4" w:space="0" w:color="auto"/>
              <w:left w:val="single" w:sz="4" w:space="0" w:color="auto"/>
              <w:bottom w:val="single" w:sz="4" w:space="0" w:color="auto"/>
              <w:right w:val="single" w:sz="4" w:space="0" w:color="auto"/>
            </w:tcBorders>
            <w:noWrap/>
            <w:vAlign w:val="bottom"/>
            <w:hideMark/>
          </w:tcPr>
          <w:p w14:paraId="02B548E3" w14:textId="77777777" w:rsidR="00D77CCD" w:rsidRPr="007668E1" w:rsidRDefault="00D77CCD" w:rsidP="006233FA">
            <w:pPr>
              <w:spacing w:after="0"/>
              <w:jc w:val="center"/>
              <w:rPr>
                <w:color w:val="000000"/>
                <w:lang w:eastAsia="en-CA"/>
              </w:rPr>
            </w:pPr>
            <w:r w:rsidRPr="007668E1">
              <w:rPr>
                <w:color w:val="000000"/>
                <w:lang w:eastAsia="en-CA"/>
              </w:rPr>
              <w:t>3</w:t>
            </w:r>
          </w:p>
        </w:tc>
        <w:tc>
          <w:tcPr>
            <w:tcW w:w="1891" w:type="dxa"/>
            <w:tcBorders>
              <w:top w:val="nil"/>
              <w:left w:val="nil"/>
              <w:bottom w:val="single" w:sz="8" w:space="0" w:color="auto"/>
              <w:right w:val="single" w:sz="4" w:space="0" w:color="auto"/>
            </w:tcBorders>
            <w:vAlign w:val="center"/>
            <w:hideMark/>
          </w:tcPr>
          <w:p w14:paraId="7FB9D599" w14:textId="77777777" w:rsidR="00D77CCD" w:rsidRPr="007668E1" w:rsidRDefault="00D77CCD" w:rsidP="006233FA">
            <w:pPr>
              <w:spacing w:after="0"/>
              <w:ind w:leftChars="73" w:left="161" w:firstLine="1"/>
              <w:jc w:val="center"/>
              <w:rPr>
                <w:color w:val="000000"/>
                <w:lang w:eastAsia="en-CA"/>
              </w:rPr>
            </w:pPr>
            <w:r w:rsidRPr="007668E1">
              <w:rPr>
                <w:color w:val="000000"/>
                <w:lang w:eastAsia="en-CA"/>
              </w:rPr>
              <w:t>40 &lt; 80</w:t>
            </w:r>
          </w:p>
        </w:tc>
        <w:tc>
          <w:tcPr>
            <w:tcW w:w="2970" w:type="dxa"/>
            <w:tcBorders>
              <w:top w:val="single" w:sz="4" w:space="0" w:color="auto"/>
              <w:left w:val="single" w:sz="4" w:space="0" w:color="auto"/>
              <w:bottom w:val="single" w:sz="4" w:space="0" w:color="auto"/>
              <w:right w:val="single" w:sz="4" w:space="0" w:color="auto"/>
            </w:tcBorders>
          </w:tcPr>
          <w:p w14:paraId="17444413" w14:textId="77777777" w:rsidR="00D77CCD" w:rsidRPr="007668E1" w:rsidRDefault="00D77CCD" w:rsidP="006233FA">
            <w:pPr>
              <w:spacing w:after="0"/>
              <w:ind w:leftChars="73" w:left="161" w:firstLine="1"/>
              <w:jc w:val="center"/>
              <w:rPr>
                <w:color w:val="000000"/>
                <w:lang w:eastAsia="en-CA"/>
              </w:rPr>
            </w:pPr>
            <w:r w:rsidRPr="007668E1">
              <w:rPr>
                <w:color w:val="000000"/>
                <w:lang w:eastAsia="en-CA"/>
              </w:rPr>
              <w:t>6</w:t>
            </w:r>
          </w:p>
        </w:tc>
        <w:tc>
          <w:tcPr>
            <w:tcW w:w="2340" w:type="dxa"/>
            <w:tcBorders>
              <w:top w:val="single" w:sz="4" w:space="0" w:color="auto"/>
              <w:bottom w:val="single" w:sz="4" w:space="0" w:color="auto"/>
              <w:right w:val="single" w:sz="4" w:space="0" w:color="auto"/>
            </w:tcBorders>
          </w:tcPr>
          <w:p w14:paraId="30F45044" w14:textId="729319BD" w:rsidR="00D77CCD" w:rsidRPr="007668E1" w:rsidRDefault="00D77CCD" w:rsidP="006233FA">
            <w:pPr>
              <w:spacing w:after="0"/>
              <w:ind w:leftChars="73" w:left="161" w:firstLine="1"/>
              <w:jc w:val="center"/>
              <w:rPr>
                <w:color w:val="000000"/>
                <w:lang w:eastAsia="en-CA"/>
              </w:rPr>
            </w:pPr>
            <w:r w:rsidRPr="007668E1">
              <w:rPr>
                <w:color w:val="000000"/>
                <w:lang w:eastAsia="en-CA"/>
              </w:rPr>
              <w:t>4 (3 benefitting from the 20</w:t>
            </w:r>
            <w:r w:rsidR="00AE35B4">
              <w:rPr>
                <w:color w:val="000000"/>
                <w:lang w:eastAsia="en-CA"/>
              </w:rPr>
              <w:t>%</w:t>
            </w:r>
            <w:r w:rsidRPr="007668E1">
              <w:rPr>
                <w:color w:val="000000"/>
                <w:lang w:eastAsia="en-CA"/>
              </w:rPr>
              <w:t xml:space="preserve"> bonus)</w:t>
            </w:r>
          </w:p>
        </w:tc>
      </w:tr>
      <w:tr w:rsidR="00D77CCD" w:rsidRPr="007668E1" w14:paraId="13932256" w14:textId="77777777" w:rsidTr="00AE35B4">
        <w:trPr>
          <w:trHeight w:val="300"/>
        </w:trPr>
        <w:tc>
          <w:tcPr>
            <w:tcW w:w="1074" w:type="dxa"/>
            <w:tcBorders>
              <w:top w:val="single" w:sz="4" w:space="0" w:color="auto"/>
              <w:left w:val="single" w:sz="4" w:space="0" w:color="auto"/>
              <w:bottom w:val="single" w:sz="4" w:space="0" w:color="auto"/>
              <w:right w:val="single" w:sz="4" w:space="0" w:color="auto"/>
            </w:tcBorders>
            <w:noWrap/>
            <w:vAlign w:val="bottom"/>
            <w:hideMark/>
          </w:tcPr>
          <w:p w14:paraId="58D166DA" w14:textId="77777777" w:rsidR="00D77CCD" w:rsidRPr="007668E1" w:rsidRDefault="00D77CCD" w:rsidP="006233FA">
            <w:pPr>
              <w:spacing w:after="0"/>
              <w:jc w:val="center"/>
              <w:rPr>
                <w:color w:val="000000"/>
                <w:lang w:eastAsia="en-CA"/>
              </w:rPr>
            </w:pPr>
            <w:r w:rsidRPr="007668E1">
              <w:rPr>
                <w:color w:val="000000"/>
                <w:lang w:eastAsia="en-CA"/>
              </w:rPr>
              <w:t>4</w:t>
            </w:r>
          </w:p>
        </w:tc>
        <w:tc>
          <w:tcPr>
            <w:tcW w:w="1891" w:type="dxa"/>
            <w:tcBorders>
              <w:top w:val="nil"/>
              <w:left w:val="nil"/>
              <w:bottom w:val="single" w:sz="8" w:space="0" w:color="auto"/>
              <w:right w:val="single" w:sz="4" w:space="0" w:color="auto"/>
            </w:tcBorders>
            <w:vAlign w:val="center"/>
            <w:hideMark/>
          </w:tcPr>
          <w:p w14:paraId="7463B07A" w14:textId="77777777" w:rsidR="00D77CCD" w:rsidRPr="007668E1" w:rsidRDefault="00D77CCD" w:rsidP="006233FA">
            <w:pPr>
              <w:spacing w:after="0"/>
              <w:ind w:left="162"/>
              <w:jc w:val="center"/>
              <w:rPr>
                <w:color w:val="000000"/>
                <w:lang w:eastAsia="en-CA"/>
              </w:rPr>
            </w:pPr>
            <w:r w:rsidRPr="007668E1">
              <w:rPr>
                <w:color w:val="000000"/>
                <w:lang w:eastAsia="en-CA"/>
              </w:rPr>
              <w:t>80 &lt; 120</w:t>
            </w:r>
          </w:p>
        </w:tc>
        <w:tc>
          <w:tcPr>
            <w:tcW w:w="2970" w:type="dxa"/>
            <w:tcBorders>
              <w:top w:val="single" w:sz="4" w:space="0" w:color="auto"/>
              <w:left w:val="single" w:sz="4" w:space="0" w:color="auto"/>
              <w:bottom w:val="single" w:sz="4" w:space="0" w:color="auto"/>
              <w:right w:val="single" w:sz="4" w:space="0" w:color="auto"/>
            </w:tcBorders>
          </w:tcPr>
          <w:p w14:paraId="2F763F1E" w14:textId="77777777" w:rsidR="00D77CCD" w:rsidRPr="007668E1" w:rsidRDefault="00D77CCD" w:rsidP="006233FA">
            <w:pPr>
              <w:spacing w:after="0"/>
              <w:ind w:left="162"/>
              <w:jc w:val="center"/>
              <w:rPr>
                <w:color w:val="000000"/>
                <w:lang w:eastAsia="en-CA"/>
              </w:rPr>
            </w:pPr>
            <w:r w:rsidRPr="007668E1">
              <w:rPr>
                <w:color w:val="000000"/>
                <w:lang w:eastAsia="en-CA"/>
              </w:rPr>
              <w:t>5</w:t>
            </w:r>
          </w:p>
        </w:tc>
        <w:tc>
          <w:tcPr>
            <w:tcW w:w="2340" w:type="dxa"/>
            <w:tcBorders>
              <w:top w:val="single" w:sz="4" w:space="0" w:color="auto"/>
              <w:bottom w:val="single" w:sz="4" w:space="0" w:color="auto"/>
              <w:right w:val="single" w:sz="4" w:space="0" w:color="auto"/>
            </w:tcBorders>
          </w:tcPr>
          <w:p w14:paraId="6660330B" w14:textId="77777777" w:rsidR="00D77CCD" w:rsidRPr="007668E1" w:rsidRDefault="00D77CCD" w:rsidP="006233FA">
            <w:pPr>
              <w:spacing w:after="0"/>
              <w:ind w:left="162"/>
              <w:jc w:val="center"/>
              <w:rPr>
                <w:color w:val="000000"/>
                <w:lang w:eastAsia="en-CA"/>
              </w:rPr>
            </w:pPr>
            <w:r w:rsidRPr="007668E1">
              <w:rPr>
                <w:color w:val="000000"/>
                <w:lang w:eastAsia="en-CA"/>
              </w:rPr>
              <w:t>1</w:t>
            </w:r>
          </w:p>
        </w:tc>
      </w:tr>
      <w:tr w:rsidR="00D77CCD" w:rsidRPr="007668E1" w14:paraId="3B8C5BF0" w14:textId="77777777" w:rsidTr="00AE35B4">
        <w:trPr>
          <w:trHeight w:val="300"/>
        </w:trPr>
        <w:tc>
          <w:tcPr>
            <w:tcW w:w="1074" w:type="dxa"/>
            <w:tcBorders>
              <w:top w:val="single" w:sz="4" w:space="0" w:color="auto"/>
              <w:left w:val="single" w:sz="4" w:space="0" w:color="auto"/>
              <w:bottom w:val="single" w:sz="4" w:space="0" w:color="auto"/>
              <w:right w:val="single" w:sz="4" w:space="0" w:color="auto"/>
            </w:tcBorders>
            <w:noWrap/>
            <w:vAlign w:val="bottom"/>
            <w:hideMark/>
          </w:tcPr>
          <w:p w14:paraId="0E9901F4" w14:textId="77777777" w:rsidR="00D77CCD" w:rsidRPr="007668E1" w:rsidRDefault="00D77CCD" w:rsidP="006233FA">
            <w:pPr>
              <w:spacing w:after="0"/>
              <w:jc w:val="center"/>
              <w:rPr>
                <w:color w:val="000000"/>
                <w:lang w:eastAsia="en-CA"/>
              </w:rPr>
            </w:pPr>
            <w:r w:rsidRPr="007668E1">
              <w:rPr>
                <w:color w:val="000000"/>
                <w:lang w:eastAsia="en-CA"/>
              </w:rPr>
              <w:t>5</w:t>
            </w:r>
          </w:p>
        </w:tc>
        <w:tc>
          <w:tcPr>
            <w:tcW w:w="1891" w:type="dxa"/>
            <w:tcBorders>
              <w:top w:val="nil"/>
              <w:left w:val="nil"/>
              <w:bottom w:val="single" w:sz="8" w:space="0" w:color="auto"/>
              <w:right w:val="single" w:sz="4" w:space="0" w:color="auto"/>
            </w:tcBorders>
            <w:vAlign w:val="center"/>
            <w:hideMark/>
          </w:tcPr>
          <w:p w14:paraId="1EECB6C6" w14:textId="77777777" w:rsidR="00D77CCD" w:rsidRPr="007668E1" w:rsidRDefault="00D77CCD" w:rsidP="006233FA">
            <w:pPr>
              <w:spacing w:after="0"/>
              <w:ind w:leftChars="73" w:left="161" w:firstLine="1"/>
              <w:jc w:val="center"/>
              <w:rPr>
                <w:color w:val="000000"/>
                <w:lang w:eastAsia="en-CA"/>
              </w:rPr>
            </w:pPr>
            <w:r w:rsidRPr="007668E1">
              <w:rPr>
                <w:color w:val="000000"/>
                <w:lang w:eastAsia="en-CA"/>
              </w:rPr>
              <w:t>120 &lt; 160</w:t>
            </w:r>
          </w:p>
        </w:tc>
        <w:tc>
          <w:tcPr>
            <w:tcW w:w="2970" w:type="dxa"/>
            <w:tcBorders>
              <w:top w:val="single" w:sz="4" w:space="0" w:color="auto"/>
              <w:left w:val="single" w:sz="4" w:space="0" w:color="auto"/>
              <w:bottom w:val="single" w:sz="4" w:space="0" w:color="auto"/>
              <w:right w:val="single" w:sz="4" w:space="0" w:color="auto"/>
            </w:tcBorders>
          </w:tcPr>
          <w:p w14:paraId="7A2C8831" w14:textId="77777777" w:rsidR="00D77CCD" w:rsidRPr="007668E1" w:rsidRDefault="00D77CCD" w:rsidP="006233FA">
            <w:pPr>
              <w:spacing w:after="0"/>
              <w:ind w:leftChars="73" w:left="161" w:firstLine="1"/>
              <w:jc w:val="center"/>
              <w:rPr>
                <w:color w:val="000000"/>
                <w:lang w:eastAsia="en-CA"/>
              </w:rPr>
            </w:pPr>
            <w:r w:rsidRPr="007668E1">
              <w:rPr>
                <w:color w:val="000000"/>
                <w:lang w:eastAsia="en-CA"/>
              </w:rPr>
              <w:t>2</w:t>
            </w:r>
          </w:p>
        </w:tc>
        <w:tc>
          <w:tcPr>
            <w:tcW w:w="2340" w:type="dxa"/>
            <w:tcBorders>
              <w:top w:val="single" w:sz="4" w:space="0" w:color="auto"/>
              <w:bottom w:val="single" w:sz="4" w:space="0" w:color="auto"/>
              <w:right w:val="single" w:sz="4" w:space="0" w:color="auto"/>
            </w:tcBorders>
          </w:tcPr>
          <w:p w14:paraId="1971BDD5" w14:textId="47426AF2" w:rsidR="00D77CCD" w:rsidRPr="007668E1" w:rsidRDefault="00D77CCD" w:rsidP="006233FA">
            <w:pPr>
              <w:spacing w:after="0"/>
              <w:ind w:leftChars="73" w:left="161" w:firstLine="1"/>
              <w:jc w:val="center"/>
              <w:rPr>
                <w:color w:val="000000"/>
                <w:lang w:eastAsia="en-CA"/>
              </w:rPr>
            </w:pPr>
            <w:r w:rsidRPr="007668E1">
              <w:rPr>
                <w:color w:val="000000"/>
                <w:lang w:eastAsia="en-CA"/>
              </w:rPr>
              <w:t>1 (benefitting from the 20</w:t>
            </w:r>
            <w:r w:rsidR="00AE35B4">
              <w:rPr>
                <w:color w:val="000000"/>
                <w:lang w:eastAsia="en-CA"/>
              </w:rPr>
              <w:t>%</w:t>
            </w:r>
            <w:r w:rsidRPr="007668E1">
              <w:rPr>
                <w:color w:val="000000"/>
                <w:lang w:eastAsia="en-CA"/>
              </w:rPr>
              <w:t xml:space="preserve"> bonus)</w:t>
            </w:r>
          </w:p>
        </w:tc>
      </w:tr>
      <w:tr w:rsidR="00D77CCD" w:rsidRPr="007668E1" w14:paraId="3FE759AD" w14:textId="77777777" w:rsidTr="00AE35B4">
        <w:trPr>
          <w:trHeight w:val="300"/>
        </w:trPr>
        <w:tc>
          <w:tcPr>
            <w:tcW w:w="1074" w:type="dxa"/>
            <w:tcBorders>
              <w:top w:val="single" w:sz="4" w:space="0" w:color="auto"/>
              <w:left w:val="single" w:sz="4" w:space="0" w:color="auto"/>
              <w:bottom w:val="single" w:sz="4" w:space="0" w:color="auto"/>
              <w:right w:val="single" w:sz="4" w:space="0" w:color="auto"/>
            </w:tcBorders>
            <w:noWrap/>
            <w:vAlign w:val="bottom"/>
            <w:hideMark/>
          </w:tcPr>
          <w:p w14:paraId="12AFCB93" w14:textId="77777777" w:rsidR="00D77CCD" w:rsidRPr="007668E1" w:rsidRDefault="00D77CCD" w:rsidP="006233FA">
            <w:pPr>
              <w:spacing w:after="0"/>
              <w:jc w:val="center"/>
              <w:rPr>
                <w:color w:val="000000"/>
                <w:lang w:eastAsia="en-CA"/>
              </w:rPr>
            </w:pPr>
            <w:r w:rsidRPr="007668E1">
              <w:rPr>
                <w:color w:val="000000"/>
                <w:lang w:eastAsia="en-CA"/>
              </w:rPr>
              <w:t>6</w:t>
            </w:r>
          </w:p>
        </w:tc>
        <w:tc>
          <w:tcPr>
            <w:tcW w:w="1891" w:type="dxa"/>
            <w:tcBorders>
              <w:top w:val="nil"/>
              <w:left w:val="nil"/>
              <w:bottom w:val="single" w:sz="8" w:space="0" w:color="auto"/>
              <w:right w:val="single" w:sz="4" w:space="0" w:color="auto"/>
            </w:tcBorders>
            <w:vAlign w:val="center"/>
            <w:hideMark/>
          </w:tcPr>
          <w:p w14:paraId="7D218184" w14:textId="77777777" w:rsidR="00D77CCD" w:rsidRPr="007668E1" w:rsidRDefault="00D77CCD" w:rsidP="006233FA">
            <w:pPr>
              <w:spacing w:after="0"/>
              <w:ind w:left="162"/>
              <w:jc w:val="center"/>
              <w:rPr>
                <w:color w:val="000000"/>
                <w:lang w:eastAsia="en-CA"/>
              </w:rPr>
            </w:pPr>
            <w:r w:rsidRPr="007668E1">
              <w:rPr>
                <w:color w:val="000000"/>
                <w:lang w:eastAsia="en-CA"/>
              </w:rPr>
              <w:t>160 &lt; 200</w:t>
            </w:r>
          </w:p>
        </w:tc>
        <w:tc>
          <w:tcPr>
            <w:tcW w:w="2970" w:type="dxa"/>
            <w:tcBorders>
              <w:top w:val="single" w:sz="4" w:space="0" w:color="auto"/>
              <w:left w:val="single" w:sz="4" w:space="0" w:color="auto"/>
              <w:bottom w:val="single" w:sz="4" w:space="0" w:color="auto"/>
              <w:right w:val="single" w:sz="4" w:space="0" w:color="auto"/>
            </w:tcBorders>
          </w:tcPr>
          <w:p w14:paraId="0972B139" w14:textId="77777777" w:rsidR="00D77CCD" w:rsidRPr="007668E1" w:rsidRDefault="00D77CCD" w:rsidP="006233FA">
            <w:pPr>
              <w:spacing w:after="0"/>
              <w:ind w:left="162"/>
              <w:jc w:val="center"/>
              <w:rPr>
                <w:color w:val="000000"/>
                <w:lang w:eastAsia="en-CA"/>
              </w:rPr>
            </w:pPr>
            <w:r w:rsidRPr="007668E1">
              <w:rPr>
                <w:color w:val="000000"/>
                <w:lang w:eastAsia="en-CA"/>
              </w:rPr>
              <w:t>5</w:t>
            </w:r>
          </w:p>
        </w:tc>
        <w:tc>
          <w:tcPr>
            <w:tcW w:w="2340" w:type="dxa"/>
            <w:tcBorders>
              <w:top w:val="single" w:sz="4" w:space="0" w:color="auto"/>
              <w:bottom w:val="single" w:sz="4" w:space="0" w:color="auto"/>
              <w:right w:val="single" w:sz="4" w:space="0" w:color="auto"/>
            </w:tcBorders>
          </w:tcPr>
          <w:p w14:paraId="10058C63" w14:textId="0B66AEDF" w:rsidR="00D77CCD" w:rsidRPr="007668E1" w:rsidRDefault="00D77CCD" w:rsidP="006233FA">
            <w:pPr>
              <w:spacing w:after="0"/>
              <w:ind w:left="162"/>
              <w:jc w:val="center"/>
              <w:rPr>
                <w:color w:val="000000"/>
                <w:lang w:eastAsia="en-CA"/>
              </w:rPr>
            </w:pPr>
            <w:r w:rsidRPr="007668E1">
              <w:rPr>
                <w:color w:val="000000"/>
                <w:lang w:eastAsia="en-CA"/>
              </w:rPr>
              <w:t>1 (benefitting from the 20</w:t>
            </w:r>
            <w:r w:rsidR="00AE35B4">
              <w:rPr>
                <w:color w:val="000000"/>
                <w:lang w:eastAsia="en-CA"/>
              </w:rPr>
              <w:t>%</w:t>
            </w:r>
            <w:r w:rsidRPr="007668E1">
              <w:rPr>
                <w:color w:val="000000"/>
                <w:lang w:eastAsia="en-CA"/>
              </w:rPr>
              <w:t xml:space="preserve"> bonus)</w:t>
            </w:r>
          </w:p>
        </w:tc>
      </w:tr>
      <w:tr w:rsidR="00D77CCD" w:rsidRPr="007668E1" w14:paraId="322AD24F" w14:textId="77777777" w:rsidTr="00AE35B4">
        <w:trPr>
          <w:trHeight w:val="300"/>
        </w:trPr>
        <w:tc>
          <w:tcPr>
            <w:tcW w:w="1074" w:type="dxa"/>
            <w:tcBorders>
              <w:top w:val="single" w:sz="4" w:space="0" w:color="auto"/>
              <w:left w:val="single" w:sz="4" w:space="0" w:color="auto"/>
              <w:bottom w:val="single" w:sz="4" w:space="0" w:color="auto"/>
              <w:right w:val="single" w:sz="4" w:space="0" w:color="auto"/>
            </w:tcBorders>
            <w:noWrap/>
            <w:vAlign w:val="bottom"/>
            <w:hideMark/>
          </w:tcPr>
          <w:p w14:paraId="29682607" w14:textId="77777777" w:rsidR="00D77CCD" w:rsidRPr="007668E1" w:rsidRDefault="00D77CCD" w:rsidP="006233FA">
            <w:pPr>
              <w:spacing w:after="0"/>
              <w:jc w:val="center"/>
              <w:rPr>
                <w:color w:val="000000"/>
                <w:lang w:eastAsia="en-CA"/>
              </w:rPr>
            </w:pPr>
            <w:r w:rsidRPr="007668E1">
              <w:rPr>
                <w:color w:val="000000"/>
                <w:lang w:eastAsia="en-CA"/>
              </w:rPr>
              <w:t>7</w:t>
            </w:r>
          </w:p>
        </w:tc>
        <w:tc>
          <w:tcPr>
            <w:tcW w:w="1891" w:type="dxa"/>
            <w:tcBorders>
              <w:top w:val="nil"/>
              <w:left w:val="nil"/>
              <w:bottom w:val="single" w:sz="8" w:space="0" w:color="auto"/>
              <w:right w:val="single" w:sz="4" w:space="0" w:color="auto"/>
            </w:tcBorders>
            <w:vAlign w:val="center"/>
            <w:hideMark/>
          </w:tcPr>
          <w:p w14:paraId="1B87AEC4" w14:textId="77777777" w:rsidR="00D77CCD" w:rsidRPr="007668E1" w:rsidRDefault="00D77CCD" w:rsidP="006233FA">
            <w:pPr>
              <w:spacing w:after="0"/>
              <w:ind w:left="162"/>
              <w:jc w:val="center"/>
              <w:rPr>
                <w:color w:val="000000"/>
                <w:lang w:eastAsia="en-CA"/>
              </w:rPr>
            </w:pPr>
            <w:r w:rsidRPr="007668E1">
              <w:rPr>
                <w:color w:val="000000"/>
                <w:lang w:eastAsia="en-CA"/>
              </w:rPr>
              <w:t>200 &lt; 300</w:t>
            </w:r>
          </w:p>
        </w:tc>
        <w:tc>
          <w:tcPr>
            <w:tcW w:w="2970" w:type="dxa"/>
            <w:tcBorders>
              <w:top w:val="single" w:sz="4" w:space="0" w:color="auto"/>
              <w:left w:val="single" w:sz="4" w:space="0" w:color="auto"/>
              <w:bottom w:val="single" w:sz="4" w:space="0" w:color="auto"/>
              <w:right w:val="single" w:sz="4" w:space="0" w:color="auto"/>
            </w:tcBorders>
          </w:tcPr>
          <w:p w14:paraId="3F484EF9" w14:textId="77777777" w:rsidR="00D77CCD" w:rsidRPr="007668E1" w:rsidRDefault="00D77CCD" w:rsidP="006233FA">
            <w:pPr>
              <w:spacing w:after="0"/>
              <w:ind w:left="162"/>
              <w:jc w:val="center"/>
              <w:rPr>
                <w:color w:val="000000"/>
                <w:lang w:eastAsia="en-CA"/>
              </w:rPr>
            </w:pPr>
            <w:r w:rsidRPr="007668E1">
              <w:rPr>
                <w:color w:val="000000"/>
                <w:lang w:eastAsia="en-CA"/>
              </w:rPr>
              <w:t>12</w:t>
            </w:r>
          </w:p>
        </w:tc>
        <w:tc>
          <w:tcPr>
            <w:tcW w:w="2340" w:type="dxa"/>
            <w:tcBorders>
              <w:top w:val="single" w:sz="4" w:space="0" w:color="auto"/>
              <w:bottom w:val="single" w:sz="4" w:space="0" w:color="auto"/>
              <w:right w:val="single" w:sz="4" w:space="0" w:color="auto"/>
            </w:tcBorders>
          </w:tcPr>
          <w:p w14:paraId="540A8205" w14:textId="13DB66BD" w:rsidR="00D77CCD" w:rsidRPr="007668E1" w:rsidRDefault="00D77CCD" w:rsidP="006233FA">
            <w:pPr>
              <w:spacing w:after="0"/>
              <w:ind w:left="162"/>
              <w:jc w:val="center"/>
              <w:rPr>
                <w:color w:val="000000"/>
                <w:lang w:eastAsia="en-CA"/>
              </w:rPr>
            </w:pPr>
            <w:r w:rsidRPr="007668E1">
              <w:rPr>
                <w:color w:val="000000"/>
                <w:lang w:eastAsia="en-CA"/>
              </w:rPr>
              <w:t>4 (2 benefitting from the 20</w:t>
            </w:r>
            <w:r w:rsidR="00AE35B4">
              <w:rPr>
                <w:color w:val="000000"/>
                <w:lang w:eastAsia="en-CA"/>
              </w:rPr>
              <w:t>%</w:t>
            </w:r>
            <w:r w:rsidRPr="007668E1">
              <w:rPr>
                <w:color w:val="000000"/>
                <w:lang w:eastAsia="en-CA"/>
              </w:rPr>
              <w:t xml:space="preserve"> bonus)</w:t>
            </w:r>
          </w:p>
        </w:tc>
      </w:tr>
      <w:tr w:rsidR="00D77CCD" w:rsidRPr="007668E1" w14:paraId="2F709339" w14:textId="77777777" w:rsidTr="00AE35B4">
        <w:trPr>
          <w:trHeight w:val="285"/>
        </w:trPr>
        <w:tc>
          <w:tcPr>
            <w:tcW w:w="1074" w:type="dxa"/>
            <w:tcBorders>
              <w:top w:val="single" w:sz="4" w:space="0" w:color="auto"/>
              <w:left w:val="single" w:sz="4" w:space="0" w:color="auto"/>
              <w:bottom w:val="single" w:sz="4" w:space="0" w:color="auto"/>
              <w:right w:val="single" w:sz="4" w:space="0" w:color="auto"/>
            </w:tcBorders>
            <w:noWrap/>
            <w:vAlign w:val="bottom"/>
            <w:hideMark/>
          </w:tcPr>
          <w:p w14:paraId="2FD2E808" w14:textId="77777777" w:rsidR="00D77CCD" w:rsidRPr="007668E1" w:rsidRDefault="00D77CCD" w:rsidP="006233FA">
            <w:pPr>
              <w:spacing w:after="0"/>
              <w:jc w:val="center"/>
              <w:rPr>
                <w:color w:val="000000"/>
                <w:lang w:eastAsia="en-CA"/>
              </w:rPr>
            </w:pPr>
            <w:r w:rsidRPr="007668E1">
              <w:rPr>
                <w:color w:val="000000"/>
                <w:lang w:eastAsia="en-CA"/>
              </w:rPr>
              <w:t>8</w:t>
            </w:r>
          </w:p>
        </w:tc>
        <w:tc>
          <w:tcPr>
            <w:tcW w:w="1891" w:type="dxa"/>
            <w:tcBorders>
              <w:top w:val="nil"/>
              <w:left w:val="nil"/>
              <w:bottom w:val="nil"/>
              <w:right w:val="single" w:sz="4" w:space="0" w:color="auto"/>
            </w:tcBorders>
            <w:vAlign w:val="center"/>
            <w:hideMark/>
          </w:tcPr>
          <w:p w14:paraId="491C51BF" w14:textId="77777777" w:rsidR="00D77CCD" w:rsidRPr="007668E1" w:rsidRDefault="00D77CCD" w:rsidP="006233FA">
            <w:pPr>
              <w:spacing w:after="0"/>
              <w:ind w:left="162"/>
              <w:jc w:val="center"/>
              <w:rPr>
                <w:color w:val="000000"/>
                <w:lang w:eastAsia="en-CA"/>
              </w:rPr>
            </w:pPr>
            <w:r w:rsidRPr="007668E1">
              <w:rPr>
                <w:color w:val="000000"/>
                <w:lang w:eastAsia="en-CA"/>
              </w:rPr>
              <w:t>300 &lt; 360</w:t>
            </w:r>
          </w:p>
        </w:tc>
        <w:tc>
          <w:tcPr>
            <w:tcW w:w="2970" w:type="dxa"/>
            <w:tcBorders>
              <w:top w:val="single" w:sz="4" w:space="0" w:color="auto"/>
              <w:left w:val="single" w:sz="4" w:space="0" w:color="auto"/>
              <w:bottom w:val="single" w:sz="4" w:space="0" w:color="auto"/>
              <w:right w:val="single" w:sz="4" w:space="0" w:color="auto"/>
            </w:tcBorders>
          </w:tcPr>
          <w:p w14:paraId="5E78FA3B" w14:textId="77777777" w:rsidR="00D77CCD" w:rsidRPr="007668E1" w:rsidRDefault="00D77CCD" w:rsidP="006233FA">
            <w:pPr>
              <w:spacing w:after="0"/>
              <w:ind w:left="162"/>
              <w:jc w:val="center"/>
              <w:rPr>
                <w:color w:val="000000"/>
                <w:lang w:eastAsia="en-CA"/>
              </w:rPr>
            </w:pPr>
            <w:r w:rsidRPr="007668E1">
              <w:rPr>
                <w:color w:val="000000"/>
                <w:lang w:eastAsia="en-CA"/>
              </w:rPr>
              <w:t>4</w:t>
            </w:r>
          </w:p>
        </w:tc>
        <w:tc>
          <w:tcPr>
            <w:tcW w:w="2340" w:type="dxa"/>
            <w:tcBorders>
              <w:top w:val="single" w:sz="4" w:space="0" w:color="auto"/>
              <w:bottom w:val="single" w:sz="4" w:space="0" w:color="auto"/>
              <w:right w:val="single" w:sz="4" w:space="0" w:color="auto"/>
            </w:tcBorders>
          </w:tcPr>
          <w:p w14:paraId="62248E36" w14:textId="6DF8D379" w:rsidR="00D77CCD" w:rsidRPr="007668E1" w:rsidRDefault="00D77CCD" w:rsidP="006233FA">
            <w:pPr>
              <w:spacing w:after="0"/>
              <w:ind w:left="162"/>
              <w:jc w:val="center"/>
              <w:rPr>
                <w:color w:val="000000"/>
                <w:lang w:eastAsia="en-CA"/>
              </w:rPr>
            </w:pPr>
            <w:r w:rsidRPr="007668E1">
              <w:rPr>
                <w:color w:val="000000"/>
                <w:lang w:eastAsia="en-CA"/>
              </w:rPr>
              <w:t>2 (benefitting from the 20</w:t>
            </w:r>
            <w:r w:rsidR="00693EC8">
              <w:rPr>
                <w:color w:val="000000"/>
                <w:lang w:eastAsia="en-CA"/>
              </w:rPr>
              <w:t>%</w:t>
            </w:r>
            <w:r w:rsidRPr="007668E1">
              <w:rPr>
                <w:color w:val="000000"/>
                <w:lang w:eastAsia="en-CA"/>
              </w:rPr>
              <w:t xml:space="preserve"> bonus)</w:t>
            </w:r>
          </w:p>
        </w:tc>
      </w:tr>
      <w:tr w:rsidR="00D77CCD" w:rsidRPr="007668E1" w14:paraId="53770D26" w14:textId="77777777" w:rsidTr="00AE35B4">
        <w:trPr>
          <w:trHeight w:val="285"/>
        </w:trPr>
        <w:tc>
          <w:tcPr>
            <w:tcW w:w="2965" w:type="dxa"/>
            <w:gridSpan w:val="2"/>
            <w:tcBorders>
              <w:top w:val="single" w:sz="4" w:space="0" w:color="auto"/>
              <w:left w:val="single" w:sz="4" w:space="0" w:color="auto"/>
              <w:bottom w:val="single" w:sz="4" w:space="0" w:color="auto"/>
              <w:right w:val="single" w:sz="4" w:space="0" w:color="auto"/>
            </w:tcBorders>
            <w:noWrap/>
            <w:vAlign w:val="bottom"/>
          </w:tcPr>
          <w:p w14:paraId="0CCCB0E0" w14:textId="77777777" w:rsidR="00D77CCD" w:rsidRPr="007668E1" w:rsidRDefault="00D77CCD" w:rsidP="006233FA">
            <w:pPr>
              <w:spacing w:after="0"/>
              <w:ind w:left="162"/>
              <w:jc w:val="center"/>
              <w:rPr>
                <w:b/>
                <w:color w:val="000000"/>
                <w:lang w:eastAsia="en-CA"/>
              </w:rPr>
            </w:pPr>
            <w:r w:rsidRPr="007668E1">
              <w:rPr>
                <w:b/>
                <w:color w:val="000000"/>
                <w:lang w:eastAsia="en-CA"/>
              </w:rPr>
              <w:t>Total</w:t>
            </w:r>
          </w:p>
        </w:tc>
        <w:tc>
          <w:tcPr>
            <w:tcW w:w="2970" w:type="dxa"/>
            <w:tcBorders>
              <w:top w:val="single" w:sz="4" w:space="0" w:color="auto"/>
              <w:left w:val="single" w:sz="4" w:space="0" w:color="auto"/>
              <w:bottom w:val="single" w:sz="4" w:space="0" w:color="auto"/>
              <w:right w:val="single" w:sz="4" w:space="0" w:color="auto"/>
            </w:tcBorders>
          </w:tcPr>
          <w:p w14:paraId="23AA3993" w14:textId="77777777" w:rsidR="00D77CCD" w:rsidRPr="007668E1" w:rsidRDefault="00D77CCD" w:rsidP="006233FA">
            <w:pPr>
              <w:spacing w:after="0"/>
              <w:ind w:left="162"/>
              <w:jc w:val="center"/>
              <w:rPr>
                <w:b/>
                <w:color w:val="000000"/>
                <w:lang w:eastAsia="en-CA"/>
              </w:rPr>
            </w:pPr>
            <w:r w:rsidRPr="007668E1">
              <w:rPr>
                <w:b/>
                <w:color w:val="000000"/>
                <w:lang w:eastAsia="en-CA"/>
              </w:rPr>
              <w:t>40 KIPs for 52 parties</w:t>
            </w:r>
          </w:p>
        </w:tc>
        <w:tc>
          <w:tcPr>
            <w:tcW w:w="2340" w:type="dxa"/>
            <w:tcBorders>
              <w:top w:val="single" w:sz="4" w:space="0" w:color="auto"/>
              <w:bottom w:val="single" w:sz="4" w:space="0" w:color="auto"/>
              <w:right w:val="single" w:sz="4" w:space="0" w:color="auto"/>
            </w:tcBorders>
          </w:tcPr>
          <w:p w14:paraId="546F78B8" w14:textId="77777777" w:rsidR="00D77CCD" w:rsidRPr="007668E1" w:rsidRDefault="00D77CCD" w:rsidP="006233FA">
            <w:pPr>
              <w:spacing w:after="0"/>
              <w:ind w:left="162"/>
              <w:jc w:val="center"/>
              <w:rPr>
                <w:b/>
                <w:color w:val="000000"/>
                <w:lang w:eastAsia="en-CA"/>
              </w:rPr>
            </w:pPr>
            <w:r w:rsidRPr="007668E1">
              <w:rPr>
                <w:b/>
                <w:color w:val="000000"/>
                <w:lang w:eastAsia="en-CA"/>
              </w:rPr>
              <w:t>14</w:t>
            </w:r>
          </w:p>
        </w:tc>
      </w:tr>
    </w:tbl>
    <w:p w14:paraId="42BCB150" w14:textId="77777777" w:rsidR="00D77CCD" w:rsidRDefault="00D77CCD" w:rsidP="00D03009">
      <w:pPr>
        <w:tabs>
          <w:tab w:val="left" w:pos="1418"/>
        </w:tabs>
        <w:spacing w:after="0"/>
        <w:ind w:left="1411" w:hanging="1411"/>
        <w:rPr>
          <w:rFonts w:eastAsiaTheme="minorHAnsi"/>
          <w:b/>
          <w:bCs/>
        </w:rPr>
      </w:pPr>
    </w:p>
    <w:p w14:paraId="6346A49D" w14:textId="77777777" w:rsidR="008E37AF" w:rsidRPr="007668E1" w:rsidRDefault="008E37AF" w:rsidP="008E37AF">
      <w:pPr>
        <w:spacing w:after="160" w:line="259" w:lineRule="auto"/>
        <w:contextualSpacing/>
        <w:rPr>
          <w:rFonts w:eastAsia="Aptos"/>
          <w:color w:val="000000"/>
        </w:rPr>
      </w:pPr>
      <w:r w:rsidRPr="007668E1">
        <w:rPr>
          <w:rFonts w:eastAsia="Aptos"/>
          <w:color w:val="000000"/>
        </w:rPr>
        <w:t>The analysis is done for LVCs in categories 2 to 8 and separately for VLVCs in bracket 1 to determine whether there are any determining differences between LVCs and VLVCs.</w:t>
      </w:r>
    </w:p>
    <w:p w14:paraId="5E3E4517" w14:textId="77777777" w:rsidR="00D03009" w:rsidRDefault="00D03009" w:rsidP="00D03009">
      <w:pPr>
        <w:spacing w:after="160" w:line="259" w:lineRule="auto"/>
        <w:contextualSpacing/>
        <w:rPr>
          <w:rFonts w:eastAsia="Aptos"/>
          <w:color w:val="000000"/>
        </w:rPr>
      </w:pPr>
    </w:p>
    <w:p w14:paraId="3D670427" w14:textId="5EA86AD3" w:rsidR="008E37AF" w:rsidRDefault="008E37AF" w:rsidP="00F257D1">
      <w:pPr>
        <w:pStyle w:val="Heading4"/>
        <w:rPr>
          <w:snapToGrid w:val="0"/>
        </w:rPr>
      </w:pPr>
      <w:r>
        <w:rPr>
          <w:snapToGrid w:val="0"/>
        </w:rPr>
        <w:t>6</w:t>
      </w:r>
      <w:r w:rsidRPr="00C3634A">
        <w:rPr>
          <w:snapToGrid w:val="0"/>
        </w:rPr>
        <w:t>.</w:t>
      </w:r>
      <w:r>
        <w:rPr>
          <w:snapToGrid w:val="0"/>
        </w:rPr>
        <w:t>2.2</w:t>
      </w:r>
      <w:r w:rsidR="00F257D1">
        <w:rPr>
          <w:snapToGrid w:val="0"/>
        </w:rPr>
        <w:t>.1</w:t>
      </w:r>
      <w:r w:rsidRPr="00C3634A">
        <w:rPr>
          <w:snapToGrid w:val="0"/>
        </w:rPr>
        <w:tab/>
      </w:r>
      <w:r>
        <w:rPr>
          <w:snapToGrid w:val="0"/>
        </w:rPr>
        <w:t>T</w:t>
      </w:r>
      <w:r w:rsidR="009618B4">
        <w:rPr>
          <w:snapToGrid w:val="0"/>
        </w:rPr>
        <w:t>rends in LVCs</w:t>
      </w:r>
    </w:p>
    <w:p w14:paraId="0BF9599D" w14:textId="6EF2A45E" w:rsidR="004470DC" w:rsidRPr="007668E1" w:rsidRDefault="004470DC" w:rsidP="004470DC">
      <w:pPr>
        <w:spacing w:after="160" w:line="259" w:lineRule="auto"/>
        <w:rPr>
          <w:rFonts w:eastAsia="Aptos"/>
          <w:color w:val="000000"/>
        </w:rPr>
      </w:pPr>
      <w:r w:rsidRPr="007668E1">
        <w:rPr>
          <w:rFonts w:eastAsia="Aptos"/>
          <w:color w:val="000000"/>
        </w:rPr>
        <w:t xml:space="preserve">The RTF reviewed all the KIPs submitted documents from the </w:t>
      </w:r>
      <w:r w:rsidR="00F50B20">
        <w:rPr>
          <w:rFonts w:eastAsia="Aptos"/>
          <w:color w:val="000000"/>
        </w:rPr>
        <w:t>ExCom-93 to ExCom-97</w:t>
      </w:r>
      <w:r w:rsidR="006F188A">
        <w:rPr>
          <w:rFonts w:eastAsia="Aptos"/>
          <w:color w:val="000000"/>
        </w:rPr>
        <w:t xml:space="preserve">, </w:t>
      </w:r>
      <w:r w:rsidRPr="007668E1">
        <w:rPr>
          <w:rFonts w:eastAsia="Aptos"/>
          <w:color w:val="000000"/>
        </w:rPr>
        <w:t>tab</w:t>
      </w:r>
      <w:r w:rsidR="006F188A">
        <w:rPr>
          <w:rFonts w:eastAsia="Aptos"/>
          <w:color w:val="000000"/>
        </w:rPr>
        <w:t>ulat</w:t>
      </w:r>
      <w:r w:rsidRPr="007668E1">
        <w:rPr>
          <w:rFonts w:eastAsia="Aptos"/>
          <w:color w:val="000000"/>
        </w:rPr>
        <w:t>ing the total KIPs, the breakdown into tranches and identifying regulatory costs including training of customs and enforcement officers, versus capacity building costs including updating of curricula, training, certification, and supply of equipment. A further breakdown identified the cost of training alone. An example is show</w:t>
      </w:r>
      <w:r w:rsidR="00E50914">
        <w:rPr>
          <w:rFonts w:eastAsia="Aptos"/>
          <w:color w:val="000000"/>
        </w:rPr>
        <w:t>n</w:t>
      </w:r>
      <w:r w:rsidRPr="007668E1">
        <w:rPr>
          <w:rFonts w:eastAsia="Aptos"/>
          <w:color w:val="000000"/>
        </w:rPr>
        <w:t xml:space="preserve"> in </w:t>
      </w:r>
      <w:r w:rsidR="004636A5">
        <w:rPr>
          <w:rFonts w:eastAsia="Aptos"/>
          <w:color w:val="000000"/>
        </w:rPr>
        <w:t>Table 6.5</w:t>
      </w:r>
      <w:r w:rsidR="006F5A2A">
        <w:rPr>
          <w:rFonts w:eastAsia="Aptos"/>
          <w:color w:val="000000"/>
          <w:sz w:val="24"/>
          <w:szCs w:val="24"/>
        </w:rPr>
        <w:t>.</w:t>
      </w:r>
      <w:r w:rsidRPr="007668E1">
        <w:rPr>
          <w:rFonts w:eastAsia="Aptos"/>
          <w:color w:val="000000"/>
        </w:rPr>
        <w:t xml:space="preserve"> </w:t>
      </w:r>
    </w:p>
    <w:p w14:paraId="600A45E7" w14:textId="77777777" w:rsidR="00AF182C" w:rsidRDefault="00AF182C" w:rsidP="004470DC">
      <w:pPr>
        <w:tabs>
          <w:tab w:val="left" w:pos="1418"/>
        </w:tabs>
        <w:spacing w:after="0"/>
        <w:ind w:left="1411" w:hanging="1411"/>
        <w:rPr>
          <w:rFonts w:eastAsiaTheme="minorHAnsi"/>
          <w:b/>
          <w:bCs/>
        </w:rPr>
        <w:sectPr w:rsidR="00AF182C" w:rsidSect="00B12D8F">
          <w:type w:val="oddPage"/>
          <w:pgSz w:w="11906" w:h="16838"/>
          <w:pgMar w:top="1411" w:right="1411" w:bottom="1411" w:left="1411" w:header="708" w:footer="708" w:gutter="0"/>
          <w:cols w:space="708"/>
          <w:docGrid w:linePitch="360"/>
        </w:sectPr>
      </w:pPr>
    </w:p>
    <w:p w14:paraId="09B7C7EA" w14:textId="0635F49E" w:rsidR="004470DC" w:rsidRDefault="004470DC" w:rsidP="002135B0">
      <w:pPr>
        <w:tabs>
          <w:tab w:val="left" w:pos="1134"/>
        </w:tabs>
        <w:spacing w:after="0"/>
        <w:ind w:left="1412" w:hanging="1412"/>
        <w:rPr>
          <w:rFonts w:eastAsia="Aptos"/>
          <w:b/>
          <w:color w:val="0E2841"/>
        </w:rPr>
      </w:pPr>
      <w:r w:rsidRPr="00E42C5E">
        <w:rPr>
          <w:rFonts w:eastAsiaTheme="minorHAnsi"/>
          <w:b/>
          <w:bCs/>
        </w:rPr>
        <w:lastRenderedPageBreak/>
        <w:t xml:space="preserve">Table </w:t>
      </w:r>
      <w:r>
        <w:rPr>
          <w:rFonts w:eastAsiaTheme="minorHAnsi"/>
          <w:b/>
          <w:bCs/>
        </w:rPr>
        <w:t>6.5</w:t>
      </w:r>
      <w:r w:rsidR="0017527F">
        <w:rPr>
          <w:rFonts w:eastAsiaTheme="minorHAnsi"/>
          <w:b/>
          <w:bCs/>
        </w:rPr>
        <w:t>:</w:t>
      </w:r>
      <w:r w:rsidRPr="00E42C5E">
        <w:rPr>
          <w:rFonts w:eastAsiaTheme="minorHAnsi"/>
          <w:b/>
          <w:bCs/>
        </w:rPr>
        <w:tab/>
      </w:r>
      <w:r w:rsidR="00D615AA" w:rsidRPr="007668E1">
        <w:rPr>
          <w:rFonts w:eastAsia="Aptos"/>
          <w:b/>
          <w:color w:val="0E2841"/>
        </w:rPr>
        <w:t>An example of countries per bracket of the KIPs funding analysed</w:t>
      </w:r>
    </w:p>
    <w:p w14:paraId="287654FE" w14:textId="77777777" w:rsidR="00921B70" w:rsidRDefault="00921B70" w:rsidP="004470DC">
      <w:pPr>
        <w:tabs>
          <w:tab w:val="left" w:pos="1418"/>
        </w:tabs>
        <w:spacing w:after="0"/>
        <w:ind w:left="1411" w:hanging="1411"/>
        <w:rPr>
          <w:rFonts w:eastAsia="Aptos"/>
          <w:b/>
          <w:color w:val="0E2841"/>
        </w:rPr>
      </w:pPr>
    </w:p>
    <w:tbl>
      <w:tblPr>
        <w:tblW w:w="12555" w:type="dxa"/>
        <w:tblLook w:val="04A0" w:firstRow="1" w:lastRow="0" w:firstColumn="1" w:lastColumn="0" w:noHBand="0" w:noVBand="1"/>
      </w:tblPr>
      <w:tblGrid>
        <w:gridCol w:w="598"/>
        <w:gridCol w:w="1296"/>
        <w:gridCol w:w="990"/>
        <w:gridCol w:w="1050"/>
        <w:gridCol w:w="1380"/>
        <w:gridCol w:w="1213"/>
        <w:gridCol w:w="1082"/>
        <w:gridCol w:w="1087"/>
        <w:gridCol w:w="1193"/>
        <w:gridCol w:w="1313"/>
        <w:gridCol w:w="1353"/>
      </w:tblGrid>
      <w:tr w:rsidR="00AF182C" w:rsidRPr="004659AD" w14:paraId="55CBA728" w14:textId="77777777" w:rsidTr="00760FDA">
        <w:trPr>
          <w:cantSplit/>
          <w:trHeight w:val="1286"/>
          <w:tblHeader/>
        </w:trPr>
        <w:tc>
          <w:tcPr>
            <w:tcW w:w="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14:paraId="4093FF45" w14:textId="77777777" w:rsidR="00AF182C" w:rsidRPr="007668E1" w:rsidRDefault="00AF182C" w:rsidP="006233FA">
            <w:pPr>
              <w:spacing w:after="0"/>
              <w:ind w:left="113" w:right="113"/>
              <w:jc w:val="center"/>
              <w:rPr>
                <w:b/>
                <w:color w:val="000000"/>
                <w:lang w:eastAsia="en-CA"/>
              </w:rPr>
            </w:pPr>
            <w:r w:rsidRPr="007668E1">
              <w:rPr>
                <w:b/>
                <w:color w:val="000000"/>
                <w:lang w:eastAsia="en-CA"/>
              </w:rPr>
              <w:t>Bracket</w:t>
            </w:r>
          </w:p>
        </w:tc>
        <w:tc>
          <w:tcPr>
            <w:tcW w:w="1296"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08B4D376" w14:textId="77777777" w:rsidR="00AF182C" w:rsidRPr="007668E1" w:rsidRDefault="00AF182C" w:rsidP="006233FA">
            <w:pPr>
              <w:spacing w:after="0" w:line="259" w:lineRule="auto"/>
              <w:ind w:left="113" w:right="113"/>
              <w:jc w:val="center"/>
              <w:rPr>
                <w:b/>
                <w:lang w:eastAsia="en-CA"/>
              </w:rPr>
            </w:pPr>
            <w:r w:rsidRPr="26C4EEEA">
              <w:rPr>
                <w:b/>
                <w:lang w:eastAsia="en-CA"/>
              </w:rPr>
              <w:t>Period</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1C20FDBB" w14:textId="53C40CFA" w:rsidR="00AF182C" w:rsidRPr="007668E1" w:rsidRDefault="274D2446" w:rsidP="274D2446">
            <w:pPr>
              <w:spacing w:after="0"/>
              <w:ind w:left="113" w:right="113"/>
              <w:jc w:val="center"/>
              <w:rPr>
                <w:b/>
                <w:bCs/>
                <w:color w:val="000000"/>
                <w:lang w:eastAsia="en-CA"/>
              </w:rPr>
            </w:pPr>
            <w:r w:rsidRPr="274D2446">
              <w:rPr>
                <w:b/>
                <w:bCs/>
                <w:lang w:eastAsia="en-CA"/>
              </w:rPr>
              <w:t xml:space="preserve">ExCom Document   </w:t>
            </w:r>
          </w:p>
        </w:tc>
        <w:tc>
          <w:tcPr>
            <w:tcW w:w="1050"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8B2BAB0" w14:textId="77777777" w:rsidR="00AF182C" w:rsidRPr="007668E1" w:rsidRDefault="00AF182C" w:rsidP="006233FA">
            <w:pPr>
              <w:spacing w:after="0"/>
              <w:ind w:left="113" w:right="113"/>
              <w:jc w:val="center"/>
              <w:rPr>
                <w:b/>
                <w:color w:val="000000"/>
                <w:lang w:eastAsia="en-CA"/>
              </w:rPr>
            </w:pPr>
            <w:r w:rsidRPr="007668E1">
              <w:rPr>
                <w:b/>
                <w:color w:val="000000"/>
                <w:lang w:eastAsia="en-CA"/>
              </w:rPr>
              <w:t>Target reduction (%)</w:t>
            </w:r>
          </w:p>
        </w:tc>
        <w:tc>
          <w:tcPr>
            <w:tcW w:w="1380"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3BB0BDEA" w14:textId="77777777" w:rsidR="00AF182C" w:rsidRPr="007668E1" w:rsidRDefault="00AF182C" w:rsidP="006233FA">
            <w:pPr>
              <w:spacing w:after="0"/>
              <w:ind w:left="113" w:right="113"/>
              <w:jc w:val="center"/>
              <w:rPr>
                <w:b/>
                <w:color w:val="000000"/>
                <w:lang w:eastAsia="en-CA"/>
              </w:rPr>
            </w:pPr>
            <w:r w:rsidRPr="007668E1">
              <w:rPr>
                <w:b/>
                <w:color w:val="000000"/>
                <w:lang w:eastAsia="en-CA"/>
              </w:rPr>
              <w:t>Total KIP (US$)</w:t>
            </w:r>
          </w:p>
        </w:tc>
        <w:tc>
          <w:tcPr>
            <w:tcW w:w="1213"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06729AE5" w14:textId="6EF6CEE6" w:rsidR="00AF182C" w:rsidRPr="007668E1" w:rsidRDefault="00AF182C" w:rsidP="006233FA">
            <w:pPr>
              <w:spacing w:after="0"/>
              <w:ind w:left="113" w:right="113"/>
              <w:jc w:val="center"/>
              <w:rPr>
                <w:b/>
                <w:color w:val="000000"/>
                <w:lang w:eastAsia="en-CA"/>
              </w:rPr>
            </w:pPr>
            <w:r w:rsidRPr="007668E1">
              <w:rPr>
                <w:b/>
                <w:color w:val="000000"/>
                <w:lang w:eastAsia="en-CA"/>
              </w:rPr>
              <w:t>2024</w:t>
            </w:r>
            <w:r w:rsidR="006C2EA1">
              <w:rPr>
                <w:b/>
                <w:color w:val="000000"/>
                <w:lang w:eastAsia="en-CA"/>
              </w:rPr>
              <w:t xml:space="preserve"> (US$)</w:t>
            </w:r>
          </w:p>
        </w:tc>
        <w:tc>
          <w:tcPr>
            <w:tcW w:w="1082"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75ACF158" w14:textId="3E31A555" w:rsidR="00AF182C" w:rsidRPr="007668E1" w:rsidRDefault="00AF182C" w:rsidP="006233FA">
            <w:pPr>
              <w:spacing w:after="0"/>
              <w:ind w:left="113" w:right="113"/>
              <w:jc w:val="center"/>
              <w:rPr>
                <w:b/>
                <w:color w:val="000000"/>
                <w:lang w:eastAsia="en-CA"/>
              </w:rPr>
            </w:pPr>
            <w:r w:rsidRPr="007668E1">
              <w:rPr>
                <w:b/>
                <w:color w:val="000000"/>
                <w:lang w:eastAsia="en-CA"/>
              </w:rPr>
              <w:t>2025</w:t>
            </w:r>
            <w:r w:rsidR="006C2EA1">
              <w:rPr>
                <w:b/>
                <w:color w:val="000000"/>
                <w:lang w:eastAsia="en-CA"/>
              </w:rPr>
              <w:t xml:space="preserve"> (US$)</w:t>
            </w:r>
          </w:p>
        </w:tc>
        <w:tc>
          <w:tcPr>
            <w:tcW w:w="1087"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06B3B8FB" w14:textId="73B6B6F6" w:rsidR="00AF182C" w:rsidRPr="007668E1" w:rsidRDefault="00AF182C" w:rsidP="006233FA">
            <w:pPr>
              <w:spacing w:after="0"/>
              <w:ind w:left="113" w:right="113"/>
              <w:jc w:val="center"/>
              <w:rPr>
                <w:b/>
                <w:color w:val="000000"/>
                <w:lang w:eastAsia="en-CA"/>
              </w:rPr>
            </w:pPr>
            <w:r w:rsidRPr="007668E1">
              <w:rPr>
                <w:b/>
                <w:color w:val="000000"/>
                <w:lang w:eastAsia="en-CA"/>
              </w:rPr>
              <w:t>2026-2029</w:t>
            </w:r>
            <w:r w:rsidR="006C2EA1">
              <w:rPr>
                <w:b/>
                <w:color w:val="000000"/>
                <w:lang w:eastAsia="en-CA"/>
              </w:rPr>
              <w:t xml:space="preserve"> (US$)</w:t>
            </w:r>
          </w:p>
        </w:tc>
        <w:tc>
          <w:tcPr>
            <w:tcW w:w="1193"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37CC19F9" w14:textId="49A3FBFB" w:rsidR="00AF182C" w:rsidRPr="007668E1" w:rsidRDefault="00AF182C" w:rsidP="006233FA">
            <w:pPr>
              <w:spacing w:after="0"/>
              <w:ind w:left="113" w:right="113"/>
              <w:jc w:val="center"/>
              <w:rPr>
                <w:b/>
                <w:color w:val="000000"/>
                <w:lang w:eastAsia="en-CA"/>
              </w:rPr>
            </w:pPr>
            <w:r w:rsidRPr="007668E1">
              <w:rPr>
                <w:b/>
                <w:color w:val="000000"/>
                <w:lang w:eastAsia="en-CA"/>
              </w:rPr>
              <w:t>Regulatory</w:t>
            </w:r>
            <w:r w:rsidR="006C2EA1">
              <w:rPr>
                <w:b/>
                <w:color w:val="000000"/>
                <w:lang w:eastAsia="en-CA"/>
              </w:rPr>
              <w:t xml:space="preserve"> (US$)</w:t>
            </w:r>
          </w:p>
        </w:tc>
        <w:tc>
          <w:tcPr>
            <w:tcW w:w="1313"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2C0D466A" w14:textId="4686914B" w:rsidR="00AF182C" w:rsidRPr="007668E1" w:rsidRDefault="00AF182C" w:rsidP="006233FA">
            <w:pPr>
              <w:spacing w:after="0"/>
              <w:ind w:left="113" w:right="113"/>
              <w:jc w:val="center"/>
              <w:rPr>
                <w:b/>
                <w:color w:val="000000"/>
                <w:lang w:eastAsia="en-CA"/>
              </w:rPr>
            </w:pPr>
            <w:r w:rsidRPr="007668E1">
              <w:rPr>
                <w:b/>
                <w:color w:val="000000"/>
                <w:lang w:eastAsia="en-CA"/>
              </w:rPr>
              <w:t>Capacity Building</w:t>
            </w:r>
            <w:r w:rsidR="006C2EA1">
              <w:rPr>
                <w:b/>
                <w:color w:val="000000"/>
                <w:lang w:eastAsia="en-CA"/>
              </w:rPr>
              <w:t xml:space="preserve"> (US$)</w:t>
            </w:r>
          </w:p>
        </w:tc>
        <w:tc>
          <w:tcPr>
            <w:tcW w:w="1353"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14532C00" w14:textId="3A310B37" w:rsidR="00AF182C" w:rsidRPr="007668E1" w:rsidRDefault="00AF182C" w:rsidP="006233FA">
            <w:pPr>
              <w:spacing w:after="0"/>
              <w:ind w:left="113" w:right="113"/>
              <w:jc w:val="center"/>
              <w:rPr>
                <w:b/>
                <w:color w:val="000000"/>
                <w:lang w:eastAsia="en-CA"/>
              </w:rPr>
            </w:pPr>
            <w:r w:rsidRPr="007668E1">
              <w:rPr>
                <w:b/>
                <w:color w:val="000000"/>
                <w:lang w:eastAsia="en-CA"/>
              </w:rPr>
              <w:t>Tech training</w:t>
            </w:r>
            <w:r w:rsidR="006C2EA1">
              <w:rPr>
                <w:b/>
                <w:color w:val="000000"/>
                <w:lang w:eastAsia="en-CA"/>
              </w:rPr>
              <w:t xml:space="preserve"> (US$)</w:t>
            </w:r>
          </w:p>
        </w:tc>
      </w:tr>
      <w:tr w:rsidR="00AF182C" w:rsidRPr="007668E1" w14:paraId="4891BCA7" w14:textId="77777777" w:rsidTr="00760FDA">
        <w:trPr>
          <w:trHeight w:val="288"/>
        </w:trPr>
        <w:tc>
          <w:tcPr>
            <w:tcW w:w="598" w:type="dxa"/>
            <w:tcBorders>
              <w:top w:val="nil"/>
              <w:left w:val="single" w:sz="4" w:space="0" w:color="auto"/>
              <w:bottom w:val="single" w:sz="4" w:space="0" w:color="auto"/>
              <w:right w:val="single" w:sz="4" w:space="0" w:color="auto"/>
            </w:tcBorders>
            <w:noWrap/>
            <w:vAlign w:val="bottom"/>
            <w:hideMark/>
          </w:tcPr>
          <w:p w14:paraId="00D89B5A" w14:textId="77777777" w:rsidR="00AF182C" w:rsidRPr="007668E1" w:rsidRDefault="00AF182C" w:rsidP="006233FA">
            <w:pPr>
              <w:spacing w:after="0"/>
              <w:jc w:val="right"/>
              <w:rPr>
                <w:color w:val="000000"/>
                <w:lang w:eastAsia="en-CA"/>
              </w:rPr>
            </w:pPr>
            <w:r w:rsidRPr="007668E1">
              <w:rPr>
                <w:color w:val="000000"/>
                <w:lang w:eastAsia="en-CA"/>
              </w:rPr>
              <w:t>1</w:t>
            </w:r>
          </w:p>
        </w:tc>
        <w:tc>
          <w:tcPr>
            <w:tcW w:w="1296" w:type="dxa"/>
            <w:tcBorders>
              <w:top w:val="nil"/>
              <w:left w:val="nil"/>
              <w:bottom w:val="single" w:sz="4" w:space="0" w:color="auto"/>
              <w:right w:val="single" w:sz="4" w:space="0" w:color="auto"/>
            </w:tcBorders>
            <w:noWrap/>
            <w:vAlign w:val="bottom"/>
            <w:hideMark/>
          </w:tcPr>
          <w:p w14:paraId="10CC7BCD" w14:textId="77777777" w:rsidR="00AF182C" w:rsidRPr="007668E1" w:rsidRDefault="00AF182C" w:rsidP="006233FA">
            <w:pPr>
              <w:spacing w:after="0"/>
              <w:rPr>
                <w:color w:val="000000"/>
                <w:lang w:eastAsia="en-CA"/>
              </w:rPr>
            </w:pPr>
            <w:r w:rsidRPr="007668E1">
              <w:rPr>
                <w:color w:val="000000"/>
                <w:lang w:eastAsia="en-CA"/>
              </w:rPr>
              <w:t>2025-2029</w:t>
            </w:r>
          </w:p>
        </w:tc>
        <w:tc>
          <w:tcPr>
            <w:tcW w:w="990" w:type="dxa"/>
            <w:tcBorders>
              <w:top w:val="nil"/>
              <w:left w:val="nil"/>
              <w:bottom w:val="single" w:sz="4" w:space="0" w:color="auto"/>
              <w:right w:val="single" w:sz="4" w:space="0" w:color="auto"/>
            </w:tcBorders>
            <w:noWrap/>
            <w:vAlign w:val="bottom"/>
            <w:hideMark/>
          </w:tcPr>
          <w:p w14:paraId="0FB6327B" w14:textId="77777777" w:rsidR="00AF182C" w:rsidRPr="007668E1" w:rsidRDefault="00AF182C" w:rsidP="006233FA">
            <w:pPr>
              <w:spacing w:after="0"/>
              <w:jc w:val="right"/>
              <w:rPr>
                <w:color w:val="000000"/>
                <w:lang w:eastAsia="en-CA"/>
              </w:rPr>
            </w:pPr>
            <w:r w:rsidRPr="007668E1">
              <w:rPr>
                <w:color w:val="000000"/>
                <w:lang w:eastAsia="en-CA"/>
              </w:rPr>
              <w:t>9761</w:t>
            </w:r>
          </w:p>
        </w:tc>
        <w:tc>
          <w:tcPr>
            <w:tcW w:w="1050" w:type="dxa"/>
            <w:tcBorders>
              <w:top w:val="nil"/>
              <w:left w:val="nil"/>
              <w:bottom w:val="single" w:sz="4" w:space="0" w:color="auto"/>
              <w:right w:val="single" w:sz="4" w:space="0" w:color="auto"/>
            </w:tcBorders>
            <w:noWrap/>
            <w:vAlign w:val="bottom"/>
            <w:hideMark/>
          </w:tcPr>
          <w:p w14:paraId="5BBB50D7" w14:textId="77777777" w:rsidR="00AF182C" w:rsidRPr="007668E1" w:rsidRDefault="00AF182C" w:rsidP="006233FA">
            <w:pPr>
              <w:spacing w:after="0"/>
              <w:jc w:val="right"/>
              <w:rPr>
                <w:color w:val="000000"/>
                <w:lang w:eastAsia="en-CA"/>
              </w:rPr>
            </w:pPr>
            <w:r w:rsidRPr="007668E1">
              <w:rPr>
                <w:color w:val="000000"/>
                <w:lang w:eastAsia="en-CA"/>
              </w:rPr>
              <w:t>10.0</w:t>
            </w:r>
          </w:p>
        </w:tc>
        <w:tc>
          <w:tcPr>
            <w:tcW w:w="1380" w:type="dxa"/>
            <w:tcBorders>
              <w:top w:val="nil"/>
              <w:left w:val="nil"/>
              <w:bottom w:val="single" w:sz="4" w:space="0" w:color="auto"/>
              <w:right w:val="single" w:sz="4" w:space="0" w:color="auto"/>
            </w:tcBorders>
            <w:noWrap/>
            <w:vAlign w:val="bottom"/>
            <w:hideMark/>
          </w:tcPr>
          <w:p w14:paraId="3C193A7C" w14:textId="77777777" w:rsidR="00AF182C" w:rsidRPr="007668E1" w:rsidRDefault="00AF182C" w:rsidP="006233FA">
            <w:pPr>
              <w:spacing w:after="0"/>
              <w:jc w:val="right"/>
              <w:rPr>
                <w:color w:val="000000"/>
                <w:lang w:eastAsia="en-CA"/>
              </w:rPr>
            </w:pPr>
            <w:r w:rsidRPr="007668E1">
              <w:rPr>
                <w:color w:val="000000"/>
                <w:lang w:eastAsia="en-CA"/>
              </w:rPr>
              <w:t xml:space="preserve">135,000 </w:t>
            </w:r>
          </w:p>
        </w:tc>
        <w:tc>
          <w:tcPr>
            <w:tcW w:w="1213" w:type="dxa"/>
            <w:tcBorders>
              <w:top w:val="nil"/>
              <w:left w:val="nil"/>
              <w:bottom w:val="single" w:sz="4" w:space="0" w:color="auto"/>
              <w:right w:val="single" w:sz="4" w:space="0" w:color="auto"/>
            </w:tcBorders>
            <w:noWrap/>
            <w:vAlign w:val="bottom"/>
            <w:hideMark/>
          </w:tcPr>
          <w:p w14:paraId="2EE57845" w14:textId="77777777" w:rsidR="00AF182C" w:rsidRPr="007668E1" w:rsidRDefault="00AF182C" w:rsidP="006233FA">
            <w:pPr>
              <w:spacing w:after="0"/>
              <w:jc w:val="right"/>
              <w:rPr>
                <w:color w:val="000000"/>
                <w:lang w:eastAsia="en-CA"/>
              </w:rPr>
            </w:pPr>
            <w:r w:rsidRPr="007668E1">
              <w:rPr>
                <w:color w:val="000000"/>
                <w:lang w:eastAsia="en-CA"/>
              </w:rPr>
              <w:t> </w:t>
            </w:r>
          </w:p>
        </w:tc>
        <w:tc>
          <w:tcPr>
            <w:tcW w:w="1082" w:type="dxa"/>
            <w:tcBorders>
              <w:top w:val="nil"/>
              <w:left w:val="nil"/>
              <w:bottom w:val="single" w:sz="4" w:space="0" w:color="auto"/>
              <w:right w:val="single" w:sz="4" w:space="0" w:color="auto"/>
            </w:tcBorders>
            <w:noWrap/>
            <w:vAlign w:val="bottom"/>
            <w:hideMark/>
          </w:tcPr>
          <w:p w14:paraId="3443C503" w14:textId="77777777" w:rsidR="00AF182C" w:rsidRPr="007668E1" w:rsidRDefault="00AF182C" w:rsidP="006233FA">
            <w:pPr>
              <w:spacing w:after="0"/>
              <w:jc w:val="right"/>
              <w:rPr>
                <w:color w:val="000000"/>
                <w:lang w:eastAsia="en-CA"/>
              </w:rPr>
            </w:pPr>
            <w:r w:rsidRPr="007668E1">
              <w:rPr>
                <w:color w:val="000000"/>
                <w:lang w:eastAsia="en-CA"/>
              </w:rPr>
              <w:t xml:space="preserve">81,000 </w:t>
            </w:r>
          </w:p>
        </w:tc>
        <w:tc>
          <w:tcPr>
            <w:tcW w:w="1087" w:type="dxa"/>
            <w:tcBorders>
              <w:top w:val="nil"/>
              <w:left w:val="nil"/>
              <w:bottom w:val="single" w:sz="4" w:space="0" w:color="auto"/>
              <w:right w:val="single" w:sz="4" w:space="0" w:color="auto"/>
            </w:tcBorders>
            <w:noWrap/>
            <w:vAlign w:val="bottom"/>
            <w:hideMark/>
          </w:tcPr>
          <w:p w14:paraId="26E9C4AE" w14:textId="77777777" w:rsidR="00AF182C" w:rsidRPr="007668E1" w:rsidRDefault="00AF182C" w:rsidP="006233FA">
            <w:pPr>
              <w:spacing w:after="0"/>
              <w:jc w:val="right"/>
              <w:rPr>
                <w:color w:val="000000"/>
                <w:lang w:eastAsia="en-CA"/>
              </w:rPr>
            </w:pPr>
            <w:r w:rsidRPr="007668E1">
              <w:rPr>
                <w:color w:val="000000"/>
                <w:lang w:eastAsia="en-CA"/>
              </w:rPr>
              <w:t xml:space="preserve">54,000 </w:t>
            </w:r>
          </w:p>
        </w:tc>
        <w:tc>
          <w:tcPr>
            <w:tcW w:w="1193" w:type="dxa"/>
            <w:tcBorders>
              <w:top w:val="nil"/>
              <w:left w:val="nil"/>
              <w:bottom w:val="single" w:sz="4" w:space="0" w:color="auto"/>
              <w:right w:val="single" w:sz="4" w:space="0" w:color="auto"/>
            </w:tcBorders>
            <w:noWrap/>
            <w:vAlign w:val="bottom"/>
            <w:hideMark/>
          </w:tcPr>
          <w:p w14:paraId="712B10B7" w14:textId="77777777" w:rsidR="00AF182C" w:rsidRPr="007668E1" w:rsidRDefault="00AF182C" w:rsidP="006233FA">
            <w:pPr>
              <w:spacing w:after="0"/>
              <w:jc w:val="right"/>
              <w:rPr>
                <w:color w:val="000000"/>
                <w:lang w:eastAsia="en-CA"/>
              </w:rPr>
            </w:pPr>
            <w:r w:rsidRPr="007668E1">
              <w:rPr>
                <w:color w:val="000000"/>
                <w:lang w:eastAsia="en-CA"/>
              </w:rPr>
              <w:t xml:space="preserve">44,500 </w:t>
            </w:r>
          </w:p>
        </w:tc>
        <w:tc>
          <w:tcPr>
            <w:tcW w:w="1313" w:type="dxa"/>
            <w:tcBorders>
              <w:top w:val="nil"/>
              <w:left w:val="nil"/>
              <w:bottom w:val="single" w:sz="4" w:space="0" w:color="auto"/>
              <w:right w:val="single" w:sz="4" w:space="0" w:color="auto"/>
            </w:tcBorders>
            <w:noWrap/>
            <w:vAlign w:val="bottom"/>
            <w:hideMark/>
          </w:tcPr>
          <w:p w14:paraId="1C2D1D97" w14:textId="77777777" w:rsidR="00AF182C" w:rsidRPr="007668E1" w:rsidRDefault="00AF182C" w:rsidP="006233FA">
            <w:pPr>
              <w:spacing w:after="0"/>
              <w:jc w:val="right"/>
              <w:rPr>
                <w:color w:val="000000"/>
                <w:lang w:eastAsia="en-CA"/>
              </w:rPr>
            </w:pPr>
            <w:r w:rsidRPr="007668E1">
              <w:rPr>
                <w:color w:val="000000"/>
                <w:lang w:eastAsia="en-CA"/>
              </w:rPr>
              <w:t xml:space="preserve">65,000 </w:t>
            </w:r>
          </w:p>
        </w:tc>
        <w:tc>
          <w:tcPr>
            <w:tcW w:w="1353" w:type="dxa"/>
            <w:tcBorders>
              <w:top w:val="nil"/>
              <w:left w:val="nil"/>
              <w:bottom w:val="single" w:sz="4" w:space="0" w:color="auto"/>
              <w:right w:val="single" w:sz="4" w:space="0" w:color="auto"/>
            </w:tcBorders>
            <w:noWrap/>
            <w:vAlign w:val="bottom"/>
            <w:hideMark/>
          </w:tcPr>
          <w:p w14:paraId="09D4ECEC" w14:textId="77777777" w:rsidR="00AF182C" w:rsidRPr="007668E1" w:rsidRDefault="00AF182C" w:rsidP="006233FA">
            <w:pPr>
              <w:spacing w:after="0"/>
              <w:jc w:val="right"/>
              <w:rPr>
                <w:color w:val="000000"/>
                <w:lang w:eastAsia="en-CA"/>
              </w:rPr>
            </w:pPr>
            <w:r w:rsidRPr="007668E1">
              <w:rPr>
                <w:color w:val="000000"/>
                <w:lang w:eastAsia="en-CA"/>
              </w:rPr>
              <w:t xml:space="preserve">62,000 </w:t>
            </w:r>
          </w:p>
        </w:tc>
      </w:tr>
      <w:tr w:rsidR="00AF182C" w:rsidRPr="007668E1" w14:paraId="49737502" w14:textId="77777777" w:rsidTr="00760FDA">
        <w:trPr>
          <w:trHeight w:val="288"/>
        </w:trPr>
        <w:tc>
          <w:tcPr>
            <w:tcW w:w="598" w:type="dxa"/>
            <w:tcBorders>
              <w:top w:val="nil"/>
              <w:left w:val="single" w:sz="4" w:space="0" w:color="auto"/>
              <w:bottom w:val="single" w:sz="4" w:space="0" w:color="auto"/>
              <w:right w:val="single" w:sz="4" w:space="0" w:color="auto"/>
            </w:tcBorders>
            <w:noWrap/>
            <w:vAlign w:val="bottom"/>
            <w:hideMark/>
          </w:tcPr>
          <w:p w14:paraId="19FF1EDF" w14:textId="77777777" w:rsidR="00AF182C" w:rsidRPr="007668E1" w:rsidRDefault="00AF182C" w:rsidP="006233FA">
            <w:pPr>
              <w:spacing w:after="0"/>
              <w:jc w:val="right"/>
              <w:rPr>
                <w:color w:val="000000"/>
                <w:lang w:eastAsia="en-CA"/>
              </w:rPr>
            </w:pPr>
            <w:r w:rsidRPr="007668E1">
              <w:rPr>
                <w:color w:val="000000"/>
                <w:lang w:eastAsia="en-CA"/>
              </w:rPr>
              <w:t>2</w:t>
            </w:r>
          </w:p>
        </w:tc>
        <w:tc>
          <w:tcPr>
            <w:tcW w:w="1296" w:type="dxa"/>
            <w:tcBorders>
              <w:top w:val="nil"/>
              <w:left w:val="nil"/>
              <w:bottom w:val="single" w:sz="4" w:space="0" w:color="auto"/>
              <w:right w:val="single" w:sz="4" w:space="0" w:color="auto"/>
            </w:tcBorders>
            <w:noWrap/>
            <w:vAlign w:val="bottom"/>
            <w:hideMark/>
          </w:tcPr>
          <w:p w14:paraId="6B50206F" w14:textId="77777777" w:rsidR="00AF182C" w:rsidRPr="007668E1" w:rsidRDefault="00AF182C" w:rsidP="006233FA">
            <w:pPr>
              <w:spacing w:after="0"/>
              <w:rPr>
                <w:color w:val="000000"/>
                <w:lang w:eastAsia="en-CA"/>
              </w:rPr>
            </w:pPr>
            <w:r w:rsidRPr="007668E1">
              <w:rPr>
                <w:color w:val="000000"/>
                <w:lang w:eastAsia="en-CA"/>
              </w:rPr>
              <w:t>2024-2030</w:t>
            </w:r>
          </w:p>
        </w:tc>
        <w:tc>
          <w:tcPr>
            <w:tcW w:w="990" w:type="dxa"/>
            <w:tcBorders>
              <w:top w:val="nil"/>
              <w:left w:val="nil"/>
              <w:bottom w:val="single" w:sz="4" w:space="0" w:color="auto"/>
              <w:right w:val="single" w:sz="4" w:space="0" w:color="auto"/>
            </w:tcBorders>
            <w:noWrap/>
            <w:vAlign w:val="bottom"/>
            <w:hideMark/>
          </w:tcPr>
          <w:p w14:paraId="7BF930D7" w14:textId="77777777" w:rsidR="00AF182C" w:rsidRPr="007668E1" w:rsidRDefault="00AF182C" w:rsidP="006233FA">
            <w:pPr>
              <w:spacing w:after="0"/>
              <w:jc w:val="right"/>
              <w:rPr>
                <w:color w:val="000000"/>
                <w:lang w:eastAsia="en-CA"/>
              </w:rPr>
            </w:pPr>
            <w:r w:rsidRPr="007668E1">
              <w:rPr>
                <w:color w:val="000000"/>
                <w:lang w:eastAsia="en-CA"/>
              </w:rPr>
              <w:t>9435</w:t>
            </w:r>
          </w:p>
        </w:tc>
        <w:tc>
          <w:tcPr>
            <w:tcW w:w="1050" w:type="dxa"/>
            <w:tcBorders>
              <w:top w:val="nil"/>
              <w:left w:val="nil"/>
              <w:bottom w:val="single" w:sz="4" w:space="0" w:color="auto"/>
              <w:right w:val="single" w:sz="4" w:space="0" w:color="auto"/>
            </w:tcBorders>
            <w:noWrap/>
            <w:vAlign w:val="bottom"/>
            <w:hideMark/>
          </w:tcPr>
          <w:p w14:paraId="21D3A550" w14:textId="77777777" w:rsidR="00AF182C" w:rsidRPr="007668E1" w:rsidRDefault="00AF182C" w:rsidP="006233FA">
            <w:pPr>
              <w:spacing w:after="0"/>
              <w:jc w:val="right"/>
              <w:rPr>
                <w:color w:val="000000"/>
                <w:lang w:eastAsia="en-CA"/>
              </w:rPr>
            </w:pPr>
            <w:r w:rsidRPr="007668E1">
              <w:rPr>
                <w:color w:val="000000"/>
                <w:lang w:eastAsia="en-CA"/>
              </w:rPr>
              <w:t>10.0</w:t>
            </w:r>
          </w:p>
        </w:tc>
        <w:tc>
          <w:tcPr>
            <w:tcW w:w="1380" w:type="dxa"/>
            <w:tcBorders>
              <w:top w:val="nil"/>
              <w:left w:val="nil"/>
              <w:bottom w:val="single" w:sz="4" w:space="0" w:color="auto"/>
              <w:right w:val="single" w:sz="4" w:space="0" w:color="auto"/>
            </w:tcBorders>
            <w:noWrap/>
            <w:vAlign w:val="bottom"/>
            <w:hideMark/>
          </w:tcPr>
          <w:p w14:paraId="4F79B59E" w14:textId="77777777" w:rsidR="00AF182C" w:rsidRPr="007668E1" w:rsidRDefault="00AF182C" w:rsidP="006233FA">
            <w:pPr>
              <w:spacing w:after="0"/>
              <w:jc w:val="right"/>
              <w:rPr>
                <w:color w:val="000000"/>
                <w:lang w:eastAsia="en-CA"/>
              </w:rPr>
            </w:pPr>
            <w:r w:rsidRPr="007668E1">
              <w:rPr>
                <w:color w:val="000000"/>
                <w:lang w:eastAsia="en-CA"/>
              </w:rPr>
              <w:t xml:space="preserve">145,000 </w:t>
            </w:r>
          </w:p>
        </w:tc>
        <w:tc>
          <w:tcPr>
            <w:tcW w:w="1213" w:type="dxa"/>
            <w:tcBorders>
              <w:top w:val="nil"/>
              <w:left w:val="nil"/>
              <w:bottom w:val="single" w:sz="4" w:space="0" w:color="auto"/>
              <w:right w:val="single" w:sz="4" w:space="0" w:color="auto"/>
            </w:tcBorders>
            <w:noWrap/>
            <w:vAlign w:val="bottom"/>
            <w:hideMark/>
          </w:tcPr>
          <w:p w14:paraId="0B395A26" w14:textId="77777777" w:rsidR="00AF182C" w:rsidRPr="007668E1" w:rsidRDefault="00AF182C" w:rsidP="006233FA">
            <w:pPr>
              <w:spacing w:after="0"/>
              <w:jc w:val="right"/>
              <w:rPr>
                <w:color w:val="000000"/>
                <w:lang w:eastAsia="en-CA"/>
              </w:rPr>
            </w:pPr>
            <w:r w:rsidRPr="007668E1">
              <w:rPr>
                <w:color w:val="000000"/>
                <w:lang w:eastAsia="en-CA"/>
              </w:rPr>
              <w:t xml:space="preserve">63,500 </w:t>
            </w:r>
          </w:p>
        </w:tc>
        <w:tc>
          <w:tcPr>
            <w:tcW w:w="1082" w:type="dxa"/>
            <w:tcBorders>
              <w:top w:val="nil"/>
              <w:left w:val="nil"/>
              <w:bottom w:val="single" w:sz="4" w:space="0" w:color="auto"/>
              <w:right w:val="single" w:sz="4" w:space="0" w:color="auto"/>
            </w:tcBorders>
            <w:noWrap/>
            <w:vAlign w:val="bottom"/>
            <w:hideMark/>
          </w:tcPr>
          <w:p w14:paraId="32441EED" w14:textId="77777777" w:rsidR="00AF182C" w:rsidRPr="007668E1" w:rsidRDefault="00AF182C" w:rsidP="006233FA">
            <w:pPr>
              <w:spacing w:after="0"/>
              <w:jc w:val="right"/>
              <w:rPr>
                <w:color w:val="000000"/>
                <w:lang w:eastAsia="en-CA"/>
              </w:rPr>
            </w:pPr>
            <w:r w:rsidRPr="007668E1">
              <w:rPr>
                <w:color w:val="000000"/>
                <w:lang w:eastAsia="en-CA"/>
              </w:rPr>
              <w:t> </w:t>
            </w:r>
          </w:p>
        </w:tc>
        <w:tc>
          <w:tcPr>
            <w:tcW w:w="1087" w:type="dxa"/>
            <w:tcBorders>
              <w:top w:val="nil"/>
              <w:left w:val="nil"/>
              <w:bottom w:val="single" w:sz="4" w:space="0" w:color="auto"/>
              <w:right w:val="single" w:sz="4" w:space="0" w:color="auto"/>
            </w:tcBorders>
            <w:noWrap/>
            <w:vAlign w:val="bottom"/>
            <w:hideMark/>
          </w:tcPr>
          <w:p w14:paraId="7A6329A2" w14:textId="77777777" w:rsidR="00AF182C" w:rsidRPr="007668E1" w:rsidRDefault="00AF182C" w:rsidP="006233FA">
            <w:pPr>
              <w:spacing w:after="0"/>
              <w:jc w:val="right"/>
              <w:rPr>
                <w:color w:val="000000"/>
                <w:lang w:eastAsia="en-CA"/>
              </w:rPr>
            </w:pPr>
            <w:r w:rsidRPr="007668E1">
              <w:rPr>
                <w:color w:val="000000"/>
                <w:lang w:eastAsia="en-CA"/>
              </w:rPr>
              <w:t xml:space="preserve">81,500 </w:t>
            </w:r>
          </w:p>
        </w:tc>
        <w:tc>
          <w:tcPr>
            <w:tcW w:w="1193" w:type="dxa"/>
            <w:tcBorders>
              <w:top w:val="nil"/>
              <w:left w:val="nil"/>
              <w:bottom w:val="single" w:sz="4" w:space="0" w:color="auto"/>
              <w:right w:val="single" w:sz="4" w:space="0" w:color="auto"/>
            </w:tcBorders>
            <w:noWrap/>
            <w:vAlign w:val="bottom"/>
            <w:hideMark/>
          </w:tcPr>
          <w:p w14:paraId="49412D41" w14:textId="77777777" w:rsidR="00AF182C" w:rsidRPr="007668E1" w:rsidRDefault="00AF182C" w:rsidP="006233FA">
            <w:pPr>
              <w:spacing w:after="0"/>
              <w:jc w:val="right"/>
              <w:rPr>
                <w:color w:val="000000"/>
                <w:lang w:eastAsia="en-CA"/>
              </w:rPr>
            </w:pPr>
            <w:r w:rsidRPr="007668E1">
              <w:rPr>
                <w:color w:val="000000"/>
                <w:lang w:eastAsia="en-CA"/>
              </w:rPr>
              <w:t xml:space="preserve">43,000 </w:t>
            </w:r>
          </w:p>
        </w:tc>
        <w:tc>
          <w:tcPr>
            <w:tcW w:w="1313" w:type="dxa"/>
            <w:tcBorders>
              <w:top w:val="nil"/>
              <w:left w:val="nil"/>
              <w:bottom w:val="single" w:sz="4" w:space="0" w:color="auto"/>
              <w:right w:val="single" w:sz="4" w:space="0" w:color="auto"/>
            </w:tcBorders>
            <w:noWrap/>
            <w:vAlign w:val="bottom"/>
            <w:hideMark/>
          </w:tcPr>
          <w:p w14:paraId="6471E4C3" w14:textId="77777777" w:rsidR="00AF182C" w:rsidRPr="007668E1" w:rsidRDefault="00AF182C" w:rsidP="006233FA">
            <w:pPr>
              <w:spacing w:after="0"/>
              <w:jc w:val="right"/>
              <w:rPr>
                <w:color w:val="000000"/>
                <w:lang w:eastAsia="en-CA"/>
              </w:rPr>
            </w:pPr>
            <w:r w:rsidRPr="007668E1">
              <w:rPr>
                <w:color w:val="000000"/>
                <w:lang w:eastAsia="en-CA"/>
              </w:rPr>
              <w:t xml:space="preserve">32,000 </w:t>
            </w:r>
          </w:p>
        </w:tc>
        <w:tc>
          <w:tcPr>
            <w:tcW w:w="1353" w:type="dxa"/>
            <w:tcBorders>
              <w:top w:val="nil"/>
              <w:left w:val="nil"/>
              <w:bottom w:val="single" w:sz="4" w:space="0" w:color="auto"/>
              <w:right w:val="single" w:sz="4" w:space="0" w:color="auto"/>
            </w:tcBorders>
            <w:noWrap/>
            <w:vAlign w:val="bottom"/>
            <w:hideMark/>
          </w:tcPr>
          <w:p w14:paraId="0061F7FE" w14:textId="77777777" w:rsidR="00AF182C" w:rsidRPr="007668E1" w:rsidRDefault="00AF182C" w:rsidP="006233FA">
            <w:pPr>
              <w:spacing w:after="0"/>
              <w:jc w:val="right"/>
              <w:rPr>
                <w:color w:val="000000"/>
                <w:lang w:eastAsia="en-CA"/>
              </w:rPr>
            </w:pPr>
            <w:r w:rsidRPr="007668E1">
              <w:rPr>
                <w:color w:val="000000"/>
                <w:lang w:eastAsia="en-CA"/>
              </w:rPr>
              <w:t xml:space="preserve">32,000 </w:t>
            </w:r>
          </w:p>
        </w:tc>
      </w:tr>
      <w:tr w:rsidR="00AF182C" w:rsidRPr="007668E1" w14:paraId="000DD134" w14:textId="77777777" w:rsidTr="00760FDA">
        <w:trPr>
          <w:trHeight w:val="288"/>
        </w:trPr>
        <w:tc>
          <w:tcPr>
            <w:tcW w:w="598" w:type="dxa"/>
            <w:tcBorders>
              <w:top w:val="nil"/>
              <w:left w:val="single" w:sz="4" w:space="0" w:color="auto"/>
              <w:bottom w:val="single" w:sz="4" w:space="0" w:color="auto"/>
              <w:right w:val="single" w:sz="4" w:space="0" w:color="auto"/>
            </w:tcBorders>
            <w:noWrap/>
            <w:vAlign w:val="bottom"/>
            <w:hideMark/>
          </w:tcPr>
          <w:p w14:paraId="6D5CAE3C" w14:textId="77777777" w:rsidR="00AF182C" w:rsidRPr="007668E1" w:rsidRDefault="00AF182C" w:rsidP="006233FA">
            <w:pPr>
              <w:spacing w:after="0"/>
              <w:jc w:val="right"/>
              <w:rPr>
                <w:color w:val="000000"/>
                <w:lang w:eastAsia="en-CA"/>
              </w:rPr>
            </w:pPr>
            <w:r w:rsidRPr="007668E1">
              <w:rPr>
                <w:color w:val="000000"/>
                <w:lang w:eastAsia="en-CA"/>
              </w:rPr>
              <w:t>2</w:t>
            </w:r>
          </w:p>
        </w:tc>
        <w:tc>
          <w:tcPr>
            <w:tcW w:w="1296" w:type="dxa"/>
            <w:tcBorders>
              <w:top w:val="nil"/>
              <w:left w:val="nil"/>
              <w:bottom w:val="single" w:sz="4" w:space="0" w:color="auto"/>
              <w:right w:val="single" w:sz="4" w:space="0" w:color="auto"/>
            </w:tcBorders>
            <w:noWrap/>
            <w:vAlign w:val="bottom"/>
            <w:hideMark/>
          </w:tcPr>
          <w:p w14:paraId="17951A3A" w14:textId="77777777" w:rsidR="00AF182C" w:rsidRPr="007668E1" w:rsidRDefault="00AF182C" w:rsidP="006233FA">
            <w:pPr>
              <w:spacing w:after="0"/>
              <w:rPr>
                <w:color w:val="000000"/>
                <w:lang w:eastAsia="en-CA"/>
              </w:rPr>
            </w:pPr>
            <w:r w:rsidRPr="007668E1">
              <w:rPr>
                <w:color w:val="000000"/>
                <w:lang w:eastAsia="en-CA"/>
              </w:rPr>
              <w:t>2024-2029</w:t>
            </w:r>
          </w:p>
        </w:tc>
        <w:tc>
          <w:tcPr>
            <w:tcW w:w="990" w:type="dxa"/>
            <w:tcBorders>
              <w:top w:val="nil"/>
              <w:left w:val="nil"/>
              <w:bottom w:val="single" w:sz="4" w:space="0" w:color="auto"/>
              <w:right w:val="single" w:sz="4" w:space="0" w:color="auto"/>
            </w:tcBorders>
            <w:noWrap/>
            <w:vAlign w:val="bottom"/>
            <w:hideMark/>
          </w:tcPr>
          <w:p w14:paraId="4E1BE23C" w14:textId="77777777" w:rsidR="00AF182C" w:rsidRPr="007668E1" w:rsidRDefault="00AF182C" w:rsidP="006233FA">
            <w:pPr>
              <w:spacing w:after="0"/>
              <w:jc w:val="right"/>
              <w:rPr>
                <w:color w:val="000000"/>
                <w:lang w:eastAsia="en-CA"/>
              </w:rPr>
            </w:pPr>
            <w:r w:rsidRPr="007668E1">
              <w:rPr>
                <w:color w:val="000000"/>
                <w:lang w:eastAsia="en-CA"/>
              </w:rPr>
              <w:t>9450</w:t>
            </w:r>
          </w:p>
        </w:tc>
        <w:tc>
          <w:tcPr>
            <w:tcW w:w="1050" w:type="dxa"/>
            <w:tcBorders>
              <w:top w:val="nil"/>
              <w:left w:val="nil"/>
              <w:bottom w:val="single" w:sz="4" w:space="0" w:color="auto"/>
              <w:right w:val="single" w:sz="4" w:space="0" w:color="auto"/>
            </w:tcBorders>
            <w:noWrap/>
            <w:vAlign w:val="bottom"/>
            <w:hideMark/>
          </w:tcPr>
          <w:p w14:paraId="1EC2F65C" w14:textId="77777777" w:rsidR="00AF182C" w:rsidRPr="007668E1" w:rsidRDefault="00AF182C" w:rsidP="006233FA">
            <w:pPr>
              <w:spacing w:after="0"/>
              <w:jc w:val="right"/>
              <w:rPr>
                <w:color w:val="000000"/>
                <w:lang w:eastAsia="en-CA"/>
              </w:rPr>
            </w:pPr>
            <w:r w:rsidRPr="007668E1">
              <w:rPr>
                <w:color w:val="000000"/>
                <w:lang w:eastAsia="en-CA"/>
              </w:rPr>
              <w:t>10.0</w:t>
            </w:r>
          </w:p>
        </w:tc>
        <w:tc>
          <w:tcPr>
            <w:tcW w:w="1380" w:type="dxa"/>
            <w:tcBorders>
              <w:top w:val="nil"/>
              <w:left w:val="nil"/>
              <w:bottom w:val="single" w:sz="4" w:space="0" w:color="auto"/>
              <w:right w:val="single" w:sz="4" w:space="0" w:color="auto"/>
            </w:tcBorders>
            <w:noWrap/>
            <w:vAlign w:val="bottom"/>
            <w:hideMark/>
          </w:tcPr>
          <w:p w14:paraId="3871E3BD" w14:textId="77777777" w:rsidR="00AF182C" w:rsidRPr="007668E1" w:rsidRDefault="00AF182C" w:rsidP="006233FA">
            <w:pPr>
              <w:spacing w:after="0"/>
              <w:jc w:val="right"/>
              <w:rPr>
                <w:color w:val="000000"/>
                <w:lang w:eastAsia="en-CA"/>
              </w:rPr>
            </w:pPr>
            <w:r w:rsidRPr="007668E1">
              <w:rPr>
                <w:color w:val="000000"/>
                <w:lang w:eastAsia="en-CA"/>
              </w:rPr>
              <w:t xml:space="preserve">145,000 </w:t>
            </w:r>
          </w:p>
        </w:tc>
        <w:tc>
          <w:tcPr>
            <w:tcW w:w="1213" w:type="dxa"/>
            <w:tcBorders>
              <w:top w:val="nil"/>
              <w:left w:val="nil"/>
              <w:bottom w:val="single" w:sz="4" w:space="0" w:color="auto"/>
              <w:right w:val="single" w:sz="4" w:space="0" w:color="auto"/>
            </w:tcBorders>
            <w:noWrap/>
            <w:vAlign w:val="bottom"/>
            <w:hideMark/>
          </w:tcPr>
          <w:p w14:paraId="043AABF8" w14:textId="77777777" w:rsidR="00AF182C" w:rsidRPr="007668E1" w:rsidRDefault="00AF182C" w:rsidP="006233FA">
            <w:pPr>
              <w:spacing w:after="0"/>
              <w:jc w:val="right"/>
              <w:rPr>
                <w:color w:val="000000"/>
                <w:lang w:eastAsia="en-CA"/>
              </w:rPr>
            </w:pPr>
            <w:r w:rsidRPr="007668E1">
              <w:rPr>
                <w:color w:val="000000"/>
                <w:lang w:eastAsia="en-CA"/>
              </w:rPr>
              <w:t xml:space="preserve">70,000 </w:t>
            </w:r>
          </w:p>
        </w:tc>
        <w:tc>
          <w:tcPr>
            <w:tcW w:w="1082" w:type="dxa"/>
            <w:tcBorders>
              <w:top w:val="nil"/>
              <w:left w:val="nil"/>
              <w:bottom w:val="single" w:sz="4" w:space="0" w:color="auto"/>
              <w:right w:val="single" w:sz="4" w:space="0" w:color="auto"/>
            </w:tcBorders>
            <w:noWrap/>
            <w:vAlign w:val="bottom"/>
            <w:hideMark/>
          </w:tcPr>
          <w:p w14:paraId="59E4088F" w14:textId="77777777" w:rsidR="00AF182C" w:rsidRPr="007668E1" w:rsidRDefault="00AF182C" w:rsidP="006233FA">
            <w:pPr>
              <w:spacing w:after="0"/>
              <w:jc w:val="right"/>
              <w:rPr>
                <w:color w:val="000000"/>
                <w:lang w:eastAsia="en-CA"/>
              </w:rPr>
            </w:pPr>
            <w:r w:rsidRPr="007668E1">
              <w:rPr>
                <w:color w:val="000000"/>
                <w:lang w:eastAsia="en-CA"/>
              </w:rPr>
              <w:t> </w:t>
            </w:r>
          </w:p>
        </w:tc>
        <w:tc>
          <w:tcPr>
            <w:tcW w:w="1087" w:type="dxa"/>
            <w:tcBorders>
              <w:top w:val="nil"/>
              <w:left w:val="nil"/>
              <w:bottom w:val="single" w:sz="4" w:space="0" w:color="auto"/>
              <w:right w:val="single" w:sz="4" w:space="0" w:color="auto"/>
            </w:tcBorders>
            <w:noWrap/>
            <w:vAlign w:val="bottom"/>
            <w:hideMark/>
          </w:tcPr>
          <w:p w14:paraId="1C292A05" w14:textId="77777777" w:rsidR="00AF182C" w:rsidRPr="007668E1" w:rsidRDefault="00AF182C" w:rsidP="006233FA">
            <w:pPr>
              <w:spacing w:after="0"/>
              <w:jc w:val="right"/>
              <w:rPr>
                <w:color w:val="000000"/>
                <w:lang w:eastAsia="en-CA"/>
              </w:rPr>
            </w:pPr>
            <w:r w:rsidRPr="007668E1">
              <w:rPr>
                <w:color w:val="000000"/>
                <w:lang w:eastAsia="en-CA"/>
              </w:rPr>
              <w:t xml:space="preserve">75,000 </w:t>
            </w:r>
          </w:p>
        </w:tc>
        <w:tc>
          <w:tcPr>
            <w:tcW w:w="1193" w:type="dxa"/>
            <w:tcBorders>
              <w:top w:val="nil"/>
              <w:left w:val="nil"/>
              <w:bottom w:val="single" w:sz="4" w:space="0" w:color="auto"/>
              <w:right w:val="single" w:sz="4" w:space="0" w:color="auto"/>
            </w:tcBorders>
            <w:noWrap/>
            <w:vAlign w:val="bottom"/>
            <w:hideMark/>
          </w:tcPr>
          <w:p w14:paraId="723DD403" w14:textId="77777777" w:rsidR="00AF182C" w:rsidRPr="007668E1" w:rsidRDefault="00AF182C" w:rsidP="006233FA">
            <w:pPr>
              <w:spacing w:after="0"/>
              <w:jc w:val="right"/>
              <w:rPr>
                <w:color w:val="000000"/>
                <w:lang w:eastAsia="en-CA"/>
              </w:rPr>
            </w:pPr>
            <w:r w:rsidRPr="007668E1">
              <w:rPr>
                <w:color w:val="000000"/>
                <w:lang w:eastAsia="en-CA"/>
              </w:rPr>
              <w:t xml:space="preserve">12,000 </w:t>
            </w:r>
          </w:p>
        </w:tc>
        <w:tc>
          <w:tcPr>
            <w:tcW w:w="1313" w:type="dxa"/>
            <w:tcBorders>
              <w:top w:val="nil"/>
              <w:left w:val="nil"/>
              <w:bottom w:val="single" w:sz="4" w:space="0" w:color="auto"/>
              <w:right w:val="single" w:sz="4" w:space="0" w:color="auto"/>
            </w:tcBorders>
            <w:noWrap/>
            <w:vAlign w:val="bottom"/>
            <w:hideMark/>
          </w:tcPr>
          <w:p w14:paraId="48FB5AE5" w14:textId="77777777" w:rsidR="00AF182C" w:rsidRPr="007668E1" w:rsidRDefault="00AF182C" w:rsidP="006233FA">
            <w:pPr>
              <w:spacing w:after="0"/>
              <w:jc w:val="right"/>
              <w:rPr>
                <w:color w:val="000000"/>
                <w:lang w:eastAsia="en-CA"/>
              </w:rPr>
            </w:pPr>
            <w:r w:rsidRPr="007668E1">
              <w:rPr>
                <w:color w:val="000000"/>
                <w:lang w:eastAsia="en-CA"/>
              </w:rPr>
              <w:t xml:space="preserve">74,000 </w:t>
            </w:r>
          </w:p>
        </w:tc>
        <w:tc>
          <w:tcPr>
            <w:tcW w:w="1353" w:type="dxa"/>
            <w:tcBorders>
              <w:top w:val="nil"/>
              <w:left w:val="nil"/>
              <w:bottom w:val="single" w:sz="4" w:space="0" w:color="auto"/>
              <w:right w:val="single" w:sz="4" w:space="0" w:color="auto"/>
            </w:tcBorders>
            <w:noWrap/>
            <w:vAlign w:val="bottom"/>
            <w:hideMark/>
          </w:tcPr>
          <w:p w14:paraId="6DDADAEE" w14:textId="77777777" w:rsidR="00AF182C" w:rsidRPr="007668E1" w:rsidRDefault="00AF182C" w:rsidP="006233FA">
            <w:pPr>
              <w:spacing w:after="0"/>
              <w:jc w:val="right"/>
              <w:rPr>
                <w:color w:val="000000"/>
                <w:lang w:eastAsia="en-CA"/>
              </w:rPr>
            </w:pPr>
            <w:r w:rsidRPr="007668E1">
              <w:rPr>
                <w:color w:val="000000"/>
                <w:lang w:eastAsia="en-CA"/>
              </w:rPr>
              <w:t xml:space="preserve">12,000 </w:t>
            </w:r>
          </w:p>
        </w:tc>
      </w:tr>
      <w:tr w:rsidR="00AF182C" w:rsidRPr="007668E1" w14:paraId="4188ED84" w14:textId="77777777" w:rsidTr="00760FDA">
        <w:trPr>
          <w:trHeight w:val="288"/>
        </w:trPr>
        <w:tc>
          <w:tcPr>
            <w:tcW w:w="598" w:type="dxa"/>
            <w:tcBorders>
              <w:top w:val="nil"/>
              <w:left w:val="single" w:sz="4" w:space="0" w:color="auto"/>
              <w:bottom w:val="single" w:sz="4" w:space="0" w:color="auto"/>
              <w:right w:val="single" w:sz="4" w:space="0" w:color="auto"/>
            </w:tcBorders>
            <w:noWrap/>
            <w:vAlign w:val="bottom"/>
            <w:hideMark/>
          </w:tcPr>
          <w:p w14:paraId="2D1F6B5E" w14:textId="77777777" w:rsidR="00AF182C" w:rsidRPr="007668E1" w:rsidRDefault="00AF182C" w:rsidP="006233FA">
            <w:pPr>
              <w:spacing w:after="0"/>
              <w:jc w:val="right"/>
              <w:rPr>
                <w:color w:val="000000"/>
                <w:lang w:eastAsia="en-CA"/>
              </w:rPr>
            </w:pPr>
            <w:r w:rsidRPr="007668E1">
              <w:rPr>
                <w:color w:val="000000"/>
                <w:lang w:eastAsia="en-CA"/>
              </w:rPr>
              <w:t>3</w:t>
            </w:r>
          </w:p>
        </w:tc>
        <w:tc>
          <w:tcPr>
            <w:tcW w:w="1296" w:type="dxa"/>
            <w:tcBorders>
              <w:top w:val="nil"/>
              <w:left w:val="nil"/>
              <w:bottom w:val="single" w:sz="4" w:space="0" w:color="auto"/>
              <w:right w:val="single" w:sz="4" w:space="0" w:color="auto"/>
            </w:tcBorders>
            <w:noWrap/>
            <w:vAlign w:val="bottom"/>
            <w:hideMark/>
          </w:tcPr>
          <w:p w14:paraId="2966C6D3" w14:textId="77777777" w:rsidR="00AF182C" w:rsidRPr="007668E1" w:rsidRDefault="00AF182C" w:rsidP="006233FA">
            <w:pPr>
              <w:spacing w:after="0"/>
              <w:rPr>
                <w:color w:val="000000"/>
                <w:lang w:eastAsia="en-CA"/>
              </w:rPr>
            </w:pPr>
            <w:r w:rsidRPr="007668E1">
              <w:rPr>
                <w:color w:val="000000"/>
                <w:lang w:eastAsia="en-CA"/>
              </w:rPr>
              <w:t>2024-2029</w:t>
            </w:r>
          </w:p>
        </w:tc>
        <w:tc>
          <w:tcPr>
            <w:tcW w:w="990" w:type="dxa"/>
            <w:tcBorders>
              <w:top w:val="nil"/>
              <w:left w:val="nil"/>
              <w:bottom w:val="single" w:sz="4" w:space="0" w:color="auto"/>
              <w:right w:val="single" w:sz="4" w:space="0" w:color="auto"/>
            </w:tcBorders>
            <w:noWrap/>
            <w:vAlign w:val="bottom"/>
            <w:hideMark/>
          </w:tcPr>
          <w:p w14:paraId="66E64D50" w14:textId="77777777" w:rsidR="00AF182C" w:rsidRPr="007668E1" w:rsidRDefault="00AF182C" w:rsidP="006233FA">
            <w:pPr>
              <w:spacing w:after="0"/>
              <w:jc w:val="right"/>
              <w:rPr>
                <w:color w:val="000000"/>
                <w:lang w:eastAsia="en-CA"/>
              </w:rPr>
            </w:pPr>
            <w:r w:rsidRPr="007668E1">
              <w:rPr>
                <w:color w:val="000000"/>
                <w:lang w:eastAsia="en-CA"/>
              </w:rPr>
              <w:t>9452</w:t>
            </w:r>
          </w:p>
        </w:tc>
        <w:tc>
          <w:tcPr>
            <w:tcW w:w="1050" w:type="dxa"/>
            <w:tcBorders>
              <w:top w:val="nil"/>
              <w:left w:val="nil"/>
              <w:bottom w:val="single" w:sz="4" w:space="0" w:color="auto"/>
              <w:right w:val="single" w:sz="4" w:space="0" w:color="auto"/>
            </w:tcBorders>
            <w:noWrap/>
            <w:vAlign w:val="bottom"/>
            <w:hideMark/>
          </w:tcPr>
          <w:p w14:paraId="2C30ECE6" w14:textId="77777777" w:rsidR="00AF182C" w:rsidRPr="007668E1" w:rsidRDefault="00AF182C" w:rsidP="006233FA">
            <w:pPr>
              <w:spacing w:after="0"/>
              <w:jc w:val="right"/>
              <w:rPr>
                <w:color w:val="000000"/>
                <w:lang w:eastAsia="en-CA"/>
              </w:rPr>
            </w:pPr>
            <w:r w:rsidRPr="007668E1">
              <w:rPr>
                <w:color w:val="000000"/>
                <w:lang w:eastAsia="en-CA"/>
              </w:rPr>
              <w:t>10.0</w:t>
            </w:r>
          </w:p>
        </w:tc>
        <w:tc>
          <w:tcPr>
            <w:tcW w:w="1380" w:type="dxa"/>
            <w:tcBorders>
              <w:top w:val="nil"/>
              <w:left w:val="nil"/>
              <w:bottom w:val="single" w:sz="4" w:space="0" w:color="auto"/>
              <w:right w:val="single" w:sz="4" w:space="0" w:color="auto"/>
            </w:tcBorders>
            <w:noWrap/>
            <w:vAlign w:val="bottom"/>
            <w:hideMark/>
          </w:tcPr>
          <w:p w14:paraId="6BFD108A" w14:textId="77777777" w:rsidR="00AF182C" w:rsidRPr="007668E1" w:rsidRDefault="00AF182C" w:rsidP="006233FA">
            <w:pPr>
              <w:spacing w:after="0"/>
              <w:jc w:val="right"/>
              <w:rPr>
                <w:color w:val="000000"/>
                <w:lang w:eastAsia="en-CA"/>
              </w:rPr>
            </w:pPr>
            <w:r w:rsidRPr="007668E1">
              <w:rPr>
                <w:color w:val="000000"/>
                <w:lang w:eastAsia="en-CA"/>
              </w:rPr>
              <w:t xml:space="preserve">158,000 </w:t>
            </w:r>
          </w:p>
        </w:tc>
        <w:tc>
          <w:tcPr>
            <w:tcW w:w="1213" w:type="dxa"/>
            <w:tcBorders>
              <w:top w:val="nil"/>
              <w:left w:val="nil"/>
              <w:bottom w:val="single" w:sz="4" w:space="0" w:color="auto"/>
              <w:right w:val="single" w:sz="4" w:space="0" w:color="auto"/>
            </w:tcBorders>
            <w:noWrap/>
            <w:vAlign w:val="bottom"/>
            <w:hideMark/>
          </w:tcPr>
          <w:p w14:paraId="667067EE" w14:textId="77777777" w:rsidR="00AF182C" w:rsidRPr="007668E1" w:rsidRDefault="00AF182C" w:rsidP="006233FA">
            <w:pPr>
              <w:spacing w:after="0"/>
              <w:jc w:val="right"/>
              <w:rPr>
                <w:color w:val="000000"/>
                <w:lang w:eastAsia="en-CA"/>
              </w:rPr>
            </w:pPr>
            <w:r w:rsidRPr="007668E1">
              <w:rPr>
                <w:color w:val="000000"/>
                <w:lang w:eastAsia="en-CA"/>
              </w:rPr>
              <w:t xml:space="preserve">81,680 </w:t>
            </w:r>
          </w:p>
        </w:tc>
        <w:tc>
          <w:tcPr>
            <w:tcW w:w="1082" w:type="dxa"/>
            <w:tcBorders>
              <w:top w:val="nil"/>
              <w:left w:val="nil"/>
              <w:bottom w:val="single" w:sz="4" w:space="0" w:color="auto"/>
              <w:right w:val="single" w:sz="4" w:space="0" w:color="auto"/>
            </w:tcBorders>
            <w:noWrap/>
            <w:vAlign w:val="bottom"/>
            <w:hideMark/>
          </w:tcPr>
          <w:p w14:paraId="01500196" w14:textId="77777777" w:rsidR="00AF182C" w:rsidRPr="007668E1" w:rsidRDefault="00AF182C" w:rsidP="006233FA">
            <w:pPr>
              <w:spacing w:after="0"/>
              <w:jc w:val="right"/>
              <w:rPr>
                <w:color w:val="000000"/>
                <w:lang w:eastAsia="en-CA"/>
              </w:rPr>
            </w:pPr>
            <w:r w:rsidRPr="007668E1">
              <w:rPr>
                <w:color w:val="000000"/>
                <w:lang w:eastAsia="en-CA"/>
              </w:rPr>
              <w:t> </w:t>
            </w:r>
          </w:p>
        </w:tc>
        <w:tc>
          <w:tcPr>
            <w:tcW w:w="1087" w:type="dxa"/>
            <w:tcBorders>
              <w:top w:val="nil"/>
              <w:left w:val="nil"/>
              <w:bottom w:val="single" w:sz="4" w:space="0" w:color="auto"/>
              <w:right w:val="single" w:sz="4" w:space="0" w:color="auto"/>
            </w:tcBorders>
            <w:noWrap/>
            <w:vAlign w:val="bottom"/>
            <w:hideMark/>
          </w:tcPr>
          <w:p w14:paraId="75598F16" w14:textId="77777777" w:rsidR="00AF182C" w:rsidRPr="007668E1" w:rsidRDefault="00AF182C" w:rsidP="006233FA">
            <w:pPr>
              <w:spacing w:after="0"/>
              <w:jc w:val="right"/>
              <w:rPr>
                <w:color w:val="000000"/>
                <w:lang w:eastAsia="en-CA"/>
              </w:rPr>
            </w:pPr>
            <w:r w:rsidRPr="007668E1">
              <w:rPr>
                <w:color w:val="000000"/>
                <w:lang w:eastAsia="en-CA"/>
              </w:rPr>
              <w:t xml:space="preserve">76,320 </w:t>
            </w:r>
          </w:p>
        </w:tc>
        <w:tc>
          <w:tcPr>
            <w:tcW w:w="1193" w:type="dxa"/>
            <w:tcBorders>
              <w:top w:val="nil"/>
              <w:left w:val="nil"/>
              <w:bottom w:val="single" w:sz="4" w:space="0" w:color="auto"/>
              <w:right w:val="single" w:sz="4" w:space="0" w:color="auto"/>
            </w:tcBorders>
            <w:noWrap/>
            <w:vAlign w:val="bottom"/>
            <w:hideMark/>
          </w:tcPr>
          <w:p w14:paraId="07D336A8" w14:textId="77777777" w:rsidR="00AF182C" w:rsidRPr="007668E1" w:rsidRDefault="00AF182C" w:rsidP="006233FA">
            <w:pPr>
              <w:spacing w:after="0"/>
              <w:jc w:val="right"/>
              <w:rPr>
                <w:color w:val="000000"/>
                <w:lang w:eastAsia="en-CA"/>
              </w:rPr>
            </w:pPr>
            <w:r w:rsidRPr="007668E1">
              <w:rPr>
                <w:color w:val="000000"/>
                <w:lang w:eastAsia="en-CA"/>
              </w:rPr>
              <w:t xml:space="preserve">17,000 </w:t>
            </w:r>
          </w:p>
        </w:tc>
        <w:tc>
          <w:tcPr>
            <w:tcW w:w="1313" w:type="dxa"/>
            <w:tcBorders>
              <w:top w:val="nil"/>
              <w:left w:val="nil"/>
              <w:bottom w:val="single" w:sz="4" w:space="0" w:color="auto"/>
              <w:right w:val="single" w:sz="4" w:space="0" w:color="auto"/>
            </w:tcBorders>
            <w:noWrap/>
            <w:vAlign w:val="bottom"/>
            <w:hideMark/>
          </w:tcPr>
          <w:p w14:paraId="4CE48D31" w14:textId="77777777" w:rsidR="00AF182C" w:rsidRPr="007668E1" w:rsidRDefault="00AF182C" w:rsidP="006233FA">
            <w:pPr>
              <w:spacing w:after="0"/>
              <w:jc w:val="right"/>
              <w:rPr>
                <w:color w:val="000000"/>
                <w:lang w:eastAsia="en-CA"/>
              </w:rPr>
            </w:pPr>
            <w:r w:rsidRPr="007668E1">
              <w:rPr>
                <w:color w:val="000000"/>
                <w:lang w:eastAsia="en-CA"/>
              </w:rPr>
              <w:t xml:space="preserve">62,000 </w:t>
            </w:r>
          </w:p>
        </w:tc>
        <w:tc>
          <w:tcPr>
            <w:tcW w:w="1353" w:type="dxa"/>
            <w:tcBorders>
              <w:top w:val="nil"/>
              <w:left w:val="nil"/>
              <w:bottom w:val="single" w:sz="4" w:space="0" w:color="auto"/>
              <w:right w:val="single" w:sz="4" w:space="0" w:color="auto"/>
            </w:tcBorders>
            <w:noWrap/>
            <w:vAlign w:val="bottom"/>
            <w:hideMark/>
          </w:tcPr>
          <w:p w14:paraId="7709798C" w14:textId="77777777" w:rsidR="00AF182C" w:rsidRPr="007668E1" w:rsidRDefault="00AF182C" w:rsidP="006233FA">
            <w:pPr>
              <w:spacing w:after="0"/>
              <w:jc w:val="right"/>
              <w:rPr>
                <w:color w:val="000000"/>
                <w:lang w:eastAsia="en-CA"/>
              </w:rPr>
            </w:pPr>
            <w:r w:rsidRPr="007668E1">
              <w:rPr>
                <w:color w:val="000000"/>
                <w:lang w:eastAsia="en-CA"/>
              </w:rPr>
              <w:t xml:space="preserve">26,000 </w:t>
            </w:r>
          </w:p>
        </w:tc>
      </w:tr>
      <w:tr w:rsidR="00AF182C" w:rsidRPr="007668E1" w14:paraId="6849CEDF" w14:textId="77777777" w:rsidTr="00760FDA">
        <w:trPr>
          <w:trHeight w:val="288"/>
        </w:trPr>
        <w:tc>
          <w:tcPr>
            <w:tcW w:w="598" w:type="dxa"/>
            <w:tcBorders>
              <w:top w:val="nil"/>
              <w:left w:val="single" w:sz="4" w:space="0" w:color="auto"/>
              <w:bottom w:val="single" w:sz="4" w:space="0" w:color="auto"/>
              <w:right w:val="single" w:sz="4" w:space="0" w:color="auto"/>
            </w:tcBorders>
            <w:noWrap/>
            <w:vAlign w:val="bottom"/>
            <w:hideMark/>
          </w:tcPr>
          <w:p w14:paraId="3D0CABF5" w14:textId="77777777" w:rsidR="00AF182C" w:rsidRPr="007668E1" w:rsidRDefault="00AF182C" w:rsidP="006233FA">
            <w:pPr>
              <w:spacing w:after="0"/>
              <w:jc w:val="right"/>
              <w:rPr>
                <w:color w:val="000000"/>
                <w:lang w:eastAsia="en-CA"/>
              </w:rPr>
            </w:pPr>
            <w:r w:rsidRPr="007668E1">
              <w:rPr>
                <w:color w:val="000000"/>
                <w:lang w:eastAsia="en-CA"/>
              </w:rPr>
              <w:t>4</w:t>
            </w:r>
          </w:p>
        </w:tc>
        <w:tc>
          <w:tcPr>
            <w:tcW w:w="1296" w:type="dxa"/>
            <w:tcBorders>
              <w:top w:val="nil"/>
              <w:left w:val="nil"/>
              <w:bottom w:val="single" w:sz="4" w:space="0" w:color="auto"/>
              <w:right w:val="single" w:sz="4" w:space="0" w:color="auto"/>
            </w:tcBorders>
            <w:noWrap/>
            <w:vAlign w:val="bottom"/>
            <w:hideMark/>
          </w:tcPr>
          <w:p w14:paraId="2A2DA907" w14:textId="77777777" w:rsidR="00AF182C" w:rsidRPr="007668E1" w:rsidRDefault="00AF182C" w:rsidP="006233FA">
            <w:pPr>
              <w:spacing w:after="0"/>
              <w:rPr>
                <w:color w:val="000000"/>
                <w:lang w:eastAsia="en-CA"/>
              </w:rPr>
            </w:pPr>
            <w:r w:rsidRPr="007668E1">
              <w:rPr>
                <w:color w:val="000000"/>
                <w:lang w:eastAsia="en-CA"/>
              </w:rPr>
              <w:t>2025-2029</w:t>
            </w:r>
          </w:p>
        </w:tc>
        <w:tc>
          <w:tcPr>
            <w:tcW w:w="990" w:type="dxa"/>
            <w:tcBorders>
              <w:top w:val="nil"/>
              <w:left w:val="nil"/>
              <w:bottom w:val="single" w:sz="4" w:space="0" w:color="auto"/>
              <w:right w:val="single" w:sz="4" w:space="0" w:color="auto"/>
            </w:tcBorders>
            <w:noWrap/>
            <w:vAlign w:val="bottom"/>
            <w:hideMark/>
          </w:tcPr>
          <w:p w14:paraId="34BA2EE9" w14:textId="77777777" w:rsidR="00AF182C" w:rsidRPr="007668E1" w:rsidRDefault="00AF182C" w:rsidP="006233FA">
            <w:pPr>
              <w:spacing w:after="0"/>
              <w:jc w:val="right"/>
              <w:rPr>
                <w:color w:val="000000"/>
                <w:lang w:eastAsia="en-CA"/>
              </w:rPr>
            </w:pPr>
            <w:r w:rsidRPr="007668E1">
              <w:rPr>
                <w:color w:val="000000"/>
                <w:lang w:eastAsia="en-CA"/>
              </w:rPr>
              <w:t>9782</w:t>
            </w:r>
          </w:p>
        </w:tc>
        <w:tc>
          <w:tcPr>
            <w:tcW w:w="1050" w:type="dxa"/>
            <w:tcBorders>
              <w:top w:val="nil"/>
              <w:left w:val="nil"/>
              <w:bottom w:val="single" w:sz="4" w:space="0" w:color="auto"/>
              <w:right w:val="single" w:sz="4" w:space="0" w:color="auto"/>
            </w:tcBorders>
            <w:noWrap/>
            <w:vAlign w:val="bottom"/>
            <w:hideMark/>
          </w:tcPr>
          <w:p w14:paraId="65A6716A" w14:textId="77777777" w:rsidR="00AF182C" w:rsidRPr="007668E1" w:rsidRDefault="00AF182C" w:rsidP="006233FA">
            <w:pPr>
              <w:spacing w:after="0"/>
              <w:jc w:val="right"/>
              <w:rPr>
                <w:color w:val="000000"/>
                <w:lang w:eastAsia="en-CA"/>
              </w:rPr>
            </w:pPr>
            <w:r w:rsidRPr="007668E1">
              <w:rPr>
                <w:color w:val="000000"/>
                <w:lang w:eastAsia="en-CA"/>
              </w:rPr>
              <w:t>10.0</w:t>
            </w:r>
          </w:p>
        </w:tc>
        <w:tc>
          <w:tcPr>
            <w:tcW w:w="1380" w:type="dxa"/>
            <w:tcBorders>
              <w:top w:val="nil"/>
              <w:left w:val="nil"/>
              <w:bottom w:val="single" w:sz="4" w:space="0" w:color="auto"/>
              <w:right w:val="single" w:sz="4" w:space="0" w:color="auto"/>
            </w:tcBorders>
            <w:noWrap/>
            <w:vAlign w:val="bottom"/>
            <w:hideMark/>
          </w:tcPr>
          <w:p w14:paraId="3D59E85E" w14:textId="77777777" w:rsidR="00AF182C" w:rsidRPr="007668E1" w:rsidRDefault="00AF182C" w:rsidP="006233FA">
            <w:pPr>
              <w:spacing w:after="0"/>
              <w:jc w:val="right"/>
              <w:rPr>
                <w:color w:val="000000"/>
                <w:lang w:eastAsia="en-CA"/>
              </w:rPr>
            </w:pPr>
            <w:r w:rsidRPr="007668E1">
              <w:rPr>
                <w:color w:val="000000"/>
                <w:lang w:eastAsia="en-CA"/>
              </w:rPr>
              <w:t xml:space="preserve">170,000 </w:t>
            </w:r>
          </w:p>
        </w:tc>
        <w:tc>
          <w:tcPr>
            <w:tcW w:w="1213" w:type="dxa"/>
            <w:tcBorders>
              <w:top w:val="nil"/>
              <w:left w:val="nil"/>
              <w:bottom w:val="single" w:sz="4" w:space="0" w:color="auto"/>
              <w:right w:val="single" w:sz="4" w:space="0" w:color="auto"/>
            </w:tcBorders>
            <w:noWrap/>
            <w:vAlign w:val="bottom"/>
            <w:hideMark/>
          </w:tcPr>
          <w:p w14:paraId="3D343777" w14:textId="77777777" w:rsidR="00AF182C" w:rsidRPr="007668E1" w:rsidRDefault="00AF182C" w:rsidP="006233FA">
            <w:pPr>
              <w:spacing w:after="0"/>
              <w:jc w:val="right"/>
              <w:rPr>
                <w:color w:val="000000"/>
                <w:lang w:eastAsia="en-CA"/>
              </w:rPr>
            </w:pPr>
            <w:r w:rsidRPr="007668E1">
              <w:rPr>
                <w:color w:val="000000"/>
                <w:lang w:eastAsia="en-CA"/>
              </w:rPr>
              <w:t> </w:t>
            </w:r>
          </w:p>
        </w:tc>
        <w:tc>
          <w:tcPr>
            <w:tcW w:w="1082" w:type="dxa"/>
            <w:tcBorders>
              <w:top w:val="nil"/>
              <w:left w:val="nil"/>
              <w:bottom w:val="single" w:sz="4" w:space="0" w:color="auto"/>
              <w:right w:val="single" w:sz="4" w:space="0" w:color="auto"/>
            </w:tcBorders>
            <w:noWrap/>
            <w:vAlign w:val="bottom"/>
            <w:hideMark/>
          </w:tcPr>
          <w:p w14:paraId="1740977D" w14:textId="77777777" w:rsidR="00AF182C" w:rsidRPr="007668E1" w:rsidRDefault="00AF182C" w:rsidP="006233FA">
            <w:pPr>
              <w:spacing w:after="0"/>
              <w:jc w:val="right"/>
              <w:rPr>
                <w:color w:val="000000"/>
                <w:lang w:eastAsia="en-CA"/>
              </w:rPr>
            </w:pPr>
            <w:r w:rsidRPr="007668E1">
              <w:rPr>
                <w:color w:val="000000"/>
                <w:lang w:eastAsia="en-CA"/>
              </w:rPr>
              <w:t xml:space="preserve">95,500 </w:t>
            </w:r>
          </w:p>
        </w:tc>
        <w:tc>
          <w:tcPr>
            <w:tcW w:w="1087" w:type="dxa"/>
            <w:tcBorders>
              <w:top w:val="nil"/>
              <w:left w:val="nil"/>
              <w:bottom w:val="single" w:sz="4" w:space="0" w:color="auto"/>
              <w:right w:val="single" w:sz="4" w:space="0" w:color="auto"/>
            </w:tcBorders>
            <w:noWrap/>
            <w:vAlign w:val="bottom"/>
            <w:hideMark/>
          </w:tcPr>
          <w:p w14:paraId="24006649" w14:textId="77777777" w:rsidR="00AF182C" w:rsidRPr="007668E1" w:rsidRDefault="00AF182C" w:rsidP="006233FA">
            <w:pPr>
              <w:spacing w:after="0"/>
              <w:jc w:val="right"/>
              <w:rPr>
                <w:color w:val="000000"/>
                <w:lang w:eastAsia="en-CA"/>
              </w:rPr>
            </w:pPr>
            <w:r w:rsidRPr="007668E1">
              <w:rPr>
                <w:color w:val="000000"/>
                <w:lang w:eastAsia="en-CA"/>
              </w:rPr>
              <w:t xml:space="preserve">74,500 </w:t>
            </w:r>
          </w:p>
        </w:tc>
        <w:tc>
          <w:tcPr>
            <w:tcW w:w="1193" w:type="dxa"/>
            <w:tcBorders>
              <w:top w:val="nil"/>
              <w:left w:val="nil"/>
              <w:bottom w:val="single" w:sz="4" w:space="0" w:color="auto"/>
              <w:right w:val="single" w:sz="4" w:space="0" w:color="auto"/>
            </w:tcBorders>
            <w:noWrap/>
            <w:vAlign w:val="bottom"/>
            <w:hideMark/>
          </w:tcPr>
          <w:p w14:paraId="3E60CA1F" w14:textId="77777777" w:rsidR="00AF182C" w:rsidRPr="007668E1" w:rsidRDefault="00AF182C" w:rsidP="006233FA">
            <w:pPr>
              <w:spacing w:after="0"/>
              <w:jc w:val="right"/>
              <w:rPr>
                <w:color w:val="000000"/>
                <w:lang w:eastAsia="en-CA"/>
              </w:rPr>
            </w:pPr>
            <w:r w:rsidRPr="007668E1">
              <w:rPr>
                <w:color w:val="000000"/>
                <w:lang w:eastAsia="en-CA"/>
              </w:rPr>
              <w:t xml:space="preserve">45,000 </w:t>
            </w:r>
          </w:p>
        </w:tc>
        <w:tc>
          <w:tcPr>
            <w:tcW w:w="1313" w:type="dxa"/>
            <w:tcBorders>
              <w:top w:val="nil"/>
              <w:left w:val="nil"/>
              <w:bottom w:val="single" w:sz="4" w:space="0" w:color="auto"/>
              <w:right w:val="single" w:sz="4" w:space="0" w:color="auto"/>
            </w:tcBorders>
            <w:noWrap/>
            <w:vAlign w:val="bottom"/>
            <w:hideMark/>
          </w:tcPr>
          <w:p w14:paraId="2236EBAB" w14:textId="77777777" w:rsidR="00AF182C" w:rsidRPr="007668E1" w:rsidRDefault="00AF182C" w:rsidP="006233FA">
            <w:pPr>
              <w:spacing w:after="0"/>
              <w:jc w:val="right"/>
              <w:rPr>
                <w:color w:val="000000"/>
                <w:lang w:eastAsia="en-CA"/>
              </w:rPr>
            </w:pPr>
            <w:r w:rsidRPr="007668E1">
              <w:rPr>
                <w:color w:val="000000"/>
                <w:lang w:eastAsia="en-CA"/>
              </w:rPr>
              <w:t xml:space="preserve">73,400 </w:t>
            </w:r>
          </w:p>
        </w:tc>
        <w:tc>
          <w:tcPr>
            <w:tcW w:w="1353" w:type="dxa"/>
            <w:tcBorders>
              <w:top w:val="nil"/>
              <w:left w:val="nil"/>
              <w:bottom w:val="single" w:sz="4" w:space="0" w:color="auto"/>
              <w:right w:val="single" w:sz="4" w:space="0" w:color="auto"/>
            </w:tcBorders>
            <w:noWrap/>
            <w:vAlign w:val="bottom"/>
            <w:hideMark/>
          </w:tcPr>
          <w:p w14:paraId="2FFBC1E2" w14:textId="77777777" w:rsidR="00AF182C" w:rsidRPr="007668E1" w:rsidRDefault="00AF182C" w:rsidP="006233FA">
            <w:pPr>
              <w:spacing w:after="0"/>
              <w:jc w:val="right"/>
              <w:rPr>
                <w:color w:val="000000"/>
                <w:lang w:eastAsia="en-CA"/>
              </w:rPr>
            </w:pPr>
            <w:r w:rsidRPr="007668E1">
              <w:rPr>
                <w:color w:val="000000"/>
                <w:lang w:eastAsia="en-CA"/>
              </w:rPr>
              <w:t xml:space="preserve">25,000 </w:t>
            </w:r>
          </w:p>
        </w:tc>
      </w:tr>
      <w:tr w:rsidR="00AF182C" w:rsidRPr="007668E1" w14:paraId="53D1D159" w14:textId="77777777" w:rsidTr="00760FDA">
        <w:trPr>
          <w:trHeight w:val="312"/>
        </w:trPr>
        <w:tc>
          <w:tcPr>
            <w:tcW w:w="598" w:type="dxa"/>
            <w:tcBorders>
              <w:top w:val="nil"/>
              <w:left w:val="single" w:sz="4" w:space="0" w:color="auto"/>
              <w:bottom w:val="single" w:sz="4" w:space="0" w:color="auto"/>
              <w:right w:val="single" w:sz="4" w:space="0" w:color="auto"/>
            </w:tcBorders>
            <w:noWrap/>
            <w:vAlign w:val="bottom"/>
            <w:hideMark/>
          </w:tcPr>
          <w:p w14:paraId="72921DB2" w14:textId="77777777" w:rsidR="00AF182C" w:rsidRPr="007668E1" w:rsidRDefault="00AF182C" w:rsidP="006233FA">
            <w:pPr>
              <w:spacing w:after="0"/>
              <w:jc w:val="right"/>
              <w:rPr>
                <w:color w:val="000000"/>
                <w:lang w:eastAsia="en-CA"/>
              </w:rPr>
            </w:pPr>
            <w:r w:rsidRPr="007668E1">
              <w:rPr>
                <w:color w:val="000000"/>
                <w:lang w:eastAsia="en-CA"/>
              </w:rPr>
              <w:t>5</w:t>
            </w:r>
          </w:p>
        </w:tc>
        <w:tc>
          <w:tcPr>
            <w:tcW w:w="1296" w:type="dxa"/>
            <w:tcBorders>
              <w:top w:val="nil"/>
              <w:left w:val="nil"/>
              <w:bottom w:val="single" w:sz="4" w:space="0" w:color="auto"/>
              <w:right w:val="single" w:sz="4" w:space="0" w:color="auto"/>
            </w:tcBorders>
            <w:noWrap/>
            <w:vAlign w:val="bottom"/>
            <w:hideMark/>
          </w:tcPr>
          <w:p w14:paraId="6A8A29F3" w14:textId="77777777" w:rsidR="00AF182C" w:rsidRPr="007668E1" w:rsidRDefault="00AF182C" w:rsidP="006233FA">
            <w:pPr>
              <w:spacing w:after="0"/>
              <w:rPr>
                <w:color w:val="000000"/>
                <w:lang w:eastAsia="en-CA"/>
              </w:rPr>
            </w:pPr>
            <w:r w:rsidRPr="007668E1">
              <w:rPr>
                <w:color w:val="000000"/>
                <w:lang w:eastAsia="en-CA"/>
              </w:rPr>
              <w:t>2024-2029</w:t>
            </w:r>
          </w:p>
        </w:tc>
        <w:tc>
          <w:tcPr>
            <w:tcW w:w="990" w:type="dxa"/>
            <w:tcBorders>
              <w:top w:val="nil"/>
              <w:left w:val="nil"/>
              <w:bottom w:val="single" w:sz="4" w:space="0" w:color="auto"/>
              <w:right w:val="single" w:sz="4" w:space="0" w:color="auto"/>
            </w:tcBorders>
            <w:noWrap/>
            <w:vAlign w:val="bottom"/>
            <w:hideMark/>
          </w:tcPr>
          <w:p w14:paraId="51784BE2" w14:textId="77777777" w:rsidR="00AF182C" w:rsidRPr="007668E1" w:rsidRDefault="00AF182C" w:rsidP="006233FA">
            <w:pPr>
              <w:spacing w:after="0"/>
              <w:jc w:val="right"/>
              <w:rPr>
                <w:color w:val="000000"/>
                <w:lang w:eastAsia="en-CA"/>
              </w:rPr>
            </w:pPr>
            <w:r w:rsidRPr="007668E1">
              <w:rPr>
                <w:color w:val="000000"/>
                <w:lang w:eastAsia="en-CA"/>
              </w:rPr>
              <w:t>9453</w:t>
            </w:r>
          </w:p>
        </w:tc>
        <w:tc>
          <w:tcPr>
            <w:tcW w:w="1050" w:type="dxa"/>
            <w:tcBorders>
              <w:top w:val="nil"/>
              <w:left w:val="nil"/>
              <w:bottom w:val="single" w:sz="4" w:space="0" w:color="auto"/>
              <w:right w:val="single" w:sz="4" w:space="0" w:color="auto"/>
            </w:tcBorders>
            <w:noWrap/>
            <w:vAlign w:val="bottom"/>
            <w:hideMark/>
          </w:tcPr>
          <w:p w14:paraId="0F03F991" w14:textId="77777777" w:rsidR="00AF182C" w:rsidRPr="007668E1" w:rsidRDefault="00AF182C" w:rsidP="006233FA">
            <w:pPr>
              <w:spacing w:after="0"/>
              <w:jc w:val="right"/>
              <w:rPr>
                <w:color w:val="000000"/>
                <w:lang w:eastAsia="en-CA"/>
              </w:rPr>
            </w:pPr>
            <w:r w:rsidRPr="007668E1">
              <w:rPr>
                <w:color w:val="000000"/>
                <w:lang w:eastAsia="en-CA"/>
              </w:rPr>
              <w:t>10.0</w:t>
            </w:r>
          </w:p>
        </w:tc>
        <w:tc>
          <w:tcPr>
            <w:tcW w:w="1380" w:type="dxa"/>
            <w:tcBorders>
              <w:top w:val="nil"/>
              <w:left w:val="nil"/>
              <w:bottom w:val="single" w:sz="4" w:space="0" w:color="auto"/>
              <w:right w:val="single" w:sz="4" w:space="0" w:color="auto"/>
            </w:tcBorders>
            <w:noWrap/>
            <w:vAlign w:val="bottom"/>
            <w:hideMark/>
          </w:tcPr>
          <w:p w14:paraId="2689E8B3" w14:textId="77777777" w:rsidR="00AF182C" w:rsidRPr="007668E1" w:rsidRDefault="00AF182C" w:rsidP="006233FA">
            <w:pPr>
              <w:spacing w:after="0"/>
              <w:jc w:val="right"/>
              <w:rPr>
                <w:color w:val="000000"/>
                <w:lang w:eastAsia="en-CA"/>
              </w:rPr>
            </w:pPr>
            <w:r w:rsidRPr="007668E1">
              <w:rPr>
                <w:color w:val="000000"/>
                <w:lang w:eastAsia="en-CA"/>
              </w:rPr>
              <w:t xml:space="preserve">180,000 </w:t>
            </w:r>
          </w:p>
        </w:tc>
        <w:tc>
          <w:tcPr>
            <w:tcW w:w="1213" w:type="dxa"/>
            <w:tcBorders>
              <w:top w:val="nil"/>
              <w:left w:val="nil"/>
              <w:bottom w:val="single" w:sz="4" w:space="0" w:color="auto"/>
              <w:right w:val="single" w:sz="4" w:space="0" w:color="auto"/>
            </w:tcBorders>
            <w:noWrap/>
            <w:vAlign w:val="bottom"/>
            <w:hideMark/>
          </w:tcPr>
          <w:p w14:paraId="13B0D746" w14:textId="77777777" w:rsidR="00AF182C" w:rsidRPr="007668E1" w:rsidRDefault="00AF182C" w:rsidP="006233FA">
            <w:pPr>
              <w:spacing w:after="0"/>
              <w:jc w:val="right"/>
              <w:rPr>
                <w:color w:val="000000"/>
                <w:lang w:eastAsia="en-CA"/>
              </w:rPr>
            </w:pPr>
            <w:r w:rsidRPr="007668E1">
              <w:rPr>
                <w:color w:val="000000"/>
                <w:lang w:eastAsia="en-CA"/>
              </w:rPr>
              <w:t xml:space="preserve">86,500 </w:t>
            </w:r>
          </w:p>
        </w:tc>
        <w:tc>
          <w:tcPr>
            <w:tcW w:w="1082" w:type="dxa"/>
            <w:tcBorders>
              <w:top w:val="nil"/>
              <w:left w:val="nil"/>
              <w:bottom w:val="single" w:sz="4" w:space="0" w:color="auto"/>
              <w:right w:val="single" w:sz="4" w:space="0" w:color="auto"/>
            </w:tcBorders>
            <w:noWrap/>
            <w:vAlign w:val="bottom"/>
            <w:hideMark/>
          </w:tcPr>
          <w:p w14:paraId="023F4D68" w14:textId="77777777" w:rsidR="00AF182C" w:rsidRPr="007668E1" w:rsidRDefault="00AF182C" w:rsidP="006233FA">
            <w:pPr>
              <w:spacing w:after="0"/>
              <w:jc w:val="right"/>
              <w:rPr>
                <w:color w:val="000000"/>
                <w:lang w:eastAsia="en-CA"/>
              </w:rPr>
            </w:pPr>
            <w:r w:rsidRPr="007668E1">
              <w:rPr>
                <w:color w:val="000000"/>
                <w:lang w:eastAsia="en-CA"/>
              </w:rPr>
              <w:t> </w:t>
            </w:r>
          </w:p>
        </w:tc>
        <w:tc>
          <w:tcPr>
            <w:tcW w:w="1087" w:type="dxa"/>
            <w:tcBorders>
              <w:top w:val="nil"/>
              <w:left w:val="nil"/>
              <w:bottom w:val="single" w:sz="4" w:space="0" w:color="auto"/>
              <w:right w:val="single" w:sz="4" w:space="0" w:color="auto"/>
            </w:tcBorders>
            <w:noWrap/>
            <w:vAlign w:val="bottom"/>
            <w:hideMark/>
          </w:tcPr>
          <w:p w14:paraId="5189525E" w14:textId="77777777" w:rsidR="00AF182C" w:rsidRPr="007668E1" w:rsidRDefault="00AF182C" w:rsidP="006233FA">
            <w:pPr>
              <w:spacing w:after="0"/>
              <w:jc w:val="right"/>
              <w:rPr>
                <w:color w:val="000000"/>
                <w:lang w:eastAsia="en-CA"/>
              </w:rPr>
            </w:pPr>
            <w:r w:rsidRPr="007668E1">
              <w:rPr>
                <w:color w:val="000000"/>
                <w:lang w:eastAsia="en-CA"/>
              </w:rPr>
              <w:t xml:space="preserve">93,500 </w:t>
            </w:r>
          </w:p>
        </w:tc>
        <w:tc>
          <w:tcPr>
            <w:tcW w:w="1193" w:type="dxa"/>
            <w:tcBorders>
              <w:top w:val="nil"/>
              <w:left w:val="nil"/>
              <w:bottom w:val="single" w:sz="4" w:space="0" w:color="auto"/>
              <w:right w:val="single" w:sz="4" w:space="0" w:color="auto"/>
            </w:tcBorders>
            <w:noWrap/>
            <w:vAlign w:val="bottom"/>
            <w:hideMark/>
          </w:tcPr>
          <w:p w14:paraId="1C29B3D9" w14:textId="77777777" w:rsidR="00AF182C" w:rsidRPr="007668E1" w:rsidRDefault="00AF182C" w:rsidP="006233FA">
            <w:pPr>
              <w:spacing w:after="0"/>
              <w:jc w:val="right"/>
              <w:rPr>
                <w:color w:val="000000"/>
                <w:lang w:eastAsia="en-CA"/>
              </w:rPr>
            </w:pPr>
            <w:r w:rsidRPr="007668E1">
              <w:rPr>
                <w:color w:val="000000"/>
                <w:lang w:eastAsia="en-CA"/>
              </w:rPr>
              <w:t xml:space="preserve">69,100 </w:t>
            </w:r>
          </w:p>
        </w:tc>
        <w:tc>
          <w:tcPr>
            <w:tcW w:w="1313" w:type="dxa"/>
            <w:tcBorders>
              <w:top w:val="nil"/>
              <w:left w:val="nil"/>
              <w:bottom w:val="single" w:sz="4" w:space="0" w:color="auto"/>
              <w:right w:val="single" w:sz="4" w:space="0" w:color="auto"/>
            </w:tcBorders>
            <w:noWrap/>
            <w:vAlign w:val="bottom"/>
            <w:hideMark/>
          </w:tcPr>
          <w:p w14:paraId="06E55232" w14:textId="77777777" w:rsidR="00AF182C" w:rsidRPr="007668E1" w:rsidRDefault="00AF182C" w:rsidP="006233FA">
            <w:pPr>
              <w:spacing w:after="0"/>
              <w:jc w:val="right"/>
              <w:rPr>
                <w:color w:val="000000"/>
                <w:lang w:eastAsia="en-CA"/>
              </w:rPr>
            </w:pPr>
            <w:r w:rsidRPr="007668E1">
              <w:rPr>
                <w:color w:val="000000"/>
                <w:lang w:eastAsia="en-CA"/>
              </w:rPr>
              <w:t xml:space="preserve">34,300 </w:t>
            </w:r>
          </w:p>
        </w:tc>
        <w:tc>
          <w:tcPr>
            <w:tcW w:w="1353" w:type="dxa"/>
            <w:tcBorders>
              <w:top w:val="nil"/>
              <w:left w:val="nil"/>
              <w:bottom w:val="single" w:sz="4" w:space="0" w:color="auto"/>
              <w:right w:val="single" w:sz="4" w:space="0" w:color="auto"/>
            </w:tcBorders>
            <w:noWrap/>
            <w:vAlign w:val="bottom"/>
            <w:hideMark/>
          </w:tcPr>
          <w:p w14:paraId="268EEAC8" w14:textId="77777777" w:rsidR="00AF182C" w:rsidRPr="007668E1" w:rsidRDefault="00AF182C" w:rsidP="006233FA">
            <w:pPr>
              <w:spacing w:after="0"/>
              <w:jc w:val="right"/>
              <w:rPr>
                <w:color w:val="000000"/>
                <w:lang w:eastAsia="en-CA"/>
              </w:rPr>
            </w:pPr>
            <w:r w:rsidRPr="007668E1">
              <w:rPr>
                <w:color w:val="000000"/>
                <w:lang w:eastAsia="en-CA"/>
              </w:rPr>
              <w:t xml:space="preserve">6,000 </w:t>
            </w:r>
          </w:p>
        </w:tc>
      </w:tr>
      <w:tr w:rsidR="00AF182C" w:rsidRPr="007668E1" w14:paraId="28A27A3A" w14:textId="77777777" w:rsidTr="00760FDA">
        <w:trPr>
          <w:trHeight w:val="288"/>
        </w:trPr>
        <w:tc>
          <w:tcPr>
            <w:tcW w:w="598" w:type="dxa"/>
            <w:tcBorders>
              <w:top w:val="nil"/>
              <w:left w:val="single" w:sz="4" w:space="0" w:color="auto"/>
              <w:bottom w:val="single" w:sz="4" w:space="0" w:color="auto"/>
              <w:right w:val="single" w:sz="4" w:space="0" w:color="auto"/>
            </w:tcBorders>
            <w:noWrap/>
            <w:vAlign w:val="bottom"/>
            <w:hideMark/>
          </w:tcPr>
          <w:p w14:paraId="3359233E" w14:textId="77777777" w:rsidR="00AF182C" w:rsidRPr="007668E1" w:rsidRDefault="00AF182C" w:rsidP="006233FA">
            <w:pPr>
              <w:spacing w:after="0"/>
              <w:jc w:val="right"/>
              <w:rPr>
                <w:color w:val="000000"/>
                <w:lang w:eastAsia="en-CA"/>
              </w:rPr>
            </w:pPr>
            <w:r w:rsidRPr="007668E1">
              <w:rPr>
                <w:color w:val="000000"/>
                <w:lang w:eastAsia="en-CA"/>
              </w:rPr>
              <w:t>7</w:t>
            </w:r>
          </w:p>
        </w:tc>
        <w:tc>
          <w:tcPr>
            <w:tcW w:w="1296" w:type="dxa"/>
            <w:tcBorders>
              <w:top w:val="nil"/>
              <w:left w:val="nil"/>
              <w:bottom w:val="single" w:sz="4" w:space="0" w:color="auto"/>
              <w:right w:val="single" w:sz="4" w:space="0" w:color="auto"/>
            </w:tcBorders>
            <w:noWrap/>
            <w:vAlign w:val="bottom"/>
            <w:hideMark/>
          </w:tcPr>
          <w:p w14:paraId="7DA9C82D" w14:textId="77777777" w:rsidR="00AF182C" w:rsidRPr="007668E1" w:rsidRDefault="00AF182C" w:rsidP="006233FA">
            <w:pPr>
              <w:spacing w:after="0"/>
              <w:rPr>
                <w:color w:val="000000"/>
                <w:lang w:eastAsia="en-CA"/>
              </w:rPr>
            </w:pPr>
            <w:r w:rsidRPr="007668E1">
              <w:rPr>
                <w:color w:val="000000"/>
                <w:lang w:eastAsia="en-CA"/>
              </w:rPr>
              <w:t>2024-2029</w:t>
            </w:r>
          </w:p>
        </w:tc>
        <w:tc>
          <w:tcPr>
            <w:tcW w:w="990" w:type="dxa"/>
            <w:tcBorders>
              <w:top w:val="nil"/>
              <w:left w:val="nil"/>
              <w:bottom w:val="single" w:sz="4" w:space="0" w:color="auto"/>
              <w:right w:val="single" w:sz="4" w:space="0" w:color="auto"/>
            </w:tcBorders>
            <w:noWrap/>
            <w:vAlign w:val="bottom"/>
            <w:hideMark/>
          </w:tcPr>
          <w:p w14:paraId="75717190" w14:textId="77777777" w:rsidR="00AF182C" w:rsidRPr="007668E1" w:rsidRDefault="00AF182C" w:rsidP="006233FA">
            <w:pPr>
              <w:spacing w:after="0"/>
              <w:jc w:val="right"/>
              <w:rPr>
                <w:color w:val="000000"/>
                <w:lang w:eastAsia="en-CA"/>
              </w:rPr>
            </w:pPr>
            <w:r w:rsidRPr="007668E1">
              <w:rPr>
                <w:color w:val="000000"/>
                <w:lang w:eastAsia="en-CA"/>
              </w:rPr>
              <w:t>9421</w:t>
            </w:r>
          </w:p>
        </w:tc>
        <w:tc>
          <w:tcPr>
            <w:tcW w:w="1050" w:type="dxa"/>
            <w:tcBorders>
              <w:top w:val="nil"/>
              <w:left w:val="nil"/>
              <w:bottom w:val="single" w:sz="4" w:space="0" w:color="auto"/>
              <w:right w:val="single" w:sz="4" w:space="0" w:color="auto"/>
            </w:tcBorders>
            <w:noWrap/>
            <w:vAlign w:val="bottom"/>
            <w:hideMark/>
          </w:tcPr>
          <w:p w14:paraId="1C1E8E09" w14:textId="77777777" w:rsidR="00AF182C" w:rsidRPr="007668E1" w:rsidRDefault="00AF182C" w:rsidP="006233FA">
            <w:pPr>
              <w:spacing w:after="0"/>
              <w:jc w:val="right"/>
              <w:rPr>
                <w:color w:val="000000"/>
                <w:lang w:eastAsia="en-CA"/>
              </w:rPr>
            </w:pPr>
            <w:r w:rsidRPr="007668E1">
              <w:rPr>
                <w:color w:val="000000"/>
                <w:lang w:eastAsia="en-CA"/>
              </w:rPr>
              <w:t>10.0</w:t>
            </w:r>
          </w:p>
        </w:tc>
        <w:tc>
          <w:tcPr>
            <w:tcW w:w="1380" w:type="dxa"/>
            <w:tcBorders>
              <w:top w:val="nil"/>
              <w:left w:val="nil"/>
              <w:bottom w:val="single" w:sz="4" w:space="0" w:color="auto"/>
              <w:right w:val="single" w:sz="4" w:space="0" w:color="auto"/>
            </w:tcBorders>
            <w:noWrap/>
            <w:vAlign w:val="bottom"/>
            <w:hideMark/>
          </w:tcPr>
          <w:p w14:paraId="5B3BB853" w14:textId="77777777" w:rsidR="00AF182C" w:rsidRPr="007668E1" w:rsidRDefault="00AF182C" w:rsidP="006233FA">
            <w:pPr>
              <w:spacing w:after="0"/>
              <w:jc w:val="right"/>
              <w:rPr>
                <w:color w:val="000000"/>
                <w:lang w:eastAsia="en-CA"/>
              </w:rPr>
            </w:pPr>
            <w:r w:rsidRPr="007668E1">
              <w:rPr>
                <w:color w:val="000000"/>
                <w:lang w:eastAsia="en-CA"/>
              </w:rPr>
              <w:t xml:space="preserve">325,000 </w:t>
            </w:r>
          </w:p>
        </w:tc>
        <w:tc>
          <w:tcPr>
            <w:tcW w:w="1213" w:type="dxa"/>
            <w:tcBorders>
              <w:top w:val="nil"/>
              <w:left w:val="nil"/>
              <w:bottom w:val="single" w:sz="4" w:space="0" w:color="auto"/>
              <w:right w:val="single" w:sz="4" w:space="0" w:color="auto"/>
            </w:tcBorders>
            <w:noWrap/>
            <w:vAlign w:val="bottom"/>
            <w:hideMark/>
          </w:tcPr>
          <w:p w14:paraId="1D1B25D1" w14:textId="77777777" w:rsidR="00AF182C" w:rsidRPr="007668E1" w:rsidRDefault="00AF182C" w:rsidP="006233FA">
            <w:pPr>
              <w:spacing w:after="0"/>
              <w:jc w:val="right"/>
              <w:rPr>
                <w:color w:val="000000"/>
                <w:lang w:eastAsia="en-CA"/>
              </w:rPr>
            </w:pPr>
            <w:r w:rsidRPr="007668E1">
              <w:rPr>
                <w:color w:val="000000"/>
                <w:lang w:eastAsia="en-CA"/>
              </w:rPr>
              <w:t xml:space="preserve">165,075 </w:t>
            </w:r>
          </w:p>
        </w:tc>
        <w:tc>
          <w:tcPr>
            <w:tcW w:w="1082" w:type="dxa"/>
            <w:tcBorders>
              <w:top w:val="nil"/>
              <w:left w:val="nil"/>
              <w:bottom w:val="single" w:sz="4" w:space="0" w:color="auto"/>
              <w:right w:val="single" w:sz="4" w:space="0" w:color="auto"/>
            </w:tcBorders>
            <w:noWrap/>
            <w:vAlign w:val="bottom"/>
            <w:hideMark/>
          </w:tcPr>
          <w:p w14:paraId="3586785A" w14:textId="77777777" w:rsidR="00AF182C" w:rsidRPr="007668E1" w:rsidRDefault="00AF182C" w:rsidP="006233FA">
            <w:pPr>
              <w:spacing w:after="0"/>
              <w:jc w:val="right"/>
              <w:rPr>
                <w:color w:val="000000"/>
                <w:lang w:eastAsia="en-CA"/>
              </w:rPr>
            </w:pPr>
            <w:r w:rsidRPr="007668E1">
              <w:rPr>
                <w:color w:val="000000"/>
                <w:lang w:eastAsia="en-CA"/>
              </w:rPr>
              <w:t> </w:t>
            </w:r>
          </w:p>
        </w:tc>
        <w:tc>
          <w:tcPr>
            <w:tcW w:w="1087" w:type="dxa"/>
            <w:tcBorders>
              <w:top w:val="nil"/>
              <w:left w:val="nil"/>
              <w:bottom w:val="single" w:sz="4" w:space="0" w:color="auto"/>
              <w:right w:val="single" w:sz="4" w:space="0" w:color="auto"/>
            </w:tcBorders>
            <w:noWrap/>
            <w:vAlign w:val="bottom"/>
            <w:hideMark/>
          </w:tcPr>
          <w:p w14:paraId="02C3DBBB" w14:textId="77777777" w:rsidR="00AF182C" w:rsidRPr="007668E1" w:rsidRDefault="00AF182C" w:rsidP="006233FA">
            <w:pPr>
              <w:spacing w:after="0"/>
              <w:jc w:val="right"/>
              <w:rPr>
                <w:color w:val="000000"/>
                <w:lang w:eastAsia="en-CA"/>
              </w:rPr>
            </w:pPr>
            <w:r w:rsidRPr="007668E1">
              <w:rPr>
                <w:color w:val="000000"/>
                <w:lang w:eastAsia="en-CA"/>
              </w:rPr>
              <w:t xml:space="preserve">159,925 </w:t>
            </w:r>
          </w:p>
        </w:tc>
        <w:tc>
          <w:tcPr>
            <w:tcW w:w="1193" w:type="dxa"/>
            <w:tcBorders>
              <w:top w:val="nil"/>
              <w:left w:val="nil"/>
              <w:bottom w:val="single" w:sz="4" w:space="0" w:color="auto"/>
              <w:right w:val="single" w:sz="4" w:space="0" w:color="auto"/>
            </w:tcBorders>
            <w:noWrap/>
            <w:vAlign w:val="bottom"/>
            <w:hideMark/>
          </w:tcPr>
          <w:p w14:paraId="2ED14FE7" w14:textId="77777777" w:rsidR="00AF182C" w:rsidRPr="007668E1" w:rsidRDefault="00AF182C" w:rsidP="006233FA">
            <w:pPr>
              <w:spacing w:after="0"/>
              <w:jc w:val="right"/>
              <w:rPr>
                <w:color w:val="000000"/>
                <w:lang w:eastAsia="en-CA"/>
              </w:rPr>
            </w:pPr>
            <w:r w:rsidRPr="007668E1">
              <w:rPr>
                <w:color w:val="000000"/>
                <w:lang w:eastAsia="en-CA"/>
              </w:rPr>
              <w:t xml:space="preserve">117,000 </w:t>
            </w:r>
          </w:p>
        </w:tc>
        <w:tc>
          <w:tcPr>
            <w:tcW w:w="1313" w:type="dxa"/>
            <w:tcBorders>
              <w:top w:val="nil"/>
              <w:left w:val="nil"/>
              <w:bottom w:val="single" w:sz="4" w:space="0" w:color="auto"/>
              <w:right w:val="single" w:sz="4" w:space="0" w:color="auto"/>
            </w:tcBorders>
            <w:noWrap/>
            <w:vAlign w:val="bottom"/>
            <w:hideMark/>
          </w:tcPr>
          <w:p w14:paraId="2EF328E3" w14:textId="77777777" w:rsidR="00AF182C" w:rsidRPr="007668E1" w:rsidRDefault="00AF182C" w:rsidP="006233FA">
            <w:pPr>
              <w:spacing w:after="0"/>
              <w:jc w:val="right"/>
              <w:rPr>
                <w:color w:val="000000"/>
                <w:lang w:eastAsia="en-CA"/>
              </w:rPr>
            </w:pPr>
            <w:r w:rsidRPr="007668E1">
              <w:rPr>
                <w:color w:val="000000"/>
                <w:lang w:eastAsia="en-CA"/>
              </w:rPr>
              <w:t xml:space="preserve">159,150 </w:t>
            </w:r>
          </w:p>
        </w:tc>
        <w:tc>
          <w:tcPr>
            <w:tcW w:w="1353" w:type="dxa"/>
            <w:tcBorders>
              <w:top w:val="nil"/>
              <w:left w:val="nil"/>
              <w:bottom w:val="single" w:sz="4" w:space="0" w:color="auto"/>
              <w:right w:val="single" w:sz="4" w:space="0" w:color="auto"/>
            </w:tcBorders>
            <w:noWrap/>
            <w:vAlign w:val="bottom"/>
            <w:hideMark/>
          </w:tcPr>
          <w:p w14:paraId="41746063" w14:textId="77777777" w:rsidR="00AF182C" w:rsidRPr="007668E1" w:rsidRDefault="00AF182C" w:rsidP="006233FA">
            <w:pPr>
              <w:spacing w:after="0"/>
              <w:jc w:val="right"/>
              <w:rPr>
                <w:color w:val="000000"/>
                <w:lang w:eastAsia="en-CA"/>
              </w:rPr>
            </w:pPr>
            <w:r w:rsidRPr="007668E1">
              <w:rPr>
                <w:color w:val="000000"/>
                <w:lang w:eastAsia="en-CA"/>
              </w:rPr>
              <w:t xml:space="preserve">55,000 </w:t>
            </w:r>
          </w:p>
        </w:tc>
      </w:tr>
      <w:tr w:rsidR="00AF182C" w:rsidRPr="007668E1" w14:paraId="142675DC" w14:textId="77777777" w:rsidTr="00760FDA">
        <w:trPr>
          <w:trHeight w:val="288"/>
        </w:trPr>
        <w:tc>
          <w:tcPr>
            <w:tcW w:w="598" w:type="dxa"/>
            <w:tcBorders>
              <w:top w:val="nil"/>
              <w:left w:val="single" w:sz="4" w:space="0" w:color="auto"/>
              <w:bottom w:val="single" w:sz="4" w:space="0" w:color="auto"/>
              <w:right w:val="single" w:sz="4" w:space="0" w:color="auto"/>
            </w:tcBorders>
            <w:noWrap/>
            <w:vAlign w:val="bottom"/>
            <w:hideMark/>
          </w:tcPr>
          <w:p w14:paraId="7C37C8C0" w14:textId="77777777" w:rsidR="00AF182C" w:rsidRPr="007668E1" w:rsidRDefault="00AF182C" w:rsidP="006233FA">
            <w:pPr>
              <w:spacing w:after="0"/>
              <w:jc w:val="right"/>
              <w:rPr>
                <w:color w:val="000000"/>
                <w:lang w:eastAsia="en-CA"/>
              </w:rPr>
            </w:pPr>
            <w:r w:rsidRPr="007668E1">
              <w:rPr>
                <w:color w:val="000000"/>
                <w:lang w:eastAsia="en-CA"/>
              </w:rPr>
              <w:t>8</w:t>
            </w:r>
          </w:p>
        </w:tc>
        <w:tc>
          <w:tcPr>
            <w:tcW w:w="1296" w:type="dxa"/>
            <w:tcBorders>
              <w:top w:val="nil"/>
              <w:left w:val="nil"/>
              <w:bottom w:val="single" w:sz="4" w:space="0" w:color="auto"/>
              <w:right w:val="single" w:sz="4" w:space="0" w:color="auto"/>
            </w:tcBorders>
            <w:noWrap/>
            <w:vAlign w:val="bottom"/>
            <w:hideMark/>
          </w:tcPr>
          <w:p w14:paraId="031D6B1C" w14:textId="77777777" w:rsidR="00AF182C" w:rsidRPr="007668E1" w:rsidRDefault="00AF182C" w:rsidP="006233FA">
            <w:pPr>
              <w:spacing w:after="0"/>
              <w:rPr>
                <w:color w:val="000000"/>
                <w:lang w:eastAsia="en-CA"/>
              </w:rPr>
            </w:pPr>
            <w:r w:rsidRPr="007668E1">
              <w:rPr>
                <w:color w:val="000000"/>
                <w:lang w:eastAsia="en-CA"/>
              </w:rPr>
              <w:t>2024-2029</w:t>
            </w:r>
          </w:p>
        </w:tc>
        <w:tc>
          <w:tcPr>
            <w:tcW w:w="990" w:type="dxa"/>
            <w:tcBorders>
              <w:top w:val="nil"/>
              <w:left w:val="nil"/>
              <w:bottom w:val="single" w:sz="4" w:space="0" w:color="auto"/>
              <w:right w:val="single" w:sz="4" w:space="0" w:color="auto"/>
            </w:tcBorders>
            <w:noWrap/>
            <w:vAlign w:val="bottom"/>
            <w:hideMark/>
          </w:tcPr>
          <w:p w14:paraId="1AA2C04E" w14:textId="77777777" w:rsidR="00AF182C" w:rsidRPr="007668E1" w:rsidRDefault="00AF182C" w:rsidP="006233FA">
            <w:pPr>
              <w:spacing w:after="0"/>
              <w:jc w:val="right"/>
              <w:rPr>
                <w:color w:val="000000"/>
                <w:lang w:eastAsia="en-CA"/>
              </w:rPr>
            </w:pPr>
            <w:r w:rsidRPr="007668E1">
              <w:rPr>
                <w:color w:val="000000"/>
                <w:lang w:eastAsia="en-CA"/>
              </w:rPr>
              <w:t>9434</w:t>
            </w:r>
          </w:p>
        </w:tc>
        <w:tc>
          <w:tcPr>
            <w:tcW w:w="1050" w:type="dxa"/>
            <w:tcBorders>
              <w:top w:val="nil"/>
              <w:left w:val="nil"/>
              <w:bottom w:val="single" w:sz="4" w:space="0" w:color="auto"/>
              <w:right w:val="single" w:sz="4" w:space="0" w:color="auto"/>
            </w:tcBorders>
            <w:noWrap/>
            <w:vAlign w:val="bottom"/>
            <w:hideMark/>
          </w:tcPr>
          <w:p w14:paraId="70B82D7A" w14:textId="77777777" w:rsidR="00AF182C" w:rsidRPr="007668E1" w:rsidRDefault="00AF182C" w:rsidP="006233FA">
            <w:pPr>
              <w:spacing w:after="0"/>
              <w:jc w:val="right"/>
              <w:rPr>
                <w:color w:val="000000"/>
                <w:lang w:eastAsia="en-CA"/>
              </w:rPr>
            </w:pPr>
            <w:r w:rsidRPr="007668E1">
              <w:rPr>
                <w:color w:val="000000"/>
                <w:lang w:eastAsia="en-CA"/>
              </w:rPr>
              <w:t>10.0</w:t>
            </w:r>
          </w:p>
        </w:tc>
        <w:tc>
          <w:tcPr>
            <w:tcW w:w="1380" w:type="dxa"/>
            <w:tcBorders>
              <w:top w:val="nil"/>
              <w:left w:val="nil"/>
              <w:bottom w:val="single" w:sz="4" w:space="0" w:color="auto"/>
              <w:right w:val="single" w:sz="4" w:space="0" w:color="auto"/>
            </w:tcBorders>
            <w:noWrap/>
            <w:vAlign w:val="bottom"/>
            <w:hideMark/>
          </w:tcPr>
          <w:p w14:paraId="64B59A8D" w14:textId="77777777" w:rsidR="00AF182C" w:rsidRPr="007668E1" w:rsidRDefault="00AF182C" w:rsidP="006233FA">
            <w:pPr>
              <w:spacing w:after="0"/>
              <w:jc w:val="right"/>
              <w:rPr>
                <w:color w:val="000000"/>
                <w:lang w:eastAsia="en-CA"/>
              </w:rPr>
            </w:pPr>
            <w:r w:rsidRPr="007668E1">
              <w:rPr>
                <w:color w:val="000000"/>
                <w:lang w:eastAsia="en-CA"/>
              </w:rPr>
              <w:t xml:space="preserve">360,000 </w:t>
            </w:r>
          </w:p>
        </w:tc>
        <w:tc>
          <w:tcPr>
            <w:tcW w:w="1213" w:type="dxa"/>
            <w:tcBorders>
              <w:top w:val="nil"/>
              <w:left w:val="nil"/>
              <w:bottom w:val="single" w:sz="4" w:space="0" w:color="auto"/>
              <w:right w:val="single" w:sz="4" w:space="0" w:color="auto"/>
            </w:tcBorders>
            <w:noWrap/>
            <w:vAlign w:val="bottom"/>
            <w:hideMark/>
          </w:tcPr>
          <w:p w14:paraId="25F70F88" w14:textId="77777777" w:rsidR="00AF182C" w:rsidRPr="007668E1" w:rsidRDefault="00AF182C" w:rsidP="006233FA">
            <w:pPr>
              <w:spacing w:after="0"/>
              <w:jc w:val="right"/>
              <w:rPr>
                <w:color w:val="000000"/>
                <w:lang w:eastAsia="en-CA"/>
              </w:rPr>
            </w:pPr>
            <w:r w:rsidRPr="007668E1">
              <w:rPr>
                <w:color w:val="000000"/>
                <w:lang w:eastAsia="en-CA"/>
              </w:rPr>
              <w:t xml:space="preserve">180,000 </w:t>
            </w:r>
          </w:p>
        </w:tc>
        <w:tc>
          <w:tcPr>
            <w:tcW w:w="1082" w:type="dxa"/>
            <w:tcBorders>
              <w:top w:val="nil"/>
              <w:left w:val="nil"/>
              <w:bottom w:val="single" w:sz="4" w:space="0" w:color="auto"/>
              <w:right w:val="single" w:sz="4" w:space="0" w:color="auto"/>
            </w:tcBorders>
            <w:noWrap/>
            <w:vAlign w:val="bottom"/>
            <w:hideMark/>
          </w:tcPr>
          <w:p w14:paraId="121B94FF" w14:textId="77777777" w:rsidR="00AF182C" w:rsidRPr="007668E1" w:rsidRDefault="00AF182C" w:rsidP="006233FA">
            <w:pPr>
              <w:spacing w:after="0"/>
              <w:jc w:val="right"/>
              <w:rPr>
                <w:color w:val="000000"/>
                <w:lang w:eastAsia="en-CA"/>
              </w:rPr>
            </w:pPr>
            <w:r w:rsidRPr="007668E1">
              <w:rPr>
                <w:color w:val="000000"/>
                <w:lang w:eastAsia="en-CA"/>
              </w:rPr>
              <w:t> </w:t>
            </w:r>
          </w:p>
        </w:tc>
        <w:tc>
          <w:tcPr>
            <w:tcW w:w="1087" w:type="dxa"/>
            <w:tcBorders>
              <w:top w:val="nil"/>
              <w:left w:val="nil"/>
              <w:bottom w:val="single" w:sz="4" w:space="0" w:color="auto"/>
              <w:right w:val="single" w:sz="4" w:space="0" w:color="auto"/>
            </w:tcBorders>
            <w:noWrap/>
            <w:vAlign w:val="bottom"/>
            <w:hideMark/>
          </w:tcPr>
          <w:p w14:paraId="472FC424" w14:textId="77777777" w:rsidR="00AF182C" w:rsidRPr="007668E1" w:rsidRDefault="00AF182C" w:rsidP="006233FA">
            <w:pPr>
              <w:spacing w:after="0"/>
              <w:jc w:val="right"/>
              <w:rPr>
                <w:color w:val="000000"/>
                <w:lang w:eastAsia="en-CA"/>
              </w:rPr>
            </w:pPr>
            <w:r w:rsidRPr="007668E1">
              <w:rPr>
                <w:color w:val="000000"/>
                <w:lang w:eastAsia="en-CA"/>
              </w:rPr>
              <w:t xml:space="preserve">180,000 </w:t>
            </w:r>
          </w:p>
        </w:tc>
        <w:tc>
          <w:tcPr>
            <w:tcW w:w="1193" w:type="dxa"/>
            <w:tcBorders>
              <w:top w:val="nil"/>
              <w:left w:val="nil"/>
              <w:bottom w:val="single" w:sz="4" w:space="0" w:color="auto"/>
              <w:right w:val="single" w:sz="4" w:space="0" w:color="auto"/>
            </w:tcBorders>
            <w:noWrap/>
            <w:vAlign w:val="bottom"/>
            <w:hideMark/>
          </w:tcPr>
          <w:p w14:paraId="0E847A30" w14:textId="77777777" w:rsidR="00AF182C" w:rsidRPr="007668E1" w:rsidRDefault="00AF182C" w:rsidP="006233FA">
            <w:pPr>
              <w:spacing w:after="0"/>
              <w:jc w:val="right"/>
              <w:rPr>
                <w:color w:val="000000"/>
                <w:lang w:eastAsia="en-CA"/>
              </w:rPr>
            </w:pPr>
            <w:r w:rsidRPr="007668E1">
              <w:rPr>
                <w:color w:val="000000"/>
                <w:lang w:eastAsia="en-CA"/>
              </w:rPr>
              <w:t xml:space="preserve">80,013 </w:t>
            </w:r>
          </w:p>
        </w:tc>
        <w:tc>
          <w:tcPr>
            <w:tcW w:w="1313" w:type="dxa"/>
            <w:tcBorders>
              <w:top w:val="nil"/>
              <w:left w:val="nil"/>
              <w:bottom w:val="single" w:sz="4" w:space="0" w:color="auto"/>
              <w:right w:val="single" w:sz="4" w:space="0" w:color="auto"/>
            </w:tcBorders>
            <w:noWrap/>
            <w:vAlign w:val="bottom"/>
            <w:hideMark/>
          </w:tcPr>
          <w:p w14:paraId="0B504680" w14:textId="77777777" w:rsidR="00AF182C" w:rsidRPr="007668E1" w:rsidRDefault="00AF182C" w:rsidP="006233FA">
            <w:pPr>
              <w:spacing w:after="0"/>
              <w:jc w:val="right"/>
              <w:rPr>
                <w:color w:val="000000"/>
                <w:lang w:eastAsia="en-CA"/>
              </w:rPr>
            </w:pPr>
            <w:r w:rsidRPr="007668E1">
              <w:rPr>
                <w:color w:val="000000"/>
                <w:lang w:eastAsia="en-CA"/>
              </w:rPr>
              <w:t xml:space="preserve">247,260 </w:t>
            </w:r>
          </w:p>
        </w:tc>
        <w:tc>
          <w:tcPr>
            <w:tcW w:w="1353" w:type="dxa"/>
            <w:tcBorders>
              <w:top w:val="nil"/>
              <w:left w:val="nil"/>
              <w:bottom w:val="single" w:sz="4" w:space="0" w:color="auto"/>
              <w:right w:val="single" w:sz="4" w:space="0" w:color="auto"/>
            </w:tcBorders>
            <w:noWrap/>
            <w:vAlign w:val="bottom"/>
            <w:hideMark/>
          </w:tcPr>
          <w:p w14:paraId="21AD65C8" w14:textId="77777777" w:rsidR="00AF182C" w:rsidRPr="007668E1" w:rsidRDefault="00AF182C" w:rsidP="006233FA">
            <w:pPr>
              <w:spacing w:after="0"/>
              <w:jc w:val="right"/>
              <w:rPr>
                <w:color w:val="000000"/>
                <w:lang w:eastAsia="en-CA"/>
              </w:rPr>
            </w:pPr>
            <w:r w:rsidRPr="007668E1">
              <w:rPr>
                <w:color w:val="000000"/>
                <w:lang w:eastAsia="en-CA"/>
              </w:rPr>
              <w:t xml:space="preserve">90,000 </w:t>
            </w:r>
          </w:p>
        </w:tc>
      </w:tr>
    </w:tbl>
    <w:p w14:paraId="570A4DC9" w14:textId="77777777" w:rsidR="00921B70" w:rsidRDefault="00921B70" w:rsidP="004470DC">
      <w:pPr>
        <w:tabs>
          <w:tab w:val="left" w:pos="1418"/>
        </w:tabs>
        <w:spacing w:after="0"/>
        <w:ind w:left="1411" w:hanging="1411"/>
        <w:rPr>
          <w:rFonts w:eastAsia="Aptos"/>
          <w:b/>
          <w:color w:val="0E2841"/>
        </w:rPr>
      </w:pPr>
    </w:p>
    <w:p w14:paraId="51724528" w14:textId="7AE2AED3" w:rsidR="00C2289B" w:rsidRDefault="00C2289B">
      <w:pPr>
        <w:tabs>
          <w:tab w:val="clear" w:pos="0"/>
        </w:tabs>
        <w:spacing w:after="0"/>
      </w:pPr>
      <w:r>
        <w:br w:type="page"/>
      </w:r>
    </w:p>
    <w:p w14:paraId="436FBA0F" w14:textId="77777777" w:rsidR="00C2289B" w:rsidRDefault="00C2289B" w:rsidP="00F257D1">
      <w:pPr>
        <w:sectPr w:rsidR="00C2289B" w:rsidSect="00A417C2">
          <w:pgSz w:w="16838" w:h="11906" w:orient="landscape"/>
          <w:pgMar w:top="1411" w:right="1411" w:bottom="1411" w:left="1411" w:header="706" w:footer="706" w:gutter="0"/>
          <w:cols w:space="708"/>
          <w:docGrid w:linePitch="360"/>
        </w:sectPr>
      </w:pPr>
    </w:p>
    <w:p w14:paraId="1DE048D8" w14:textId="07F11C89" w:rsidR="00B85F97" w:rsidRPr="007668E1" w:rsidRDefault="00B85F97" w:rsidP="00B85F97">
      <w:pPr>
        <w:spacing w:before="240" w:after="160" w:line="259" w:lineRule="auto"/>
        <w:rPr>
          <w:rFonts w:eastAsia="Aptos"/>
          <w:color w:val="000000"/>
        </w:rPr>
      </w:pPr>
      <w:r w:rsidRPr="007668E1">
        <w:rPr>
          <w:rFonts w:eastAsia="Aptos"/>
          <w:color w:val="000000"/>
        </w:rPr>
        <w:lastRenderedPageBreak/>
        <w:t xml:space="preserve">The analysis found that the total funding for KIP </w:t>
      </w:r>
      <w:r w:rsidR="00365F65">
        <w:rPr>
          <w:rFonts w:eastAsia="Aptos"/>
          <w:color w:val="000000"/>
        </w:rPr>
        <w:t>S</w:t>
      </w:r>
      <w:r w:rsidRPr="007668E1">
        <w:rPr>
          <w:rFonts w:eastAsia="Aptos"/>
          <w:color w:val="000000"/>
        </w:rPr>
        <w:t>tage I for all countries is US$</w:t>
      </w:r>
      <w:r w:rsidR="00641AF5">
        <w:rPr>
          <w:rFonts w:eastAsia="Aptos"/>
          <w:color w:val="000000"/>
        </w:rPr>
        <w:t xml:space="preserve"> </w:t>
      </w:r>
      <w:r w:rsidRPr="007668E1">
        <w:rPr>
          <w:rFonts w:eastAsia="Aptos"/>
          <w:color w:val="000000"/>
        </w:rPr>
        <w:t>9,460,600. Out of this total, regulatory activities were budgeted at US$ 2,397,713 or 25.3</w:t>
      </w:r>
      <w:r w:rsidR="00365F65">
        <w:rPr>
          <w:rFonts w:eastAsia="Aptos"/>
          <w:color w:val="000000"/>
        </w:rPr>
        <w:t xml:space="preserve">% </w:t>
      </w:r>
      <w:r w:rsidRPr="007668E1">
        <w:rPr>
          <w:rFonts w:eastAsia="Aptos"/>
          <w:color w:val="000000"/>
        </w:rPr>
        <w:t>of total, while capacity building activities amounted to US$</w:t>
      </w:r>
      <w:r w:rsidR="00365F65">
        <w:rPr>
          <w:rFonts w:eastAsia="Aptos"/>
          <w:color w:val="000000"/>
        </w:rPr>
        <w:t xml:space="preserve"> </w:t>
      </w:r>
      <w:r w:rsidRPr="007668E1">
        <w:rPr>
          <w:rFonts w:eastAsia="Aptos"/>
          <w:color w:val="000000"/>
        </w:rPr>
        <w:t>4,694,270 corresponding to 48.9</w:t>
      </w:r>
      <w:r w:rsidR="00365F65">
        <w:rPr>
          <w:rFonts w:eastAsia="Aptos"/>
          <w:color w:val="000000"/>
        </w:rPr>
        <w:t>%</w:t>
      </w:r>
      <w:r w:rsidRPr="007668E1">
        <w:rPr>
          <w:rFonts w:eastAsia="Aptos"/>
          <w:color w:val="000000"/>
        </w:rPr>
        <w:t xml:space="preserve"> of total. The rest were for awareness raising, end user and demo projects, and management and coordination (equivalent to PMU costs for non-LVCs but included in the bracket costing) costs. </w:t>
      </w:r>
    </w:p>
    <w:p w14:paraId="40573F6A" w14:textId="4B35EEBD" w:rsidR="00B85F97" w:rsidRPr="007668E1" w:rsidRDefault="00B85F97" w:rsidP="00B85F97">
      <w:pPr>
        <w:spacing w:after="160" w:line="259" w:lineRule="auto"/>
        <w:rPr>
          <w:rFonts w:eastAsia="Aptos"/>
          <w:color w:val="000000"/>
        </w:rPr>
      </w:pPr>
      <w:r w:rsidRPr="007668E1">
        <w:rPr>
          <w:rFonts w:eastAsia="Aptos"/>
          <w:color w:val="000000"/>
        </w:rPr>
        <w:t>Training costs were more difficult to identify as some KIPs only provided total capacity building costs without further breakdown. Whenever costs were not indicated, the RTF calculated training costs by estimating training cost by technician and by trainer and multiplying by the reported number of technicians to be trained. Training costs totaled US$</w:t>
      </w:r>
      <w:r w:rsidR="00365F65">
        <w:rPr>
          <w:rFonts w:eastAsia="Aptos"/>
          <w:color w:val="000000"/>
        </w:rPr>
        <w:t xml:space="preserve"> </w:t>
      </w:r>
      <w:r w:rsidRPr="007668E1">
        <w:rPr>
          <w:rFonts w:eastAsia="Aptos"/>
          <w:color w:val="000000"/>
        </w:rPr>
        <w:t>2,002,950 or 21.2</w:t>
      </w:r>
      <w:r w:rsidR="00365F65">
        <w:rPr>
          <w:rFonts w:eastAsia="Aptos"/>
          <w:color w:val="000000"/>
        </w:rPr>
        <w:t>%</w:t>
      </w:r>
      <w:r w:rsidRPr="007668E1">
        <w:rPr>
          <w:rFonts w:eastAsia="Aptos"/>
          <w:color w:val="000000"/>
        </w:rPr>
        <w:t xml:space="preserve"> of total funding (43.3</w:t>
      </w:r>
      <w:r w:rsidR="00365F65">
        <w:rPr>
          <w:rFonts w:eastAsia="Aptos"/>
          <w:color w:val="000000"/>
        </w:rPr>
        <w:t>%</w:t>
      </w:r>
      <w:r w:rsidRPr="007668E1">
        <w:rPr>
          <w:rFonts w:eastAsia="Aptos"/>
          <w:color w:val="000000"/>
        </w:rPr>
        <w:t xml:space="preserve"> of the capacity building total). </w:t>
      </w:r>
    </w:p>
    <w:p w14:paraId="6E28A125" w14:textId="1286B96E" w:rsidR="00B85F97" w:rsidRPr="007668E1" w:rsidRDefault="00B85F97" w:rsidP="00B85F97">
      <w:pPr>
        <w:spacing w:after="160" w:line="259" w:lineRule="auto"/>
        <w:rPr>
          <w:rFonts w:eastAsia="Aptos"/>
          <w:color w:val="000000"/>
        </w:rPr>
      </w:pPr>
      <w:r w:rsidRPr="007668E1">
        <w:rPr>
          <w:rFonts w:eastAsia="Aptos"/>
          <w:color w:val="000000"/>
        </w:rPr>
        <w:t xml:space="preserve">A plot of budgets amounts in US$ for training by bracket is found in </w:t>
      </w:r>
      <w:r w:rsidR="004636A5">
        <w:rPr>
          <w:rFonts w:eastAsia="Aptos"/>
          <w:color w:val="000000"/>
        </w:rPr>
        <w:t>Figure 6.2</w:t>
      </w:r>
      <w:r w:rsidRPr="007668E1">
        <w:rPr>
          <w:rFonts w:eastAsia="Aptos"/>
          <w:color w:val="000000"/>
        </w:rPr>
        <w:t xml:space="preserve"> below</w:t>
      </w:r>
    </w:p>
    <w:p w14:paraId="33FCAAA9" w14:textId="6D0019EF" w:rsidR="00B85F97" w:rsidRPr="00155421" w:rsidRDefault="00B85F97" w:rsidP="00B85F97">
      <w:pPr>
        <w:tabs>
          <w:tab w:val="left" w:pos="1134"/>
        </w:tabs>
        <w:rPr>
          <w:rFonts w:eastAsiaTheme="minorHAnsi"/>
          <w:b/>
          <w:bCs/>
        </w:rPr>
      </w:pPr>
      <w:r w:rsidRPr="00D7427C">
        <w:rPr>
          <w:rFonts w:eastAsiaTheme="minorHAnsi"/>
          <w:b/>
          <w:bCs/>
        </w:rPr>
        <w:t>Figure 6.</w:t>
      </w:r>
      <w:r w:rsidR="00155421">
        <w:rPr>
          <w:rFonts w:eastAsiaTheme="minorHAnsi"/>
          <w:b/>
          <w:bCs/>
        </w:rPr>
        <w:t>2</w:t>
      </w:r>
      <w:r w:rsidRPr="00D7427C">
        <w:rPr>
          <w:rFonts w:eastAsiaTheme="minorHAnsi"/>
          <w:b/>
          <w:bCs/>
        </w:rPr>
        <w:tab/>
      </w:r>
      <w:r w:rsidR="002A0124" w:rsidRPr="007668E1">
        <w:rPr>
          <w:rFonts w:eastAsia="Aptos"/>
          <w:b/>
          <w:bCs/>
          <w:color w:val="0E2841"/>
          <w:lang w:val="en-US"/>
        </w:rPr>
        <w:t>Training budget for LVCs in approved KIPs for brackets 2 to 8</w:t>
      </w:r>
      <w:r w:rsidR="00365F65" w:rsidRPr="00365F65">
        <w:rPr>
          <w:rFonts w:eastAsia="Aptos"/>
          <w:b/>
          <w:bCs/>
          <w:color w:val="0E2841"/>
          <w:lang w:val="en-US"/>
        </w:rPr>
        <w:t xml:space="preserve"> </w:t>
      </w:r>
      <w:r w:rsidR="00365F65">
        <w:rPr>
          <w:rFonts w:eastAsia="Aptos"/>
          <w:b/>
          <w:bCs/>
          <w:color w:val="0E2841"/>
          <w:lang w:val="en-US"/>
        </w:rPr>
        <w:t>(</w:t>
      </w:r>
      <w:r w:rsidR="00365F65" w:rsidRPr="007668E1">
        <w:rPr>
          <w:rFonts w:eastAsia="Aptos"/>
          <w:b/>
          <w:bCs/>
          <w:color w:val="0E2841"/>
          <w:lang w:val="en-US"/>
        </w:rPr>
        <w:t>US$</w:t>
      </w:r>
      <w:r w:rsidR="00365F65">
        <w:rPr>
          <w:rFonts w:eastAsia="Aptos"/>
          <w:b/>
          <w:bCs/>
          <w:color w:val="0E2841"/>
          <w:lang w:val="en-US"/>
        </w:rPr>
        <w:t>)</w:t>
      </w:r>
    </w:p>
    <w:p w14:paraId="0C6FE2AD" w14:textId="3D35E902" w:rsidR="002A0124" w:rsidRDefault="00155421" w:rsidP="00B85F97">
      <w:pPr>
        <w:tabs>
          <w:tab w:val="left" w:pos="1134"/>
        </w:tabs>
        <w:rPr>
          <w:rFonts w:eastAsiaTheme="minorEastAsia"/>
          <w:b/>
        </w:rPr>
      </w:pPr>
      <w:r w:rsidRPr="007668E1">
        <w:rPr>
          <w:rFonts w:ascii="Calibri" w:eastAsia="Aptos" w:hAnsi="Calibri" w:cs="Aptos"/>
          <w:noProof/>
          <w:color w:val="000000"/>
        </w:rPr>
        <w:drawing>
          <wp:inline distT="0" distB="0" distL="0" distR="0" wp14:anchorId="5838B96F" wp14:editId="132EAAA6">
            <wp:extent cx="4572000" cy="2743200"/>
            <wp:effectExtent l="0" t="0" r="0" b="0"/>
            <wp:docPr id="1972749020" name="Chart 1">
              <a:extLst xmlns:a="http://schemas.openxmlformats.org/drawingml/2006/main">
                <a:ext uri="{FF2B5EF4-FFF2-40B4-BE49-F238E27FC236}">
                  <a16:creationId xmlns:a16="http://schemas.microsoft.com/office/drawing/2014/main" id="{03D26F35-65D4-CE7E-729B-63A2F61FB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F07711" w14:textId="4998D842" w:rsidR="00F20B11" w:rsidRPr="007668E1" w:rsidRDefault="00F20B11" w:rsidP="00F20B11">
      <w:pPr>
        <w:spacing w:after="160" w:line="259" w:lineRule="auto"/>
        <w:rPr>
          <w:rFonts w:eastAsia="Aptos"/>
          <w:color w:val="000000"/>
        </w:rPr>
      </w:pPr>
      <w:r w:rsidRPr="007668E1">
        <w:rPr>
          <w:rFonts w:eastAsia="Aptos"/>
          <w:color w:val="000000"/>
        </w:rPr>
        <w:t xml:space="preserve">There are two takeaways from </w:t>
      </w:r>
      <w:r w:rsidR="004636A5">
        <w:rPr>
          <w:rFonts w:eastAsia="Aptos"/>
          <w:color w:val="000000"/>
        </w:rPr>
        <w:t>Figure 6.2</w:t>
      </w:r>
      <w:r w:rsidRPr="007668E1">
        <w:rPr>
          <w:rFonts w:eastAsia="Aptos"/>
          <w:color w:val="000000"/>
        </w:rPr>
        <w:t>, a) training costs within the same bracket are close in value except for brackets 5 and 7 which have some outliers, and b) that higher brackets can afford training budgets almost equivalent to the total KIP budget of lower brackets.</w:t>
      </w:r>
    </w:p>
    <w:p w14:paraId="18147CE7" w14:textId="76A4FF7C" w:rsidR="00F20B11" w:rsidRPr="007668E1" w:rsidRDefault="00F20B11" w:rsidP="00F20B11">
      <w:pPr>
        <w:spacing w:after="160" w:line="259" w:lineRule="auto"/>
        <w:rPr>
          <w:rFonts w:eastAsia="Aptos"/>
          <w:color w:val="000000"/>
        </w:rPr>
      </w:pPr>
      <w:r w:rsidRPr="007668E1">
        <w:rPr>
          <w:rFonts w:eastAsia="Aptos"/>
          <w:color w:val="000000"/>
        </w:rPr>
        <w:t xml:space="preserve"> RTF then calculated the average percentage cost of training out of the total funding for </w:t>
      </w:r>
      <w:r w:rsidR="00641AF5">
        <w:rPr>
          <w:rFonts w:eastAsia="Aptos"/>
          <w:color w:val="000000"/>
        </w:rPr>
        <w:t>S</w:t>
      </w:r>
      <w:r w:rsidRPr="007668E1">
        <w:rPr>
          <w:rFonts w:eastAsia="Aptos"/>
          <w:color w:val="000000"/>
        </w:rPr>
        <w:t xml:space="preserve">tage I for each bracket. The result is a curve as in </w:t>
      </w:r>
      <w:r w:rsidR="004636A5">
        <w:rPr>
          <w:rFonts w:eastAsia="Aptos"/>
          <w:color w:val="000000"/>
        </w:rPr>
        <w:t>Figure 6.3</w:t>
      </w:r>
      <w:r w:rsidRPr="007668E1">
        <w:rPr>
          <w:rFonts w:eastAsia="Aptos"/>
          <w:color w:val="000000"/>
        </w:rPr>
        <w:t xml:space="preserve"> below.</w:t>
      </w:r>
    </w:p>
    <w:p w14:paraId="08A47721" w14:textId="77777777" w:rsidR="004A7C5D" w:rsidRDefault="004A7C5D" w:rsidP="00155421">
      <w:pPr>
        <w:tabs>
          <w:tab w:val="left" w:pos="1134"/>
        </w:tabs>
        <w:rPr>
          <w:rFonts w:eastAsiaTheme="minorHAnsi"/>
          <w:b/>
          <w:bCs/>
        </w:rPr>
      </w:pPr>
      <w:r>
        <w:rPr>
          <w:rFonts w:eastAsiaTheme="minorHAnsi"/>
          <w:b/>
          <w:bCs/>
        </w:rPr>
        <w:br w:type="page"/>
      </w:r>
    </w:p>
    <w:p w14:paraId="50077060" w14:textId="6C976FAF" w:rsidR="00155421" w:rsidRDefault="00155421" w:rsidP="00155421">
      <w:pPr>
        <w:tabs>
          <w:tab w:val="left" w:pos="1134"/>
        </w:tabs>
        <w:rPr>
          <w:rFonts w:eastAsia="Aptos"/>
          <w:b/>
          <w:bCs/>
          <w:color w:val="0E2841"/>
          <w:lang w:val="en-US"/>
        </w:rPr>
      </w:pPr>
      <w:r w:rsidRPr="00D7427C">
        <w:rPr>
          <w:rFonts w:eastAsiaTheme="minorHAnsi"/>
          <w:b/>
          <w:bCs/>
        </w:rPr>
        <w:lastRenderedPageBreak/>
        <w:t>Figure 6.</w:t>
      </w:r>
      <w:r>
        <w:rPr>
          <w:rFonts w:eastAsiaTheme="minorHAnsi"/>
          <w:b/>
          <w:bCs/>
        </w:rPr>
        <w:t>3</w:t>
      </w:r>
      <w:r w:rsidRPr="00D7427C">
        <w:rPr>
          <w:rFonts w:eastAsiaTheme="minorHAnsi"/>
          <w:b/>
          <w:bCs/>
        </w:rPr>
        <w:tab/>
      </w:r>
      <w:r w:rsidR="007F7EAA" w:rsidRPr="007668E1">
        <w:rPr>
          <w:rFonts w:eastAsia="Aptos"/>
          <w:b/>
          <w:bCs/>
          <w:color w:val="0E2841"/>
          <w:lang w:val="en-US"/>
        </w:rPr>
        <w:t>Chart showing the average training budgets for brackets 2 to 8</w:t>
      </w:r>
    </w:p>
    <w:p w14:paraId="49FD84E6" w14:textId="465749E0" w:rsidR="00B85F97" w:rsidRDefault="008B7F45" w:rsidP="00F257D1">
      <w:r>
        <w:rPr>
          <w:noProof/>
        </w:rPr>
        <w:drawing>
          <wp:inline distT="0" distB="0" distL="0" distR="0" wp14:anchorId="1DB9EC3F" wp14:editId="73FA8CC1">
            <wp:extent cx="5274945" cy="2670034"/>
            <wp:effectExtent l="0" t="0" r="1905" b="16510"/>
            <wp:docPr id="1597735717" name="Chart 1">
              <a:extLst xmlns:a="http://schemas.openxmlformats.org/drawingml/2006/main">
                <a:ext uri="{FF2B5EF4-FFF2-40B4-BE49-F238E27FC236}">
                  <a16:creationId xmlns:a16="http://schemas.microsoft.com/office/drawing/2014/main" id="{7B09F64B-469C-5176-8EE1-AC0356C88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94A010" w14:textId="19AC6CF3" w:rsidR="00110335" w:rsidRPr="007668E1" w:rsidRDefault="00110335" w:rsidP="00110335">
      <w:pPr>
        <w:spacing w:before="240" w:after="160" w:line="259" w:lineRule="auto"/>
        <w:rPr>
          <w:rFonts w:eastAsia="Aptos"/>
          <w:color w:val="000000"/>
        </w:rPr>
      </w:pPr>
      <w:r w:rsidRPr="007668E1">
        <w:rPr>
          <w:rFonts w:eastAsia="Aptos"/>
          <w:color w:val="000000"/>
        </w:rPr>
        <w:t xml:space="preserve">Apart from bracket 5, which is an outlier, spending on training was in the range of 16 to 26 per cent as shown by the linear trend line in </w:t>
      </w:r>
      <w:r w:rsidR="004636A5">
        <w:rPr>
          <w:rFonts w:eastAsia="Aptos"/>
          <w:color w:val="000000"/>
        </w:rPr>
        <w:t>Figure 6.3</w:t>
      </w:r>
      <w:r w:rsidRPr="007668E1">
        <w:rPr>
          <w:rFonts w:eastAsia="Aptos"/>
          <w:color w:val="000000"/>
        </w:rPr>
        <w:t xml:space="preserve"> above.  </w:t>
      </w:r>
    </w:p>
    <w:p w14:paraId="38CD6367" w14:textId="77777777" w:rsidR="00110335" w:rsidRPr="007668E1" w:rsidRDefault="00110335" w:rsidP="00110335">
      <w:pPr>
        <w:spacing w:before="240" w:after="160" w:line="259" w:lineRule="auto"/>
        <w:rPr>
          <w:rFonts w:eastAsia="Aptos"/>
          <w:color w:val="000000"/>
        </w:rPr>
      </w:pPr>
      <w:r w:rsidRPr="007668E1">
        <w:rPr>
          <w:rFonts w:eastAsia="Aptos"/>
          <w:color w:val="000000"/>
        </w:rPr>
        <w:t xml:space="preserve">The budget for training for the two lowest brackets (brackets 2 &amp; 3) was a lower percentage than the other brackets. This observation is in line with the observation on system-building first costs in the previous section and the conclusion that funding for countries in those two brackets is too small to adequately spread it among all the needed activities. </w:t>
      </w:r>
    </w:p>
    <w:p w14:paraId="3A6B2BE1" w14:textId="03B87AE6" w:rsidR="00110335" w:rsidRPr="007668E1" w:rsidRDefault="00110335" w:rsidP="00110335">
      <w:pPr>
        <w:spacing w:before="240" w:after="160" w:line="259" w:lineRule="auto"/>
        <w:rPr>
          <w:rFonts w:eastAsia="Aptos"/>
          <w:color w:val="000000"/>
        </w:rPr>
      </w:pPr>
      <w:r w:rsidRPr="007668E1">
        <w:rPr>
          <w:rFonts w:eastAsia="Aptos"/>
          <w:color w:val="000000"/>
        </w:rPr>
        <w:t xml:space="preserve">The other two Middle brackets, i.e., brackets 4 and 6, budget around 25 per cent of their total KIP </w:t>
      </w:r>
      <w:r w:rsidR="00154D41">
        <w:rPr>
          <w:rFonts w:eastAsia="Aptos"/>
          <w:color w:val="000000"/>
        </w:rPr>
        <w:t>Stage</w:t>
      </w:r>
      <w:r w:rsidRPr="007668E1">
        <w:rPr>
          <w:rFonts w:eastAsia="Aptos"/>
          <w:color w:val="000000"/>
        </w:rPr>
        <w:t xml:space="preserve"> I for training, which is </w:t>
      </w:r>
      <w:bookmarkStart w:id="279" w:name="_Int_hxff2w1f"/>
      <w:r w:rsidRPr="007668E1">
        <w:rPr>
          <w:rFonts w:eastAsia="Aptos"/>
          <w:color w:val="000000"/>
        </w:rPr>
        <w:t>similar to</w:t>
      </w:r>
      <w:bookmarkEnd w:id="279"/>
      <w:r w:rsidRPr="007668E1">
        <w:rPr>
          <w:rFonts w:eastAsia="Aptos"/>
          <w:color w:val="000000"/>
        </w:rPr>
        <w:t xml:space="preserve"> the percentage of bracket 7. The percentage for bracket 8 is lower at around 19 per cent due to the availability of more funds. In comparison, non-LVCs budget less than 10 per cent for technician training.</w:t>
      </w:r>
    </w:p>
    <w:p w14:paraId="3C7F18D3" w14:textId="52879178" w:rsidR="00110335" w:rsidRPr="007668E1" w:rsidRDefault="00110335" w:rsidP="00110335">
      <w:pPr>
        <w:spacing w:after="160" w:line="259" w:lineRule="auto"/>
        <w:rPr>
          <w:rFonts w:eastAsia="Aptos"/>
          <w:color w:val="000000"/>
        </w:rPr>
      </w:pPr>
      <w:r w:rsidRPr="007668E1">
        <w:rPr>
          <w:rFonts w:eastAsia="Aptos"/>
          <w:color w:val="000000"/>
        </w:rPr>
        <w:t xml:space="preserve">RTF estimates that the total amount available for funding is sufficient to train around 10,300 technicians. RTF could not estimate the total number of technicians in the corresponding countries to determine the reach of the training programmes. RTF is aware that the amounts from KIP </w:t>
      </w:r>
      <w:r w:rsidR="007B70F9">
        <w:rPr>
          <w:rFonts w:eastAsia="Aptos"/>
          <w:color w:val="000000"/>
        </w:rPr>
        <w:t>S</w:t>
      </w:r>
      <w:r w:rsidRPr="007668E1">
        <w:rPr>
          <w:rFonts w:eastAsia="Aptos"/>
          <w:color w:val="000000"/>
        </w:rPr>
        <w:t>tage I are being supplemented by funding available from the last stage of the HPMP. This harmonisation of activities will be covered in later sections.</w:t>
      </w:r>
    </w:p>
    <w:p w14:paraId="1EB210A9" w14:textId="27E2A3E0" w:rsidR="00F257D1" w:rsidRDefault="00F257D1" w:rsidP="00F257D1">
      <w:pPr>
        <w:pStyle w:val="Heading4"/>
        <w:rPr>
          <w:snapToGrid w:val="0"/>
        </w:rPr>
      </w:pPr>
      <w:r>
        <w:rPr>
          <w:snapToGrid w:val="0"/>
        </w:rPr>
        <w:t>6</w:t>
      </w:r>
      <w:r w:rsidRPr="00C3634A">
        <w:rPr>
          <w:snapToGrid w:val="0"/>
        </w:rPr>
        <w:t>.</w:t>
      </w:r>
      <w:r>
        <w:rPr>
          <w:snapToGrid w:val="0"/>
        </w:rPr>
        <w:t>2.2.2</w:t>
      </w:r>
      <w:r w:rsidRPr="00C3634A">
        <w:rPr>
          <w:snapToGrid w:val="0"/>
        </w:rPr>
        <w:tab/>
      </w:r>
      <w:r w:rsidR="00110335">
        <w:rPr>
          <w:snapToGrid w:val="0"/>
        </w:rPr>
        <w:t>VLVCs</w:t>
      </w:r>
    </w:p>
    <w:p w14:paraId="616F4D5B" w14:textId="77777777" w:rsidR="00097B14" w:rsidRPr="007668E1" w:rsidRDefault="00097B14" w:rsidP="00097B14">
      <w:pPr>
        <w:spacing w:after="160" w:line="259" w:lineRule="auto"/>
        <w:rPr>
          <w:color w:val="000000"/>
        </w:rPr>
      </w:pPr>
      <w:r w:rsidRPr="007668E1">
        <w:rPr>
          <w:rFonts w:eastAsia="Aptos"/>
          <w:color w:val="000000"/>
        </w:rPr>
        <w:t xml:space="preserve">For VLVCs, document </w:t>
      </w:r>
      <w:r w:rsidRPr="007668E1">
        <w:rPr>
          <w:color w:val="000000"/>
        </w:rPr>
        <w:t>UNEP/OzL.Pro/ExCom/95/71 for the submittal of KIP by the PICs provides a resume of KIP activities across 11 VLVCs in bracket 1 and one LVC (Solomon Island) in bracket 2, with a total funding of US $1,630,000. The PICs budgeted a total of US $260,500 to train 822 technicians in MAC and RAC, which is the total number of technicians in the 12 countries. The high cost of training per technician is due to the logistics cost related to holding sessions for a group of islands. Training cost is 16 percent of the total budget which is in line with brackets 2 and 3.</w:t>
      </w:r>
    </w:p>
    <w:p w14:paraId="05F78663" w14:textId="6B4A8BA6" w:rsidR="00097B14" w:rsidRPr="007668E1" w:rsidRDefault="00097B14" w:rsidP="00097B14">
      <w:pPr>
        <w:spacing w:after="160" w:line="259" w:lineRule="auto"/>
        <w:rPr>
          <w:rFonts w:eastAsia="Aptos"/>
          <w:color w:val="000000"/>
        </w:rPr>
      </w:pPr>
      <w:r w:rsidRPr="403F0D50">
        <w:t xml:space="preserve">Mongolia, another VLVC, budgeted 46 per cent of its total KIP </w:t>
      </w:r>
      <w:r w:rsidR="403F0D50" w:rsidRPr="403F0D50">
        <w:t>Stage</w:t>
      </w:r>
      <w:r w:rsidRPr="403F0D50">
        <w:t xml:space="preserve"> I for training of trainers and technicians as mentioned earlier.</w:t>
      </w:r>
    </w:p>
    <w:p w14:paraId="02E8DD25" w14:textId="7CA6DD85" w:rsidR="00D43258" w:rsidRDefault="274D2446" w:rsidP="002D02B7">
      <w:pPr>
        <w:pStyle w:val="Heading2"/>
      </w:pPr>
      <w:bookmarkStart w:id="280" w:name="_Toc113319176"/>
      <w:bookmarkStart w:id="281" w:name="_Toc119436602"/>
      <w:bookmarkStart w:id="282" w:name="_Toc230099121"/>
      <w:r>
        <w:lastRenderedPageBreak/>
        <w:t>6.3</w:t>
      </w:r>
      <w:r w:rsidR="00D43258">
        <w:tab/>
      </w:r>
      <w:r>
        <w:t>Why LVC and VLVC countries may struggle to meet HFC phase-down requirements</w:t>
      </w:r>
      <w:bookmarkEnd w:id="280"/>
      <w:bookmarkEnd w:id="281"/>
      <w:bookmarkEnd w:id="282"/>
      <w:r>
        <w:t xml:space="preserve"> </w:t>
      </w:r>
    </w:p>
    <w:p w14:paraId="2756E9C0" w14:textId="03069EDA" w:rsidR="005308C0" w:rsidRDefault="274D2446" w:rsidP="00EA5A68">
      <w:pPr>
        <w:rPr>
          <w:color w:val="auto"/>
          <w:sz w:val="24"/>
          <w:szCs w:val="24"/>
          <w:lang w:eastAsia="en-CA"/>
        </w:rPr>
      </w:pPr>
      <w:r>
        <w:t xml:space="preserve">LVC and VLVC countries are being asked to reduce HFCs at a time when cooling demand and infrastructure are growing at an accelerated pace particularly in emerging economies. As the </w:t>
      </w:r>
      <w:r w:rsidR="000E778F">
        <w:t xml:space="preserve">KA HFC </w:t>
      </w:r>
      <w:r>
        <w:t>phase-down steps move beyond the initial 10</w:t>
      </w:r>
      <w:r w:rsidR="000E778F">
        <w:t>%</w:t>
      </w:r>
      <w:r>
        <w:t xml:space="preserve"> reduction, these countries may find it harder to comply because they often have limited technical capacity, smaller markets, and fewer economies of scale opportunities than larger A5 countries. The HCFC contribution to the HFC baseline provides for additional growth. The 2023 RTF Supplementary Report identified challenges for parties that had a relatively small HCFC baseline contribution to the HFC baselines. These challenges are especially apparent for parties with no manufacturing or export markets where the entire baseline is used primarily for servicing domestic equipment.</w:t>
      </w:r>
    </w:p>
    <w:p w14:paraId="73C973B7" w14:textId="4BF29306" w:rsidR="00EA5A68" w:rsidRDefault="274D2446" w:rsidP="00EA5A68">
      <w:pPr>
        <w:rPr>
          <w:lang w:eastAsia="en-CA"/>
        </w:rPr>
      </w:pPr>
      <w:r>
        <w:t>Gender gaps can further slow compliance. In many LVC and VLVC contexts, women are underrepresented in refrigeration and air-conditioning training and businesses and may face barriers to finance and formal employment. This can limit the pool of technicians, entrepreneurs, and decision-makers needed to adopt lower GWP technologies safely and at scale, unless projects include targeted training, outreach, and support to ensure women can participate and benefit.</w:t>
      </w:r>
    </w:p>
    <w:p w14:paraId="126921A1" w14:textId="49EE2293" w:rsidR="00EA5A68" w:rsidRDefault="274D2446" w:rsidP="00EA5A68">
      <w:pPr>
        <w:rPr>
          <w:lang w:eastAsia="en-CA"/>
        </w:rPr>
      </w:pPr>
      <w:r>
        <w:t xml:space="preserve">Meeting the phase-down requirements necessitates a major shift in technology: replacing or converting equipment, moving to alternative refrigerants with safety considerations, improving </w:t>
      </w:r>
      <w:r w:rsidR="00D02C1C">
        <w:t>EE</w:t>
      </w:r>
      <w:r>
        <w:t xml:space="preserve">, and potentially adding LRM. This transition can be more complex and expensive than past changes, and LVC and VLVC countries may also struggle with the technology transition and at the same time to maintain older HFC-based systems on which they still depend as global markets move to lower GWP, high-efficiency options. Over time, delays in achieving phase-down targets could affect economic development and the availability of essential services such as food cold chains and safe space cooling. Even if the problem is not fully visible during the later part of KIP Stage I, it is likely to grow in later compliance steps. Future replenishments </w:t>
      </w:r>
      <w:r w:rsidR="000A3A69">
        <w:t xml:space="preserve">may </w:t>
      </w:r>
      <w:r>
        <w:t xml:space="preserve">need to include proactive, tailored </w:t>
      </w:r>
      <w:r w:rsidR="005C0DFF">
        <w:t xml:space="preserve">and </w:t>
      </w:r>
      <w:r w:rsidR="005A0D4E">
        <w:t xml:space="preserve">targeted funding </w:t>
      </w:r>
      <w:r>
        <w:t xml:space="preserve">support, starting with monitoring KIP Stage I implementation, to identify capacity gaps and where long-term phase-down progress </w:t>
      </w:r>
      <w:r w:rsidR="00912482">
        <w:t xml:space="preserve">may be </w:t>
      </w:r>
      <w:r>
        <w:t>at risk.</w:t>
      </w:r>
    </w:p>
    <w:p w14:paraId="67B81145" w14:textId="1DAAC288" w:rsidR="00097B14" w:rsidRDefault="00097B14" w:rsidP="002D02B7">
      <w:pPr>
        <w:pStyle w:val="Heading2"/>
      </w:pPr>
      <w:bookmarkStart w:id="283" w:name="_Toc230099122"/>
      <w:r w:rsidRPr="00C3634A">
        <w:t>6.</w:t>
      </w:r>
      <w:r w:rsidR="00447043">
        <w:t>4</w:t>
      </w:r>
      <w:r w:rsidRPr="00C3634A">
        <w:tab/>
      </w:r>
      <w:r w:rsidR="003509E4" w:rsidRPr="003509E4">
        <w:t xml:space="preserve">Funding for KIP </w:t>
      </w:r>
      <w:r w:rsidR="00154D41">
        <w:t>Stage</w:t>
      </w:r>
      <w:r w:rsidR="003509E4" w:rsidRPr="003509E4">
        <w:t xml:space="preserve"> II and scenario for 2028 revision of CE factors</w:t>
      </w:r>
      <w:bookmarkEnd w:id="283"/>
      <w:r w:rsidR="003509E4" w:rsidRPr="007668E1">
        <w:t xml:space="preserve"> </w:t>
      </w:r>
    </w:p>
    <w:p w14:paraId="25A6931C" w14:textId="196E4B9F" w:rsidR="00594714" w:rsidRPr="007668E1" w:rsidRDefault="00594714" w:rsidP="00594714">
      <w:pPr>
        <w:spacing w:after="160" w:line="259" w:lineRule="auto"/>
        <w:rPr>
          <w:rFonts w:eastAsia="Aptos"/>
          <w:color w:val="000000"/>
        </w:rPr>
      </w:pPr>
      <w:r w:rsidRPr="007668E1">
        <w:rPr>
          <w:rFonts w:eastAsia="Aptos"/>
          <w:color w:val="000000"/>
        </w:rPr>
        <w:t xml:space="preserve">RTF compared LVC funding guidelines for all stages of HPMPs with those approved for KIP </w:t>
      </w:r>
      <w:r w:rsidR="00F81224">
        <w:rPr>
          <w:rFonts w:eastAsia="Aptos"/>
          <w:color w:val="000000"/>
        </w:rPr>
        <w:t>S</w:t>
      </w:r>
      <w:r w:rsidRPr="007668E1">
        <w:rPr>
          <w:rFonts w:eastAsia="Aptos"/>
          <w:color w:val="000000"/>
        </w:rPr>
        <w:t xml:space="preserve">tage I. </w:t>
      </w:r>
      <w:r w:rsidR="00304497">
        <w:rPr>
          <w:rFonts w:eastAsia="Aptos"/>
          <w:color w:val="000000"/>
        </w:rPr>
        <w:t xml:space="preserve">Table </w:t>
      </w:r>
      <w:r w:rsidR="00034B13">
        <w:rPr>
          <w:rFonts w:eastAsia="Aptos"/>
          <w:color w:val="000000"/>
        </w:rPr>
        <w:t>6.6 b</w:t>
      </w:r>
      <w:r w:rsidRPr="007668E1">
        <w:rPr>
          <w:rFonts w:eastAsia="Aptos"/>
          <w:color w:val="000000"/>
        </w:rPr>
        <w:t xml:space="preserve">elow is a reminder of those guidelines. RTF will try to estimate in this section the amount of funding needed for KIP </w:t>
      </w:r>
      <w:r w:rsidR="00154D41">
        <w:rPr>
          <w:rFonts w:eastAsia="Aptos"/>
          <w:color w:val="000000"/>
        </w:rPr>
        <w:t>Stage</w:t>
      </w:r>
      <w:r w:rsidRPr="007668E1">
        <w:rPr>
          <w:rFonts w:eastAsia="Aptos"/>
          <w:color w:val="000000"/>
        </w:rPr>
        <w:t xml:space="preserve"> II to reach 30 per cent reduction while covering the needs for the two issues of fixed-cost system building funding and technician training presented in the previous section. The scenario is suggested for the revision of guidelines which is planned for 2028.</w:t>
      </w:r>
    </w:p>
    <w:p w14:paraId="4B9F7849" w14:textId="77777777" w:rsidR="00A0479E" w:rsidRDefault="00A0479E" w:rsidP="002135B0">
      <w:pPr>
        <w:tabs>
          <w:tab w:val="left" w:pos="1134"/>
        </w:tabs>
        <w:spacing w:after="0"/>
        <w:ind w:left="1412" w:hanging="1412"/>
        <w:rPr>
          <w:rFonts w:eastAsiaTheme="minorHAnsi"/>
          <w:b/>
          <w:bCs/>
        </w:rPr>
      </w:pPr>
      <w:r>
        <w:rPr>
          <w:rFonts w:eastAsiaTheme="minorHAnsi"/>
          <w:b/>
          <w:bCs/>
        </w:rPr>
        <w:br w:type="page"/>
      </w:r>
    </w:p>
    <w:p w14:paraId="424B03BC" w14:textId="37D6EF1A" w:rsidR="00447043" w:rsidRDefault="00447043" w:rsidP="002135B0">
      <w:pPr>
        <w:tabs>
          <w:tab w:val="left" w:pos="1134"/>
        </w:tabs>
        <w:spacing w:after="0"/>
        <w:ind w:left="1412" w:hanging="1412"/>
        <w:rPr>
          <w:rFonts w:eastAsia="Aptos"/>
          <w:b/>
          <w:bCs/>
          <w:color w:val="0E2841"/>
          <w:lang w:val="en-US"/>
        </w:rPr>
      </w:pPr>
      <w:r w:rsidRPr="00E42C5E">
        <w:rPr>
          <w:rFonts w:eastAsiaTheme="minorHAnsi"/>
          <w:b/>
          <w:bCs/>
        </w:rPr>
        <w:lastRenderedPageBreak/>
        <w:t xml:space="preserve">Table </w:t>
      </w:r>
      <w:r>
        <w:rPr>
          <w:rFonts w:eastAsiaTheme="minorHAnsi"/>
          <w:b/>
          <w:bCs/>
        </w:rPr>
        <w:t>6.6</w:t>
      </w:r>
      <w:r w:rsidR="005D589F">
        <w:rPr>
          <w:rFonts w:eastAsiaTheme="minorHAnsi"/>
          <w:b/>
          <w:bCs/>
        </w:rPr>
        <w:t>:</w:t>
      </w:r>
      <w:r w:rsidRPr="00E42C5E">
        <w:rPr>
          <w:rFonts w:eastAsiaTheme="minorHAnsi"/>
          <w:b/>
          <w:bCs/>
        </w:rPr>
        <w:tab/>
      </w:r>
      <w:r w:rsidR="00C87BFE" w:rsidRPr="007668E1">
        <w:rPr>
          <w:rFonts w:eastAsia="Aptos"/>
          <w:b/>
          <w:bCs/>
          <w:color w:val="0E2841"/>
          <w:lang w:val="en-US"/>
        </w:rPr>
        <w:t xml:space="preserve">Funding guidelines for all stages of HPMP and KIP </w:t>
      </w:r>
      <w:r w:rsidR="002B7EEB">
        <w:rPr>
          <w:rFonts w:eastAsia="Aptos"/>
          <w:b/>
          <w:bCs/>
          <w:color w:val="0E2841"/>
          <w:lang w:val="en-US"/>
        </w:rPr>
        <w:t>S</w:t>
      </w:r>
      <w:r w:rsidR="00C87BFE" w:rsidRPr="007668E1">
        <w:rPr>
          <w:rFonts w:eastAsia="Aptos"/>
          <w:b/>
          <w:bCs/>
          <w:color w:val="0E2841"/>
          <w:lang w:val="en-US"/>
        </w:rPr>
        <w:t>tage I</w:t>
      </w:r>
      <w:r w:rsidR="002B5148">
        <w:rPr>
          <w:rFonts w:eastAsia="Aptos"/>
          <w:b/>
          <w:bCs/>
          <w:color w:val="0E2841"/>
          <w:lang w:val="en-US"/>
        </w:rPr>
        <w:t xml:space="preserve"> (</w:t>
      </w:r>
      <w:r w:rsidR="00C87BFE" w:rsidRPr="007668E1">
        <w:rPr>
          <w:rFonts w:eastAsia="Aptos"/>
          <w:b/>
          <w:bCs/>
          <w:color w:val="0E2841"/>
          <w:lang w:val="en-US"/>
        </w:rPr>
        <w:t>US$</w:t>
      </w:r>
      <w:r w:rsidR="002B5148">
        <w:rPr>
          <w:rFonts w:eastAsia="Aptos"/>
          <w:b/>
          <w:bCs/>
          <w:color w:val="0E2841"/>
          <w:lang w:val="en-US"/>
        </w:rPr>
        <w:t>)</w:t>
      </w:r>
    </w:p>
    <w:p w14:paraId="06970425" w14:textId="77777777" w:rsidR="00C87BFE" w:rsidRDefault="00C87BFE" w:rsidP="00447043">
      <w:pPr>
        <w:tabs>
          <w:tab w:val="left" w:pos="1418"/>
        </w:tabs>
        <w:spacing w:after="0"/>
        <w:ind w:left="1411" w:hanging="1411"/>
        <w:rPr>
          <w:rFonts w:eastAsia="Aptos"/>
          <w:b/>
          <w:color w:val="0E2841"/>
        </w:rPr>
      </w:pPr>
    </w:p>
    <w:tbl>
      <w:tblPr>
        <w:tblW w:w="8185" w:type="dxa"/>
        <w:tblLook w:val="04A0" w:firstRow="1" w:lastRow="0" w:firstColumn="1" w:lastColumn="0" w:noHBand="0" w:noVBand="1"/>
      </w:tblPr>
      <w:tblGrid>
        <w:gridCol w:w="1345"/>
        <w:gridCol w:w="1372"/>
        <w:gridCol w:w="1057"/>
        <w:gridCol w:w="1026"/>
        <w:gridCol w:w="1045"/>
        <w:gridCol w:w="900"/>
        <w:gridCol w:w="270"/>
        <w:gridCol w:w="1170"/>
      </w:tblGrid>
      <w:tr w:rsidR="004C2403" w:rsidRPr="00D6607A" w14:paraId="670DF1C9" w14:textId="77777777" w:rsidTr="00A0479E">
        <w:trPr>
          <w:trHeight w:val="476"/>
          <w:tblHeader/>
        </w:trPr>
        <w:tc>
          <w:tcPr>
            <w:tcW w:w="1345"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14:paraId="160D12BA" w14:textId="77777777" w:rsidR="004C2403" w:rsidRPr="00D6607A" w:rsidRDefault="004C2403" w:rsidP="00A0479E">
            <w:pPr>
              <w:spacing w:after="0"/>
              <w:rPr>
                <w:b/>
                <w:color w:val="000000"/>
                <w:sz w:val="20"/>
                <w:szCs w:val="20"/>
                <w:lang w:eastAsia="en-CA"/>
              </w:rPr>
            </w:pPr>
            <w:r w:rsidRPr="00D6607A">
              <w:rPr>
                <w:b/>
                <w:color w:val="000000"/>
                <w:sz w:val="20"/>
                <w:szCs w:val="20"/>
                <w:lang w:eastAsia="en-CA"/>
              </w:rPr>
              <w:t>Category</w:t>
            </w:r>
          </w:p>
        </w:tc>
        <w:tc>
          <w:tcPr>
            <w:tcW w:w="1372"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hideMark/>
          </w:tcPr>
          <w:p w14:paraId="0E943314" w14:textId="77777777" w:rsidR="004C2403" w:rsidRPr="00D6607A" w:rsidRDefault="004C2403" w:rsidP="00A0479E">
            <w:pPr>
              <w:spacing w:after="0"/>
              <w:rPr>
                <w:b/>
                <w:color w:val="000000"/>
                <w:sz w:val="20"/>
                <w:szCs w:val="20"/>
                <w:lang w:eastAsia="en-CA"/>
              </w:rPr>
            </w:pPr>
            <w:r w:rsidRPr="00D6607A">
              <w:rPr>
                <w:b/>
                <w:color w:val="000000"/>
                <w:sz w:val="20"/>
                <w:szCs w:val="20"/>
                <w:lang w:eastAsia="en-CA"/>
              </w:rPr>
              <w:t>Consumption limits in mt</w:t>
            </w:r>
          </w:p>
        </w:tc>
        <w:tc>
          <w:tcPr>
            <w:tcW w:w="1057"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66784102" w14:textId="77777777" w:rsidR="004C2403" w:rsidRPr="00D6607A" w:rsidRDefault="004C2403" w:rsidP="00A0479E">
            <w:pPr>
              <w:spacing w:after="0"/>
              <w:rPr>
                <w:b/>
                <w:color w:val="000000"/>
                <w:sz w:val="20"/>
                <w:szCs w:val="20"/>
                <w:lang w:eastAsia="en-CA"/>
              </w:rPr>
            </w:pPr>
            <w:r w:rsidRPr="00D6607A">
              <w:rPr>
                <w:rFonts w:eastAsia="Aptos"/>
                <w:b/>
                <w:color w:val="000000"/>
                <w:sz w:val="20"/>
                <w:szCs w:val="20"/>
              </w:rPr>
              <w:t>HPMP up to 2020</w:t>
            </w:r>
          </w:p>
        </w:tc>
        <w:tc>
          <w:tcPr>
            <w:tcW w:w="1026"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2E62D327" w14:textId="77777777" w:rsidR="004C2403" w:rsidRPr="00D6607A" w:rsidRDefault="004C2403" w:rsidP="00A0479E">
            <w:pPr>
              <w:spacing w:after="0" w:line="259" w:lineRule="auto"/>
              <w:rPr>
                <w:b/>
                <w:sz w:val="20"/>
                <w:szCs w:val="20"/>
                <w:lang w:eastAsia="en-CA"/>
              </w:rPr>
            </w:pPr>
            <w:r w:rsidRPr="00D6607A">
              <w:rPr>
                <w:rFonts w:eastAsia="Aptos"/>
                <w:b/>
                <w:color w:val="000000"/>
                <w:sz w:val="20"/>
                <w:szCs w:val="20"/>
              </w:rPr>
              <w:t>HPMP up to 2025</w:t>
            </w:r>
          </w:p>
        </w:tc>
        <w:tc>
          <w:tcPr>
            <w:tcW w:w="1045"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204B4873" w14:textId="77777777" w:rsidR="004C2403" w:rsidRPr="00D6607A" w:rsidRDefault="004C2403" w:rsidP="00A0479E">
            <w:pPr>
              <w:spacing w:after="0" w:line="259" w:lineRule="auto"/>
              <w:rPr>
                <w:b/>
                <w:sz w:val="20"/>
                <w:szCs w:val="20"/>
                <w:lang w:eastAsia="en-CA"/>
              </w:rPr>
            </w:pPr>
            <w:r w:rsidRPr="00D6607A">
              <w:rPr>
                <w:rFonts w:eastAsia="Aptos"/>
                <w:b/>
                <w:color w:val="000000"/>
                <w:sz w:val="20"/>
                <w:szCs w:val="20"/>
              </w:rPr>
              <w:t>HPMP total phaseout</w:t>
            </w:r>
          </w:p>
        </w:tc>
        <w:tc>
          <w:tcPr>
            <w:tcW w:w="900"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03272FFC" w14:textId="77777777" w:rsidR="004C2403" w:rsidRPr="00D6607A" w:rsidRDefault="004C2403" w:rsidP="00A0479E">
            <w:pPr>
              <w:spacing w:after="0" w:line="259" w:lineRule="auto"/>
              <w:rPr>
                <w:b/>
                <w:sz w:val="20"/>
                <w:szCs w:val="20"/>
                <w:lang w:eastAsia="en-CA"/>
              </w:rPr>
            </w:pPr>
            <w:r w:rsidRPr="00D6607A">
              <w:rPr>
                <w:rFonts w:eastAsia="Aptos"/>
                <w:b/>
                <w:color w:val="000000"/>
                <w:sz w:val="20"/>
                <w:szCs w:val="20"/>
              </w:rPr>
              <w:t>HPMP 2025-2030</w:t>
            </w:r>
          </w:p>
        </w:tc>
        <w:tc>
          <w:tcPr>
            <w:tcW w:w="270" w:type="dxa"/>
            <w:tcBorders>
              <w:left w:val="single" w:sz="8" w:space="0" w:color="auto"/>
              <w:right w:val="single" w:sz="8" w:space="0" w:color="auto"/>
            </w:tcBorders>
            <w:shd w:val="clear" w:color="auto" w:fill="FFFFFF" w:themeFill="background1"/>
          </w:tcPr>
          <w:p w14:paraId="11687F9C" w14:textId="77777777" w:rsidR="004C2403" w:rsidRPr="00D6607A" w:rsidRDefault="004C2403" w:rsidP="006233FA">
            <w:pPr>
              <w:spacing w:after="160" w:line="259" w:lineRule="auto"/>
              <w:jc w:val="center"/>
              <w:rPr>
                <w:rFonts w:eastAsia="Aptos"/>
                <w:b/>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70F44BD4" w14:textId="1136C1E5" w:rsidR="004C2403" w:rsidRPr="00D6607A" w:rsidRDefault="004C2403" w:rsidP="006233FA">
            <w:pPr>
              <w:spacing w:after="0" w:line="259" w:lineRule="auto"/>
              <w:jc w:val="center"/>
              <w:rPr>
                <w:rFonts w:eastAsia="Aptos"/>
                <w:b/>
                <w:color w:val="000000"/>
                <w:sz w:val="20"/>
                <w:szCs w:val="20"/>
              </w:rPr>
            </w:pPr>
            <w:r w:rsidRPr="00D6607A">
              <w:rPr>
                <w:rFonts w:eastAsia="Aptos"/>
                <w:b/>
                <w:color w:val="000000"/>
                <w:sz w:val="20"/>
                <w:szCs w:val="20"/>
              </w:rPr>
              <w:t xml:space="preserve">KIP </w:t>
            </w:r>
            <w:r w:rsidR="002B7EEB">
              <w:rPr>
                <w:rFonts w:eastAsia="Aptos"/>
                <w:b/>
                <w:color w:val="000000"/>
                <w:sz w:val="20"/>
                <w:szCs w:val="20"/>
              </w:rPr>
              <w:t>S</w:t>
            </w:r>
            <w:r w:rsidRPr="00D6607A">
              <w:rPr>
                <w:rFonts w:eastAsia="Aptos"/>
                <w:b/>
                <w:color w:val="000000"/>
                <w:sz w:val="20"/>
                <w:szCs w:val="20"/>
              </w:rPr>
              <w:t>tage I</w:t>
            </w:r>
          </w:p>
        </w:tc>
      </w:tr>
      <w:tr w:rsidR="004C2403" w:rsidRPr="00D6607A" w14:paraId="49525D12" w14:textId="77777777" w:rsidTr="002B7EEB">
        <w:trPr>
          <w:trHeight w:val="277"/>
        </w:trPr>
        <w:tc>
          <w:tcPr>
            <w:tcW w:w="1345"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tcPr>
          <w:p w14:paraId="1D0189E8" w14:textId="77777777" w:rsidR="004C2403" w:rsidRPr="00D6607A" w:rsidRDefault="004C2403" w:rsidP="006233FA">
            <w:pPr>
              <w:spacing w:after="0"/>
              <w:rPr>
                <w:b/>
                <w:color w:val="000000"/>
                <w:sz w:val="20"/>
                <w:szCs w:val="20"/>
                <w:lang w:eastAsia="en-CA"/>
              </w:rPr>
            </w:pPr>
            <w:r w:rsidRPr="00D6607A">
              <w:rPr>
                <w:b/>
                <w:color w:val="000000"/>
                <w:sz w:val="20"/>
                <w:szCs w:val="20"/>
                <w:lang w:eastAsia="en-CA"/>
              </w:rPr>
              <w:t>Reduction %</w:t>
            </w:r>
          </w:p>
        </w:tc>
        <w:tc>
          <w:tcPr>
            <w:tcW w:w="1372"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F14539C" w14:textId="77777777" w:rsidR="004C2403" w:rsidRPr="00D6607A" w:rsidRDefault="004C2403" w:rsidP="006233FA">
            <w:pPr>
              <w:spacing w:after="0"/>
              <w:rPr>
                <w:b/>
                <w:color w:val="000000"/>
                <w:sz w:val="20"/>
                <w:szCs w:val="20"/>
                <w:lang w:eastAsia="en-CA"/>
              </w:rPr>
            </w:pPr>
          </w:p>
        </w:tc>
        <w:tc>
          <w:tcPr>
            <w:tcW w:w="1057"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9D868B5" w14:textId="77777777" w:rsidR="004C2403" w:rsidRPr="00D6607A" w:rsidRDefault="004C2403" w:rsidP="006233FA">
            <w:pPr>
              <w:spacing w:after="0"/>
              <w:jc w:val="center"/>
              <w:rPr>
                <w:rFonts w:eastAsia="Aptos"/>
                <w:b/>
                <w:color w:val="000000"/>
                <w:sz w:val="20"/>
                <w:szCs w:val="20"/>
              </w:rPr>
            </w:pPr>
            <w:r w:rsidRPr="00D6607A">
              <w:rPr>
                <w:rFonts w:eastAsia="Aptos"/>
                <w:b/>
                <w:color w:val="000000"/>
                <w:sz w:val="20"/>
                <w:szCs w:val="20"/>
              </w:rPr>
              <w:t>35</w:t>
            </w:r>
          </w:p>
        </w:tc>
        <w:tc>
          <w:tcPr>
            <w:tcW w:w="1026"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E35A3D8" w14:textId="77777777" w:rsidR="004C2403" w:rsidRPr="00D6607A" w:rsidRDefault="004C2403" w:rsidP="006233FA">
            <w:pPr>
              <w:spacing w:after="0" w:line="259" w:lineRule="auto"/>
              <w:jc w:val="center"/>
              <w:rPr>
                <w:rFonts w:eastAsia="Aptos"/>
                <w:b/>
                <w:color w:val="000000"/>
                <w:sz w:val="20"/>
                <w:szCs w:val="20"/>
              </w:rPr>
            </w:pPr>
            <w:r w:rsidRPr="00D6607A">
              <w:rPr>
                <w:rFonts w:eastAsia="Aptos"/>
                <w:b/>
                <w:color w:val="000000"/>
                <w:sz w:val="20"/>
                <w:szCs w:val="20"/>
              </w:rPr>
              <w:t>65</w:t>
            </w:r>
          </w:p>
        </w:tc>
        <w:tc>
          <w:tcPr>
            <w:tcW w:w="104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ADB893C" w14:textId="77777777" w:rsidR="004C2403" w:rsidRPr="00D6607A" w:rsidRDefault="004C2403" w:rsidP="006233FA">
            <w:pPr>
              <w:spacing w:after="0" w:line="259" w:lineRule="auto"/>
              <w:jc w:val="center"/>
              <w:rPr>
                <w:rFonts w:eastAsia="Aptos"/>
                <w:b/>
                <w:color w:val="000000"/>
                <w:sz w:val="20"/>
                <w:szCs w:val="20"/>
              </w:rPr>
            </w:pPr>
          </w:p>
        </w:tc>
        <w:tc>
          <w:tcPr>
            <w:tcW w:w="9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32C8EB2" w14:textId="77777777" w:rsidR="004C2403" w:rsidRPr="00D6607A" w:rsidRDefault="004C2403" w:rsidP="006233FA">
            <w:pPr>
              <w:spacing w:after="0" w:line="259" w:lineRule="auto"/>
              <w:jc w:val="center"/>
              <w:rPr>
                <w:rFonts w:eastAsia="Aptos"/>
                <w:b/>
                <w:color w:val="000000"/>
                <w:sz w:val="20"/>
                <w:szCs w:val="20"/>
              </w:rPr>
            </w:pPr>
            <w:r w:rsidRPr="00D6607A">
              <w:rPr>
                <w:rFonts w:eastAsia="Aptos"/>
                <w:b/>
                <w:color w:val="000000"/>
                <w:sz w:val="20"/>
                <w:szCs w:val="20"/>
              </w:rPr>
              <w:t>35</w:t>
            </w:r>
          </w:p>
        </w:tc>
        <w:tc>
          <w:tcPr>
            <w:tcW w:w="270" w:type="dxa"/>
            <w:tcBorders>
              <w:left w:val="single" w:sz="8" w:space="0" w:color="auto"/>
              <w:right w:val="single" w:sz="8" w:space="0" w:color="auto"/>
            </w:tcBorders>
            <w:shd w:val="clear" w:color="auto" w:fill="FFFFFF" w:themeFill="background1"/>
          </w:tcPr>
          <w:p w14:paraId="0F6B42F2" w14:textId="77777777" w:rsidR="004C2403" w:rsidRPr="00D6607A" w:rsidRDefault="004C2403" w:rsidP="006233FA">
            <w:pPr>
              <w:spacing w:after="0" w:line="259" w:lineRule="auto"/>
              <w:jc w:val="center"/>
              <w:rPr>
                <w:rFonts w:eastAsia="Aptos"/>
                <w:b/>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0F3F031" w14:textId="77777777" w:rsidR="004C2403" w:rsidRPr="00D6607A" w:rsidRDefault="004C2403" w:rsidP="006233FA">
            <w:pPr>
              <w:spacing w:after="0" w:line="259" w:lineRule="auto"/>
              <w:jc w:val="center"/>
              <w:rPr>
                <w:rFonts w:eastAsia="Aptos"/>
                <w:b/>
                <w:color w:val="000000"/>
                <w:sz w:val="20"/>
                <w:szCs w:val="20"/>
              </w:rPr>
            </w:pPr>
            <w:r w:rsidRPr="00D6607A">
              <w:rPr>
                <w:rFonts w:eastAsia="Aptos"/>
                <w:b/>
                <w:color w:val="000000"/>
                <w:sz w:val="20"/>
                <w:szCs w:val="20"/>
              </w:rPr>
              <w:t>10</w:t>
            </w:r>
          </w:p>
        </w:tc>
      </w:tr>
      <w:tr w:rsidR="004C2403" w:rsidRPr="00D6607A" w14:paraId="71E952A6" w14:textId="77777777" w:rsidTr="00384DAF">
        <w:trPr>
          <w:trHeight w:val="300"/>
        </w:trPr>
        <w:tc>
          <w:tcPr>
            <w:tcW w:w="1345" w:type="dxa"/>
            <w:tcBorders>
              <w:top w:val="single" w:sz="8" w:space="0" w:color="auto"/>
              <w:left w:val="single" w:sz="8" w:space="0" w:color="auto"/>
              <w:bottom w:val="single" w:sz="8" w:space="0" w:color="auto"/>
              <w:right w:val="single" w:sz="8" w:space="0" w:color="auto"/>
            </w:tcBorders>
            <w:noWrap/>
            <w:vAlign w:val="bottom"/>
            <w:hideMark/>
          </w:tcPr>
          <w:p w14:paraId="77C94A23" w14:textId="77777777" w:rsidR="004C2403" w:rsidRPr="00D6607A" w:rsidRDefault="004C2403" w:rsidP="006233FA">
            <w:pPr>
              <w:spacing w:after="0"/>
              <w:jc w:val="center"/>
              <w:rPr>
                <w:color w:val="000000"/>
                <w:sz w:val="20"/>
                <w:szCs w:val="20"/>
                <w:lang w:eastAsia="en-CA"/>
              </w:rPr>
            </w:pPr>
            <w:r w:rsidRPr="00D6607A">
              <w:rPr>
                <w:color w:val="000000"/>
                <w:sz w:val="20"/>
                <w:szCs w:val="20"/>
                <w:lang w:eastAsia="en-CA"/>
              </w:rPr>
              <w:t>1</w:t>
            </w:r>
          </w:p>
        </w:tc>
        <w:tc>
          <w:tcPr>
            <w:tcW w:w="1372" w:type="dxa"/>
            <w:tcBorders>
              <w:top w:val="single" w:sz="8" w:space="0" w:color="auto"/>
              <w:left w:val="single" w:sz="8" w:space="0" w:color="auto"/>
              <w:bottom w:val="single" w:sz="8" w:space="0" w:color="auto"/>
              <w:right w:val="single" w:sz="8" w:space="0" w:color="auto"/>
            </w:tcBorders>
            <w:vAlign w:val="center"/>
            <w:hideMark/>
          </w:tcPr>
          <w:p w14:paraId="002E0F50" w14:textId="77777777" w:rsidR="004C2403" w:rsidRPr="00D6607A" w:rsidRDefault="004C2403" w:rsidP="006233FA">
            <w:pPr>
              <w:spacing w:after="0"/>
              <w:ind w:left="102"/>
              <w:jc w:val="center"/>
              <w:rPr>
                <w:color w:val="000000"/>
                <w:sz w:val="20"/>
                <w:szCs w:val="20"/>
                <w:lang w:eastAsia="en-CA"/>
              </w:rPr>
            </w:pPr>
            <w:r w:rsidRPr="00D6607A">
              <w:rPr>
                <w:color w:val="000000"/>
                <w:sz w:val="20"/>
                <w:szCs w:val="20"/>
                <w:lang w:eastAsia="en-CA"/>
              </w:rPr>
              <w:t>&gt; 0 &lt;15</w:t>
            </w:r>
          </w:p>
        </w:tc>
        <w:tc>
          <w:tcPr>
            <w:tcW w:w="1057" w:type="dxa"/>
            <w:tcBorders>
              <w:top w:val="single" w:sz="8" w:space="0" w:color="auto"/>
              <w:left w:val="single" w:sz="8" w:space="0" w:color="auto"/>
              <w:bottom w:val="single" w:sz="8" w:space="0" w:color="auto"/>
              <w:right w:val="single" w:sz="8" w:space="0" w:color="auto"/>
            </w:tcBorders>
            <w:vAlign w:val="bottom"/>
          </w:tcPr>
          <w:p w14:paraId="020E2770" w14:textId="77777777" w:rsidR="004C2403" w:rsidRPr="00D6607A" w:rsidRDefault="004C2403" w:rsidP="006233FA">
            <w:pPr>
              <w:spacing w:after="0"/>
              <w:ind w:left="102"/>
              <w:jc w:val="right"/>
              <w:rPr>
                <w:color w:val="000000"/>
                <w:sz w:val="20"/>
                <w:szCs w:val="20"/>
                <w:lang w:eastAsia="en-CA"/>
              </w:rPr>
            </w:pPr>
            <w:r w:rsidRPr="00D6607A">
              <w:rPr>
                <w:rFonts w:eastAsia="Aptos"/>
                <w:color w:val="000000"/>
                <w:sz w:val="20"/>
                <w:szCs w:val="20"/>
              </w:rPr>
              <w:t>205,625</w:t>
            </w:r>
          </w:p>
        </w:tc>
        <w:tc>
          <w:tcPr>
            <w:tcW w:w="1026" w:type="dxa"/>
            <w:tcBorders>
              <w:top w:val="single" w:sz="8" w:space="0" w:color="auto"/>
              <w:left w:val="single" w:sz="8" w:space="0" w:color="auto"/>
              <w:bottom w:val="single" w:sz="8" w:space="0" w:color="auto"/>
              <w:right w:val="single" w:sz="8" w:space="0" w:color="auto"/>
            </w:tcBorders>
            <w:vAlign w:val="bottom"/>
          </w:tcPr>
          <w:p w14:paraId="740BB014"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396,500</w:t>
            </w:r>
          </w:p>
        </w:tc>
        <w:tc>
          <w:tcPr>
            <w:tcW w:w="1045" w:type="dxa"/>
            <w:tcBorders>
              <w:top w:val="single" w:sz="8" w:space="0" w:color="auto"/>
              <w:left w:val="single" w:sz="8" w:space="0" w:color="auto"/>
              <w:bottom w:val="single" w:sz="8" w:space="0" w:color="auto"/>
              <w:right w:val="single" w:sz="8" w:space="0" w:color="auto"/>
            </w:tcBorders>
            <w:vAlign w:val="bottom"/>
          </w:tcPr>
          <w:p w14:paraId="7F6EE6E9"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587,000</w:t>
            </w:r>
          </w:p>
        </w:tc>
        <w:tc>
          <w:tcPr>
            <w:tcW w:w="900" w:type="dxa"/>
            <w:tcBorders>
              <w:top w:val="single" w:sz="8" w:space="0" w:color="auto"/>
              <w:left w:val="single" w:sz="8" w:space="0" w:color="auto"/>
              <w:bottom w:val="single" w:sz="8" w:space="0" w:color="auto"/>
              <w:right w:val="single" w:sz="8" w:space="0" w:color="auto"/>
            </w:tcBorders>
            <w:vAlign w:val="bottom"/>
          </w:tcPr>
          <w:p w14:paraId="5C9D7C24" w14:textId="77777777" w:rsidR="004C2403" w:rsidRPr="00D6607A" w:rsidRDefault="004C2403" w:rsidP="006233FA">
            <w:pPr>
              <w:spacing w:after="0" w:line="259" w:lineRule="auto"/>
              <w:jc w:val="right"/>
              <w:rPr>
                <w:sz w:val="20"/>
                <w:szCs w:val="20"/>
                <w:lang w:eastAsia="en-CA"/>
              </w:rPr>
            </w:pPr>
            <w:r w:rsidRPr="00D6607A">
              <w:rPr>
                <w:rFonts w:eastAsia="Aptos"/>
                <w:color w:val="000000"/>
                <w:sz w:val="20"/>
                <w:szCs w:val="20"/>
              </w:rPr>
              <w:t>190,500</w:t>
            </w:r>
          </w:p>
        </w:tc>
        <w:tc>
          <w:tcPr>
            <w:tcW w:w="270" w:type="dxa"/>
            <w:tcBorders>
              <w:left w:val="single" w:sz="8" w:space="0" w:color="auto"/>
              <w:right w:val="single" w:sz="8" w:space="0" w:color="auto"/>
            </w:tcBorders>
          </w:tcPr>
          <w:p w14:paraId="20B068E4" w14:textId="77777777" w:rsidR="004C2403" w:rsidRPr="00D6607A" w:rsidRDefault="004C2403" w:rsidP="006233FA">
            <w:pPr>
              <w:spacing w:after="0" w:line="259" w:lineRule="auto"/>
              <w:jc w:val="right"/>
              <w:rPr>
                <w:rFonts w:eastAsia="Aptos"/>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vAlign w:val="bottom"/>
          </w:tcPr>
          <w:p w14:paraId="2AB4B750"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rPr>
              <w:t xml:space="preserve">135,000 </w:t>
            </w:r>
          </w:p>
        </w:tc>
      </w:tr>
      <w:tr w:rsidR="004C2403" w:rsidRPr="00D6607A" w14:paraId="2E3BFD0A" w14:textId="77777777" w:rsidTr="00384DAF">
        <w:trPr>
          <w:trHeight w:val="300"/>
        </w:trPr>
        <w:tc>
          <w:tcPr>
            <w:tcW w:w="1345" w:type="dxa"/>
            <w:tcBorders>
              <w:top w:val="single" w:sz="8" w:space="0" w:color="auto"/>
              <w:left w:val="single" w:sz="8" w:space="0" w:color="auto"/>
              <w:bottom w:val="single" w:sz="8" w:space="0" w:color="auto"/>
              <w:right w:val="single" w:sz="8" w:space="0" w:color="auto"/>
            </w:tcBorders>
            <w:noWrap/>
            <w:vAlign w:val="bottom"/>
            <w:hideMark/>
          </w:tcPr>
          <w:p w14:paraId="1F149B4D" w14:textId="77777777" w:rsidR="004C2403" w:rsidRPr="00D6607A" w:rsidRDefault="004C2403" w:rsidP="006233FA">
            <w:pPr>
              <w:spacing w:after="0"/>
              <w:jc w:val="center"/>
              <w:rPr>
                <w:color w:val="000000"/>
                <w:sz w:val="20"/>
                <w:szCs w:val="20"/>
                <w:lang w:eastAsia="en-CA"/>
              </w:rPr>
            </w:pPr>
            <w:r w:rsidRPr="00D6607A">
              <w:rPr>
                <w:color w:val="000000"/>
                <w:sz w:val="20"/>
                <w:szCs w:val="20"/>
                <w:lang w:eastAsia="en-CA"/>
              </w:rPr>
              <w:t>2</w:t>
            </w:r>
          </w:p>
        </w:tc>
        <w:tc>
          <w:tcPr>
            <w:tcW w:w="1372" w:type="dxa"/>
            <w:tcBorders>
              <w:top w:val="single" w:sz="8" w:space="0" w:color="auto"/>
              <w:left w:val="single" w:sz="8" w:space="0" w:color="auto"/>
              <w:bottom w:val="single" w:sz="8" w:space="0" w:color="auto"/>
              <w:right w:val="single" w:sz="8" w:space="0" w:color="auto"/>
            </w:tcBorders>
            <w:vAlign w:val="center"/>
            <w:hideMark/>
          </w:tcPr>
          <w:p w14:paraId="74968926" w14:textId="77777777" w:rsidR="004C2403" w:rsidRPr="00D6607A" w:rsidRDefault="004C2403" w:rsidP="006233FA">
            <w:pPr>
              <w:spacing w:after="0"/>
              <w:ind w:left="102"/>
              <w:jc w:val="center"/>
              <w:rPr>
                <w:color w:val="000000"/>
                <w:sz w:val="20"/>
                <w:szCs w:val="20"/>
                <w:lang w:eastAsia="en-CA"/>
              </w:rPr>
            </w:pPr>
            <w:r w:rsidRPr="00D6607A">
              <w:rPr>
                <w:color w:val="000000"/>
                <w:sz w:val="20"/>
                <w:szCs w:val="20"/>
                <w:lang w:eastAsia="en-CA"/>
              </w:rPr>
              <w:t>15 &lt; 40</w:t>
            </w:r>
          </w:p>
        </w:tc>
        <w:tc>
          <w:tcPr>
            <w:tcW w:w="1057" w:type="dxa"/>
            <w:tcBorders>
              <w:top w:val="single" w:sz="8" w:space="0" w:color="auto"/>
              <w:left w:val="single" w:sz="8" w:space="0" w:color="auto"/>
              <w:bottom w:val="single" w:sz="8" w:space="0" w:color="auto"/>
              <w:right w:val="single" w:sz="8" w:space="0" w:color="auto"/>
            </w:tcBorders>
            <w:vAlign w:val="bottom"/>
          </w:tcPr>
          <w:p w14:paraId="4E186F24" w14:textId="77777777" w:rsidR="004C2403" w:rsidRPr="00D6607A" w:rsidRDefault="004C2403" w:rsidP="006233FA">
            <w:pPr>
              <w:spacing w:after="0"/>
              <w:ind w:left="102"/>
              <w:jc w:val="right"/>
              <w:rPr>
                <w:color w:val="000000"/>
                <w:sz w:val="20"/>
                <w:szCs w:val="20"/>
                <w:lang w:eastAsia="en-CA"/>
              </w:rPr>
            </w:pPr>
            <w:r w:rsidRPr="00D6607A">
              <w:rPr>
                <w:rFonts w:eastAsia="Aptos"/>
                <w:color w:val="000000"/>
                <w:sz w:val="20"/>
                <w:szCs w:val="20"/>
              </w:rPr>
              <w:t>262,500</w:t>
            </w:r>
          </w:p>
        </w:tc>
        <w:tc>
          <w:tcPr>
            <w:tcW w:w="1026" w:type="dxa"/>
            <w:tcBorders>
              <w:top w:val="single" w:sz="8" w:space="0" w:color="auto"/>
              <w:left w:val="single" w:sz="8" w:space="0" w:color="auto"/>
              <w:bottom w:val="single" w:sz="8" w:space="0" w:color="auto"/>
              <w:right w:val="single" w:sz="8" w:space="0" w:color="auto"/>
            </w:tcBorders>
            <w:vAlign w:val="bottom"/>
          </w:tcPr>
          <w:p w14:paraId="1A6C8721"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506,250</w:t>
            </w:r>
          </w:p>
        </w:tc>
        <w:tc>
          <w:tcPr>
            <w:tcW w:w="1045" w:type="dxa"/>
            <w:tcBorders>
              <w:top w:val="single" w:sz="8" w:space="0" w:color="auto"/>
              <w:left w:val="single" w:sz="8" w:space="0" w:color="auto"/>
              <w:bottom w:val="single" w:sz="8" w:space="0" w:color="auto"/>
              <w:right w:val="single" w:sz="8" w:space="0" w:color="auto"/>
            </w:tcBorders>
            <w:vAlign w:val="bottom"/>
          </w:tcPr>
          <w:p w14:paraId="5088C8AA"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750,000</w:t>
            </w:r>
          </w:p>
        </w:tc>
        <w:tc>
          <w:tcPr>
            <w:tcW w:w="900" w:type="dxa"/>
            <w:tcBorders>
              <w:top w:val="single" w:sz="8" w:space="0" w:color="auto"/>
              <w:left w:val="single" w:sz="8" w:space="0" w:color="auto"/>
              <w:bottom w:val="single" w:sz="8" w:space="0" w:color="auto"/>
              <w:right w:val="single" w:sz="8" w:space="0" w:color="auto"/>
            </w:tcBorders>
            <w:vAlign w:val="bottom"/>
          </w:tcPr>
          <w:p w14:paraId="2A870D22"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243,750</w:t>
            </w:r>
          </w:p>
        </w:tc>
        <w:tc>
          <w:tcPr>
            <w:tcW w:w="270" w:type="dxa"/>
            <w:tcBorders>
              <w:left w:val="single" w:sz="8" w:space="0" w:color="auto"/>
              <w:right w:val="single" w:sz="8" w:space="0" w:color="auto"/>
            </w:tcBorders>
          </w:tcPr>
          <w:p w14:paraId="1A0F8FFF" w14:textId="77777777" w:rsidR="004C2403" w:rsidRPr="00D6607A" w:rsidRDefault="004C2403" w:rsidP="006233FA">
            <w:pPr>
              <w:spacing w:after="0" w:line="259" w:lineRule="auto"/>
              <w:jc w:val="right"/>
              <w:rPr>
                <w:rFonts w:eastAsia="Aptos"/>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vAlign w:val="bottom"/>
          </w:tcPr>
          <w:p w14:paraId="6213D76B"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rPr>
              <w:t xml:space="preserve">145,000 </w:t>
            </w:r>
          </w:p>
        </w:tc>
      </w:tr>
      <w:tr w:rsidR="004C2403" w:rsidRPr="00D6607A" w14:paraId="52A7F622" w14:textId="77777777" w:rsidTr="00384DAF">
        <w:trPr>
          <w:trHeight w:val="300"/>
        </w:trPr>
        <w:tc>
          <w:tcPr>
            <w:tcW w:w="1345" w:type="dxa"/>
            <w:tcBorders>
              <w:top w:val="single" w:sz="8" w:space="0" w:color="auto"/>
              <w:left w:val="single" w:sz="8" w:space="0" w:color="auto"/>
              <w:bottom w:val="single" w:sz="8" w:space="0" w:color="auto"/>
              <w:right w:val="single" w:sz="8" w:space="0" w:color="auto"/>
            </w:tcBorders>
            <w:noWrap/>
            <w:vAlign w:val="bottom"/>
            <w:hideMark/>
          </w:tcPr>
          <w:p w14:paraId="4E6721F4" w14:textId="77777777" w:rsidR="004C2403" w:rsidRPr="00D6607A" w:rsidRDefault="004C2403" w:rsidP="006233FA">
            <w:pPr>
              <w:spacing w:after="0"/>
              <w:jc w:val="center"/>
              <w:rPr>
                <w:color w:val="000000"/>
                <w:sz w:val="20"/>
                <w:szCs w:val="20"/>
                <w:lang w:eastAsia="en-CA"/>
              </w:rPr>
            </w:pPr>
            <w:r w:rsidRPr="00D6607A">
              <w:rPr>
                <w:color w:val="000000"/>
                <w:sz w:val="20"/>
                <w:szCs w:val="20"/>
                <w:lang w:eastAsia="en-CA"/>
              </w:rPr>
              <w:t>3</w:t>
            </w:r>
          </w:p>
        </w:tc>
        <w:tc>
          <w:tcPr>
            <w:tcW w:w="1372" w:type="dxa"/>
            <w:tcBorders>
              <w:top w:val="single" w:sz="8" w:space="0" w:color="auto"/>
              <w:left w:val="single" w:sz="8" w:space="0" w:color="auto"/>
              <w:bottom w:val="single" w:sz="8" w:space="0" w:color="auto"/>
              <w:right w:val="single" w:sz="8" w:space="0" w:color="auto"/>
            </w:tcBorders>
            <w:vAlign w:val="center"/>
            <w:hideMark/>
          </w:tcPr>
          <w:p w14:paraId="658E65C1" w14:textId="77777777" w:rsidR="004C2403" w:rsidRPr="00D6607A" w:rsidRDefault="004C2403" w:rsidP="006233FA">
            <w:pPr>
              <w:spacing w:after="0"/>
              <w:ind w:left="102"/>
              <w:jc w:val="center"/>
              <w:rPr>
                <w:color w:val="000000"/>
                <w:sz w:val="20"/>
                <w:szCs w:val="20"/>
                <w:lang w:eastAsia="en-CA"/>
              </w:rPr>
            </w:pPr>
            <w:r w:rsidRPr="00D6607A">
              <w:rPr>
                <w:color w:val="000000"/>
                <w:sz w:val="20"/>
                <w:szCs w:val="20"/>
                <w:lang w:eastAsia="en-CA"/>
              </w:rPr>
              <w:t>40 &lt; 80</w:t>
            </w:r>
          </w:p>
        </w:tc>
        <w:tc>
          <w:tcPr>
            <w:tcW w:w="1057" w:type="dxa"/>
            <w:tcBorders>
              <w:top w:val="single" w:sz="8" w:space="0" w:color="auto"/>
              <w:left w:val="single" w:sz="8" w:space="0" w:color="auto"/>
              <w:bottom w:val="single" w:sz="8" w:space="0" w:color="auto"/>
              <w:right w:val="single" w:sz="8" w:space="0" w:color="auto"/>
            </w:tcBorders>
            <w:vAlign w:val="bottom"/>
          </w:tcPr>
          <w:p w14:paraId="22E28E55" w14:textId="77777777" w:rsidR="004C2403" w:rsidRPr="00D6607A" w:rsidRDefault="004C2403" w:rsidP="006233FA">
            <w:pPr>
              <w:spacing w:after="0"/>
              <w:ind w:left="102"/>
              <w:jc w:val="right"/>
              <w:rPr>
                <w:color w:val="000000"/>
                <w:sz w:val="20"/>
                <w:szCs w:val="20"/>
                <w:lang w:eastAsia="en-CA"/>
              </w:rPr>
            </w:pPr>
            <w:r w:rsidRPr="00D6607A">
              <w:rPr>
                <w:rFonts w:eastAsia="Aptos"/>
                <w:color w:val="000000"/>
                <w:sz w:val="20"/>
                <w:szCs w:val="20"/>
              </w:rPr>
              <w:t>280,000</w:t>
            </w:r>
          </w:p>
        </w:tc>
        <w:tc>
          <w:tcPr>
            <w:tcW w:w="1026" w:type="dxa"/>
            <w:tcBorders>
              <w:top w:val="single" w:sz="8" w:space="0" w:color="auto"/>
              <w:left w:val="single" w:sz="8" w:space="0" w:color="auto"/>
              <w:bottom w:val="single" w:sz="8" w:space="0" w:color="auto"/>
              <w:right w:val="single" w:sz="8" w:space="0" w:color="auto"/>
            </w:tcBorders>
            <w:vAlign w:val="bottom"/>
          </w:tcPr>
          <w:p w14:paraId="687B17F6"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540,000</w:t>
            </w:r>
          </w:p>
        </w:tc>
        <w:tc>
          <w:tcPr>
            <w:tcW w:w="1045" w:type="dxa"/>
            <w:tcBorders>
              <w:top w:val="single" w:sz="8" w:space="0" w:color="auto"/>
              <w:left w:val="single" w:sz="8" w:space="0" w:color="auto"/>
              <w:bottom w:val="single" w:sz="8" w:space="0" w:color="auto"/>
              <w:right w:val="single" w:sz="8" w:space="0" w:color="auto"/>
            </w:tcBorders>
            <w:vAlign w:val="bottom"/>
          </w:tcPr>
          <w:p w14:paraId="55532456"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800,000</w:t>
            </w:r>
          </w:p>
        </w:tc>
        <w:tc>
          <w:tcPr>
            <w:tcW w:w="900" w:type="dxa"/>
            <w:tcBorders>
              <w:top w:val="single" w:sz="8" w:space="0" w:color="auto"/>
              <w:left w:val="single" w:sz="8" w:space="0" w:color="auto"/>
              <w:bottom w:val="single" w:sz="8" w:space="0" w:color="auto"/>
              <w:right w:val="single" w:sz="8" w:space="0" w:color="auto"/>
            </w:tcBorders>
            <w:vAlign w:val="bottom"/>
          </w:tcPr>
          <w:p w14:paraId="71A5EDA0"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260,000</w:t>
            </w:r>
          </w:p>
        </w:tc>
        <w:tc>
          <w:tcPr>
            <w:tcW w:w="270" w:type="dxa"/>
            <w:tcBorders>
              <w:left w:val="single" w:sz="8" w:space="0" w:color="auto"/>
              <w:right w:val="single" w:sz="8" w:space="0" w:color="auto"/>
            </w:tcBorders>
          </w:tcPr>
          <w:p w14:paraId="059A1308" w14:textId="77777777" w:rsidR="004C2403" w:rsidRPr="00D6607A" w:rsidRDefault="004C2403" w:rsidP="006233FA">
            <w:pPr>
              <w:spacing w:after="0" w:line="259" w:lineRule="auto"/>
              <w:jc w:val="right"/>
              <w:rPr>
                <w:rFonts w:eastAsia="Aptos"/>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vAlign w:val="bottom"/>
          </w:tcPr>
          <w:p w14:paraId="02D8CFC9"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rPr>
              <w:t xml:space="preserve">158,000 </w:t>
            </w:r>
          </w:p>
        </w:tc>
      </w:tr>
      <w:tr w:rsidR="004C2403" w:rsidRPr="00D6607A" w14:paraId="3CEB0D9F" w14:textId="77777777" w:rsidTr="00384DAF">
        <w:trPr>
          <w:trHeight w:val="300"/>
        </w:trPr>
        <w:tc>
          <w:tcPr>
            <w:tcW w:w="1345" w:type="dxa"/>
            <w:tcBorders>
              <w:top w:val="single" w:sz="8" w:space="0" w:color="auto"/>
              <w:left w:val="single" w:sz="8" w:space="0" w:color="auto"/>
              <w:bottom w:val="single" w:sz="8" w:space="0" w:color="auto"/>
              <w:right w:val="single" w:sz="8" w:space="0" w:color="auto"/>
            </w:tcBorders>
            <w:noWrap/>
            <w:vAlign w:val="bottom"/>
            <w:hideMark/>
          </w:tcPr>
          <w:p w14:paraId="109A6553" w14:textId="77777777" w:rsidR="004C2403" w:rsidRPr="00D6607A" w:rsidRDefault="004C2403" w:rsidP="006233FA">
            <w:pPr>
              <w:spacing w:after="0"/>
              <w:jc w:val="center"/>
              <w:rPr>
                <w:color w:val="000000"/>
                <w:sz w:val="20"/>
                <w:szCs w:val="20"/>
                <w:lang w:eastAsia="en-CA"/>
              </w:rPr>
            </w:pPr>
            <w:r w:rsidRPr="00D6607A">
              <w:rPr>
                <w:color w:val="000000"/>
                <w:sz w:val="20"/>
                <w:szCs w:val="20"/>
                <w:lang w:eastAsia="en-CA"/>
              </w:rPr>
              <w:t>4</w:t>
            </w:r>
          </w:p>
        </w:tc>
        <w:tc>
          <w:tcPr>
            <w:tcW w:w="1372" w:type="dxa"/>
            <w:tcBorders>
              <w:top w:val="single" w:sz="8" w:space="0" w:color="auto"/>
              <w:left w:val="single" w:sz="8" w:space="0" w:color="auto"/>
              <w:bottom w:val="single" w:sz="8" w:space="0" w:color="auto"/>
              <w:right w:val="single" w:sz="8" w:space="0" w:color="auto"/>
            </w:tcBorders>
            <w:vAlign w:val="center"/>
            <w:hideMark/>
          </w:tcPr>
          <w:p w14:paraId="0E2DEC02" w14:textId="77777777" w:rsidR="004C2403" w:rsidRPr="00D6607A" w:rsidRDefault="004C2403" w:rsidP="006233FA">
            <w:pPr>
              <w:spacing w:after="0"/>
              <w:ind w:left="102"/>
              <w:jc w:val="center"/>
              <w:rPr>
                <w:color w:val="000000"/>
                <w:sz w:val="20"/>
                <w:szCs w:val="20"/>
                <w:lang w:eastAsia="en-CA"/>
              </w:rPr>
            </w:pPr>
            <w:r w:rsidRPr="00D6607A">
              <w:rPr>
                <w:color w:val="000000"/>
                <w:sz w:val="20"/>
                <w:szCs w:val="20"/>
                <w:lang w:eastAsia="en-CA"/>
              </w:rPr>
              <w:t>80 &lt;1 20</w:t>
            </w:r>
          </w:p>
        </w:tc>
        <w:tc>
          <w:tcPr>
            <w:tcW w:w="1057" w:type="dxa"/>
            <w:tcBorders>
              <w:top w:val="single" w:sz="8" w:space="0" w:color="auto"/>
              <w:left w:val="single" w:sz="8" w:space="0" w:color="auto"/>
              <w:bottom w:val="single" w:sz="8" w:space="0" w:color="auto"/>
              <w:right w:val="single" w:sz="8" w:space="0" w:color="auto"/>
            </w:tcBorders>
            <w:vAlign w:val="bottom"/>
          </w:tcPr>
          <w:p w14:paraId="12C3CDD0" w14:textId="77777777" w:rsidR="004C2403" w:rsidRPr="00D6607A" w:rsidRDefault="004C2403" w:rsidP="006233FA">
            <w:pPr>
              <w:spacing w:after="0"/>
              <w:ind w:left="102"/>
              <w:jc w:val="right"/>
              <w:rPr>
                <w:color w:val="000000"/>
                <w:sz w:val="20"/>
                <w:szCs w:val="20"/>
                <w:lang w:eastAsia="en-CA"/>
              </w:rPr>
            </w:pPr>
            <w:r w:rsidRPr="00D6607A">
              <w:rPr>
                <w:rFonts w:eastAsia="Aptos"/>
                <w:color w:val="000000"/>
                <w:sz w:val="20"/>
                <w:szCs w:val="20"/>
              </w:rPr>
              <w:t>315,000</w:t>
            </w:r>
          </w:p>
        </w:tc>
        <w:tc>
          <w:tcPr>
            <w:tcW w:w="1026" w:type="dxa"/>
            <w:tcBorders>
              <w:top w:val="single" w:sz="8" w:space="0" w:color="auto"/>
              <w:left w:val="single" w:sz="8" w:space="0" w:color="auto"/>
              <w:bottom w:val="single" w:sz="8" w:space="0" w:color="auto"/>
              <w:right w:val="single" w:sz="8" w:space="0" w:color="auto"/>
            </w:tcBorders>
            <w:vAlign w:val="bottom"/>
          </w:tcPr>
          <w:p w14:paraId="7CBB6A2B"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607,500</w:t>
            </w:r>
          </w:p>
        </w:tc>
        <w:tc>
          <w:tcPr>
            <w:tcW w:w="1045" w:type="dxa"/>
            <w:tcBorders>
              <w:top w:val="single" w:sz="8" w:space="0" w:color="auto"/>
              <w:left w:val="single" w:sz="8" w:space="0" w:color="auto"/>
              <w:bottom w:val="single" w:sz="8" w:space="0" w:color="auto"/>
              <w:right w:val="single" w:sz="8" w:space="0" w:color="auto"/>
            </w:tcBorders>
            <w:vAlign w:val="bottom"/>
          </w:tcPr>
          <w:p w14:paraId="3CE4EA02"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900,000</w:t>
            </w:r>
          </w:p>
        </w:tc>
        <w:tc>
          <w:tcPr>
            <w:tcW w:w="900" w:type="dxa"/>
            <w:tcBorders>
              <w:top w:val="single" w:sz="8" w:space="0" w:color="auto"/>
              <w:left w:val="single" w:sz="8" w:space="0" w:color="auto"/>
              <w:bottom w:val="single" w:sz="8" w:space="0" w:color="auto"/>
              <w:right w:val="single" w:sz="8" w:space="0" w:color="auto"/>
            </w:tcBorders>
            <w:vAlign w:val="bottom"/>
          </w:tcPr>
          <w:p w14:paraId="34F22844"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292,500</w:t>
            </w:r>
          </w:p>
        </w:tc>
        <w:tc>
          <w:tcPr>
            <w:tcW w:w="270" w:type="dxa"/>
            <w:tcBorders>
              <w:left w:val="single" w:sz="8" w:space="0" w:color="auto"/>
              <w:right w:val="single" w:sz="8" w:space="0" w:color="auto"/>
            </w:tcBorders>
          </w:tcPr>
          <w:p w14:paraId="48FF94DD" w14:textId="77777777" w:rsidR="004C2403" w:rsidRPr="00D6607A" w:rsidRDefault="004C2403" w:rsidP="006233FA">
            <w:pPr>
              <w:spacing w:after="0" w:line="259" w:lineRule="auto"/>
              <w:jc w:val="right"/>
              <w:rPr>
                <w:rFonts w:eastAsia="Aptos"/>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vAlign w:val="bottom"/>
          </w:tcPr>
          <w:p w14:paraId="0FFECC29"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rPr>
              <w:t xml:space="preserve">170,000 </w:t>
            </w:r>
          </w:p>
        </w:tc>
      </w:tr>
      <w:tr w:rsidR="004C2403" w:rsidRPr="00D6607A" w14:paraId="59037E2E" w14:textId="77777777" w:rsidTr="00384DAF">
        <w:trPr>
          <w:trHeight w:val="300"/>
        </w:trPr>
        <w:tc>
          <w:tcPr>
            <w:tcW w:w="1345" w:type="dxa"/>
            <w:tcBorders>
              <w:top w:val="single" w:sz="8" w:space="0" w:color="auto"/>
              <w:left w:val="single" w:sz="8" w:space="0" w:color="auto"/>
              <w:bottom w:val="single" w:sz="8" w:space="0" w:color="auto"/>
              <w:right w:val="single" w:sz="8" w:space="0" w:color="auto"/>
            </w:tcBorders>
            <w:noWrap/>
            <w:vAlign w:val="bottom"/>
            <w:hideMark/>
          </w:tcPr>
          <w:p w14:paraId="2076669A" w14:textId="77777777" w:rsidR="004C2403" w:rsidRPr="00D6607A" w:rsidRDefault="004C2403" w:rsidP="006233FA">
            <w:pPr>
              <w:spacing w:after="0"/>
              <w:jc w:val="center"/>
              <w:rPr>
                <w:color w:val="000000"/>
                <w:sz w:val="20"/>
                <w:szCs w:val="20"/>
                <w:lang w:eastAsia="en-CA"/>
              </w:rPr>
            </w:pPr>
            <w:r w:rsidRPr="00D6607A">
              <w:rPr>
                <w:color w:val="000000"/>
                <w:sz w:val="20"/>
                <w:szCs w:val="20"/>
                <w:lang w:eastAsia="en-CA"/>
              </w:rPr>
              <w:t>5</w:t>
            </w:r>
          </w:p>
        </w:tc>
        <w:tc>
          <w:tcPr>
            <w:tcW w:w="1372" w:type="dxa"/>
            <w:tcBorders>
              <w:top w:val="single" w:sz="8" w:space="0" w:color="auto"/>
              <w:left w:val="single" w:sz="8" w:space="0" w:color="auto"/>
              <w:bottom w:val="single" w:sz="8" w:space="0" w:color="auto"/>
              <w:right w:val="single" w:sz="8" w:space="0" w:color="auto"/>
            </w:tcBorders>
            <w:vAlign w:val="center"/>
            <w:hideMark/>
          </w:tcPr>
          <w:p w14:paraId="794AF39D" w14:textId="77777777" w:rsidR="004C2403" w:rsidRPr="00D6607A" w:rsidRDefault="004C2403" w:rsidP="006233FA">
            <w:pPr>
              <w:spacing w:after="0"/>
              <w:ind w:left="102"/>
              <w:jc w:val="center"/>
              <w:rPr>
                <w:color w:val="000000"/>
                <w:sz w:val="20"/>
                <w:szCs w:val="20"/>
                <w:lang w:eastAsia="en-CA"/>
              </w:rPr>
            </w:pPr>
            <w:r w:rsidRPr="00D6607A">
              <w:rPr>
                <w:color w:val="000000"/>
                <w:sz w:val="20"/>
                <w:szCs w:val="20"/>
                <w:lang w:eastAsia="en-CA"/>
              </w:rPr>
              <w:t>120 &lt; 160</w:t>
            </w:r>
          </w:p>
        </w:tc>
        <w:tc>
          <w:tcPr>
            <w:tcW w:w="1057" w:type="dxa"/>
            <w:tcBorders>
              <w:top w:val="single" w:sz="8" w:space="0" w:color="auto"/>
              <w:left w:val="single" w:sz="8" w:space="0" w:color="auto"/>
              <w:bottom w:val="single" w:sz="8" w:space="0" w:color="auto"/>
              <w:right w:val="single" w:sz="8" w:space="0" w:color="auto"/>
            </w:tcBorders>
            <w:vAlign w:val="bottom"/>
          </w:tcPr>
          <w:p w14:paraId="4B70CDCA" w14:textId="77777777" w:rsidR="004C2403" w:rsidRPr="00D6607A" w:rsidRDefault="004C2403" w:rsidP="006233FA">
            <w:pPr>
              <w:spacing w:after="0"/>
              <w:ind w:left="102"/>
              <w:jc w:val="right"/>
              <w:rPr>
                <w:color w:val="000000"/>
                <w:sz w:val="20"/>
                <w:szCs w:val="20"/>
                <w:lang w:eastAsia="en-CA"/>
              </w:rPr>
            </w:pPr>
            <w:r w:rsidRPr="00D6607A">
              <w:rPr>
                <w:rFonts w:eastAsia="Aptos"/>
                <w:color w:val="000000"/>
                <w:sz w:val="20"/>
                <w:szCs w:val="20"/>
              </w:rPr>
              <w:t>332,500</w:t>
            </w:r>
          </w:p>
        </w:tc>
        <w:tc>
          <w:tcPr>
            <w:tcW w:w="1026" w:type="dxa"/>
            <w:tcBorders>
              <w:top w:val="single" w:sz="8" w:space="0" w:color="auto"/>
              <w:left w:val="single" w:sz="8" w:space="0" w:color="auto"/>
              <w:bottom w:val="single" w:sz="8" w:space="0" w:color="auto"/>
              <w:right w:val="single" w:sz="8" w:space="0" w:color="auto"/>
            </w:tcBorders>
            <w:vAlign w:val="bottom"/>
          </w:tcPr>
          <w:p w14:paraId="41938CAF"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641,250</w:t>
            </w:r>
          </w:p>
        </w:tc>
        <w:tc>
          <w:tcPr>
            <w:tcW w:w="1045" w:type="dxa"/>
            <w:tcBorders>
              <w:top w:val="single" w:sz="8" w:space="0" w:color="auto"/>
              <w:left w:val="single" w:sz="8" w:space="0" w:color="auto"/>
              <w:bottom w:val="single" w:sz="8" w:space="0" w:color="auto"/>
              <w:right w:val="single" w:sz="8" w:space="0" w:color="auto"/>
            </w:tcBorders>
            <w:vAlign w:val="bottom"/>
          </w:tcPr>
          <w:p w14:paraId="5488E84B"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950,000</w:t>
            </w:r>
          </w:p>
        </w:tc>
        <w:tc>
          <w:tcPr>
            <w:tcW w:w="900" w:type="dxa"/>
            <w:tcBorders>
              <w:top w:val="single" w:sz="8" w:space="0" w:color="auto"/>
              <w:left w:val="single" w:sz="8" w:space="0" w:color="auto"/>
              <w:bottom w:val="single" w:sz="8" w:space="0" w:color="auto"/>
              <w:right w:val="single" w:sz="8" w:space="0" w:color="auto"/>
            </w:tcBorders>
            <w:vAlign w:val="bottom"/>
          </w:tcPr>
          <w:p w14:paraId="23447378"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308,750</w:t>
            </w:r>
          </w:p>
        </w:tc>
        <w:tc>
          <w:tcPr>
            <w:tcW w:w="270" w:type="dxa"/>
            <w:tcBorders>
              <w:left w:val="single" w:sz="8" w:space="0" w:color="auto"/>
              <w:right w:val="single" w:sz="8" w:space="0" w:color="auto"/>
            </w:tcBorders>
          </w:tcPr>
          <w:p w14:paraId="140E7D7E" w14:textId="77777777" w:rsidR="004C2403" w:rsidRPr="00D6607A" w:rsidRDefault="004C2403" w:rsidP="006233FA">
            <w:pPr>
              <w:spacing w:after="0" w:line="259" w:lineRule="auto"/>
              <w:jc w:val="right"/>
              <w:rPr>
                <w:rFonts w:eastAsia="Aptos"/>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vAlign w:val="bottom"/>
          </w:tcPr>
          <w:p w14:paraId="0AF0F569"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rPr>
              <w:t xml:space="preserve">180,000 </w:t>
            </w:r>
          </w:p>
        </w:tc>
      </w:tr>
      <w:tr w:rsidR="004C2403" w:rsidRPr="00D6607A" w14:paraId="3553AC8B" w14:textId="77777777" w:rsidTr="00384DAF">
        <w:trPr>
          <w:trHeight w:val="300"/>
        </w:trPr>
        <w:tc>
          <w:tcPr>
            <w:tcW w:w="1345" w:type="dxa"/>
            <w:tcBorders>
              <w:top w:val="single" w:sz="8" w:space="0" w:color="auto"/>
              <w:left w:val="single" w:sz="8" w:space="0" w:color="auto"/>
              <w:bottom w:val="single" w:sz="8" w:space="0" w:color="auto"/>
              <w:right w:val="single" w:sz="8" w:space="0" w:color="auto"/>
            </w:tcBorders>
            <w:noWrap/>
            <w:vAlign w:val="bottom"/>
            <w:hideMark/>
          </w:tcPr>
          <w:p w14:paraId="760C9E06" w14:textId="77777777" w:rsidR="004C2403" w:rsidRPr="00D6607A" w:rsidRDefault="004C2403" w:rsidP="006233FA">
            <w:pPr>
              <w:spacing w:after="0"/>
              <w:jc w:val="center"/>
              <w:rPr>
                <w:color w:val="000000"/>
                <w:sz w:val="20"/>
                <w:szCs w:val="20"/>
                <w:lang w:eastAsia="en-CA"/>
              </w:rPr>
            </w:pPr>
            <w:r w:rsidRPr="00D6607A">
              <w:rPr>
                <w:color w:val="000000"/>
                <w:sz w:val="20"/>
                <w:szCs w:val="20"/>
                <w:lang w:eastAsia="en-CA"/>
              </w:rPr>
              <w:t>6</w:t>
            </w:r>
          </w:p>
        </w:tc>
        <w:tc>
          <w:tcPr>
            <w:tcW w:w="1372" w:type="dxa"/>
            <w:tcBorders>
              <w:top w:val="single" w:sz="8" w:space="0" w:color="auto"/>
              <w:left w:val="single" w:sz="8" w:space="0" w:color="auto"/>
              <w:bottom w:val="single" w:sz="8" w:space="0" w:color="auto"/>
              <w:right w:val="single" w:sz="8" w:space="0" w:color="auto"/>
            </w:tcBorders>
            <w:vAlign w:val="center"/>
            <w:hideMark/>
          </w:tcPr>
          <w:p w14:paraId="5D173AEC" w14:textId="77777777" w:rsidR="004C2403" w:rsidRPr="00D6607A" w:rsidRDefault="004C2403" w:rsidP="006233FA">
            <w:pPr>
              <w:spacing w:after="0"/>
              <w:ind w:left="102"/>
              <w:jc w:val="center"/>
              <w:rPr>
                <w:color w:val="000000"/>
                <w:sz w:val="20"/>
                <w:szCs w:val="20"/>
                <w:lang w:eastAsia="en-CA"/>
              </w:rPr>
            </w:pPr>
            <w:r w:rsidRPr="00D6607A">
              <w:rPr>
                <w:color w:val="000000"/>
                <w:sz w:val="20"/>
                <w:szCs w:val="20"/>
                <w:lang w:eastAsia="en-CA"/>
              </w:rPr>
              <w:t>160 &lt; 200</w:t>
            </w:r>
          </w:p>
        </w:tc>
        <w:tc>
          <w:tcPr>
            <w:tcW w:w="1057" w:type="dxa"/>
            <w:tcBorders>
              <w:top w:val="single" w:sz="8" w:space="0" w:color="auto"/>
              <w:left w:val="single" w:sz="8" w:space="0" w:color="auto"/>
              <w:bottom w:val="single" w:sz="8" w:space="0" w:color="auto"/>
              <w:right w:val="single" w:sz="8" w:space="0" w:color="auto"/>
            </w:tcBorders>
            <w:vAlign w:val="bottom"/>
          </w:tcPr>
          <w:p w14:paraId="5F3C5B8E" w14:textId="77777777" w:rsidR="004C2403" w:rsidRPr="00D6607A" w:rsidRDefault="004C2403" w:rsidP="006233FA">
            <w:pPr>
              <w:spacing w:after="0"/>
              <w:ind w:left="102"/>
              <w:jc w:val="right"/>
              <w:rPr>
                <w:color w:val="000000"/>
                <w:sz w:val="20"/>
                <w:szCs w:val="20"/>
                <w:lang w:eastAsia="en-CA"/>
              </w:rPr>
            </w:pPr>
            <w:r w:rsidRPr="00D6607A">
              <w:rPr>
                <w:rFonts w:eastAsia="Aptos"/>
                <w:color w:val="000000"/>
                <w:sz w:val="20"/>
                <w:szCs w:val="20"/>
              </w:rPr>
              <w:t>350,000</w:t>
            </w:r>
          </w:p>
        </w:tc>
        <w:tc>
          <w:tcPr>
            <w:tcW w:w="1026" w:type="dxa"/>
            <w:tcBorders>
              <w:top w:val="single" w:sz="8" w:space="0" w:color="auto"/>
              <w:left w:val="single" w:sz="8" w:space="0" w:color="auto"/>
              <w:bottom w:val="single" w:sz="8" w:space="0" w:color="auto"/>
              <w:right w:val="single" w:sz="8" w:space="0" w:color="auto"/>
            </w:tcBorders>
            <w:vAlign w:val="bottom"/>
          </w:tcPr>
          <w:p w14:paraId="29913F0A"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675,000</w:t>
            </w:r>
          </w:p>
        </w:tc>
        <w:tc>
          <w:tcPr>
            <w:tcW w:w="1045" w:type="dxa"/>
            <w:tcBorders>
              <w:top w:val="single" w:sz="8" w:space="0" w:color="auto"/>
              <w:left w:val="single" w:sz="8" w:space="0" w:color="auto"/>
              <w:bottom w:val="single" w:sz="8" w:space="0" w:color="auto"/>
              <w:right w:val="single" w:sz="8" w:space="0" w:color="auto"/>
            </w:tcBorders>
            <w:vAlign w:val="bottom"/>
          </w:tcPr>
          <w:p w14:paraId="442C1E0D"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1,000,000</w:t>
            </w:r>
          </w:p>
        </w:tc>
        <w:tc>
          <w:tcPr>
            <w:tcW w:w="900" w:type="dxa"/>
            <w:tcBorders>
              <w:top w:val="single" w:sz="8" w:space="0" w:color="auto"/>
              <w:left w:val="single" w:sz="8" w:space="0" w:color="auto"/>
              <w:bottom w:val="single" w:sz="8" w:space="0" w:color="auto"/>
              <w:right w:val="single" w:sz="8" w:space="0" w:color="auto"/>
            </w:tcBorders>
            <w:vAlign w:val="bottom"/>
          </w:tcPr>
          <w:p w14:paraId="6B89B422"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325,000</w:t>
            </w:r>
          </w:p>
        </w:tc>
        <w:tc>
          <w:tcPr>
            <w:tcW w:w="270" w:type="dxa"/>
            <w:tcBorders>
              <w:left w:val="single" w:sz="8" w:space="0" w:color="auto"/>
              <w:right w:val="single" w:sz="8" w:space="0" w:color="auto"/>
            </w:tcBorders>
          </w:tcPr>
          <w:p w14:paraId="1CD06D45" w14:textId="77777777" w:rsidR="004C2403" w:rsidRPr="00D6607A" w:rsidRDefault="004C2403" w:rsidP="006233FA">
            <w:pPr>
              <w:spacing w:after="0" w:line="259" w:lineRule="auto"/>
              <w:jc w:val="right"/>
              <w:rPr>
                <w:rFonts w:eastAsia="Aptos"/>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vAlign w:val="bottom"/>
          </w:tcPr>
          <w:p w14:paraId="02FCBFB8"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rPr>
              <w:t xml:space="preserve">190,000 </w:t>
            </w:r>
          </w:p>
        </w:tc>
      </w:tr>
      <w:tr w:rsidR="004C2403" w:rsidRPr="00D6607A" w14:paraId="050AEF5E" w14:textId="77777777" w:rsidTr="00384DAF">
        <w:trPr>
          <w:trHeight w:val="300"/>
        </w:trPr>
        <w:tc>
          <w:tcPr>
            <w:tcW w:w="1345" w:type="dxa"/>
            <w:tcBorders>
              <w:top w:val="single" w:sz="8" w:space="0" w:color="auto"/>
              <w:left w:val="single" w:sz="8" w:space="0" w:color="auto"/>
              <w:bottom w:val="single" w:sz="8" w:space="0" w:color="auto"/>
              <w:right w:val="single" w:sz="8" w:space="0" w:color="auto"/>
            </w:tcBorders>
            <w:noWrap/>
            <w:vAlign w:val="bottom"/>
            <w:hideMark/>
          </w:tcPr>
          <w:p w14:paraId="660F1AE6" w14:textId="77777777" w:rsidR="004C2403" w:rsidRPr="00D6607A" w:rsidRDefault="004C2403" w:rsidP="006233FA">
            <w:pPr>
              <w:spacing w:after="0"/>
              <w:jc w:val="center"/>
              <w:rPr>
                <w:color w:val="000000"/>
                <w:sz w:val="20"/>
                <w:szCs w:val="20"/>
                <w:lang w:eastAsia="en-CA"/>
              </w:rPr>
            </w:pPr>
            <w:r w:rsidRPr="00D6607A">
              <w:rPr>
                <w:color w:val="000000"/>
                <w:sz w:val="20"/>
                <w:szCs w:val="20"/>
                <w:lang w:eastAsia="en-CA"/>
              </w:rPr>
              <w:t>7</w:t>
            </w:r>
          </w:p>
        </w:tc>
        <w:tc>
          <w:tcPr>
            <w:tcW w:w="1372" w:type="dxa"/>
            <w:tcBorders>
              <w:top w:val="single" w:sz="8" w:space="0" w:color="auto"/>
              <w:left w:val="single" w:sz="8" w:space="0" w:color="auto"/>
              <w:bottom w:val="single" w:sz="8" w:space="0" w:color="auto"/>
              <w:right w:val="single" w:sz="8" w:space="0" w:color="auto"/>
            </w:tcBorders>
            <w:vAlign w:val="center"/>
            <w:hideMark/>
          </w:tcPr>
          <w:p w14:paraId="6C87E88E" w14:textId="77777777" w:rsidR="004C2403" w:rsidRPr="00D6607A" w:rsidRDefault="004C2403" w:rsidP="006233FA">
            <w:pPr>
              <w:spacing w:after="0"/>
              <w:ind w:left="102"/>
              <w:jc w:val="center"/>
              <w:rPr>
                <w:color w:val="000000"/>
                <w:sz w:val="20"/>
                <w:szCs w:val="20"/>
                <w:lang w:eastAsia="en-CA"/>
              </w:rPr>
            </w:pPr>
            <w:r w:rsidRPr="00D6607A">
              <w:rPr>
                <w:color w:val="000000"/>
                <w:sz w:val="20"/>
                <w:szCs w:val="20"/>
                <w:lang w:eastAsia="en-CA"/>
              </w:rPr>
              <w:t>200 &lt; 300</w:t>
            </w:r>
          </w:p>
        </w:tc>
        <w:tc>
          <w:tcPr>
            <w:tcW w:w="1057" w:type="dxa"/>
            <w:tcBorders>
              <w:top w:val="single" w:sz="8" w:space="0" w:color="auto"/>
              <w:left w:val="single" w:sz="8" w:space="0" w:color="auto"/>
              <w:bottom w:val="single" w:sz="8" w:space="0" w:color="auto"/>
              <w:right w:val="single" w:sz="8" w:space="0" w:color="auto"/>
            </w:tcBorders>
            <w:vAlign w:val="bottom"/>
          </w:tcPr>
          <w:p w14:paraId="34F18B38" w14:textId="77777777" w:rsidR="004C2403" w:rsidRPr="00D6607A" w:rsidRDefault="004C2403" w:rsidP="006233FA">
            <w:pPr>
              <w:spacing w:after="0"/>
              <w:ind w:left="102"/>
              <w:jc w:val="right"/>
              <w:rPr>
                <w:color w:val="000000"/>
                <w:sz w:val="20"/>
                <w:szCs w:val="20"/>
                <w:lang w:eastAsia="en-CA"/>
              </w:rPr>
            </w:pPr>
            <w:r w:rsidRPr="00D6607A">
              <w:rPr>
                <w:rFonts w:eastAsia="Aptos"/>
                <w:color w:val="000000"/>
                <w:sz w:val="20"/>
                <w:szCs w:val="20"/>
              </w:rPr>
              <w:t>560,000</w:t>
            </w:r>
          </w:p>
        </w:tc>
        <w:tc>
          <w:tcPr>
            <w:tcW w:w="1026" w:type="dxa"/>
            <w:tcBorders>
              <w:top w:val="single" w:sz="8" w:space="0" w:color="auto"/>
              <w:left w:val="single" w:sz="8" w:space="0" w:color="auto"/>
              <w:bottom w:val="single" w:sz="8" w:space="0" w:color="auto"/>
              <w:right w:val="single" w:sz="8" w:space="0" w:color="auto"/>
            </w:tcBorders>
            <w:vAlign w:val="bottom"/>
          </w:tcPr>
          <w:p w14:paraId="3176B218"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1,080,000</w:t>
            </w:r>
          </w:p>
        </w:tc>
        <w:tc>
          <w:tcPr>
            <w:tcW w:w="1045" w:type="dxa"/>
            <w:tcBorders>
              <w:top w:val="single" w:sz="8" w:space="0" w:color="auto"/>
              <w:left w:val="single" w:sz="8" w:space="0" w:color="auto"/>
              <w:bottom w:val="single" w:sz="8" w:space="0" w:color="auto"/>
              <w:right w:val="single" w:sz="8" w:space="0" w:color="auto"/>
            </w:tcBorders>
            <w:vAlign w:val="bottom"/>
          </w:tcPr>
          <w:p w14:paraId="319B18E3"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1,600,000</w:t>
            </w:r>
          </w:p>
        </w:tc>
        <w:tc>
          <w:tcPr>
            <w:tcW w:w="900" w:type="dxa"/>
            <w:tcBorders>
              <w:top w:val="single" w:sz="8" w:space="0" w:color="auto"/>
              <w:left w:val="single" w:sz="8" w:space="0" w:color="auto"/>
              <w:bottom w:val="single" w:sz="8" w:space="0" w:color="auto"/>
              <w:right w:val="single" w:sz="8" w:space="0" w:color="auto"/>
            </w:tcBorders>
            <w:vAlign w:val="bottom"/>
          </w:tcPr>
          <w:p w14:paraId="261691F6"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520,000</w:t>
            </w:r>
          </w:p>
        </w:tc>
        <w:tc>
          <w:tcPr>
            <w:tcW w:w="270" w:type="dxa"/>
            <w:tcBorders>
              <w:left w:val="single" w:sz="8" w:space="0" w:color="auto"/>
              <w:right w:val="single" w:sz="8" w:space="0" w:color="auto"/>
            </w:tcBorders>
          </w:tcPr>
          <w:p w14:paraId="4AEA4782" w14:textId="77777777" w:rsidR="004C2403" w:rsidRPr="00D6607A" w:rsidRDefault="004C2403" w:rsidP="006233FA">
            <w:pPr>
              <w:spacing w:after="0" w:line="259" w:lineRule="auto"/>
              <w:jc w:val="right"/>
              <w:rPr>
                <w:rFonts w:eastAsia="Aptos"/>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vAlign w:val="bottom"/>
          </w:tcPr>
          <w:p w14:paraId="18C62876"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rPr>
              <w:t xml:space="preserve">325,000 </w:t>
            </w:r>
          </w:p>
        </w:tc>
      </w:tr>
      <w:tr w:rsidR="004C2403" w:rsidRPr="00D6607A" w14:paraId="6DE5857F" w14:textId="77777777" w:rsidTr="00384DAF">
        <w:trPr>
          <w:trHeight w:val="288"/>
        </w:trPr>
        <w:tc>
          <w:tcPr>
            <w:tcW w:w="1345" w:type="dxa"/>
            <w:tcBorders>
              <w:top w:val="single" w:sz="8" w:space="0" w:color="auto"/>
              <w:left w:val="single" w:sz="8" w:space="0" w:color="auto"/>
              <w:bottom w:val="single" w:sz="8" w:space="0" w:color="auto"/>
              <w:right w:val="single" w:sz="8" w:space="0" w:color="auto"/>
            </w:tcBorders>
            <w:noWrap/>
            <w:vAlign w:val="bottom"/>
            <w:hideMark/>
          </w:tcPr>
          <w:p w14:paraId="0F8D9AFB" w14:textId="77777777" w:rsidR="004C2403" w:rsidRPr="00D6607A" w:rsidRDefault="004C2403" w:rsidP="006233FA">
            <w:pPr>
              <w:spacing w:after="0"/>
              <w:jc w:val="center"/>
              <w:rPr>
                <w:color w:val="000000"/>
                <w:sz w:val="20"/>
                <w:szCs w:val="20"/>
                <w:lang w:eastAsia="en-CA"/>
              </w:rPr>
            </w:pPr>
            <w:r w:rsidRPr="00D6607A">
              <w:rPr>
                <w:color w:val="000000"/>
                <w:sz w:val="20"/>
                <w:szCs w:val="20"/>
                <w:lang w:eastAsia="en-CA"/>
              </w:rPr>
              <w:t>8</w:t>
            </w:r>
          </w:p>
        </w:tc>
        <w:tc>
          <w:tcPr>
            <w:tcW w:w="1372" w:type="dxa"/>
            <w:tcBorders>
              <w:top w:val="single" w:sz="8" w:space="0" w:color="auto"/>
              <w:left w:val="single" w:sz="8" w:space="0" w:color="auto"/>
              <w:bottom w:val="single" w:sz="8" w:space="0" w:color="auto"/>
              <w:right w:val="single" w:sz="8" w:space="0" w:color="auto"/>
            </w:tcBorders>
            <w:vAlign w:val="center"/>
            <w:hideMark/>
          </w:tcPr>
          <w:p w14:paraId="467F3AA4" w14:textId="77777777" w:rsidR="004C2403" w:rsidRPr="00D6607A" w:rsidRDefault="004C2403" w:rsidP="006233FA">
            <w:pPr>
              <w:spacing w:after="0"/>
              <w:ind w:left="102"/>
              <w:jc w:val="center"/>
              <w:rPr>
                <w:color w:val="000000"/>
                <w:sz w:val="20"/>
                <w:szCs w:val="20"/>
                <w:lang w:eastAsia="en-CA"/>
              </w:rPr>
            </w:pPr>
            <w:r w:rsidRPr="00D6607A">
              <w:rPr>
                <w:color w:val="000000"/>
                <w:sz w:val="20"/>
                <w:szCs w:val="20"/>
                <w:lang w:eastAsia="en-CA"/>
              </w:rPr>
              <w:t>300 &lt; 360</w:t>
            </w:r>
          </w:p>
        </w:tc>
        <w:tc>
          <w:tcPr>
            <w:tcW w:w="1057" w:type="dxa"/>
            <w:tcBorders>
              <w:top w:val="single" w:sz="8" w:space="0" w:color="auto"/>
              <w:left w:val="single" w:sz="8" w:space="0" w:color="auto"/>
              <w:bottom w:val="single" w:sz="8" w:space="0" w:color="auto"/>
              <w:right w:val="single" w:sz="8" w:space="0" w:color="auto"/>
            </w:tcBorders>
            <w:vAlign w:val="bottom"/>
          </w:tcPr>
          <w:p w14:paraId="19F98CE8" w14:textId="77777777" w:rsidR="004C2403" w:rsidRPr="00D6607A" w:rsidRDefault="004C2403" w:rsidP="006233FA">
            <w:pPr>
              <w:spacing w:after="0"/>
              <w:ind w:left="102"/>
              <w:jc w:val="right"/>
              <w:rPr>
                <w:color w:val="000000"/>
                <w:sz w:val="20"/>
                <w:szCs w:val="20"/>
                <w:lang w:eastAsia="en-CA"/>
              </w:rPr>
            </w:pPr>
            <w:r w:rsidRPr="00D6607A">
              <w:rPr>
                <w:rFonts w:eastAsia="Aptos"/>
                <w:color w:val="000000"/>
                <w:sz w:val="20"/>
                <w:szCs w:val="20"/>
              </w:rPr>
              <w:t>630,000</w:t>
            </w:r>
          </w:p>
        </w:tc>
        <w:tc>
          <w:tcPr>
            <w:tcW w:w="1026" w:type="dxa"/>
            <w:tcBorders>
              <w:top w:val="single" w:sz="8" w:space="0" w:color="auto"/>
              <w:left w:val="single" w:sz="8" w:space="0" w:color="auto"/>
              <w:bottom w:val="single" w:sz="8" w:space="0" w:color="auto"/>
              <w:right w:val="single" w:sz="8" w:space="0" w:color="auto"/>
            </w:tcBorders>
            <w:vAlign w:val="bottom"/>
          </w:tcPr>
          <w:p w14:paraId="159F6644"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1,215,000</w:t>
            </w:r>
          </w:p>
        </w:tc>
        <w:tc>
          <w:tcPr>
            <w:tcW w:w="1045" w:type="dxa"/>
            <w:tcBorders>
              <w:top w:val="single" w:sz="8" w:space="0" w:color="auto"/>
              <w:left w:val="single" w:sz="8" w:space="0" w:color="auto"/>
              <w:bottom w:val="single" w:sz="8" w:space="0" w:color="auto"/>
              <w:right w:val="single" w:sz="8" w:space="0" w:color="auto"/>
            </w:tcBorders>
            <w:vAlign w:val="bottom"/>
          </w:tcPr>
          <w:p w14:paraId="1F230B35"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1,800,000</w:t>
            </w:r>
          </w:p>
        </w:tc>
        <w:tc>
          <w:tcPr>
            <w:tcW w:w="900" w:type="dxa"/>
            <w:tcBorders>
              <w:top w:val="single" w:sz="8" w:space="0" w:color="auto"/>
              <w:left w:val="single" w:sz="8" w:space="0" w:color="auto"/>
              <w:bottom w:val="single" w:sz="8" w:space="0" w:color="auto"/>
              <w:right w:val="single" w:sz="8" w:space="0" w:color="auto"/>
            </w:tcBorders>
            <w:vAlign w:val="bottom"/>
          </w:tcPr>
          <w:p w14:paraId="1E71B531"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sz w:val="20"/>
                <w:szCs w:val="20"/>
              </w:rPr>
              <w:t>585,000</w:t>
            </w:r>
          </w:p>
        </w:tc>
        <w:tc>
          <w:tcPr>
            <w:tcW w:w="270" w:type="dxa"/>
            <w:tcBorders>
              <w:left w:val="single" w:sz="8" w:space="0" w:color="auto"/>
              <w:right w:val="single" w:sz="8" w:space="0" w:color="auto"/>
            </w:tcBorders>
          </w:tcPr>
          <w:p w14:paraId="0B40D07A" w14:textId="77777777" w:rsidR="004C2403" w:rsidRPr="00D6607A" w:rsidRDefault="004C2403" w:rsidP="006233FA">
            <w:pPr>
              <w:spacing w:after="0" w:line="259" w:lineRule="auto"/>
              <w:jc w:val="right"/>
              <w:rPr>
                <w:rFonts w:eastAsia="Aptos"/>
                <w:color w:val="000000"/>
                <w:sz w:val="20"/>
                <w:szCs w:val="20"/>
              </w:rPr>
            </w:pPr>
          </w:p>
        </w:tc>
        <w:tc>
          <w:tcPr>
            <w:tcW w:w="1170" w:type="dxa"/>
            <w:tcBorders>
              <w:top w:val="single" w:sz="8" w:space="0" w:color="auto"/>
              <w:left w:val="single" w:sz="8" w:space="0" w:color="auto"/>
              <w:bottom w:val="single" w:sz="8" w:space="0" w:color="auto"/>
              <w:right w:val="single" w:sz="8" w:space="0" w:color="auto"/>
            </w:tcBorders>
            <w:vAlign w:val="bottom"/>
          </w:tcPr>
          <w:p w14:paraId="508A8A39" w14:textId="77777777" w:rsidR="004C2403" w:rsidRPr="00D6607A" w:rsidRDefault="004C2403" w:rsidP="006233FA">
            <w:pPr>
              <w:spacing w:after="0" w:line="259" w:lineRule="auto"/>
              <w:jc w:val="right"/>
              <w:rPr>
                <w:rFonts w:eastAsia="Aptos"/>
                <w:color w:val="000000"/>
                <w:sz w:val="20"/>
                <w:szCs w:val="20"/>
              </w:rPr>
            </w:pPr>
            <w:r w:rsidRPr="00D6607A">
              <w:rPr>
                <w:rFonts w:eastAsia="Aptos"/>
                <w:color w:val="000000"/>
              </w:rPr>
              <w:t xml:space="preserve">360,000 </w:t>
            </w:r>
          </w:p>
        </w:tc>
      </w:tr>
    </w:tbl>
    <w:p w14:paraId="4A5FEC01" w14:textId="77777777" w:rsidR="00C87BFE" w:rsidRDefault="00C87BFE" w:rsidP="00447043">
      <w:pPr>
        <w:tabs>
          <w:tab w:val="left" w:pos="1418"/>
        </w:tabs>
        <w:spacing w:after="0"/>
        <w:ind w:left="1411" w:hanging="1411"/>
        <w:rPr>
          <w:rFonts w:eastAsia="Aptos"/>
          <w:b/>
          <w:color w:val="0E2841"/>
        </w:rPr>
      </w:pPr>
    </w:p>
    <w:p w14:paraId="2F9EE38B" w14:textId="3C4EEF49" w:rsidR="00401D05" w:rsidRDefault="00401D05" w:rsidP="00401D05">
      <w:pPr>
        <w:spacing w:after="160" w:line="259" w:lineRule="auto"/>
        <w:rPr>
          <w:rFonts w:eastAsia="Aptos"/>
          <w:color w:val="000000"/>
        </w:rPr>
      </w:pPr>
      <w:r w:rsidRPr="007668E1">
        <w:rPr>
          <w:rFonts w:eastAsia="Aptos"/>
          <w:color w:val="000000"/>
        </w:rPr>
        <w:t xml:space="preserve">LVCs and VLVCs receive the full funding of the fixed amounts irrespective of their consumption levels; consequently, the amounts shown in the “HPMP 2025-2030” in </w:t>
      </w:r>
      <w:r w:rsidR="004636A5">
        <w:rPr>
          <w:rFonts w:eastAsia="Aptos"/>
          <w:color w:val="000000"/>
        </w:rPr>
        <w:t xml:space="preserve">Table 4.6 </w:t>
      </w:r>
      <w:r w:rsidRPr="007668E1">
        <w:rPr>
          <w:rFonts w:eastAsia="Aptos"/>
          <w:color w:val="000000"/>
        </w:rPr>
        <w:t xml:space="preserve">above are assumed to be available for all countries. It follows then that the 52 countries with approved KIPs, and potentially all countries with KIPs, would have the combined HPMP last stage (herein referred to as HPMP-III) and KIP </w:t>
      </w:r>
      <w:r w:rsidR="00154D41">
        <w:rPr>
          <w:rFonts w:eastAsia="Aptos"/>
          <w:color w:val="000000"/>
        </w:rPr>
        <w:t>Stage</w:t>
      </w:r>
      <w:r w:rsidRPr="007668E1">
        <w:rPr>
          <w:rFonts w:eastAsia="Aptos"/>
          <w:color w:val="000000"/>
        </w:rPr>
        <w:t xml:space="preserve"> I (referred to as KIP-I) available to them until 2030. Those amounts are shown in </w:t>
      </w:r>
      <w:r w:rsidR="004636A5">
        <w:rPr>
          <w:rFonts w:eastAsia="Aptos"/>
          <w:color w:val="000000"/>
        </w:rPr>
        <w:t xml:space="preserve">Table 6.7 </w:t>
      </w:r>
      <w:r w:rsidRPr="007668E1">
        <w:rPr>
          <w:rFonts w:eastAsia="Aptos"/>
          <w:color w:val="000000"/>
        </w:rPr>
        <w:t>below</w:t>
      </w:r>
      <w:r>
        <w:rPr>
          <w:rFonts w:eastAsia="Aptos"/>
          <w:color w:val="000000"/>
        </w:rPr>
        <w:t>.</w:t>
      </w:r>
    </w:p>
    <w:p w14:paraId="0CA3EC92" w14:textId="0BAA0D1B" w:rsidR="00401D05" w:rsidRDefault="274D2446" w:rsidP="002135B0">
      <w:pPr>
        <w:spacing w:after="0"/>
        <w:ind w:left="1134" w:hanging="1134"/>
        <w:rPr>
          <w:rFonts w:eastAsia="Aptos"/>
          <w:b/>
          <w:bCs/>
          <w:color w:val="0E2841"/>
          <w:sz w:val="20"/>
          <w:szCs w:val="20"/>
          <w:lang w:val="en-US"/>
        </w:rPr>
      </w:pPr>
      <w:r w:rsidRPr="274D2446">
        <w:rPr>
          <w:rFonts w:eastAsiaTheme="minorEastAsia"/>
          <w:b/>
          <w:bCs/>
        </w:rPr>
        <w:t>Table 6.7</w:t>
      </w:r>
      <w:r w:rsidR="005D589F">
        <w:rPr>
          <w:rFonts w:eastAsiaTheme="minorEastAsia"/>
          <w:b/>
          <w:bCs/>
        </w:rPr>
        <w:t>:</w:t>
      </w:r>
      <w:r w:rsidR="00401D05">
        <w:tab/>
      </w:r>
      <w:r w:rsidRPr="274D2446">
        <w:rPr>
          <w:rFonts w:eastAsia="Aptos"/>
          <w:b/>
          <w:bCs/>
          <w:color w:val="0E2841"/>
          <w:lang w:val="en-US"/>
        </w:rPr>
        <w:t xml:space="preserve">Combined funding for last tranche of HPMP and KIP </w:t>
      </w:r>
      <w:r w:rsidR="00154D41">
        <w:rPr>
          <w:rFonts w:eastAsia="Aptos"/>
          <w:b/>
          <w:bCs/>
          <w:color w:val="0E2841"/>
          <w:lang w:val="en-US"/>
        </w:rPr>
        <w:t>Stage</w:t>
      </w:r>
      <w:r w:rsidRPr="274D2446">
        <w:rPr>
          <w:rFonts w:eastAsia="Aptos"/>
          <w:b/>
          <w:bCs/>
          <w:color w:val="0E2841"/>
          <w:lang w:val="en-US"/>
        </w:rPr>
        <w:t xml:space="preserve"> I for the years 2025-2030 (US</w:t>
      </w:r>
      <w:r w:rsidRPr="274D2446">
        <w:rPr>
          <w:rFonts w:eastAsia="Aptos"/>
          <w:b/>
          <w:bCs/>
          <w:color w:val="0E2841"/>
          <w:sz w:val="20"/>
          <w:szCs w:val="20"/>
          <w:lang w:val="en-US"/>
        </w:rPr>
        <w:t>$)</w:t>
      </w:r>
    </w:p>
    <w:p w14:paraId="1A84E6A3" w14:textId="77777777" w:rsidR="00B20B02" w:rsidRDefault="00B20B02" w:rsidP="00401D05">
      <w:pPr>
        <w:tabs>
          <w:tab w:val="left" w:pos="1418"/>
        </w:tabs>
        <w:spacing w:after="0"/>
        <w:ind w:left="1411" w:hanging="1411"/>
        <w:rPr>
          <w:rFonts w:eastAsia="Aptos"/>
          <w:b/>
          <w:bCs/>
          <w:color w:val="0E2841"/>
          <w:lang w:val="en-US"/>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950"/>
        <w:gridCol w:w="1605"/>
        <w:gridCol w:w="2055"/>
        <w:gridCol w:w="2105"/>
      </w:tblGrid>
      <w:tr w:rsidR="00B20B02" w:rsidRPr="007668E1" w14:paraId="5E23C841" w14:textId="77777777" w:rsidTr="00A0479E">
        <w:trPr>
          <w:trHeight w:val="332"/>
          <w:tblHeader/>
        </w:trPr>
        <w:tc>
          <w:tcPr>
            <w:tcW w:w="1635" w:type="dxa"/>
            <w:shd w:val="clear" w:color="auto" w:fill="F2F2F2"/>
            <w:noWrap/>
            <w:vAlign w:val="center"/>
            <w:hideMark/>
          </w:tcPr>
          <w:p w14:paraId="632227A6" w14:textId="77777777" w:rsidR="00B20B02" w:rsidRPr="007668E1" w:rsidRDefault="00B20B02" w:rsidP="00A0479E">
            <w:pPr>
              <w:spacing w:after="0"/>
              <w:rPr>
                <w:b/>
                <w:color w:val="000000"/>
                <w:sz w:val="20"/>
                <w:szCs w:val="20"/>
                <w:lang w:eastAsia="en-CA"/>
              </w:rPr>
            </w:pPr>
            <w:r w:rsidRPr="007668E1">
              <w:rPr>
                <w:b/>
                <w:color w:val="000000"/>
                <w:sz w:val="20"/>
                <w:szCs w:val="20"/>
                <w:lang w:eastAsia="en-CA"/>
              </w:rPr>
              <w:t>Category</w:t>
            </w:r>
          </w:p>
        </w:tc>
        <w:tc>
          <w:tcPr>
            <w:tcW w:w="1950" w:type="dxa"/>
            <w:shd w:val="clear" w:color="auto" w:fill="F2F2F2"/>
            <w:vAlign w:val="center"/>
            <w:hideMark/>
          </w:tcPr>
          <w:p w14:paraId="3057FE65" w14:textId="77777777" w:rsidR="00B20B02" w:rsidRPr="007668E1" w:rsidRDefault="00B20B02" w:rsidP="00A0479E">
            <w:pPr>
              <w:spacing w:after="0"/>
              <w:rPr>
                <w:b/>
                <w:color w:val="000000"/>
                <w:sz w:val="20"/>
                <w:szCs w:val="20"/>
                <w:lang w:eastAsia="en-CA"/>
              </w:rPr>
            </w:pPr>
            <w:r w:rsidRPr="007668E1">
              <w:rPr>
                <w:b/>
                <w:color w:val="000000"/>
                <w:sz w:val="20"/>
                <w:szCs w:val="20"/>
                <w:lang w:eastAsia="en-CA"/>
              </w:rPr>
              <w:t>HPMP-III</w:t>
            </w:r>
          </w:p>
        </w:tc>
        <w:tc>
          <w:tcPr>
            <w:tcW w:w="1605" w:type="dxa"/>
            <w:shd w:val="clear" w:color="auto" w:fill="F2F2F2"/>
            <w:vAlign w:val="center"/>
          </w:tcPr>
          <w:p w14:paraId="3AC74288" w14:textId="77777777" w:rsidR="00B20B02" w:rsidRPr="007668E1" w:rsidRDefault="00B20B02" w:rsidP="00A0479E">
            <w:pPr>
              <w:spacing w:after="0"/>
              <w:rPr>
                <w:b/>
                <w:color w:val="000000"/>
                <w:sz w:val="20"/>
                <w:szCs w:val="20"/>
                <w:lang w:eastAsia="en-CA"/>
              </w:rPr>
            </w:pPr>
            <w:r w:rsidRPr="007668E1">
              <w:rPr>
                <w:rFonts w:eastAsia="Aptos"/>
                <w:b/>
                <w:color w:val="000000"/>
                <w:sz w:val="20"/>
                <w:szCs w:val="20"/>
              </w:rPr>
              <w:t>KIP-I</w:t>
            </w:r>
          </w:p>
        </w:tc>
        <w:tc>
          <w:tcPr>
            <w:tcW w:w="2055" w:type="dxa"/>
            <w:shd w:val="clear" w:color="auto" w:fill="F2F2F2"/>
            <w:vAlign w:val="center"/>
          </w:tcPr>
          <w:p w14:paraId="09502D15" w14:textId="77777777" w:rsidR="00B20B02" w:rsidRPr="007668E1" w:rsidRDefault="00B20B02" w:rsidP="00A0479E">
            <w:pPr>
              <w:spacing w:after="0" w:line="259" w:lineRule="auto"/>
              <w:rPr>
                <w:b/>
                <w:sz w:val="20"/>
                <w:szCs w:val="20"/>
                <w:lang w:eastAsia="en-CA"/>
              </w:rPr>
            </w:pPr>
            <w:r w:rsidRPr="007668E1">
              <w:rPr>
                <w:rFonts w:eastAsia="Aptos"/>
                <w:b/>
                <w:color w:val="000000"/>
                <w:sz w:val="20"/>
                <w:szCs w:val="20"/>
              </w:rPr>
              <w:t>Combined</w:t>
            </w:r>
          </w:p>
        </w:tc>
        <w:tc>
          <w:tcPr>
            <w:tcW w:w="2105" w:type="dxa"/>
            <w:shd w:val="clear" w:color="auto" w:fill="F2F2F2"/>
            <w:vAlign w:val="center"/>
          </w:tcPr>
          <w:p w14:paraId="63DE31A7" w14:textId="77777777" w:rsidR="00B20B02" w:rsidRPr="007668E1" w:rsidRDefault="00B20B02" w:rsidP="00A0479E">
            <w:pPr>
              <w:spacing w:after="0" w:line="259" w:lineRule="auto"/>
              <w:rPr>
                <w:rFonts w:eastAsia="Aptos"/>
                <w:b/>
                <w:color w:val="000000"/>
                <w:sz w:val="20"/>
                <w:szCs w:val="20"/>
              </w:rPr>
            </w:pPr>
            <w:r w:rsidRPr="007668E1">
              <w:rPr>
                <w:rFonts w:eastAsia="Aptos"/>
                <w:b/>
                <w:color w:val="000000"/>
                <w:sz w:val="20"/>
                <w:szCs w:val="20"/>
              </w:rPr>
              <w:t>% of Combined compared to KIP-I</w:t>
            </w:r>
          </w:p>
        </w:tc>
      </w:tr>
      <w:tr w:rsidR="00B20B02" w:rsidRPr="007668E1" w14:paraId="3AC29115" w14:textId="77777777" w:rsidTr="00B20B02">
        <w:trPr>
          <w:trHeight w:val="302"/>
        </w:trPr>
        <w:tc>
          <w:tcPr>
            <w:tcW w:w="1635" w:type="dxa"/>
            <w:noWrap/>
            <w:vAlign w:val="bottom"/>
            <w:hideMark/>
          </w:tcPr>
          <w:p w14:paraId="1DC657BB" w14:textId="77777777" w:rsidR="00B20B02" w:rsidRPr="007668E1" w:rsidRDefault="00B20B02" w:rsidP="006233FA">
            <w:pPr>
              <w:spacing w:after="0"/>
              <w:jc w:val="center"/>
              <w:rPr>
                <w:color w:val="000000"/>
                <w:sz w:val="20"/>
                <w:szCs w:val="20"/>
                <w:lang w:eastAsia="en-CA"/>
              </w:rPr>
            </w:pPr>
            <w:r w:rsidRPr="007668E1">
              <w:rPr>
                <w:color w:val="000000"/>
                <w:sz w:val="20"/>
                <w:szCs w:val="20"/>
                <w:lang w:eastAsia="en-CA"/>
              </w:rPr>
              <w:t>1</w:t>
            </w:r>
          </w:p>
        </w:tc>
        <w:tc>
          <w:tcPr>
            <w:tcW w:w="1950" w:type="dxa"/>
            <w:vAlign w:val="bottom"/>
          </w:tcPr>
          <w:p w14:paraId="5D206CE9" w14:textId="77777777" w:rsidR="00B20B02" w:rsidRPr="007668E1" w:rsidRDefault="00B20B02" w:rsidP="006233FA">
            <w:pPr>
              <w:spacing w:after="0"/>
              <w:ind w:left="102"/>
              <w:jc w:val="center"/>
              <w:rPr>
                <w:color w:val="000000"/>
                <w:sz w:val="20"/>
                <w:szCs w:val="20"/>
                <w:lang w:eastAsia="en-CA"/>
              </w:rPr>
            </w:pPr>
            <w:r w:rsidRPr="007668E1">
              <w:rPr>
                <w:rFonts w:eastAsia="Aptos"/>
                <w:color w:val="000000"/>
                <w:sz w:val="20"/>
                <w:szCs w:val="20"/>
              </w:rPr>
              <w:t>190,500</w:t>
            </w:r>
          </w:p>
        </w:tc>
        <w:tc>
          <w:tcPr>
            <w:tcW w:w="1605" w:type="dxa"/>
            <w:vAlign w:val="bottom"/>
          </w:tcPr>
          <w:p w14:paraId="3FFF0787" w14:textId="77777777" w:rsidR="00B20B02" w:rsidRPr="007668E1" w:rsidRDefault="00B20B02" w:rsidP="006233FA">
            <w:pPr>
              <w:spacing w:after="0"/>
              <w:ind w:left="102"/>
              <w:jc w:val="right"/>
              <w:rPr>
                <w:color w:val="000000"/>
                <w:sz w:val="20"/>
                <w:szCs w:val="20"/>
                <w:lang w:eastAsia="en-CA"/>
              </w:rPr>
            </w:pPr>
            <w:r w:rsidRPr="007668E1">
              <w:rPr>
                <w:rFonts w:eastAsia="Aptos"/>
                <w:color w:val="000000"/>
                <w:sz w:val="20"/>
                <w:szCs w:val="20"/>
              </w:rPr>
              <w:t xml:space="preserve">135,000 </w:t>
            </w:r>
          </w:p>
        </w:tc>
        <w:tc>
          <w:tcPr>
            <w:tcW w:w="2055" w:type="dxa"/>
            <w:vAlign w:val="bottom"/>
          </w:tcPr>
          <w:p w14:paraId="35D09A90" w14:textId="77777777" w:rsidR="00B20B02" w:rsidRPr="007668E1" w:rsidRDefault="00B20B02" w:rsidP="006233FA">
            <w:pPr>
              <w:spacing w:after="0"/>
              <w:jc w:val="right"/>
              <w:rPr>
                <w:rFonts w:eastAsia="Aptos"/>
                <w:color w:val="000000"/>
                <w:sz w:val="20"/>
                <w:szCs w:val="20"/>
              </w:rPr>
            </w:pPr>
            <w:r w:rsidRPr="007668E1">
              <w:rPr>
                <w:rFonts w:eastAsia="Aptos"/>
                <w:color w:val="000000"/>
                <w:sz w:val="20"/>
                <w:szCs w:val="20"/>
              </w:rPr>
              <w:t xml:space="preserve">                  325,500 </w:t>
            </w:r>
          </w:p>
        </w:tc>
        <w:tc>
          <w:tcPr>
            <w:tcW w:w="2105" w:type="dxa"/>
            <w:vAlign w:val="bottom"/>
          </w:tcPr>
          <w:p w14:paraId="1EC65BF5" w14:textId="77777777" w:rsidR="00B20B02" w:rsidRPr="007668E1" w:rsidRDefault="00B20B02" w:rsidP="006233FA">
            <w:pPr>
              <w:spacing w:after="0"/>
              <w:jc w:val="right"/>
              <w:rPr>
                <w:rFonts w:eastAsia="Aptos"/>
                <w:color w:val="000000"/>
                <w:sz w:val="20"/>
                <w:szCs w:val="20"/>
              </w:rPr>
            </w:pPr>
            <w:r w:rsidRPr="007668E1">
              <w:rPr>
                <w:rFonts w:eastAsia="Aptos"/>
                <w:color w:val="000000"/>
                <w:sz w:val="20"/>
                <w:szCs w:val="20"/>
              </w:rPr>
              <w:t>241</w:t>
            </w:r>
          </w:p>
        </w:tc>
      </w:tr>
      <w:tr w:rsidR="00B20B02" w:rsidRPr="007668E1" w14:paraId="7EF445FC" w14:textId="77777777" w:rsidTr="00B20B02">
        <w:trPr>
          <w:trHeight w:val="300"/>
        </w:trPr>
        <w:tc>
          <w:tcPr>
            <w:tcW w:w="1635" w:type="dxa"/>
            <w:noWrap/>
            <w:vAlign w:val="bottom"/>
            <w:hideMark/>
          </w:tcPr>
          <w:p w14:paraId="5544AC9E" w14:textId="77777777" w:rsidR="00B20B02" w:rsidRPr="007668E1" w:rsidRDefault="00B20B02" w:rsidP="006233FA">
            <w:pPr>
              <w:spacing w:after="0"/>
              <w:jc w:val="center"/>
              <w:rPr>
                <w:color w:val="000000"/>
                <w:sz w:val="20"/>
                <w:szCs w:val="20"/>
                <w:lang w:eastAsia="en-CA"/>
              </w:rPr>
            </w:pPr>
            <w:r w:rsidRPr="007668E1">
              <w:rPr>
                <w:color w:val="000000"/>
                <w:sz w:val="20"/>
                <w:szCs w:val="20"/>
                <w:lang w:eastAsia="en-CA"/>
              </w:rPr>
              <w:t>2</w:t>
            </w:r>
          </w:p>
        </w:tc>
        <w:tc>
          <w:tcPr>
            <w:tcW w:w="1950" w:type="dxa"/>
            <w:vAlign w:val="bottom"/>
          </w:tcPr>
          <w:p w14:paraId="469F0902" w14:textId="77777777" w:rsidR="00B20B02" w:rsidRPr="007668E1" w:rsidRDefault="00B20B02" w:rsidP="006233FA">
            <w:pPr>
              <w:spacing w:after="0"/>
              <w:ind w:left="102"/>
              <w:jc w:val="center"/>
              <w:rPr>
                <w:color w:val="000000"/>
                <w:sz w:val="20"/>
                <w:szCs w:val="20"/>
                <w:lang w:eastAsia="en-CA"/>
              </w:rPr>
            </w:pPr>
            <w:r w:rsidRPr="007668E1">
              <w:rPr>
                <w:rFonts w:eastAsia="Aptos"/>
                <w:color w:val="000000"/>
                <w:sz w:val="20"/>
                <w:szCs w:val="20"/>
              </w:rPr>
              <w:t>243,750</w:t>
            </w:r>
          </w:p>
        </w:tc>
        <w:tc>
          <w:tcPr>
            <w:tcW w:w="1605" w:type="dxa"/>
            <w:vAlign w:val="bottom"/>
          </w:tcPr>
          <w:p w14:paraId="5E2962DF" w14:textId="77777777" w:rsidR="00B20B02" w:rsidRPr="007668E1" w:rsidRDefault="00B20B02" w:rsidP="006233FA">
            <w:pPr>
              <w:spacing w:after="0"/>
              <w:ind w:left="102"/>
              <w:jc w:val="right"/>
              <w:rPr>
                <w:color w:val="000000"/>
                <w:sz w:val="20"/>
                <w:szCs w:val="20"/>
                <w:lang w:eastAsia="en-CA"/>
              </w:rPr>
            </w:pPr>
            <w:r w:rsidRPr="007668E1">
              <w:rPr>
                <w:rFonts w:eastAsia="Aptos"/>
                <w:color w:val="000000"/>
                <w:sz w:val="20"/>
                <w:szCs w:val="20"/>
              </w:rPr>
              <w:t xml:space="preserve">145,000 </w:t>
            </w:r>
          </w:p>
        </w:tc>
        <w:tc>
          <w:tcPr>
            <w:tcW w:w="2055" w:type="dxa"/>
            <w:vAlign w:val="bottom"/>
          </w:tcPr>
          <w:p w14:paraId="74C2FA59"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 xml:space="preserve">                  388,750 </w:t>
            </w:r>
          </w:p>
        </w:tc>
        <w:tc>
          <w:tcPr>
            <w:tcW w:w="2105" w:type="dxa"/>
            <w:vAlign w:val="bottom"/>
          </w:tcPr>
          <w:p w14:paraId="770B1367"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268</w:t>
            </w:r>
          </w:p>
        </w:tc>
      </w:tr>
      <w:tr w:rsidR="00B20B02" w:rsidRPr="007668E1" w14:paraId="6672EE42" w14:textId="77777777" w:rsidTr="00B20B02">
        <w:trPr>
          <w:trHeight w:val="300"/>
        </w:trPr>
        <w:tc>
          <w:tcPr>
            <w:tcW w:w="1635" w:type="dxa"/>
            <w:noWrap/>
            <w:vAlign w:val="bottom"/>
            <w:hideMark/>
          </w:tcPr>
          <w:p w14:paraId="7C2DC037" w14:textId="77777777" w:rsidR="00B20B02" w:rsidRPr="007668E1" w:rsidRDefault="00B20B02" w:rsidP="006233FA">
            <w:pPr>
              <w:spacing w:after="0"/>
              <w:jc w:val="center"/>
              <w:rPr>
                <w:color w:val="000000"/>
                <w:sz w:val="20"/>
                <w:szCs w:val="20"/>
                <w:lang w:eastAsia="en-CA"/>
              </w:rPr>
            </w:pPr>
            <w:r w:rsidRPr="007668E1">
              <w:rPr>
                <w:color w:val="000000"/>
                <w:sz w:val="20"/>
                <w:szCs w:val="20"/>
                <w:lang w:eastAsia="en-CA"/>
              </w:rPr>
              <w:t>3</w:t>
            </w:r>
          </w:p>
        </w:tc>
        <w:tc>
          <w:tcPr>
            <w:tcW w:w="1950" w:type="dxa"/>
            <w:vAlign w:val="bottom"/>
          </w:tcPr>
          <w:p w14:paraId="0233FEF0" w14:textId="77777777" w:rsidR="00B20B02" w:rsidRPr="007668E1" w:rsidRDefault="00B20B02" w:rsidP="006233FA">
            <w:pPr>
              <w:spacing w:after="0"/>
              <w:ind w:left="102"/>
              <w:jc w:val="center"/>
              <w:rPr>
                <w:color w:val="000000"/>
                <w:sz w:val="20"/>
                <w:szCs w:val="20"/>
                <w:lang w:eastAsia="en-CA"/>
              </w:rPr>
            </w:pPr>
            <w:r w:rsidRPr="007668E1">
              <w:rPr>
                <w:rFonts w:eastAsia="Aptos"/>
                <w:color w:val="000000"/>
                <w:sz w:val="20"/>
                <w:szCs w:val="20"/>
              </w:rPr>
              <w:t>260,000</w:t>
            </w:r>
          </w:p>
        </w:tc>
        <w:tc>
          <w:tcPr>
            <w:tcW w:w="1605" w:type="dxa"/>
            <w:vAlign w:val="bottom"/>
          </w:tcPr>
          <w:p w14:paraId="1FC7E188" w14:textId="77777777" w:rsidR="00B20B02" w:rsidRPr="007668E1" w:rsidRDefault="00B20B02" w:rsidP="006233FA">
            <w:pPr>
              <w:spacing w:after="0"/>
              <w:ind w:left="102"/>
              <w:jc w:val="right"/>
              <w:rPr>
                <w:color w:val="000000"/>
                <w:sz w:val="20"/>
                <w:szCs w:val="20"/>
                <w:lang w:eastAsia="en-CA"/>
              </w:rPr>
            </w:pPr>
            <w:r w:rsidRPr="007668E1">
              <w:rPr>
                <w:rFonts w:eastAsia="Aptos"/>
                <w:color w:val="000000"/>
                <w:sz w:val="20"/>
                <w:szCs w:val="20"/>
              </w:rPr>
              <w:t xml:space="preserve">158,000 </w:t>
            </w:r>
          </w:p>
        </w:tc>
        <w:tc>
          <w:tcPr>
            <w:tcW w:w="2055" w:type="dxa"/>
            <w:vAlign w:val="bottom"/>
          </w:tcPr>
          <w:p w14:paraId="5223D58E"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 xml:space="preserve">                  418,000 </w:t>
            </w:r>
          </w:p>
        </w:tc>
        <w:tc>
          <w:tcPr>
            <w:tcW w:w="2105" w:type="dxa"/>
            <w:vAlign w:val="bottom"/>
          </w:tcPr>
          <w:p w14:paraId="43C48D71"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265</w:t>
            </w:r>
          </w:p>
        </w:tc>
      </w:tr>
      <w:tr w:rsidR="00B20B02" w:rsidRPr="007668E1" w14:paraId="52CECF0B" w14:textId="77777777" w:rsidTr="00B20B02">
        <w:trPr>
          <w:trHeight w:val="300"/>
        </w:trPr>
        <w:tc>
          <w:tcPr>
            <w:tcW w:w="1635" w:type="dxa"/>
            <w:noWrap/>
            <w:vAlign w:val="bottom"/>
            <w:hideMark/>
          </w:tcPr>
          <w:p w14:paraId="622B3B62" w14:textId="77777777" w:rsidR="00B20B02" w:rsidRPr="007668E1" w:rsidRDefault="00B20B02" w:rsidP="006233FA">
            <w:pPr>
              <w:spacing w:after="0"/>
              <w:jc w:val="center"/>
              <w:rPr>
                <w:color w:val="000000"/>
                <w:sz w:val="20"/>
                <w:szCs w:val="20"/>
                <w:lang w:eastAsia="en-CA"/>
              </w:rPr>
            </w:pPr>
            <w:r w:rsidRPr="007668E1">
              <w:rPr>
                <w:color w:val="000000"/>
                <w:sz w:val="20"/>
                <w:szCs w:val="20"/>
                <w:lang w:eastAsia="en-CA"/>
              </w:rPr>
              <w:t>4</w:t>
            </w:r>
          </w:p>
        </w:tc>
        <w:tc>
          <w:tcPr>
            <w:tcW w:w="1950" w:type="dxa"/>
            <w:vAlign w:val="bottom"/>
          </w:tcPr>
          <w:p w14:paraId="2F91FD89" w14:textId="77777777" w:rsidR="00B20B02" w:rsidRPr="007668E1" w:rsidRDefault="00B20B02" w:rsidP="006233FA">
            <w:pPr>
              <w:spacing w:after="0"/>
              <w:ind w:left="102"/>
              <w:jc w:val="center"/>
              <w:rPr>
                <w:color w:val="000000"/>
                <w:sz w:val="20"/>
                <w:szCs w:val="20"/>
                <w:lang w:eastAsia="en-CA"/>
              </w:rPr>
            </w:pPr>
            <w:r w:rsidRPr="007668E1">
              <w:rPr>
                <w:rFonts w:eastAsia="Aptos"/>
                <w:color w:val="000000"/>
                <w:sz w:val="20"/>
                <w:szCs w:val="20"/>
              </w:rPr>
              <w:t>292,500</w:t>
            </w:r>
          </w:p>
        </w:tc>
        <w:tc>
          <w:tcPr>
            <w:tcW w:w="1605" w:type="dxa"/>
            <w:vAlign w:val="bottom"/>
          </w:tcPr>
          <w:p w14:paraId="0EB84FEF" w14:textId="77777777" w:rsidR="00B20B02" w:rsidRPr="007668E1" w:rsidRDefault="00B20B02" w:rsidP="006233FA">
            <w:pPr>
              <w:spacing w:after="0"/>
              <w:ind w:left="102"/>
              <w:jc w:val="right"/>
              <w:rPr>
                <w:color w:val="000000"/>
                <w:sz w:val="20"/>
                <w:szCs w:val="20"/>
                <w:lang w:eastAsia="en-CA"/>
              </w:rPr>
            </w:pPr>
            <w:r w:rsidRPr="007668E1">
              <w:rPr>
                <w:rFonts w:eastAsia="Aptos"/>
                <w:color w:val="000000"/>
                <w:sz w:val="20"/>
                <w:szCs w:val="20"/>
              </w:rPr>
              <w:t xml:space="preserve">170,000 </w:t>
            </w:r>
          </w:p>
        </w:tc>
        <w:tc>
          <w:tcPr>
            <w:tcW w:w="2055" w:type="dxa"/>
            <w:vAlign w:val="bottom"/>
          </w:tcPr>
          <w:p w14:paraId="4FDF2B29"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 xml:space="preserve">                  462,500 </w:t>
            </w:r>
          </w:p>
        </w:tc>
        <w:tc>
          <w:tcPr>
            <w:tcW w:w="2105" w:type="dxa"/>
            <w:vAlign w:val="bottom"/>
          </w:tcPr>
          <w:p w14:paraId="3F87AB98"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272</w:t>
            </w:r>
          </w:p>
        </w:tc>
      </w:tr>
      <w:tr w:rsidR="00B20B02" w:rsidRPr="007668E1" w14:paraId="2211189B" w14:textId="77777777" w:rsidTr="00B20B02">
        <w:trPr>
          <w:trHeight w:val="300"/>
        </w:trPr>
        <w:tc>
          <w:tcPr>
            <w:tcW w:w="1635" w:type="dxa"/>
            <w:noWrap/>
            <w:vAlign w:val="bottom"/>
            <w:hideMark/>
          </w:tcPr>
          <w:p w14:paraId="62E9B741" w14:textId="77777777" w:rsidR="00B20B02" w:rsidRPr="007668E1" w:rsidRDefault="00B20B02" w:rsidP="006233FA">
            <w:pPr>
              <w:spacing w:after="0"/>
              <w:jc w:val="center"/>
              <w:rPr>
                <w:color w:val="000000"/>
                <w:sz w:val="20"/>
                <w:szCs w:val="20"/>
                <w:lang w:eastAsia="en-CA"/>
              </w:rPr>
            </w:pPr>
            <w:r w:rsidRPr="007668E1">
              <w:rPr>
                <w:color w:val="000000"/>
                <w:sz w:val="20"/>
                <w:szCs w:val="20"/>
                <w:lang w:eastAsia="en-CA"/>
              </w:rPr>
              <w:t>5</w:t>
            </w:r>
          </w:p>
        </w:tc>
        <w:tc>
          <w:tcPr>
            <w:tcW w:w="1950" w:type="dxa"/>
            <w:vAlign w:val="bottom"/>
          </w:tcPr>
          <w:p w14:paraId="3B2825C9" w14:textId="77777777" w:rsidR="00B20B02" w:rsidRPr="007668E1" w:rsidRDefault="00B20B02" w:rsidP="006233FA">
            <w:pPr>
              <w:spacing w:after="0"/>
              <w:ind w:left="102"/>
              <w:jc w:val="center"/>
              <w:rPr>
                <w:color w:val="000000"/>
                <w:sz w:val="20"/>
                <w:szCs w:val="20"/>
                <w:lang w:eastAsia="en-CA"/>
              </w:rPr>
            </w:pPr>
            <w:r w:rsidRPr="007668E1">
              <w:rPr>
                <w:rFonts w:eastAsia="Aptos"/>
                <w:color w:val="000000"/>
                <w:sz w:val="20"/>
                <w:szCs w:val="20"/>
              </w:rPr>
              <w:t>308,750</w:t>
            </w:r>
          </w:p>
        </w:tc>
        <w:tc>
          <w:tcPr>
            <w:tcW w:w="1605" w:type="dxa"/>
            <w:vAlign w:val="bottom"/>
          </w:tcPr>
          <w:p w14:paraId="0E3E5C73" w14:textId="77777777" w:rsidR="00B20B02" w:rsidRPr="007668E1" w:rsidRDefault="00B20B02" w:rsidP="006233FA">
            <w:pPr>
              <w:spacing w:after="0"/>
              <w:ind w:left="102"/>
              <w:jc w:val="right"/>
              <w:rPr>
                <w:color w:val="000000"/>
                <w:sz w:val="20"/>
                <w:szCs w:val="20"/>
                <w:lang w:eastAsia="en-CA"/>
              </w:rPr>
            </w:pPr>
            <w:r w:rsidRPr="007668E1">
              <w:rPr>
                <w:rFonts w:eastAsia="Aptos"/>
                <w:color w:val="000000"/>
                <w:sz w:val="20"/>
                <w:szCs w:val="20"/>
              </w:rPr>
              <w:t xml:space="preserve">180,000 </w:t>
            </w:r>
          </w:p>
        </w:tc>
        <w:tc>
          <w:tcPr>
            <w:tcW w:w="2055" w:type="dxa"/>
            <w:vAlign w:val="bottom"/>
          </w:tcPr>
          <w:p w14:paraId="096D65BF"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 xml:space="preserve">                  488,750 </w:t>
            </w:r>
          </w:p>
        </w:tc>
        <w:tc>
          <w:tcPr>
            <w:tcW w:w="2105" w:type="dxa"/>
            <w:vAlign w:val="bottom"/>
          </w:tcPr>
          <w:p w14:paraId="44E50C2E"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272</w:t>
            </w:r>
          </w:p>
        </w:tc>
      </w:tr>
      <w:tr w:rsidR="00B20B02" w:rsidRPr="007668E1" w14:paraId="0C36AC01" w14:textId="77777777" w:rsidTr="00B20B02">
        <w:trPr>
          <w:trHeight w:val="300"/>
        </w:trPr>
        <w:tc>
          <w:tcPr>
            <w:tcW w:w="1635" w:type="dxa"/>
            <w:noWrap/>
            <w:vAlign w:val="bottom"/>
            <w:hideMark/>
          </w:tcPr>
          <w:p w14:paraId="04E9A843" w14:textId="77777777" w:rsidR="00B20B02" w:rsidRPr="007668E1" w:rsidRDefault="00B20B02" w:rsidP="006233FA">
            <w:pPr>
              <w:spacing w:after="0"/>
              <w:jc w:val="center"/>
              <w:rPr>
                <w:color w:val="000000"/>
                <w:sz w:val="20"/>
                <w:szCs w:val="20"/>
                <w:lang w:eastAsia="en-CA"/>
              </w:rPr>
            </w:pPr>
            <w:r w:rsidRPr="007668E1">
              <w:rPr>
                <w:color w:val="000000"/>
                <w:sz w:val="20"/>
                <w:szCs w:val="20"/>
                <w:lang w:eastAsia="en-CA"/>
              </w:rPr>
              <w:t>6</w:t>
            </w:r>
          </w:p>
        </w:tc>
        <w:tc>
          <w:tcPr>
            <w:tcW w:w="1950" w:type="dxa"/>
            <w:vAlign w:val="bottom"/>
          </w:tcPr>
          <w:p w14:paraId="12E8BD6D" w14:textId="77777777" w:rsidR="00B20B02" w:rsidRPr="007668E1" w:rsidRDefault="00B20B02" w:rsidP="006233FA">
            <w:pPr>
              <w:spacing w:after="0"/>
              <w:ind w:left="102"/>
              <w:jc w:val="center"/>
              <w:rPr>
                <w:color w:val="000000"/>
                <w:sz w:val="20"/>
                <w:szCs w:val="20"/>
                <w:lang w:eastAsia="en-CA"/>
              </w:rPr>
            </w:pPr>
            <w:r w:rsidRPr="007668E1">
              <w:rPr>
                <w:rFonts w:eastAsia="Aptos"/>
                <w:color w:val="000000"/>
                <w:sz w:val="20"/>
                <w:szCs w:val="20"/>
              </w:rPr>
              <w:t>325,000</w:t>
            </w:r>
          </w:p>
        </w:tc>
        <w:tc>
          <w:tcPr>
            <w:tcW w:w="1605" w:type="dxa"/>
            <w:vAlign w:val="bottom"/>
          </w:tcPr>
          <w:p w14:paraId="05B7C316" w14:textId="77777777" w:rsidR="00B20B02" w:rsidRPr="007668E1" w:rsidRDefault="00B20B02" w:rsidP="006233FA">
            <w:pPr>
              <w:spacing w:after="0"/>
              <w:ind w:left="102"/>
              <w:jc w:val="right"/>
              <w:rPr>
                <w:color w:val="000000"/>
                <w:sz w:val="20"/>
                <w:szCs w:val="20"/>
                <w:lang w:eastAsia="en-CA"/>
              </w:rPr>
            </w:pPr>
            <w:r w:rsidRPr="007668E1">
              <w:rPr>
                <w:rFonts w:eastAsia="Aptos"/>
                <w:color w:val="000000"/>
                <w:sz w:val="20"/>
                <w:szCs w:val="20"/>
              </w:rPr>
              <w:t xml:space="preserve">190,000 </w:t>
            </w:r>
          </w:p>
        </w:tc>
        <w:tc>
          <w:tcPr>
            <w:tcW w:w="2055" w:type="dxa"/>
            <w:vAlign w:val="bottom"/>
          </w:tcPr>
          <w:p w14:paraId="75C3D737"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 xml:space="preserve">                  515,000 </w:t>
            </w:r>
          </w:p>
        </w:tc>
        <w:tc>
          <w:tcPr>
            <w:tcW w:w="2105" w:type="dxa"/>
            <w:vAlign w:val="bottom"/>
          </w:tcPr>
          <w:p w14:paraId="752449F8"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271</w:t>
            </w:r>
          </w:p>
        </w:tc>
      </w:tr>
      <w:tr w:rsidR="00B20B02" w:rsidRPr="007668E1" w14:paraId="0EE922C8" w14:textId="77777777" w:rsidTr="00B20B02">
        <w:trPr>
          <w:trHeight w:val="300"/>
        </w:trPr>
        <w:tc>
          <w:tcPr>
            <w:tcW w:w="1635" w:type="dxa"/>
            <w:noWrap/>
            <w:vAlign w:val="bottom"/>
            <w:hideMark/>
          </w:tcPr>
          <w:p w14:paraId="28714E0C" w14:textId="77777777" w:rsidR="00B20B02" w:rsidRPr="007668E1" w:rsidRDefault="00B20B02" w:rsidP="006233FA">
            <w:pPr>
              <w:spacing w:after="0"/>
              <w:jc w:val="center"/>
              <w:rPr>
                <w:color w:val="000000"/>
                <w:sz w:val="20"/>
                <w:szCs w:val="20"/>
                <w:lang w:eastAsia="en-CA"/>
              </w:rPr>
            </w:pPr>
            <w:r w:rsidRPr="007668E1">
              <w:rPr>
                <w:color w:val="000000"/>
                <w:sz w:val="20"/>
                <w:szCs w:val="20"/>
                <w:lang w:eastAsia="en-CA"/>
              </w:rPr>
              <w:t>7</w:t>
            </w:r>
          </w:p>
        </w:tc>
        <w:tc>
          <w:tcPr>
            <w:tcW w:w="1950" w:type="dxa"/>
            <w:vAlign w:val="bottom"/>
          </w:tcPr>
          <w:p w14:paraId="1DCBF83B" w14:textId="77777777" w:rsidR="00B20B02" w:rsidRPr="007668E1" w:rsidRDefault="00B20B02" w:rsidP="006233FA">
            <w:pPr>
              <w:spacing w:after="0"/>
              <w:ind w:left="102"/>
              <w:jc w:val="center"/>
              <w:rPr>
                <w:color w:val="000000"/>
                <w:sz w:val="20"/>
                <w:szCs w:val="20"/>
                <w:lang w:eastAsia="en-CA"/>
              </w:rPr>
            </w:pPr>
            <w:r w:rsidRPr="007668E1">
              <w:rPr>
                <w:rFonts w:eastAsia="Aptos"/>
                <w:color w:val="000000"/>
                <w:sz w:val="20"/>
                <w:szCs w:val="20"/>
              </w:rPr>
              <w:t>520,000</w:t>
            </w:r>
          </w:p>
        </w:tc>
        <w:tc>
          <w:tcPr>
            <w:tcW w:w="1605" w:type="dxa"/>
            <w:vAlign w:val="bottom"/>
          </w:tcPr>
          <w:p w14:paraId="34FEA90E" w14:textId="77777777" w:rsidR="00B20B02" w:rsidRPr="007668E1" w:rsidRDefault="00B20B02" w:rsidP="006233FA">
            <w:pPr>
              <w:spacing w:after="0"/>
              <w:ind w:left="102"/>
              <w:jc w:val="right"/>
              <w:rPr>
                <w:color w:val="000000"/>
                <w:sz w:val="20"/>
                <w:szCs w:val="20"/>
                <w:lang w:eastAsia="en-CA"/>
              </w:rPr>
            </w:pPr>
            <w:r w:rsidRPr="007668E1">
              <w:rPr>
                <w:rFonts w:eastAsia="Aptos"/>
                <w:color w:val="000000"/>
                <w:sz w:val="20"/>
                <w:szCs w:val="20"/>
              </w:rPr>
              <w:t xml:space="preserve">325,000 </w:t>
            </w:r>
          </w:p>
        </w:tc>
        <w:tc>
          <w:tcPr>
            <w:tcW w:w="2055" w:type="dxa"/>
            <w:vAlign w:val="bottom"/>
          </w:tcPr>
          <w:p w14:paraId="28A84BB7"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 xml:space="preserve">                  845,000 </w:t>
            </w:r>
          </w:p>
        </w:tc>
        <w:tc>
          <w:tcPr>
            <w:tcW w:w="2105" w:type="dxa"/>
            <w:vAlign w:val="bottom"/>
          </w:tcPr>
          <w:p w14:paraId="5B6D65D9"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260</w:t>
            </w:r>
          </w:p>
        </w:tc>
      </w:tr>
      <w:tr w:rsidR="00B20B02" w:rsidRPr="007668E1" w14:paraId="4D136383" w14:textId="77777777" w:rsidTr="00B20B02">
        <w:trPr>
          <w:trHeight w:val="288"/>
        </w:trPr>
        <w:tc>
          <w:tcPr>
            <w:tcW w:w="1635" w:type="dxa"/>
            <w:noWrap/>
            <w:vAlign w:val="bottom"/>
            <w:hideMark/>
          </w:tcPr>
          <w:p w14:paraId="20E80A2E" w14:textId="77777777" w:rsidR="00B20B02" w:rsidRPr="007668E1" w:rsidRDefault="00B20B02" w:rsidP="006233FA">
            <w:pPr>
              <w:spacing w:after="0"/>
              <w:jc w:val="center"/>
              <w:rPr>
                <w:color w:val="000000"/>
                <w:sz w:val="20"/>
                <w:szCs w:val="20"/>
                <w:lang w:eastAsia="en-CA"/>
              </w:rPr>
            </w:pPr>
            <w:r w:rsidRPr="007668E1">
              <w:rPr>
                <w:color w:val="000000"/>
                <w:sz w:val="20"/>
                <w:szCs w:val="20"/>
                <w:lang w:eastAsia="en-CA"/>
              </w:rPr>
              <w:t>8</w:t>
            </w:r>
          </w:p>
        </w:tc>
        <w:tc>
          <w:tcPr>
            <w:tcW w:w="1950" w:type="dxa"/>
            <w:vAlign w:val="bottom"/>
          </w:tcPr>
          <w:p w14:paraId="00DB510B" w14:textId="77777777" w:rsidR="00B20B02" w:rsidRPr="007668E1" w:rsidRDefault="00B20B02" w:rsidP="006233FA">
            <w:pPr>
              <w:spacing w:after="0"/>
              <w:ind w:left="102"/>
              <w:jc w:val="center"/>
              <w:rPr>
                <w:color w:val="000000"/>
                <w:sz w:val="20"/>
                <w:szCs w:val="20"/>
                <w:lang w:eastAsia="en-CA"/>
              </w:rPr>
            </w:pPr>
            <w:r w:rsidRPr="007668E1">
              <w:rPr>
                <w:rFonts w:eastAsia="Aptos"/>
                <w:color w:val="000000"/>
                <w:sz w:val="20"/>
                <w:szCs w:val="20"/>
              </w:rPr>
              <w:t>585,000</w:t>
            </w:r>
          </w:p>
        </w:tc>
        <w:tc>
          <w:tcPr>
            <w:tcW w:w="1605" w:type="dxa"/>
            <w:vAlign w:val="bottom"/>
          </w:tcPr>
          <w:p w14:paraId="78C0CDA9" w14:textId="77777777" w:rsidR="00B20B02" w:rsidRPr="007668E1" w:rsidRDefault="00B20B02" w:rsidP="006233FA">
            <w:pPr>
              <w:spacing w:after="0"/>
              <w:ind w:left="102"/>
              <w:jc w:val="right"/>
              <w:rPr>
                <w:color w:val="000000"/>
                <w:sz w:val="20"/>
                <w:szCs w:val="20"/>
                <w:lang w:eastAsia="en-CA"/>
              </w:rPr>
            </w:pPr>
            <w:r w:rsidRPr="007668E1">
              <w:rPr>
                <w:rFonts w:eastAsia="Aptos"/>
                <w:color w:val="000000"/>
                <w:sz w:val="20"/>
                <w:szCs w:val="20"/>
              </w:rPr>
              <w:t xml:space="preserve">360,000 </w:t>
            </w:r>
          </w:p>
        </w:tc>
        <w:tc>
          <w:tcPr>
            <w:tcW w:w="2055" w:type="dxa"/>
            <w:vAlign w:val="bottom"/>
          </w:tcPr>
          <w:p w14:paraId="179ED538"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 xml:space="preserve">                  945,000 </w:t>
            </w:r>
          </w:p>
        </w:tc>
        <w:tc>
          <w:tcPr>
            <w:tcW w:w="2105" w:type="dxa"/>
            <w:vAlign w:val="bottom"/>
          </w:tcPr>
          <w:p w14:paraId="436677EC" w14:textId="77777777" w:rsidR="00B20B02" w:rsidRPr="007668E1" w:rsidRDefault="00B20B02" w:rsidP="006233FA">
            <w:pPr>
              <w:spacing w:after="0" w:line="259" w:lineRule="auto"/>
              <w:jc w:val="right"/>
              <w:rPr>
                <w:rFonts w:eastAsia="Aptos"/>
                <w:color w:val="000000"/>
                <w:sz w:val="20"/>
                <w:szCs w:val="20"/>
              </w:rPr>
            </w:pPr>
            <w:r w:rsidRPr="007668E1">
              <w:rPr>
                <w:rFonts w:eastAsia="Aptos"/>
                <w:color w:val="000000"/>
                <w:sz w:val="20"/>
                <w:szCs w:val="20"/>
              </w:rPr>
              <w:t>263</w:t>
            </w:r>
          </w:p>
        </w:tc>
      </w:tr>
      <w:tr w:rsidR="00B20B02" w:rsidRPr="007668E1" w14:paraId="454F57B7" w14:textId="77777777" w:rsidTr="00B20B02">
        <w:trPr>
          <w:trHeight w:val="288"/>
        </w:trPr>
        <w:tc>
          <w:tcPr>
            <w:tcW w:w="7245" w:type="dxa"/>
            <w:gridSpan w:val="4"/>
            <w:noWrap/>
            <w:vAlign w:val="bottom"/>
          </w:tcPr>
          <w:p w14:paraId="7BDD7D11" w14:textId="77777777" w:rsidR="00B20B02" w:rsidRPr="007668E1" w:rsidRDefault="00B20B02" w:rsidP="006233FA">
            <w:pPr>
              <w:spacing w:after="0" w:line="259" w:lineRule="auto"/>
              <w:jc w:val="right"/>
              <w:rPr>
                <w:rFonts w:eastAsia="Aptos"/>
                <w:b/>
                <w:color w:val="000000"/>
                <w:sz w:val="20"/>
                <w:szCs w:val="20"/>
              </w:rPr>
            </w:pPr>
            <w:r w:rsidRPr="007668E1">
              <w:rPr>
                <w:rFonts w:eastAsia="Aptos"/>
                <w:b/>
                <w:color w:val="000000"/>
                <w:sz w:val="20"/>
                <w:szCs w:val="20"/>
              </w:rPr>
              <w:t>Average of combined funding compared to KIP-I in %</w:t>
            </w:r>
          </w:p>
        </w:tc>
        <w:tc>
          <w:tcPr>
            <w:tcW w:w="2105" w:type="dxa"/>
            <w:vAlign w:val="bottom"/>
          </w:tcPr>
          <w:p w14:paraId="7B13E544" w14:textId="77777777" w:rsidR="00B20B02" w:rsidRPr="007668E1" w:rsidRDefault="00B20B02" w:rsidP="006233FA">
            <w:pPr>
              <w:spacing w:after="0" w:line="259" w:lineRule="auto"/>
              <w:jc w:val="right"/>
              <w:rPr>
                <w:rFonts w:eastAsia="Aptos"/>
                <w:b/>
                <w:color w:val="000000"/>
                <w:sz w:val="20"/>
                <w:szCs w:val="20"/>
              </w:rPr>
            </w:pPr>
            <w:r w:rsidRPr="007668E1">
              <w:rPr>
                <w:rFonts w:eastAsia="Aptos"/>
                <w:b/>
                <w:color w:val="000000"/>
                <w:sz w:val="20"/>
                <w:szCs w:val="20"/>
              </w:rPr>
              <w:t>264</w:t>
            </w:r>
          </w:p>
        </w:tc>
      </w:tr>
    </w:tbl>
    <w:p w14:paraId="39D15E05" w14:textId="77777777" w:rsidR="00401D05" w:rsidRPr="007668E1" w:rsidRDefault="00401D05" w:rsidP="00401D05">
      <w:pPr>
        <w:spacing w:after="160" w:line="259" w:lineRule="auto"/>
        <w:rPr>
          <w:rFonts w:eastAsia="Aptos"/>
          <w:color w:val="000000"/>
        </w:rPr>
      </w:pPr>
    </w:p>
    <w:p w14:paraId="76EA6803" w14:textId="4BF146F4" w:rsidR="001A7BD1" w:rsidRPr="007668E1" w:rsidRDefault="001A7BD1" w:rsidP="001A7BD1">
      <w:pPr>
        <w:spacing w:after="160" w:line="259" w:lineRule="auto"/>
        <w:rPr>
          <w:rFonts w:eastAsia="Aptos"/>
          <w:color w:val="000000"/>
        </w:rPr>
      </w:pPr>
      <w:r w:rsidRPr="007668E1">
        <w:rPr>
          <w:rFonts w:eastAsia="Aptos"/>
          <w:color w:val="000000"/>
        </w:rPr>
        <w:t xml:space="preserve">The conclusion from </w:t>
      </w:r>
      <w:r w:rsidR="004636A5">
        <w:rPr>
          <w:rFonts w:eastAsia="Aptos"/>
          <w:color w:val="000000"/>
        </w:rPr>
        <w:t xml:space="preserve">Table 6.7 </w:t>
      </w:r>
      <w:r w:rsidRPr="007668E1">
        <w:rPr>
          <w:rFonts w:eastAsia="Aptos"/>
          <w:color w:val="000000"/>
        </w:rPr>
        <w:t xml:space="preserve">is that between 2025 and 2030, the funds needed to phase out HCFCs and transition to alternatives other than HFC while also reducing HFC baseline by 10 per cent, LVCs and VLVCs would be receiving funds that are on average </w:t>
      </w:r>
      <w:r w:rsidRPr="007668E1">
        <w:rPr>
          <w:rFonts w:eastAsia="Aptos"/>
          <w:b/>
          <w:color w:val="000000"/>
        </w:rPr>
        <w:t>2.64 times higher</w:t>
      </w:r>
      <w:r w:rsidRPr="007668E1">
        <w:rPr>
          <w:rFonts w:eastAsia="Aptos"/>
          <w:color w:val="000000"/>
        </w:rPr>
        <w:t xml:space="preserve"> than KIP-I funding</w:t>
      </w:r>
    </w:p>
    <w:p w14:paraId="6113F25D" w14:textId="77777777" w:rsidR="00437A0F" w:rsidRDefault="274D2446" w:rsidP="001A7BD1">
      <w:pPr>
        <w:spacing w:after="160" w:line="259" w:lineRule="auto"/>
        <w:rPr>
          <w:rFonts w:eastAsia="Aptos"/>
          <w:color w:val="000000"/>
        </w:rPr>
      </w:pPr>
      <w:r w:rsidRPr="274D2446">
        <w:rPr>
          <w:rFonts w:eastAsia="Aptos"/>
        </w:rPr>
        <w:t xml:space="preserve">For the next five years until 2035, and assuming that for KIP </w:t>
      </w:r>
      <w:r w:rsidR="00154D41">
        <w:rPr>
          <w:rFonts w:eastAsia="Aptos"/>
        </w:rPr>
        <w:t>Stage</w:t>
      </w:r>
      <w:r w:rsidRPr="274D2446">
        <w:rPr>
          <w:rFonts w:eastAsia="Aptos"/>
        </w:rPr>
        <w:t xml:space="preserve"> II to reach 30 per cent reduction is funded at the same rate as KIP </w:t>
      </w:r>
      <w:r w:rsidR="00154D41">
        <w:rPr>
          <w:rFonts w:eastAsia="Aptos"/>
        </w:rPr>
        <w:t>Stage</w:t>
      </w:r>
      <w:r w:rsidRPr="274D2446">
        <w:rPr>
          <w:rFonts w:eastAsia="Aptos"/>
        </w:rPr>
        <w:t xml:space="preserve"> I, then the guidelines funds for that stage would be double the amounts for </w:t>
      </w:r>
      <w:r w:rsidR="00154D41">
        <w:rPr>
          <w:rFonts w:eastAsia="Aptos"/>
        </w:rPr>
        <w:t>Stage</w:t>
      </w:r>
      <w:r w:rsidRPr="274D2446">
        <w:rPr>
          <w:rFonts w:eastAsia="Aptos"/>
        </w:rPr>
        <w:t xml:space="preserve"> I in order to achieve the 20 per cent additional reduction. At this level of funding the amounts will fall below what is available to countries in the years up to 2030. With HCFCs phased out, it would be harder for LVCs and VLVCs to transition away from HFCs if they do not have sufficient funds to cover the two challenges of fixed-cost system building activities and providing sufficient training to transition to flammable refrigerants.</w:t>
      </w:r>
    </w:p>
    <w:p w14:paraId="738FD607" w14:textId="628743E9" w:rsidR="001A7BD1" w:rsidRPr="007668E1" w:rsidRDefault="000B4E78" w:rsidP="001A7BD1">
      <w:pPr>
        <w:spacing w:after="160" w:line="259" w:lineRule="auto"/>
        <w:rPr>
          <w:rFonts w:eastAsia="Aptos"/>
          <w:color w:val="000000"/>
        </w:rPr>
      </w:pPr>
      <w:r>
        <w:rPr>
          <w:rFonts w:eastAsia="Aptos"/>
          <w:color w:val="000000"/>
        </w:rPr>
        <w:lastRenderedPageBreak/>
        <w:t xml:space="preserve">Table 6.8 </w:t>
      </w:r>
      <w:r w:rsidR="001A7BD1" w:rsidRPr="001A7BD1">
        <w:rPr>
          <w:rFonts w:eastAsia="Aptos"/>
          <w:color w:val="000000"/>
        </w:rPr>
        <w:t xml:space="preserve">below is an example of funding for </w:t>
      </w:r>
      <w:r w:rsidR="00154D41">
        <w:rPr>
          <w:rFonts w:eastAsia="Aptos"/>
          <w:color w:val="000000"/>
        </w:rPr>
        <w:t>Stage</w:t>
      </w:r>
      <w:r w:rsidR="001A7BD1" w:rsidRPr="001A7BD1">
        <w:rPr>
          <w:rFonts w:eastAsia="Aptos"/>
          <w:color w:val="000000"/>
        </w:rPr>
        <w:t xml:space="preserve"> II to meet the needs of LVCs while correcting the lowest two categories to account for the challenges mentioned in the previous sections. </w:t>
      </w:r>
    </w:p>
    <w:p w14:paraId="17755CE4" w14:textId="583D9A63" w:rsidR="001A7BD1" w:rsidRDefault="001A7BD1" w:rsidP="002135B0">
      <w:pPr>
        <w:tabs>
          <w:tab w:val="left" w:pos="1134"/>
        </w:tabs>
        <w:spacing w:after="0"/>
        <w:ind w:left="1412" w:hanging="1412"/>
        <w:rPr>
          <w:rFonts w:eastAsia="Aptos"/>
          <w:b/>
          <w:bCs/>
          <w:color w:val="0E2841"/>
          <w:lang w:val="en-US"/>
        </w:rPr>
      </w:pPr>
      <w:r w:rsidRPr="00E42C5E">
        <w:rPr>
          <w:rFonts w:eastAsiaTheme="minorHAnsi"/>
          <w:b/>
          <w:bCs/>
        </w:rPr>
        <w:t xml:space="preserve">Table </w:t>
      </w:r>
      <w:r>
        <w:rPr>
          <w:rFonts w:eastAsiaTheme="minorHAnsi"/>
          <w:b/>
          <w:bCs/>
        </w:rPr>
        <w:t>6.8</w:t>
      </w:r>
      <w:r w:rsidR="005D589F">
        <w:rPr>
          <w:rFonts w:eastAsiaTheme="minorHAnsi"/>
          <w:b/>
          <w:bCs/>
        </w:rPr>
        <w:t>:</w:t>
      </w:r>
      <w:r w:rsidRPr="00E42C5E">
        <w:rPr>
          <w:rFonts w:eastAsiaTheme="minorHAnsi"/>
          <w:b/>
          <w:bCs/>
        </w:rPr>
        <w:tab/>
      </w:r>
      <w:r w:rsidR="0094442B" w:rsidRPr="0094442B">
        <w:rPr>
          <w:rFonts w:eastAsia="Aptos"/>
          <w:b/>
          <w:bCs/>
          <w:color w:val="0E2841"/>
          <w:lang w:val="en-US"/>
        </w:rPr>
        <w:t>An example of funding</w:t>
      </w:r>
      <w:r w:rsidR="0094442B" w:rsidRPr="007668E1">
        <w:rPr>
          <w:rFonts w:eastAsia="Aptos"/>
          <w:b/>
          <w:bCs/>
          <w:color w:val="0E2841"/>
          <w:lang w:val="en-US"/>
        </w:rPr>
        <w:t xml:space="preserve"> for KIP </w:t>
      </w:r>
      <w:r w:rsidR="00154D41">
        <w:rPr>
          <w:rFonts w:eastAsia="Aptos"/>
          <w:b/>
          <w:bCs/>
          <w:color w:val="0E2841"/>
          <w:lang w:val="en-US"/>
        </w:rPr>
        <w:t>Stage</w:t>
      </w:r>
      <w:r w:rsidR="0094442B" w:rsidRPr="007668E1">
        <w:rPr>
          <w:rFonts w:eastAsia="Aptos"/>
          <w:b/>
          <w:bCs/>
          <w:color w:val="0E2841"/>
          <w:lang w:val="en-US"/>
        </w:rPr>
        <w:t xml:space="preserve"> II by bracket </w:t>
      </w:r>
      <w:r w:rsidR="0094442B">
        <w:rPr>
          <w:rFonts w:eastAsia="Aptos"/>
          <w:b/>
          <w:bCs/>
          <w:color w:val="0E2841"/>
          <w:lang w:val="en-US"/>
        </w:rPr>
        <w:t>(</w:t>
      </w:r>
      <w:r w:rsidR="0094442B" w:rsidRPr="007668E1">
        <w:rPr>
          <w:rFonts w:eastAsia="Aptos"/>
          <w:b/>
          <w:bCs/>
          <w:color w:val="0E2841"/>
          <w:lang w:val="en-US"/>
        </w:rPr>
        <w:t>US$</w:t>
      </w:r>
      <w:r w:rsidR="0094442B">
        <w:rPr>
          <w:rFonts w:eastAsia="Aptos"/>
          <w:b/>
          <w:bCs/>
          <w:color w:val="0E2841"/>
          <w:lang w:val="en-US"/>
        </w:rPr>
        <w:t>)</w:t>
      </w:r>
    </w:p>
    <w:p w14:paraId="64A9805F" w14:textId="77777777" w:rsidR="0094442B" w:rsidRDefault="0094442B" w:rsidP="001A7BD1">
      <w:pPr>
        <w:tabs>
          <w:tab w:val="left" w:pos="1418"/>
        </w:tabs>
        <w:spacing w:after="0"/>
        <w:ind w:left="1411" w:hanging="1411"/>
        <w:rPr>
          <w:rFonts w:eastAsia="Aptos"/>
          <w:b/>
          <w:bCs/>
          <w:color w:val="0E2841"/>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2644"/>
        <w:gridCol w:w="2468"/>
        <w:gridCol w:w="2820"/>
      </w:tblGrid>
      <w:tr w:rsidR="00C819EE" w:rsidRPr="007668E1" w14:paraId="7A78BE1A" w14:textId="77777777" w:rsidTr="002135B0">
        <w:trPr>
          <w:trHeight w:val="332"/>
          <w:tblHeader/>
        </w:trPr>
        <w:tc>
          <w:tcPr>
            <w:tcW w:w="629" w:type="pct"/>
            <w:shd w:val="clear" w:color="auto" w:fill="F2F2F2" w:themeFill="background1" w:themeFillShade="F2"/>
            <w:noWrap/>
            <w:vAlign w:val="center"/>
            <w:hideMark/>
          </w:tcPr>
          <w:p w14:paraId="787AA2E3" w14:textId="77777777" w:rsidR="00C819EE" w:rsidRPr="007668E1" w:rsidRDefault="00C819EE" w:rsidP="002135B0">
            <w:pPr>
              <w:spacing w:after="0"/>
              <w:jc w:val="center"/>
              <w:rPr>
                <w:b/>
                <w:color w:val="000000"/>
                <w:sz w:val="20"/>
                <w:szCs w:val="20"/>
                <w:lang w:eastAsia="en-CA"/>
              </w:rPr>
            </w:pPr>
            <w:r w:rsidRPr="007668E1">
              <w:rPr>
                <w:b/>
                <w:color w:val="000000"/>
                <w:sz w:val="20"/>
                <w:szCs w:val="20"/>
                <w:lang w:eastAsia="en-CA"/>
              </w:rPr>
              <w:t>Category</w:t>
            </w:r>
          </w:p>
        </w:tc>
        <w:tc>
          <w:tcPr>
            <w:tcW w:w="1457" w:type="pct"/>
            <w:shd w:val="clear" w:color="auto" w:fill="F2F2F2" w:themeFill="background1" w:themeFillShade="F2"/>
            <w:vAlign w:val="center"/>
            <w:hideMark/>
          </w:tcPr>
          <w:p w14:paraId="13C7DF0B" w14:textId="77777777" w:rsidR="00C819EE" w:rsidRPr="007668E1" w:rsidRDefault="00C819EE" w:rsidP="005D589F">
            <w:pPr>
              <w:spacing w:after="0"/>
              <w:jc w:val="center"/>
              <w:rPr>
                <w:b/>
                <w:color w:val="000000"/>
                <w:sz w:val="20"/>
                <w:szCs w:val="20"/>
                <w:lang w:eastAsia="en-CA"/>
              </w:rPr>
            </w:pPr>
            <w:r w:rsidRPr="007668E1">
              <w:rPr>
                <w:b/>
                <w:color w:val="000000"/>
                <w:sz w:val="20"/>
                <w:szCs w:val="20"/>
                <w:lang w:eastAsia="en-CA"/>
              </w:rPr>
              <w:t>KIP-II at double KIP-I</w:t>
            </w:r>
          </w:p>
        </w:tc>
        <w:tc>
          <w:tcPr>
            <w:tcW w:w="1360" w:type="pct"/>
            <w:shd w:val="clear" w:color="auto" w:fill="F2F2F2" w:themeFill="background1" w:themeFillShade="F2"/>
            <w:vAlign w:val="center"/>
          </w:tcPr>
          <w:p w14:paraId="75C47725" w14:textId="77777777" w:rsidR="00C819EE" w:rsidRPr="007668E1" w:rsidRDefault="00C819EE" w:rsidP="005D589F">
            <w:pPr>
              <w:spacing w:after="0"/>
              <w:jc w:val="center"/>
              <w:rPr>
                <w:b/>
                <w:color w:val="000000"/>
                <w:sz w:val="20"/>
                <w:szCs w:val="20"/>
                <w:lang w:eastAsia="en-CA"/>
              </w:rPr>
            </w:pPr>
            <w:r w:rsidRPr="007668E1">
              <w:rPr>
                <w:rFonts w:eastAsia="Aptos"/>
                <w:b/>
                <w:color w:val="000000"/>
                <w:sz w:val="20"/>
                <w:szCs w:val="20"/>
              </w:rPr>
              <w:t>KIP-II at combined KIP-I + HPMP-III</w:t>
            </w:r>
          </w:p>
        </w:tc>
        <w:tc>
          <w:tcPr>
            <w:tcW w:w="1554" w:type="pct"/>
            <w:shd w:val="clear" w:color="auto" w:fill="F2F2F2" w:themeFill="background1" w:themeFillShade="F2"/>
            <w:vAlign w:val="center"/>
          </w:tcPr>
          <w:p w14:paraId="0D1BB198" w14:textId="247332BA" w:rsidR="00C819EE" w:rsidRPr="007668E1" w:rsidRDefault="274D2446" w:rsidP="005D589F">
            <w:pPr>
              <w:spacing w:after="0"/>
              <w:jc w:val="center"/>
              <w:rPr>
                <w:rFonts w:eastAsia="Aptos"/>
                <w:b/>
                <w:bCs/>
                <w:color w:val="000000"/>
                <w:sz w:val="20"/>
                <w:szCs w:val="20"/>
              </w:rPr>
            </w:pPr>
            <w:r w:rsidRPr="274D2446">
              <w:rPr>
                <w:rFonts w:eastAsia="Aptos"/>
                <w:b/>
                <w:bCs/>
                <w:sz w:val="20"/>
                <w:szCs w:val="20"/>
              </w:rPr>
              <w:t>Example funding corrected for first 2 brackets</w:t>
            </w:r>
          </w:p>
        </w:tc>
      </w:tr>
      <w:tr w:rsidR="00C819EE" w:rsidRPr="007668E1" w14:paraId="324C78EB" w14:textId="77777777" w:rsidTr="002135B0">
        <w:trPr>
          <w:trHeight w:val="300"/>
        </w:trPr>
        <w:tc>
          <w:tcPr>
            <w:tcW w:w="629" w:type="pct"/>
            <w:noWrap/>
            <w:vAlign w:val="center"/>
            <w:hideMark/>
          </w:tcPr>
          <w:p w14:paraId="0521D9E5" w14:textId="77777777" w:rsidR="00C819EE" w:rsidRPr="007668E1" w:rsidRDefault="00C819EE" w:rsidP="005D589F">
            <w:pPr>
              <w:spacing w:after="0"/>
              <w:jc w:val="center"/>
              <w:rPr>
                <w:color w:val="000000"/>
                <w:sz w:val="20"/>
                <w:szCs w:val="20"/>
                <w:lang w:eastAsia="en-CA"/>
              </w:rPr>
            </w:pPr>
            <w:r w:rsidRPr="007668E1">
              <w:rPr>
                <w:color w:val="000000"/>
                <w:sz w:val="20"/>
                <w:szCs w:val="20"/>
                <w:lang w:eastAsia="en-CA"/>
              </w:rPr>
              <w:t>1</w:t>
            </w:r>
          </w:p>
        </w:tc>
        <w:tc>
          <w:tcPr>
            <w:tcW w:w="1457" w:type="pct"/>
            <w:vAlign w:val="center"/>
          </w:tcPr>
          <w:p w14:paraId="7EB0CFC6" w14:textId="0C01D36A" w:rsidR="00C819EE" w:rsidRPr="007668E1" w:rsidRDefault="00C819EE" w:rsidP="00580204">
            <w:pPr>
              <w:spacing w:after="0"/>
              <w:ind w:left="102"/>
              <w:jc w:val="right"/>
              <w:rPr>
                <w:color w:val="000000"/>
                <w:sz w:val="20"/>
                <w:szCs w:val="20"/>
                <w:lang w:eastAsia="en-CA"/>
              </w:rPr>
            </w:pPr>
            <w:r w:rsidRPr="007668E1">
              <w:rPr>
                <w:rFonts w:ascii="Calibri" w:eastAsia="Aptos" w:hAnsi="Calibri" w:cs="Aptos"/>
                <w:color w:val="000000"/>
                <w:sz w:val="20"/>
                <w:szCs w:val="20"/>
              </w:rPr>
              <w:t>270,000</w:t>
            </w:r>
          </w:p>
        </w:tc>
        <w:tc>
          <w:tcPr>
            <w:tcW w:w="1360" w:type="pct"/>
            <w:vAlign w:val="center"/>
          </w:tcPr>
          <w:p w14:paraId="601FD7DD" w14:textId="69101CE0" w:rsidR="00C819EE" w:rsidRPr="007668E1" w:rsidRDefault="00C819EE" w:rsidP="00580204">
            <w:pPr>
              <w:spacing w:after="0"/>
              <w:ind w:left="102"/>
              <w:jc w:val="right"/>
              <w:rPr>
                <w:color w:val="000000"/>
                <w:sz w:val="20"/>
                <w:szCs w:val="20"/>
                <w:lang w:eastAsia="en-CA"/>
              </w:rPr>
            </w:pPr>
            <w:r w:rsidRPr="007668E1">
              <w:rPr>
                <w:rFonts w:eastAsia="Aptos"/>
                <w:color w:val="000000"/>
                <w:sz w:val="20"/>
                <w:szCs w:val="20"/>
              </w:rPr>
              <w:t>325,500</w:t>
            </w:r>
          </w:p>
        </w:tc>
        <w:tc>
          <w:tcPr>
            <w:tcW w:w="1554" w:type="pct"/>
            <w:vAlign w:val="center"/>
          </w:tcPr>
          <w:p w14:paraId="40A919B8" w14:textId="77777777" w:rsidR="00C819EE" w:rsidRPr="007668E1" w:rsidRDefault="00C819EE" w:rsidP="00580204">
            <w:pPr>
              <w:spacing w:after="0"/>
              <w:jc w:val="right"/>
              <w:rPr>
                <w:rFonts w:eastAsia="Aptos"/>
                <w:color w:val="000000"/>
                <w:sz w:val="20"/>
                <w:szCs w:val="20"/>
              </w:rPr>
            </w:pPr>
            <w:r w:rsidRPr="007668E1">
              <w:rPr>
                <w:rFonts w:eastAsia="Aptos"/>
                <w:color w:val="000000"/>
                <w:sz w:val="20"/>
                <w:szCs w:val="20"/>
              </w:rPr>
              <w:t>418,000</w:t>
            </w:r>
          </w:p>
        </w:tc>
      </w:tr>
      <w:tr w:rsidR="00C819EE" w:rsidRPr="007668E1" w14:paraId="1AA1F3F7" w14:textId="77777777" w:rsidTr="002135B0">
        <w:trPr>
          <w:trHeight w:val="300"/>
        </w:trPr>
        <w:tc>
          <w:tcPr>
            <w:tcW w:w="629" w:type="pct"/>
            <w:noWrap/>
            <w:vAlign w:val="center"/>
            <w:hideMark/>
          </w:tcPr>
          <w:p w14:paraId="3AC79761" w14:textId="77777777" w:rsidR="00C819EE" w:rsidRPr="007668E1" w:rsidRDefault="00C819EE" w:rsidP="005D589F">
            <w:pPr>
              <w:spacing w:after="0"/>
              <w:jc w:val="center"/>
              <w:rPr>
                <w:color w:val="000000"/>
                <w:sz w:val="20"/>
                <w:szCs w:val="20"/>
                <w:lang w:eastAsia="en-CA"/>
              </w:rPr>
            </w:pPr>
            <w:r w:rsidRPr="007668E1">
              <w:rPr>
                <w:color w:val="000000"/>
                <w:sz w:val="20"/>
                <w:szCs w:val="20"/>
                <w:lang w:eastAsia="en-CA"/>
              </w:rPr>
              <w:t>2</w:t>
            </w:r>
          </w:p>
        </w:tc>
        <w:tc>
          <w:tcPr>
            <w:tcW w:w="1457" w:type="pct"/>
            <w:vAlign w:val="center"/>
          </w:tcPr>
          <w:p w14:paraId="16072D12" w14:textId="29C35580" w:rsidR="00C819EE" w:rsidRPr="007668E1" w:rsidRDefault="00C819EE" w:rsidP="00580204">
            <w:pPr>
              <w:spacing w:after="0"/>
              <w:ind w:left="102"/>
              <w:jc w:val="right"/>
              <w:rPr>
                <w:color w:val="000000"/>
                <w:sz w:val="20"/>
                <w:szCs w:val="20"/>
                <w:lang w:eastAsia="en-CA"/>
              </w:rPr>
            </w:pPr>
            <w:r w:rsidRPr="007668E1">
              <w:rPr>
                <w:rFonts w:ascii="Calibri" w:eastAsia="Aptos" w:hAnsi="Calibri" w:cs="Aptos"/>
                <w:color w:val="000000"/>
                <w:sz w:val="20"/>
                <w:szCs w:val="20"/>
              </w:rPr>
              <w:t>290,000</w:t>
            </w:r>
          </w:p>
        </w:tc>
        <w:tc>
          <w:tcPr>
            <w:tcW w:w="1360" w:type="pct"/>
            <w:vAlign w:val="center"/>
          </w:tcPr>
          <w:p w14:paraId="2C58D44C" w14:textId="211CEB03" w:rsidR="00C819EE" w:rsidRPr="007668E1" w:rsidRDefault="00C819EE" w:rsidP="00580204">
            <w:pPr>
              <w:spacing w:after="0"/>
              <w:ind w:left="102"/>
              <w:jc w:val="right"/>
              <w:rPr>
                <w:color w:val="000000"/>
                <w:sz w:val="20"/>
                <w:szCs w:val="20"/>
                <w:lang w:eastAsia="en-CA"/>
              </w:rPr>
            </w:pPr>
            <w:r w:rsidRPr="007668E1">
              <w:rPr>
                <w:rFonts w:eastAsia="Aptos"/>
                <w:color w:val="000000"/>
                <w:sz w:val="20"/>
                <w:szCs w:val="20"/>
              </w:rPr>
              <w:t>388,750</w:t>
            </w:r>
          </w:p>
        </w:tc>
        <w:tc>
          <w:tcPr>
            <w:tcW w:w="1554" w:type="pct"/>
            <w:vAlign w:val="center"/>
          </w:tcPr>
          <w:p w14:paraId="66D52965" w14:textId="77777777" w:rsidR="00C819EE" w:rsidRPr="007668E1" w:rsidRDefault="00C819EE" w:rsidP="00580204">
            <w:pPr>
              <w:spacing w:after="0"/>
              <w:jc w:val="right"/>
              <w:rPr>
                <w:rFonts w:eastAsia="Aptos"/>
                <w:color w:val="000000"/>
                <w:sz w:val="20"/>
                <w:szCs w:val="20"/>
              </w:rPr>
            </w:pPr>
            <w:r w:rsidRPr="007668E1">
              <w:rPr>
                <w:rFonts w:eastAsia="Aptos"/>
                <w:color w:val="000000"/>
                <w:sz w:val="20"/>
                <w:szCs w:val="20"/>
              </w:rPr>
              <w:t>418,000</w:t>
            </w:r>
          </w:p>
        </w:tc>
      </w:tr>
      <w:tr w:rsidR="00C819EE" w:rsidRPr="007668E1" w14:paraId="4B8DEAE5" w14:textId="77777777" w:rsidTr="002135B0">
        <w:trPr>
          <w:trHeight w:val="300"/>
        </w:trPr>
        <w:tc>
          <w:tcPr>
            <w:tcW w:w="629" w:type="pct"/>
            <w:noWrap/>
            <w:vAlign w:val="center"/>
            <w:hideMark/>
          </w:tcPr>
          <w:p w14:paraId="52191043" w14:textId="77777777" w:rsidR="00C819EE" w:rsidRPr="007668E1" w:rsidRDefault="00C819EE" w:rsidP="005D589F">
            <w:pPr>
              <w:spacing w:after="0"/>
              <w:jc w:val="center"/>
              <w:rPr>
                <w:color w:val="000000"/>
                <w:sz w:val="20"/>
                <w:szCs w:val="20"/>
                <w:lang w:eastAsia="en-CA"/>
              </w:rPr>
            </w:pPr>
            <w:r w:rsidRPr="007668E1">
              <w:rPr>
                <w:color w:val="000000"/>
                <w:sz w:val="20"/>
                <w:szCs w:val="20"/>
                <w:lang w:eastAsia="en-CA"/>
              </w:rPr>
              <w:t>3</w:t>
            </w:r>
          </w:p>
        </w:tc>
        <w:tc>
          <w:tcPr>
            <w:tcW w:w="1457" w:type="pct"/>
            <w:vAlign w:val="center"/>
          </w:tcPr>
          <w:p w14:paraId="2691C9C3" w14:textId="15F3C179" w:rsidR="00C819EE" w:rsidRPr="007668E1" w:rsidRDefault="00C819EE" w:rsidP="00580204">
            <w:pPr>
              <w:spacing w:after="0"/>
              <w:ind w:left="102"/>
              <w:jc w:val="right"/>
              <w:rPr>
                <w:color w:val="000000"/>
                <w:sz w:val="20"/>
                <w:szCs w:val="20"/>
                <w:lang w:eastAsia="en-CA"/>
              </w:rPr>
            </w:pPr>
            <w:r w:rsidRPr="007668E1">
              <w:rPr>
                <w:rFonts w:ascii="Calibri" w:eastAsia="Aptos" w:hAnsi="Calibri" w:cs="Aptos"/>
                <w:color w:val="000000"/>
                <w:sz w:val="20"/>
                <w:szCs w:val="20"/>
              </w:rPr>
              <w:t>316,000</w:t>
            </w:r>
          </w:p>
        </w:tc>
        <w:tc>
          <w:tcPr>
            <w:tcW w:w="1360" w:type="pct"/>
            <w:vAlign w:val="center"/>
          </w:tcPr>
          <w:p w14:paraId="41F5F523" w14:textId="3B440D2F" w:rsidR="00C819EE" w:rsidRPr="007668E1" w:rsidRDefault="00C819EE" w:rsidP="00580204">
            <w:pPr>
              <w:spacing w:after="0"/>
              <w:ind w:left="102"/>
              <w:jc w:val="right"/>
              <w:rPr>
                <w:color w:val="000000"/>
                <w:sz w:val="20"/>
                <w:szCs w:val="20"/>
                <w:lang w:eastAsia="en-CA"/>
              </w:rPr>
            </w:pPr>
            <w:r w:rsidRPr="007668E1">
              <w:rPr>
                <w:rFonts w:eastAsia="Aptos"/>
                <w:color w:val="000000"/>
                <w:sz w:val="20"/>
                <w:szCs w:val="20"/>
              </w:rPr>
              <w:t>418,000</w:t>
            </w:r>
          </w:p>
        </w:tc>
        <w:tc>
          <w:tcPr>
            <w:tcW w:w="1554" w:type="pct"/>
            <w:vAlign w:val="center"/>
          </w:tcPr>
          <w:p w14:paraId="13CA1B81" w14:textId="5E6B6A20" w:rsidR="00C819EE" w:rsidRPr="007668E1" w:rsidRDefault="00C819EE" w:rsidP="00580204">
            <w:pPr>
              <w:spacing w:after="0"/>
              <w:jc w:val="right"/>
              <w:rPr>
                <w:rFonts w:eastAsia="Aptos"/>
                <w:b/>
                <w:color w:val="000000"/>
                <w:sz w:val="20"/>
                <w:szCs w:val="20"/>
              </w:rPr>
            </w:pPr>
            <w:r w:rsidRPr="007668E1">
              <w:rPr>
                <w:rFonts w:eastAsia="Aptos"/>
                <w:color w:val="000000"/>
                <w:sz w:val="20"/>
                <w:szCs w:val="20"/>
              </w:rPr>
              <w:t>418,000</w:t>
            </w:r>
          </w:p>
        </w:tc>
      </w:tr>
      <w:tr w:rsidR="00C819EE" w:rsidRPr="007668E1" w14:paraId="3E346B21" w14:textId="77777777" w:rsidTr="002135B0">
        <w:trPr>
          <w:trHeight w:val="300"/>
        </w:trPr>
        <w:tc>
          <w:tcPr>
            <w:tcW w:w="629" w:type="pct"/>
            <w:noWrap/>
            <w:vAlign w:val="center"/>
            <w:hideMark/>
          </w:tcPr>
          <w:p w14:paraId="1E793487" w14:textId="77777777" w:rsidR="00C819EE" w:rsidRPr="007668E1" w:rsidRDefault="00C819EE" w:rsidP="005D589F">
            <w:pPr>
              <w:spacing w:after="0"/>
              <w:jc w:val="center"/>
              <w:rPr>
                <w:color w:val="000000"/>
                <w:sz w:val="20"/>
                <w:szCs w:val="20"/>
                <w:lang w:eastAsia="en-CA"/>
              </w:rPr>
            </w:pPr>
            <w:r w:rsidRPr="007668E1">
              <w:rPr>
                <w:color w:val="000000"/>
                <w:sz w:val="20"/>
                <w:szCs w:val="20"/>
                <w:lang w:eastAsia="en-CA"/>
              </w:rPr>
              <w:t>4</w:t>
            </w:r>
          </w:p>
        </w:tc>
        <w:tc>
          <w:tcPr>
            <w:tcW w:w="1457" w:type="pct"/>
            <w:vAlign w:val="center"/>
          </w:tcPr>
          <w:p w14:paraId="2AE0D0A6" w14:textId="18A2E39B" w:rsidR="00C819EE" w:rsidRPr="007668E1" w:rsidRDefault="00C819EE" w:rsidP="00580204">
            <w:pPr>
              <w:spacing w:after="0"/>
              <w:ind w:left="102"/>
              <w:jc w:val="right"/>
              <w:rPr>
                <w:color w:val="000000"/>
                <w:sz w:val="20"/>
                <w:szCs w:val="20"/>
                <w:lang w:eastAsia="en-CA"/>
              </w:rPr>
            </w:pPr>
            <w:r w:rsidRPr="007668E1">
              <w:rPr>
                <w:rFonts w:ascii="Calibri" w:eastAsia="Aptos" w:hAnsi="Calibri" w:cs="Aptos"/>
                <w:color w:val="000000"/>
                <w:sz w:val="20"/>
                <w:szCs w:val="20"/>
              </w:rPr>
              <w:t>340,000</w:t>
            </w:r>
          </w:p>
        </w:tc>
        <w:tc>
          <w:tcPr>
            <w:tcW w:w="1360" w:type="pct"/>
            <w:vAlign w:val="center"/>
          </w:tcPr>
          <w:p w14:paraId="0DB12D3A" w14:textId="45EF2184" w:rsidR="00C819EE" w:rsidRPr="007668E1" w:rsidRDefault="00C819EE" w:rsidP="00580204">
            <w:pPr>
              <w:spacing w:after="0"/>
              <w:ind w:left="102"/>
              <w:jc w:val="right"/>
              <w:rPr>
                <w:color w:val="000000"/>
                <w:sz w:val="20"/>
                <w:szCs w:val="20"/>
                <w:lang w:eastAsia="en-CA"/>
              </w:rPr>
            </w:pPr>
            <w:r w:rsidRPr="007668E1">
              <w:rPr>
                <w:rFonts w:eastAsia="Aptos"/>
                <w:color w:val="000000"/>
                <w:sz w:val="20"/>
                <w:szCs w:val="20"/>
              </w:rPr>
              <w:t>462,500</w:t>
            </w:r>
          </w:p>
        </w:tc>
        <w:tc>
          <w:tcPr>
            <w:tcW w:w="1554" w:type="pct"/>
            <w:vAlign w:val="center"/>
          </w:tcPr>
          <w:p w14:paraId="6120B108" w14:textId="5FB672AD" w:rsidR="00C819EE" w:rsidRPr="007668E1" w:rsidRDefault="00C819EE" w:rsidP="00580204">
            <w:pPr>
              <w:spacing w:after="0"/>
              <w:jc w:val="right"/>
              <w:rPr>
                <w:rFonts w:eastAsia="Aptos"/>
                <w:b/>
                <w:color w:val="000000"/>
                <w:sz w:val="20"/>
                <w:szCs w:val="20"/>
              </w:rPr>
            </w:pPr>
            <w:r w:rsidRPr="007668E1">
              <w:rPr>
                <w:rFonts w:eastAsia="Aptos"/>
                <w:color w:val="000000"/>
                <w:sz w:val="20"/>
                <w:szCs w:val="20"/>
              </w:rPr>
              <w:t>462,500</w:t>
            </w:r>
          </w:p>
        </w:tc>
      </w:tr>
      <w:tr w:rsidR="00C819EE" w:rsidRPr="007668E1" w14:paraId="6F833AE2" w14:textId="77777777" w:rsidTr="002135B0">
        <w:trPr>
          <w:trHeight w:val="300"/>
        </w:trPr>
        <w:tc>
          <w:tcPr>
            <w:tcW w:w="629" w:type="pct"/>
            <w:noWrap/>
            <w:vAlign w:val="center"/>
            <w:hideMark/>
          </w:tcPr>
          <w:p w14:paraId="7BFEA80D" w14:textId="77777777" w:rsidR="00C819EE" w:rsidRPr="007668E1" w:rsidRDefault="00C819EE" w:rsidP="005D589F">
            <w:pPr>
              <w:spacing w:after="0"/>
              <w:jc w:val="center"/>
              <w:rPr>
                <w:color w:val="000000"/>
                <w:sz w:val="20"/>
                <w:szCs w:val="20"/>
                <w:lang w:eastAsia="en-CA"/>
              </w:rPr>
            </w:pPr>
            <w:r w:rsidRPr="007668E1">
              <w:rPr>
                <w:color w:val="000000"/>
                <w:sz w:val="20"/>
                <w:szCs w:val="20"/>
                <w:lang w:eastAsia="en-CA"/>
              </w:rPr>
              <w:t>5</w:t>
            </w:r>
          </w:p>
        </w:tc>
        <w:tc>
          <w:tcPr>
            <w:tcW w:w="1457" w:type="pct"/>
            <w:vAlign w:val="center"/>
          </w:tcPr>
          <w:p w14:paraId="7381FD78" w14:textId="23DC0CA5" w:rsidR="00C819EE" w:rsidRPr="007668E1" w:rsidRDefault="00C819EE" w:rsidP="00580204">
            <w:pPr>
              <w:spacing w:after="0"/>
              <w:ind w:left="102"/>
              <w:jc w:val="right"/>
              <w:rPr>
                <w:color w:val="000000"/>
                <w:sz w:val="20"/>
                <w:szCs w:val="20"/>
                <w:lang w:eastAsia="en-CA"/>
              </w:rPr>
            </w:pPr>
            <w:r w:rsidRPr="007668E1">
              <w:rPr>
                <w:rFonts w:ascii="Calibri" w:eastAsia="Aptos" w:hAnsi="Calibri" w:cs="Aptos"/>
                <w:color w:val="000000"/>
                <w:sz w:val="20"/>
                <w:szCs w:val="20"/>
              </w:rPr>
              <w:t>360,000</w:t>
            </w:r>
          </w:p>
        </w:tc>
        <w:tc>
          <w:tcPr>
            <w:tcW w:w="1360" w:type="pct"/>
            <w:vAlign w:val="center"/>
          </w:tcPr>
          <w:p w14:paraId="5CE5E372" w14:textId="17D81049" w:rsidR="00C819EE" w:rsidRPr="007668E1" w:rsidRDefault="00C819EE" w:rsidP="00580204">
            <w:pPr>
              <w:spacing w:after="0"/>
              <w:ind w:left="102"/>
              <w:jc w:val="right"/>
              <w:rPr>
                <w:color w:val="000000"/>
                <w:sz w:val="20"/>
                <w:szCs w:val="20"/>
                <w:lang w:eastAsia="en-CA"/>
              </w:rPr>
            </w:pPr>
            <w:r w:rsidRPr="007668E1">
              <w:rPr>
                <w:rFonts w:eastAsia="Aptos"/>
                <w:color w:val="000000"/>
                <w:sz w:val="20"/>
                <w:szCs w:val="20"/>
              </w:rPr>
              <w:t>488,750</w:t>
            </w:r>
          </w:p>
        </w:tc>
        <w:tc>
          <w:tcPr>
            <w:tcW w:w="1554" w:type="pct"/>
            <w:vAlign w:val="center"/>
          </w:tcPr>
          <w:p w14:paraId="7A537A2E" w14:textId="233BBA9E" w:rsidR="00C819EE" w:rsidRPr="007668E1" w:rsidRDefault="00C819EE" w:rsidP="00580204">
            <w:pPr>
              <w:spacing w:after="0"/>
              <w:jc w:val="right"/>
              <w:rPr>
                <w:rFonts w:eastAsia="Aptos"/>
                <w:b/>
                <w:color w:val="000000"/>
                <w:sz w:val="20"/>
                <w:szCs w:val="20"/>
              </w:rPr>
            </w:pPr>
            <w:r w:rsidRPr="007668E1">
              <w:rPr>
                <w:rFonts w:eastAsia="Aptos"/>
                <w:color w:val="000000"/>
                <w:sz w:val="20"/>
                <w:szCs w:val="20"/>
              </w:rPr>
              <w:t>488,750</w:t>
            </w:r>
          </w:p>
        </w:tc>
      </w:tr>
      <w:tr w:rsidR="00C819EE" w:rsidRPr="007668E1" w14:paraId="33ADCDF5" w14:textId="77777777" w:rsidTr="002135B0">
        <w:trPr>
          <w:trHeight w:val="300"/>
        </w:trPr>
        <w:tc>
          <w:tcPr>
            <w:tcW w:w="629" w:type="pct"/>
            <w:noWrap/>
            <w:vAlign w:val="center"/>
            <w:hideMark/>
          </w:tcPr>
          <w:p w14:paraId="1876D9D4" w14:textId="77777777" w:rsidR="00C819EE" w:rsidRPr="007668E1" w:rsidRDefault="00C819EE" w:rsidP="005D589F">
            <w:pPr>
              <w:spacing w:after="0"/>
              <w:jc w:val="center"/>
              <w:rPr>
                <w:color w:val="000000"/>
                <w:sz w:val="20"/>
                <w:szCs w:val="20"/>
                <w:lang w:eastAsia="en-CA"/>
              </w:rPr>
            </w:pPr>
            <w:r w:rsidRPr="007668E1">
              <w:rPr>
                <w:color w:val="000000"/>
                <w:sz w:val="20"/>
                <w:szCs w:val="20"/>
                <w:lang w:eastAsia="en-CA"/>
              </w:rPr>
              <w:t>6</w:t>
            </w:r>
          </w:p>
        </w:tc>
        <w:tc>
          <w:tcPr>
            <w:tcW w:w="1457" w:type="pct"/>
            <w:vAlign w:val="center"/>
          </w:tcPr>
          <w:p w14:paraId="228F58E2" w14:textId="6A76D805" w:rsidR="00C819EE" w:rsidRPr="007668E1" w:rsidRDefault="00C819EE" w:rsidP="00580204">
            <w:pPr>
              <w:spacing w:after="0"/>
              <w:ind w:left="102"/>
              <w:jc w:val="right"/>
              <w:rPr>
                <w:color w:val="000000"/>
                <w:sz w:val="20"/>
                <w:szCs w:val="20"/>
                <w:lang w:eastAsia="en-CA"/>
              </w:rPr>
            </w:pPr>
            <w:r w:rsidRPr="007668E1">
              <w:rPr>
                <w:rFonts w:ascii="Calibri" w:eastAsia="Aptos" w:hAnsi="Calibri" w:cs="Aptos"/>
                <w:color w:val="000000"/>
                <w:sz w:val="20"/>
                <w:szCs w:val="20"/>
              </w:rPr>
              <w:t>380,000</w:t>
            </w:r>
          </w:p>
        </w:tc>
        <w:tc>
          <w:tcPr>
            <w:tcW w:w="1360" w:type="pct"/>
            <w:vAlign w:val="center"/>
          </w:tcPr>
          <w:p w14:paraId="705198C9" w14:textId="76036D1B" w:rsidR="00C819EE" w:rsidRPr="007668E1" w:rsidRDefault="00C819EE" w:rsidP="00580204">
            <w:pPr>
              <w:spacing w:after="0"/>
              <w:ind w:left="102"/>
              <w:jc w:val="right"/>
              <w:rPr>
                <w:color w:val="000000"/>
                <w:sz w:val="20"/>
                <w:szCs w:val="20"/>
                <w:lang w:eastAsia="en-CA"/>
              </w:rPr>
            </w:pPr>
            <w:r w:rsidRPr="007668E1">
              <w:rPr>
                <w:rFonts w:eastAsia="Aptos"/>
                <w:color w:val="000000"/>
                <w:sz w:val="20"/>
                <w:szCs w:val="20"/>
              </w:rPr>
              <w:t>515,000</w:t>
            </w:r>
          </w:p>
        </w:tc>
        <w:tc>
          <w:tcPr>
            <w:tcW w:w="1554" w:type="pct"/>
            <w:vAlign w:val="center"/>
          </w:tcPr>
          <w:p w14:paraId="055F4A30" w14:textId="7B3035D5" w:rsidR="00C819EE" w:rsidRPr="007668E1" w:rsidRDefault="00C819EE" w:rsidP="00580204">
            <w:pPr>
              <w:spacing w:after="0"/>
              <w:jc w:val="right"/>
              <w:rPr>
                <w:rFonts w:eastAsia="Aptos"/>
                <w:b/>
                <w:color w:val="000000"/>
                <w:sz w:val="20"/>
                <w:szCs w:val="20"/>
              </w:rPr>
            </w:pPr>
            <w:r w:rsidRPr="007668E1">
              <w:rPr>
                <w:rFonts w:eastAsia="Aptos"/>
                <w:color w:val="000000"/>
                <w:sz w:val="20"/>
                <w:szCs w:val="20"/>
              </w:rPr>
              <w:t>515,000</w:t>
            </w:r>
          </w:p>
        </w:tc>
      </w:tr>
      <w:tr w:rsidR="00C819EE" w:rsidRPr="007668E1" w14:paraId="05E984D9" w14:textId="77777777" w:rsidTr="002135B0">
        <w:trPr>
          <w:trHeight w:val="300"/>
        </w:trPr>
        <w:tc>
          <w:tcPr>
            <w:tcW w:w="629" w:type="pct"/>
            <w:noWrap/>
            <w:vAlign w:val="center"/>
            <w:hideMark/>
          </w:tcPr>
          <w:p w14:paraId="2DC30486" w14:textId="77777777" w:rsidR="00C819EE" w:rsidRPr="007668E1" w:rsidRDefault="00C819EE" w:rsidP="005D589F">
            <w:pPr>
              <w:spacing w:after="0"/>
              <w:jc w:val="center"/>
              <w:rPr>
                <w:color w:val="000000"/>
                <w:sz w:val="20"/>
                <w:szCs w:val="20"/>
                <w:lang w:eastAsia="en-CA"/>
              </w:rPr>
            </w:pPr>
            <w:r w:rsidRPr="007668E1">
              <w:rPr>
                <w:color w:val="000000"/>
                <w:sz w:val="20"/>
                <w:szCs w:val="20"/>
                <w:lang w:eastAsia="en-CA"/>
              </w:rPr>
              <w:t>7</w:t>
            </w:r>
          </w:p>
        </w:tc>
        <w:tc>
          <w:tcPr>
            <w:tcW w:w="1457" w:type="pct"/>
            <w:vAlign w:val="center"/>
          </w:tcPr>
          <w:p w14:paraId="2D915E53" w14:textId="014E1680" w:rsidR="00C819EE" w:rsidRPr="007668E1" w:rsidRDefault="00C819EE" w:rsidP="00580204">
            <w:pPr>
              <w:spacing w:after="0"/>
              <w:ind w:left="102"/>
              <w:jc w:val="right"/>
              <w:rPr>
                <w:color w:val="000000"/>
                <w:sz w:val="20"/>
                <w:szCs w:val="20"/>
                <w:lang w:eastAsia="en-CA"/>
              </w:rPr>
            </w:pPr>
            <w:r w:rsidRPr="007668E1">
              <w:rPr>
                <w:rFonts w:ascii="Calibri" w:eastAsia="Aptos" w:hAnsi="Calibri" w:cs="Aptos"/>
                <w:color w:val="000000"/>
                <w:sz w:val="20"/>
                <w:szCs w:val="20"/>
              </w:rPr>
              <w:t>650,000</w:t>
            </w:r>
          </w:p>
        </w:tc>
        <w:tc>
          <w:tcPr>
            <w:tcW w:w="1360" w:type="pct"/>
            <w:vAlign w:val="center"/>
          </w:tcPr>
          <w:p w14:paraId="3CDC613B" w14:textId="46197E3F" w:rsidR="00C819EE" w:rsidRPr="007668E1" w:rsidRDefault="00C819EE" w:rsidP="00580204">
            <w:pPr>
              <w:spacing w:after="0"/>
              <w:ind w:left="102"/>
              <w:jc w:val="right"/>
              <w:rPr>
                <w:color w:val="000000"/>
                <w:sz w:val="20"/>
                <w:szCs w:val="20"/>
                <w:lang w:eastAsia="en-CA"/>
              </w:rPr>
            </w:pPr>
            <w:r w:rsidRPr="007668E1">
              <w:rPr>
                <w:rFonts w:eastAsia="Aptos"/>
                <w:color w:val="000000"/>
                <w:sz w:val="20"/>
                <w:szCs w:val="20"/>
              </w:rPr>
              <w:t>845,000</w:t>
            </w:r>
          </w:p>
        </w:tc>
        <w:tc>
          <w:tcPr>
            <w:tcW w:w="1554" w:type="pct"/>
            <w:vAlign w:val="center"/>
          </w:tcPr>
          <w:p w14:paraId="6D8AEE6C" w14:textId="1E7FBA32" w:rsidR="00C819EE" w:rsidRPr="007668E1" w:rsidRDefault="00C819EE" w:rsidP="00580204">
            <w:pPr>
              <w:spacing w:after="0"/>
              <w:jc w:val="right"/>
              <w:rPr>
                <w:rFonts w:eastAsia="Aptos"/>
                <w:b/>
                <w:color w:val="000000"/>
                <w:sz w:val="20"/>
                <w:szCs w:val="20"/>
              </w:rPr>
            </w:pPr>
            <w:r w:rsidRPr="007668E1">
              <w:rPr>
                <w:rFonts w:eastAsia="Aptos"/>
                <w:color w:val="000000"/>
                <w:sz w:val="20"/>
                <w:szCs w:val="20"/>
              </w:rPr>
              <w:t>845,000</w:t>
            </w:r>
          </w:p>
        </w:tc>
      </w:tr>
      <w:tr w:rsidR="00C819EE" w:rsidRPr="007668E1" w14:paraId="4884AD64" w14:textId="77777777" w:rsidTr="002135B0">
        <w:trPr>
          <w:trHeight w:val="288"/>
        </w:trPr>
        <w:tc>
          <w:tcPr>
            <w:tcW w:w="629" w:type="pct"/>
            <w:noWrap/>
            <w:vAlign w:val="center"/>
            <w:hideMark/>
          </w:tcPr>
          <w:p w14:paraId="6A9A239D" w14:textId="77777777" w:rsidR="00C819EE" w:rsidRPr="007668E1" w:rsidRDefault="00C819EE" w:rsidP="005D589F">
            <w:pPr>
              <w:spacing w:after="0"/>
              <w:jc w:val="center"/>
              <w:rPr>
                <w:color w:val="000000"/>
                <w:sz w:val="20"/>
                <w:szCs w:val="20"/>
                <w:lang w:eastAsia="en-CA"/>
              </w:rPr>
            </w:pPr>
            <w:r w:rsidRPr="007668E1">
              <w:rPr>
                <w:color w:val="000000"/>
                <w:sz w:val="20"/>
                <w:szCs w:val="20"/>
                <w:lang w:eastAsia="en-CA"/>
              </w:rPr>
              <w:t>8</w:t>
            </w:r>
          </w:p>
        </w:tc>
        <w:tc>
          <w:tcPr>
            <w:tcW w:w="1457" w:type="pct"/>
            <w:vAlign w:val="center"/>
          </w:tcPr>
          <w:p w14:paraId="36553360" w14:textId="7772E431" w:rsidR="00C819EE" w:rsidRPr="007668E1" w:rsidRDefault="00C819EE" w:rsidP="00580204">
            <w:pPr>
              <w:spacing w:after="0"/>
              <w:ind w:left="102"/>
              <w:jc w:val="right"/>
              <w:rPr>
                <w:color w:val="000000"/>
                <w:sz w:val="20"/>
                <w:szCs w:val="20"/>
                <w:lang w:eastAsia="en-CA"/>
              </w:rPr>
            </w:pPr>
            <w:r w:rsidRPr="007668E1">
              <w:rPr>
                <w:rFonts w:ascii="Calibri" w:eastAsia="Aptos" w:hAnsi="Calibri" w:cs="Aptos"/>
                <w:color w:val="000000"/>
                <w:sz w:val="20"/>
                <w:szCs w:val="20"/>
              </w:rPr>
              <w:t>720,000</w:t>
            </w:r>
          </w:p>
        </w:tc>
        <w:tc>
          <w:tcPr>
            <w:tcW w:w="1360" w:type="pct"/>
            <w:vAlign w:val="center"/>
          </w:tcPr>
          <w:p w14:paraId="7DA0AE95" w14:textId="2E157398" w:rsidR="00C819EE" w:rsidRPr="007668E1" w:rsidRDefault="00C819EE" w:rsidP="00580204">
            <w:pPr>
              <w:spacing w:after="0"/>
              <w:ind w:left="102"/>
              <w:jc w:val="right"/>
              <w:rPr>
                <w:color w:val="000000"/>
                <w:sz w:val="20"/>
                <w:szCs w:val="20"/>
                <w:lang w:eastAsia="en-CA"/>
              </w:rPr>
            </w:pPr>
            <w:r w:rsidRPr="007668E1">
              <w:rPr>
                <w:rFonts w:eastAsia="Aptos"/>
                <w:color w:val="000000"/>
                <w:sz w:val="20"/>
                <w:szCs w:val="20"/>
              </w:rPr>
              <w:t>945,000</w:t>
            </w:r>
          </w:p>
        </w:tc>
        <w:tc>
          <w:tcPr>
            <w:tcW w:w="1554" w:type="pct"/>
            <w:vAlign w:val="center"/>
          </w:tcPr>
          <w:p w14:paraId="185679A0" w14:textId="11268A53" w:rsidR="00C819EE" w:rsidRPr="007668E1" w:rsidRDefault="00C819EE" w:rsidP="00580204">
            <w:pPr>
              <w:spacing w:after="0"/>
              <w:jc w:val="right"/>
              <w:rPr>
                <w:rFonts w:eastAsia="Aptos"/>
                <w:b/>
                <w:color w:val="000000"/>
                <w:sz w:val="20"/>
                <w:szCs w:val="20"/>
              </w:rPr>
            </w:pPr>
            <w:r w:rsidRPr="007668E1">
              <w:rPr>
                <w:rFonts w:eastAsia="Aptos"/>
                <w:color w:val="000000"/>
                <w:sz w:val="20"/>
                <w:szCs w:val="20"/>
              </w:rPr>
              <w:t>945,000</w:t>
            </w:r>
          </w:p>
        </w:tc>
      </w:tr>
    </w:tbl>
    <w:p w14:paraId="4AE20F57" w14:textId="77777777" w:rsidR="00C819EE" w:rsidRDefault="00C819EE" w:rsidP="001A7BD1">
      <w:pPr>
        <w:tabs>
          <w:tab w:val="left" w:pos="1418"/>
        </w:tabs>
        <w:spacing w:after="0"/>
        <w:ind w:left="1411" w:hanging="1411"/>
        <w:rPr>
          <w:rFonts w:eastAsia="Aptos"/>
          <w:b/>
          <w:bCs/>
          <w:color w:val="0E2841"/>
          <w:sz w:val="20"/>
          <w:szCs w:val="20"/>
          <w:lang w:val="en-US"/>
        </w:rPr>
      </w:pPr>
    </w:p>
    <w:p w14:paraId="4325C7FF" w14:textId="7F35D4DA" w:rsidR="00273043" w:rsidRPr="00760FDA" w:rsidRDefault="274D2446" w:rsidP="274D2446">
      <w:pPr>
        <w:spacing w:after="0"/>
        <w:rPr>
          <w:rFonts w:eastAsia="Aptos"/>
          <w:color w:val="0E2841"/>
        </w:rPr>
      </w:pPr>
      <w:r w:rsidRPr="274D2446">
        <w:rPr>
          <w:rFonts w:eastAsia="Aptos"/>
          <w:color w:val="0E2841"/>
        </w:rPr>
        <w:t>The example in table 6.8 is built on the notion that the first two LVC categories are underfunded compared to the other categories when taking into account the facts regarding the fixed costs and the additional training needs elaborated in this chapter. This would in effect reduce the number of categories from eight to six.</w:t>
      </w:r>
    </w:p>
    <w:p w14:paraId="1B6CEECD" w14:textId="77777777" w:rsidR="003509E4" w:rsidRPr="003509E4" w:rsidRDefault="003509E4" w:rsidP="003509E4"/>
    <w:p w14:paraId="11E4D312" w14:textId="77777777" w:rsidR="000E5797" w:rsidRPr="00C3634A" w:rsidRDefault="000E5797" w:rsidP="00D35BCB">
      <w:pPr>
        <w:sectPr w:rsidR="000E5797" w:rsidRPr="00C3634A" w:rsidSect="009D3A67">
          <w:pgSz w:w="11906" w:h="16838"/>
          <w:pgMar w:top="1411" w:right="1411" w:bottom="1411" w:left="1411" w:header="708" w:footer="708" w:gutter="0"/>
          <w:cols w:space="708"/>
          <w:docGrid w:linePitch="360"/>
        </w:sectPr>
      </w:pPr>
    </w:p>
    <w:p w14:paraId="3080636E" w14:textId="59FB7DAF" w:rsidR="000E5797" w:rsidRPr="00C3634A" w:rsidRDefault="00544D09" w:rsidP="005D31A7">
      <w:pPr>
        <w:pStyle w:val="Heading1"/>
      </w:pPr>
      <w:bookmarkStart w:id="284" w:name="_Toc119436606"/>
      <w:bookmarkStart w:id="285" w:name="_Toc230099123"/>
      <w:r w:rsidRPr="00C3634A">
        <w:lastRenderedPageBreak/>
        <w:t>7</w:t>
      </w:r>
      <w:r w:rsidR="000E5797" w:rsidRPr="00C3634A">
        <w:tab/>
      </w:r>
      <w:r w:rsidR="00BE4F97">
        <w:t>Funding Estimate for Maintaining and/or Enhancing Energy Efficiency While Phasing Down HFC</w:t>
      </w:r>
      <w:bookmarkEnd w:id="284"/>
      <w:bookmarkEnd w:id="285"/>
    </w:p>
    <w:p w14:paraId="5BB0857C" w14:textId="77777777" w:rsidR="006124FD" w:rsidRDefault="009B128E" w:rsidP="002D02B7">
      <w:pPr>
        <w:pStyle w:val="Heading2"/>
      </w:pPr>
      <w:bookmarkStart w:id="286" w:name="_Toc119436607"/>
      <w:bookmarkStart w:id="287" w:name="_Toc230099124"/>
      <w:r w:rsidRPr="00D7427C">
        <w:t>7.1</w:t>
      </w:r>
      <w:r w:rsidRPr="00D7427C">
        <w:tab/>
      </w:r>
      <w:r w:rsidR="006124FD">
        <w:t>Introduction</w:t>
      </w:r>
      <w:bookmarkEnd w:id="286"/>
      <w:bookmarkEnd w:id="287"/>
    </w:p>
    <w:p w14:paraId="6682FCBA" w14:textId="60C885CE" w:rsidR="00210339" w:rsidRPr="00400AF2" w:rsidRDefault="00210339" w:rsidP="00210339">
      <w:r w:rsidRPr="00400AF2">
        <w:t>Parties asked TEAP to look at “</w:t>
      </w:r>
      <w:r w:rsidR="00E13E2F">
        <w:t>[a</w:t>
      </w:r>
      <w:r w:rsidRPr="00400AF2">
        <w:t>ll</w:t>
      </w:r>
      <w:r w:rsidR="00235A87">
        <w:t>]</w:t>
      </w:r>
      <w:r w:rsidRPr="00400AF2">
        <w:t xml:space="preserve"> control measures and decisions agreed on by the Meetings of the Parties to the Montreal Protocol and the Executive Committee of the Multilateral Fund, including those relevant to decision XXVIII/2, and the decisions of the Meetings of the Parties up to and including the Thirty‑Seventh Meeting of the Parties and of the Executive Committee up to and including its ninety‑eighth meeting, insofar as those decisions will necessitate expenditure by the Multilateral Fund during the period 2027–2029</w:t>
      </w:r>
      <w:r w:rsidR="00AC5326">
        <w:t>.</w:t>
      </w:r>
      <w:r w:rsidRPr="00400AF2">
        <w:t xml:space="preserve">” </w:t>
      </w:r>
    </w:p>
    <w:p w14:paraId="4A265D50" w14:textId="1C92F073" w:rsidR="00210339" w:rsidRPr="00400AF2" w:rsidRDefault="7EB48733" w:rsidP="00210339">
      <w:r w:rsidRPr="00400AF2">
        <w:t xml:space="preserve">Decision XXVIII/2 requested the </w:t>
      </w:r>
      <w:r w:rsidR="00AF291D">
        <w:t>ExCom</w:t>
      </w:r>
      <w:r w:rsidRPr="00400AF2">
        <w:t xml:space="preserve"> “to develop cost guidance associated with maintaining and/or enhancing the energy efficiency of low</w:t>
      </w:r>
      <w:r w:rsidR="72E23A1F">
        <w:t>-</w:t>
      </w:r>
      <w:r w:rsidRPr="00400AF2">
        <w:t>GWP or zero-GWP replacement technologies and equipment”  during the phase-down of HFC.</w:t>
      </w:r>
      <w:r w:rsidR="00210339" w:rsidRPr="00400AF2">
        <w:rPr>
          <w:rStyle w:val="FootnoteReference"/>
        </w:rPr>
        <w:footnoteReference w:id="71"/>
      </w:r>
      <w:r w:rsidRPr="00400AF2">
        <w:t xml:space="preserve"> TEAP has responded to MOP decisions XXVIII/3, XXIX/10, XXX/5, XXXI/7, XXXIII/5, XXXIV/3, XXXV/10, and produced reports to support MP </w:t>
      </w:r>
      <w:r w:rsidR="00D27C60">
        <w:t>parties</w:t>
      </w:r>
      <w:r w:rsidRPr="00400AF2">
        <w:t xml:space="preserve"> in issues pertaining to maintaining and/or enhancing </w:t>
      </w:r>
      <w:r w:rsidR="00D02C1C">
        <w:t>EE</w:t>
      </w:r>
      <w:r w:rsidRPr="00400AF2">
        <w:t xml:space="preserve"> while phasing down HFCs. In addition, Decision XXXVII/5 invited parties to submit information related to “policies, activities, key lessons learned, in relation to centres of excellence for sustainable cooling and testing centres for energy efficiency related to the implementation of the Kigali Amendment to the Montreal Protocol on Substances that Deplete the Ozone Layer;”. This information will be provided by 1 June 2026 and will not be available to the RTF.</w:t>
      </w:r>
    </w:p>
    <w:p w14:paraId="3CD69590" w14:textId="4E9DDEB6" w:rsidR="00210339" w:rsidRPr="00400AF2" w:rsidRDefault="00210339" w:rsidP="00210339">
      <w:r w:rsidRPr="00400AF2">
        <w:t xml:space="preserve">In addition to the relevant MOP decisions above related to </w:t>
      </w:r>
      <w:r w:rsidR="00DD349A">
        <w:t>EE</w:t>
      </w:r>
      <w:r w:rsidRPr="00400AF2">
        <w:t>, several ExCom decisions and their relevance are summarised below:</w:t>
      </w:r>
    </w:p>
    <w:p w14:paraId="0F348471" w14:textId="77777777" w:rsidR="00210339" w:rsidRPr="00400AF2" w:rsidRDefault="00210339" w:rsidP="009926C7">
      <w:pPr>
        <w:pStyle w:val="ListParagraph"/>
      </w:pPr>
      <w:r w:rsidRPr="00400AF2">
        <w:t>Decision 89/6: Additional EE activities in servicing as part of HPMPs for LVC countries; establishes a defined activity list and two-tier funding levels tied to HCFC baseline.</w:t>
      </w:r>
    </w:p>
    <w:p w14:paraId="6CC98F55" w14:textId="60D93719" w:rsidR="00210339" w:rsidRPr="00400AF2" w:rsidRDefault="00210339" w:rsidP="009926C7">
      <w:pPr>
        <w:pStyle w:val="ListParagraph"/>
      </w:pPr>
      <w:r w:rsidRPr="00400AF2">
        <w:t>Decision 91/65: Pilot projects on EE establishing criteria, eligible activities, country/enterprise commitments, and US$</w:t>
      </w:r>
      <w:r w:rsidR="003B02D6">
        <w:t xml:space="preserve"> </w:t>
      </w:r>
      <w:r w:rsidRPr="00400AF2">
        <w:t>20 million augmentable funding window. Decision 95/87 extended the window only for servicing activities to the 100</w:t>
      </w:r>
      <w:r w:rsidRPr="00400AF2">
        <w:rPr>
          <w:vertAlign w:val="superscript"/>
        </w:rPr>
        <w:t>th</w:t>
      </w:r>
      <w:r w:rsidRPr="00400AF2">
        <w:t xml:space="preserve"> ExCom.</w:t>
      </w:r>
    </w:p>
    <w:p w14:paraId="0B8C9722" w14:textId="1D6A75B2" w:rsidR="00210339" w:rsidRPr="00400AF2" w:rsidRDefault="00210339" w:rsidP="009926C7">
      <w:pPr>
        <w:pStyle w:val="ListParagraph"/>
      </w:pPr>
      <w:r w:rsidRPr="00400AF2">
        <w:t>Decision 94/60: Operational framework for EE in manufacturing with an incentive-based methodology for five product categories, and US$</w:t>
      </w:r>
      <w:r w:rsidR="003B02D6">
        <w:t xml:space="preserve"> </w:t>
      </w:r>
      <w:r w:rsidRPr="00400AF2">
        <w:t>100 million augmentable funding window.</w:t>
      </w:r>
    </w:p>
    <w:p w14:paraId="2B8EB285" w14:textId="62ACD893" w:rsidR="00210339" w:rsidRPr="00400AF2" w:rsidRDefault="00210339" w:rsidP="00AD16B5">
      <w:pPr>
        <w:pStyle w:val="ListParagraph"/>
      </w:pPr>
      <w:r w:rsidRPr="00400AF2">
        <w:t>Decision 95/87: Extending the incentive-based operational framework to cover heat pumps, compressors, and heat exchangers. In addition, it established a US$</w:t>
      </w:r>
      <w:r w:rsidR="003B02D6">
        <w:t xml:space="preserve"> </w:t>
      </w:r>
      <w:r w:rsidRPr="00400AF2">
        <w:t>40 million revolving-fund pilot window for end users.</w:t>
      </w:r>
    </w:p>
    <w:p w14:paraId="1C635084" w14:textId="126F6DD2" w:rsidR="00210339" w:rsidRPr="00400AF2" w:rsidRDefault="00210339" w:rsidP="00210339">
      <w:pPr>
        <w:spacing w:after="0"/>
      </w:pPr>
      <w:r w:rsidRPr="00400AF2">
        <w:t>In responding to the parties’ mandate, the RTF interpreted Decision XXXVII/6</w:t>
      </w:r>
      <w:r w:rsidR="001805B2">
        <w:t xml:space="preserve"> </w:t>
      </w:r>
      <w:r w:rsidRPr="00400AF2">
        <w:t xml:space="preserve">(paragraphs 2(a) and 2(b)) to cover the following EE-related items when taking into consideration all relevant decisions agreed upon by the parties to the </w:t>
      </w:r>
      <w:r w:rsidR="00FB7C66">
        <w:t>MP</w:t>
      </w:r>
      <w:r w:rsidRPr="00400AF2">
        <w:t xml:space="preserve"> and the ExCom:</w:t>
      </w:r>
    </w:p>
    <w:p w14:paraId="29149446" w14:textId="6F698835" w:rsidR="00210339" w:rsidRPr="001D35CC" w:rsidRDefault="00210339" w:rsidP="00FB7C66">
      <w:pPr>
        <w:numPr>
          <w:ilvl w:val="0"/>
          <w:numId w:val="104"/>
        </w:numPr>
        <w:tabs>
          <w:tab w:val="clear" w:pos="0"/>
        </w:tabs>
        <w:spacing w:after="0"/>
      </w:pPr>
      <w:r w:rsidRPr="001D35CC">
        <w:t>Decision 89/6 established a funding table and defined additional activities for inclusion in existing and future HPMPs for LVC countries in response to paragraph 16 of decision XXVIII/2 and paragraph 2 of decision XXX/5 of the </w:t>
      </w:r>
      <w:r w:rsidR="00D27C60">
        <w:t>parties</w:t>
      </w:r>
      <w:r w:rsidRPr="001D35CC">
        <w:t xml:space="preserve"> – as described in chapter 2, section 2.4.6.</w:t>
      </w:r>
    </w:p>
    <w:p w14:paraId="1588FD60" w14:textId="36CBF686" w:rsidR="00210339" w:rsidRPr="001D35CC" w:rsidRDefault="00210339" w:rsidP="00FB7C66">
      <w:pPr>
        <w:numPr>
          <w:ilvl w:val="0"/>
          <w:numId w:val="104"/>
        </w:numPr>
        <w:tabs>
          <w:tab w:val="clear" w:pos="0"/>
        </w:tabs>
        <w:spacing w:after="0"/>
      </w:pPr>
      <w:r w:rsidRPr="001D35CC">
        <w:lastRenderedPageBreak/>
        <w:t>Decision 91/65 established a funding window for pilot projects in the amount of US$</w:t>
      </w:r>
      <w:r w:rsidR="003A020F">
        <w:t xml:space="preserve"> </w:t>
      </w:r>
      <w:r w:rsidRPr="001D35CC">
        <w:t xml:space="preserve">20 million with the possibility of augmenting that funding window at a future meeting to maintain and/or enhance EE in the context of HFC phase-down as specified in decision XXVIII/2, following the criteria identified in subparagraph (b) of the decision – as described below in section </w:t>
      </w:r>
      <w:r w:rsidR="00D17124" w:rsidRPr="001D35CC">
        <w:t>7</w:t>
      </w:r>
      <w:r w:rsidRPr="001D35CC">
        <w:t>.3.</w:t>
      </w:r>
    </w:p>
    <w:p w14:paraId="436D0B57" w14:textId="44562B37" w:rsidR="00210339" w:rsidRPr="001D35CC" w:rsidRDefault="00210339" w:rsidP="00FB7C66">
      <w:pPr>
        <w:numPr>
          <w:ilvl w:val="0"/>
          <w:numId w:val="104"/>
        </w:numPr>
        <w:tabs>
          <w:tab w:val="clear" w:pos="0"/>
        </w:tabs>
        <w:spacing w:after="0"/>
      </w:pPr>
      <w:r w:rsidRPr="001D35CC">
        <w:t xml:space="preserve">Decision 94/60 established a funding window in the amount of US $100 million with the possibility of augmenting that funding window at a future meeting to maintain and/or enhance EE in the context of HFC phase-down as specified in decision XXVIII/2, following the criteria identified in subparagraph (b) of the decision’ – as described below in section </w:t>
      </w:r>
      <w:r w:rsidR="00D17124" w:rsidRPr="001D35CC">
        <w:t>7</w:t>
      </w:r>
      <w:r w:rsidRPr="001D35CC">
        <w:t>.4.</w:t>
      </w:r>
    </w:p>
    <w:p w14:paraId="5C3C3052" w14:textId="0008AC0A" w:rsidR="009B128E" w:rsidRPr="001D35CC" w:rsidRDefault="00210339" w:rsidP="00FB7C66">
      <w:pPr>
        <w:numPr>
          <w:ilvl w:val="0"/>
          <w:numId w:val="104"/>
        </w:numPr>
        <w:tabs>
          <w:tab w:val="clear" w:pos="0"/>
        </w:tabs>
        <w:spacing w:after="0"/>
      </w:pPr>
      <w:r w:rsidRPr="001D35CC">
        <w:t>Decision 95/87 established a funding window in the amount of US$</w:t>
      </w:r>
      <w:r w:rsidR="003A020F">
        <w:t xml:space="preserve"> </w:t>
      </w:r>
      <w:r w:rsidRPr="001D35CC">
        <w:t xml:space="preserve">40 million in the context of HFC phase-down as specified in decision XXVIII/2, following the criteria identified in subparagraph (b) of the decision’ – as described below in section </w:t>
      </w:r>
      <w:r w:rsidR="00D17124" w:rsidRPr="001D35CC">
        <w:t>7</w:t>
      </w:r>
      <w:r w:rsidRPr="001D35CC">
        <w:t>.5.</w:t>
      </w:r>
    </w:p>
    <w:p w14:paraId="6776C142" w14:textId="54D990B8" w:rsidR="009B128E" w:rsidRPr="00C3634A" w:rsidRDefault="009B128E" w:rsidP="002D02B7">
      <w:pPr>
        <w:pStyle w:val="Heading2"/>
      </w:pPr>
      <w:bookmarkStart w:id="288" w:name="_Toc119436608"/>
      <w:bookmarkStart w:id="289" w:name="_Toc230099125"/>
      <w:r w:rsidRPr="00C3634A">
        <w:t>7.2</w:t>
      </w:r>
      <w:r w:rsidRPr="00C3634A">
        <w:tab/>
      </w:r>
      <w:bookmarkEnd w:id="288"/>
      <w:r w:rsidR="005E3F8D">
        <w:t>Estimated funding related to EE based on Decision 89/6 for LVCs</w:t>
      </w:r>
      <w:bookmarkEnd w:id="289"/>
    </w:p>
    <w:p w14:paraId="7CB9A800" w14:textId="3F39EC09" w:rsidR="00BD5668" w:rsidRPr="004659AD" w:rsidRDefault="00BD5668" w:rsidP="00BD5668">
      <w:pPr>
        <w:spacing w:after="0"/>
      </w:pPr>
      <w:bookmarkStart w:id="290" w:name="_Toc119436609"/>
      <w:r w:rsidRPr="004659AD">
        <w:t xml:space="preserve">In the context of HCFC phase-out, </w:t>
      </w:r>
      <w:r w:rsidR="00D27C60">
        <w:t>parties</w:t>
      </w:r>
      <w:r w:rsidRPr="004659AD">
        <w:t xml:space="preserve"> agreed in </w:t>
      </w:r>
      <w:r w:rsidR="001805B2">
        <w:t>De</w:t>
      </w:r>
      <w:r w:rsidRPr="004659AD">
        <w:t xml:space="preserve">cision XXVIII/2 paragraph 16 to request the ExCom to increase funding available to LVCs for maintaining </w:t>
      </w:r>
      <w:r w:rsidR="00F605BB">
        <w:t>EE</w:t>
      </w:r>
      <w:r w:rsidRPr="004659AD">
        <w:t xml:space="preserve"> in the servicing/end-use sector. In decision 89/6 the ExCom established a funding </w:t>
      </w:r>
      <w:r w:rsidRPr="00B36CFA">
        <w:t>table (Table 2</w:t>
      </w:r>
      <w:r w:rsidR="00B36CFA" w:rsidRPr="00B36CFA">
        <w:t>.7</w:t>
      </w:r>
      <w:r w:rsidRPr="00B36CFA">
        <w:t>) and</w:t>
      </w:r>
      <w:r w:rsidRPr="004659AD">
        <w:t xml:space="preserve"> defined additional activities for inclusion in existing and future HPMPs for LVCs in response to paragraph 16 of </w:t>
      </w:r>
      <w:r w:rsidR="001805B2">
        <w:t>D</w:t>
      </w:r>
      <w:r w:rsidRPr="004659AD">
        <w:t xml:space="preserve">ecision XXVIII/2 and paragraph 2 of </w:t>
      </w:r>
      <w:r w:rsidR="001805B2">
        <w:t>D</w:t>
      </w:r>
      <w:r w:rsidRPr="004659AD">
        <w:t xml:space="preserve">ecision XXX/5 of the </w:t>
      </w:r>
      <w:r w:rsidR="00FC6242">
        <w:t>p</w:t>
      </w:r>
      <w:r w:rsidR="00D27C60">
        <w:t>arties</w:t>
      </w:r>
      <w:r w:rsidRPr="004659AD">
        <w:t xml:space="preserve">. The ExCom </w:t>
      </w:r>
      <w:r w:rsidR="001805B2">
        <w:t>D</w:t>
      </w:r>
      <w:r w:rsidRPr="004659AD">
        <w:t xml:space="preserve">ecision 91/37 decided that </w:t>
      </w:r>
      <w:r w:rsidR="00C61FC6">
        <w:t>D</w:t>
      </w:r>
      <w:r w:rsidRPr="004659AD">
        <w:t>ecision 89/6 applies to LVCs that have already completed their HPMPs. </w:t>
      </w:r>
    </w:p>
    <w:p w14:paraId="796EFD42" w14:textId="77777777" w:rsidR="00BD5668" w:rsidRPr="004659AD" w:rsidRDefault="00BD5668" w:rsidP="00BD5668">
      <w:pPr>
        <w:spacing w:after="0"/>
      </w:pPr>
    </w:p>
    <w:p w14:paraId="31F6D785" w14:textId="58D54E9A" w:rsidR="00BD5668" w:rsidRPr="004659AD" w:rsidRDefault="00BD5668" w:rsidP="00BD5668">
      <w:pPr>
        <w:spacing w:after="0"/>
      </w:pPr>
      <w:r>
        <w:t xml:space="preserve">The maximum funding eligibility for </w:t>
      </w:r>
      <w:r w:rsidR="00C61FC6">
        <w:t>D</w:t>
      </w:r>
      <w:r>
        <w:t>ecision 89/6 based on 95 LVC countries and 9.6% support costs is US$</w:t>
      </w:r>
      <w:r w:rsidR="003B02D6">
        <w:t xml:space="preserve"> </w:t>
      </w:r>
      <w:r>
        <w:t xml:space="preserve">11,135,360. </w:t>
      </w:r>
      <w:r w:rsidRPr="740B5081">
        <w:rPr>
          <w:rFonts w:eastAsia="Times New Roman Bold" w:cs="Times New Roman Bold"/>
        </w:rPr>
        <w:t>By ExCom</w:t>
      </w:r>
      <w:r w:rsidR="00C61FC6">
        <w:rPr>
          <w:rFonts w:eastAsia="Times New Roman Bold" w:cs="Times New Roman Bold"/>
        </w:rPr>
        <w:t>-97</w:t>
      </w:r>
      <w:r w:rsidRPr="740B5081">
        <w:rPr>
          <w:rFonts w:eastAsia="Times New Roman Bold" w:cs="Times New Roman Bold"/>
        </w:rPr>
        <w:t xml:space="preserve">, 66 </w:t>
      </w:r>
      <w:r w:rsidR="00D27C60">
        <w:rPr>
          <w:rFonts w:eastAsia="Times New Roman Bold" w:cs="Times New Roman Bold"/>
        </w:rPr>
        <w:t>parties</w:t>
      </w:r>
      <w:r w:rsidRPr="740B5081">
        <w:rPr>
          <w:rFonts w:eastAsia="Times New Roman Bold" w:cs="Times New Roman Bold"/>
        </w:rPr>
        <w:t xml:space="preserve"> and </w:t>
      </w:r>
      <w:r w:rsidR="00C61FC6">
        <w:rPr>
          <w:rFonts w:eastAsia="Times New Roman Bold" w:cs="Times New Roman Bold"/>
        </w:rPr>
        <w:t>one</w:t>
      </w:r>
      <w:r w:rsidRPr="740B5081">
        <w:rPr>
          <w:rFonts w:eastAsia="Times New Roman Bold" w:cs="Times New Roman Bold"/>
        </w:rPr>
        <w:t xml:space="preserve"> region have approved projects funded under Decision 89/6 with a total funding of US$</w:t>
      </w:r>
      <w:r w:rsidR="003B02D6">
        <w:rPr>
          <w:rFonts w:eastAsia="Times New Roman Bold" w:cs="Times New Roman Bold"/>
        </w:rPr>
        <w:t xml:space="preserve"> </w:t>
      </w:r>
      <w:r w:rsidRPr="740B5081">
        <w:rPr>
          <w:rFonts w:eastAsia="Times New Roman Bold" w:cs="Times New Roman Bold"/>
        </w:rPr>
        <w:t xml:space="preserve">7,733,556. The remaining 29 </w:t>
      </w:r>
      <w:r w:rsidR="00D27C60">
        <w:rPr>
          <w:rFonts w:eastAsia="Times New Roman Bold" w:cs="Times New Roman Bold"/>
        </w:rPr>
        <w:t>parties</w:t>
      </w:r>
      <w:r w:rsidRPr="740B5081">
        <w:rPr>
          <w:rFonts w:eastAsia="Times New Roman Bold" w:cs="Times New Roman Bold"/>
        </w:rPr>
        <w:t xml:space="preserve"> may apply for funding for support during the upcoming triennium or in future triennia. The RTF estimates that US</w:t>
      </w:r>
      <w:r w:rsidR="00B36CFA">
        <w:rPr>
          <w:rFonts w:eastAsia="Times New Roman Bold" w:cs="Times New Roman Bold"/>
        </w:rPr>
        <w:t>$</w:t>
      </w:r>
      <w:r w:rsidRPr="740B5081">
        <w:rPr>
          <w:rFonts w:eastAsia="Times New Roman Bold" w:cs="Times New Roman Bold"/>
        </w:rPr>
        <w:t xml:space="preserve"> 3,400,000 is required to support the remaining LVCs in the 2027-2029 triennium</w:t>
      </w:r>
      <w:r w:rsidR="00394876">
        <w:rPr>
          <w:rFonts w:eastAsia="Times New Roman Bold" w:cs="Times New Roman Bold"/>
        </w:rPr>
        <w:t xml:space="preserve"> (including support costs)</w:t>
      </w:r>
      <w:r w:rsidRPr="740B5081">
        <w:rPr>
          <w:rFonts w:eastAsia="Times New Roman Bold" w:cs="Times New Roman Bold"/>
        </w:rPr>
        <w:t>.</w:t>
      </w:r>
    </w:p>
    <w:p w14:paraId="1EDEEE9E" w14:textId="44FDCECE" w:rsidR="00B36CFA" w:rsidRDefault="00B36CFA" w:rsidP="002D02B7">
      <w:pPr>
        <w:pStyle w:val="Heading2"/>
      </w:pPr>
      <w:bookmarkStart w:id="291" w:name="_Toc230099126"/>
      <w:r w:rsidRPr="00C3634A">
        <w:t>7.</w:t>
      </w:r>
      <w:r>
        <w:t>3</w:t>
      </w:r>
      <w:r w:rsidRPr="00C3634A">
        <w:tab/>
      </w:r>
      <w:r>
        <w:t>Approved EE funding window in Decision 91/65</w:t>
      </w:r>
      <w:bookmarkEnd w:id="291"/>
    </w:p>
    <w:p w14:paraId="202DDC83" w14:textId="316E438B" w:rsidR="00577395" w:rsidRPr="00364F53" w:rsidRDefault="37B91FDE" w:rsidP="00577395">
      <w:pPr>
        <w:spacing w:after="0"/>
        <w:rPr>
          <w:rFonts w:eastAsia="Times New Roman Bold" w:cs="Times New Roman Bold"/>
        </w:rPr>
      </w:pPr>
      <w:r w:rsidRPr="00364F53">
        <w:rPr>
          <w:rFonts w:eastAsia="Times New Roman Bold" w:cs="Times New Roman Bold"/>
        </w:rPr>
        <w:t>Decision 91/65</w:t>
      </w:r>
      <w:r w:rsidR="00577395" w:rsidRPr="00364F53">
        <w:rPr>
          <w:rFonts w:eastAsia="Times New Roman Bold" w:cs="Times New Roman Bold"/>
          <w:vertAlign w:val="superscript"/>
        </w:rPr>
        <w:footnoteReference w:id="72"/>
      </w:r>
      <w:r w:rsidRPr="00364F53">
        <w:rPr>
          <w:rFonts w:eastAsia="Times New Roman Bold" w:cs="Times New Roman Bold"/>
        </w:rPr>
        <w:t xml:space="preserve"> has established a “funding window for pilot projects in the amount of US$ 20 million with the possibility of augmenting that funding window at a future meeting to maintain and/or enhance EE in the context of HFC phase-down as specified in decision XXVIII/2, following the criteria identified in subparagraph(b)”. This funding window is currently extended </w:t>
      </w:r>
      <w:r w:rsidR="004A4650">
        <w:rPr>
          <w:rFonts w:eastAsia="Times New Roman Bold" w:cs="Times New Roman Bold"/>
        </w:rPr>
        <w:t>until ExCom-100</w:t>
      </w:r>
      <w:r w:rsidRPr="00364F53">
        <w:rPr>
          <w:rFonts w:eastAsia="Times New Roman Bold" w:cs="Times New Roman Bold"/>
        </w:rPr>
        <w:t xml:space="preserve"> for servicing only activities.</w:t>
      </w:r>
      <w:r w:rsidR="31018F94" w:rsidRPr="00364F53">
        <w:rPr>
          <w:rFonts w:eastAsia="Times New Roman Bold" w:cs="Times New Roman Bold"/>
        </w:rPr>
        <w:t xml:space="preserve"> </w:t>
      </w:r>
      <w:r w:rsidR="00577395" w:rsidRPr="00364F53">
        <w:rPr>
          <w:rFonts w:eastAsia="Times New Roman Bold" w:cs="Times New Roman Bold"/>
          <w:vertAlign w:val="superscript"/>
        </w:rPr>
        <w:footnoteReference w:id="73"/>
      </w:r>
    </w:p>
    <w:p w14:paraId="1A714B2F" w14:textId="77777777" w:rsidR="00577395" w:rsidRPr="00364F53" w:rsidRDefault="00577395" w:rsidP="00577395">
      <w:pPr>
        <w:spacing w:after="0"/>
        <w:rPr>
          <w:rFonts w:eastAsia="Times New Roman Bold" w:cs="Times New Roman Bold"/>
        </w:rPr>
      </w:pPr>
    </w:p>
    <w:p w14:paraId="704DDC43" w14:textId="37C15743" w:rsidR="004E1E37" w:rsidRDefault="00577395" w:rsidP="00577395">
      <w:pPr>
        <w:spacing w:after="0"/>
        <w:rPr>
          <w:rFonts w:eastAsia="Times New Roman Bold" w:cs="Times New Roman Bold"/>
        </w:rPr>
      </w:pPr>
      <w:r w:rsidRPr="00364F53">
        <w:rPr>
          <w:rFonts w:eastAsia="Times New Roman Bold" w:cs="Times New Roman Bold"/>
        </w:rPr>
        <w:t xml:space="preserve">The expenditures under this funding window are </w:t>
      </w:r>
      <w:r w:rsidR="009403E9">
        <w:rPr>
          <w:rFonts w:eastAsia="Times New Roman Bold" w:cs="Times New Roman Bold"/>
        </w:rPr>
        <w:t>summarised</w:t>
      </w:r>
      <w:r w:rsidRPr="00364F53">
        <w:rPr>
          <w:rFonts w:eastAsia="Times New Roman Bold" w:cs="Times New Roman Bold"/>
        </w:rPr>
        <w:t xml:space="preserve"> in the Table </w:t>
      </w:r>
      <w:r>
        <w:rPr>
          <w:rFonts w:eastAsia="Times New Roman Bold" w:cs="Times New Roman Bold"/>
        </w:rPr>
        <w:t>7</w:t>
      </w:r>
      <w:r w:rsidRPr="00364F53">
        <w:rPr>
          <w:rFonts w:eastAsia="Times New Roman Bold" w:cs="Times New Roman Bold"/>
        </w:rPr>
        <w:t xml:space="preserve">-1 below. </w:t>
      </w:r>
    </w:p>
    <w:p w14:paraId="292B5406" w14:textId="77777777" w:rsidR="004E1E37" w:rsidRDefault="004E1E37" w:rsidP="00577395">
      <w:pPr>
        <w:spacing w:after="0"/>
        <w:rPr>
          <w:rFonts w:eastAsia="Times New Roman Bold" w:cs="Times New Roman Bold"/>
        </w:rPr>
      </w:pPr>
    </w:p>
    <w:p w14:paraId="7B373223" w14:textId="1B24012A" w:rsidR="004E1E37" w:rsidRDefault="004E1E37" w:rsidP="002135B0">
      <w:pPr>
        <w:tabs>
          <w:tab w:val="left" w:pos="1134"/>
        </w:tabs>
        <w:spacing w:after="0"/>
        <w:ind w:left="1412" w:hanging="1412"/>
        <w:rPr>
          <w:rFonts w:eastAsia="Times New Roman Bold" w:cs="Times New Roman Bold"/>
          <w:b/>
          <w:bCs/>
        </w:rPr>
      </w:pPr>
      <w:r w:rsidRPr="00E42C5E">
        <w:rPr>
          <w:rFonts w:eastAsiaTheme="minorHAnsi"/>
          <w:b/>
          <w:bCs/>
        </w:rPr>
        <w:t xml:space="preserve">Table </w:t>
      </w:r>
      <w:r>
        <w:rPr>
          <w:rFonts w:eastAsiaTheme="minorHAnsi"/>
          <w:b/>
          <w:bCs/>
        </w:rPr>
        <w:t>7.1</w:t>
      </w:r>
      <w:r w:rsidR="005D589F">
        <w:rPr>
          <w:rFonts w:eastAsiaTheme="minorHAnsi"/>
          <w:b/>
          <w:bCs/>
        </w:rPr>
        <w:t>:</w:t>
      </w:r>
      <w:r w:rsidRPr="00E42C5E">
        <w:rPr>
          <w:rFonts w:eastAsiaTheme="minorHAnsi"/>
          <w:b/>
          <w:bCs/>
        </w:rPr>
        <w:tab/>
      </w:r>
      <w:r w:rsidR="000F0C9F" w:rsidRPr="00364F53">
        <w:rPr>
          <w:rFonts w:eastAsia="Times New Roman Bold" w:cs="Times New Roman Bold"/>
          <w:b/>
          <w:bCs/>
        </w:rPr>
        <w:t>Funding under Decision 91/65 by project type (till ExCom 97)</w:t>
      </w:r>
    </w:p>
    <w:p w14:paraId="304CA5CB" w14:textId="77777777" w:rsidR="000F0C9F" w:rsidRDefault="000F0C9F" w:rsidP="004E1E37">
      <w:pPr>
        <w:tabs>
          <w:tab w:val="left" w:pos="1418"/>
        </w:tabs>
        <w:spacing w:after="0"/>
        <w:ind w:left="1411" w:hanging="1411"/>
        <w:rPr>
          <w:rFonts w:eastAsia="Aptos"/>
          <w:b/>
          <w:bCs/>
          <w:color w:val="0E2841"/>
          <w:lang w:val="en-US"/>
        </w:rPr>
      </w:pPr>
    </w:p>
    <w:tbl>
      <w:tblPr>
        <w:tblStyle w:val="TableGrid"/>
        <w:tblW w:w="7660" w:type="dxa"/>
        <w:tblLook w:val="06A0" w:firstRow="1" w:lastRow="0" w:firstColumn="1" w:lastColumn="0" w:noHBand="1" w:noVBand="1"/>
      </w:tblPr>
      <w:tblGrid>
        <w:gridCol w:w="2340"/>
        <w:gridCol w:w="2430"/>
        <w:gridCol w:w="2890"/>
      </w:tblGrid>
      <w:tr w:rsidR="00857212" w:rsidRPr="00364F53" w14:paraId="3DEE6C32" w14:textId="77777777" w:rsidTr="002135B0">
        <w:trPr>
          <w:trHeight w:val="300"/>
        </w:trPr>
        <w:tc>
          <w:tcPr>
            <w:tcW w:w="2340" w:type="dxa"/>
          </w:tcPr>
          <w:p w14:paraId="1923029D" w14:textId="77777777" w:rsidR="00857212" w:rsidRPr="00364F53" w:rsidRDefault="00857212" w:rsidP="006233FA">
            <w:pPr>
              <w:spacing w:after="0"/>
              <w:rPr>
                <w:b/>
                <w:bCs/>
                <w:lang w:eastAsia="zh-CN"/>
              </w:rPr>
            </w:pPr>
            <w:r w:rsidRPr="00364F53">
              <w:rPr>
                <w:b/>
                <w:bCs/>
                <w:lang w:eastAsia="zh-CN"/>
              </w:rPr>
              <w:t>Project Type</w:t>
            </w:r>
          </w:p>
        </w:tc>
        <w:tc>
          <w:tcPr>
            <w:tcW w:w="2430" w:type="dxa"/>
            <w:vAlign w:val="center"/>
          </w:tcPr>
          <w:p w14:paraId="6F27F230" w14:textId="77777777" w:rsidR="00857212" w:rsidRPr="00364F53" w:rsidRDefault="00857212" w:rsidP="005D589F">
            <w:pPr>
              <w:spacing w:after="0"/>
              <w:jc w:val="center"/>
              <w:rPr>
                <w:rFonts w:eastAsia="Times New Roman Bold"/>
                <w:b/>
                <w:bCs/>
              </w:rPr>
            </w:pPr>
            <w:r w:rsidRPr="00364F53">
              <w:rPr>
                <w:rFonts w:eastAsia="Times New Roman Bold"/>
                <w:b/>
                <w:bCs/>
              </w:rPr>
              <w:t>Number of Projects</w:t>
            </w:r>
          </w:p>
        </w:tc>
        <w:tc>
          <w:tcPr>
            <w:tcW w:w="2890" w:type="dxa"/>
            <w:vAlign w:val="center"/>
          </w:tcPr>
          <w:p w14:paraId="6A82FB45" w14:textId="77777777" w:rsidR="00857212" w:rsidRPr="00364F53" w:rsidRDefault="00857212" w:rsidP="00CC3756">
            <w:pPr>
              <w:spacing w:after="0"/>
              <w:jc w:val="center"/>
              <w:rPr>
                <w:rFonts w:eastAsia="Times New Roman Bold"/>
                <w:b/>
                <w:bCs/>
              </w:rPr>
            </w:pPr>
            <w:r w:rsidRPr="00364F53">
              <w:rPr>
                <w:rFonts w:eastAsia="Times New Roman Bold"/>
                <w:b/>
                <w:bCs/>
              </w:rPr>
              <w:t>Funding amount, US $</w:t>
            </w:r>
          </w:p>
        </w:tc>
      </w:tr>
      <w:tr w:rsidR="00857212" w:rsidRPr="00364F53" w14:paraId="0893CB7E" w14:textId="77777777" w:rsidTr="002135B0">
        <w:trPr>
          <w:trHeight w:val="87"/>
        </w:trPr>
        <w:tc>
          <w:tcPr>
            <w:tcW w:w="2340" w:type="dxa"/>
          </w:tcPr>
          <w:p w14:paraId="7EB983BD" w14:textId="77777777" w:rsidR="00857212" w:rsidRPr="00364F53" w:rsidRDefault="00857212" w:rsidP="006233FA">
            <w:pPr>
              <w:spacing w:after="0"/>
              <w:rPr>
                <w:rFonts w:eastAsia="Times New Roman Bold"/>
              </w:rPr>
            </w:pPr>
            <w:r w:rsidRPr="00364F53">
              <w:rPr>
                <w:rFonts w:eastAsia="Times New Roman Bold"/>
              </w:rPr>
              <w:t>Demonstration</w:t>
            </w:r>
          </w:p>
        </w:tc>
        <w:tc>
          <w:tcPr>
            <w:tcW w:w="2430" w:type="dxa"/>
            <w:vAlign w:val="center"/>
          </w:tcPr>
          <w:p w14:paraId="2DFFF81A" w14:textId="77777777" w:rsidR="00857212" w:rsidRPr="00364F53" w:rsidRDefault="00857212" w:rsidP="005D589F">
            <w:pPr>
              <w:spacing w:after="0"/>
              <w:jc w:val="center"/>
              <w:rPr>
                <w:rFonts w:eastAsia="Times New Roman Bold"/>
              </w:rPr>
            </w:pPr>
            <w:r w:rsidRPr="00364F53">
              <w:rPr>
                <w:color w:val="000000"/>
                <w:lang w:eastAsia="zh-CN"/>
              </w:rPr>
              <w:t>11</w:t>
            </w:r>
          </w:p>
        </w:tc>
        <w:tc>
          <w:tcPr>
            <w:tcW w:w="2890" w:type="dxa"/>
            <w:vAlign w:val="center"/>
          </w:tcPr>
          <w:p w14:paraId="4FDDBC76" w14:textId="084F1216" w:rsidR="00857212" w:rsidRPr="00364F53" w:rsidRDefault="00857212" w:rsidP="005D589F">
            <w:pPr>
              <w:spacing w:after="0"/>
              <w:jc w:val="right"/>
              <w:rPr>
                <w:color w:val="000000"/>
              </w:rPr>
            </w:pPr>
            <w:r w:rsidRPr="25052000">
              <w:rPr>
                <w:lang w:eastAsia="zh-CN"/>
              </w:rPr>
              <w:t>4,</w:t>
            </w:r>
            <w:r w:rsidR="25052000" w:rsidRPr="25052000">
              <w:rPr>
                <w:lang w:eastAsia="zh-CN"/>
              </w:rPr>
              <w:t>774,</w:t>
            </w:r>
            <w:r w:rsidR="70981171" w:rsidRPr="70981171">
              <w:rPr>
                <w:lang w:eastAsia="zh-CN"/>
              </w:rPr>
              <w:t>743</w:t>
            </w:r>
          </w:p>
        </w:tc>
      </w:tr>
      <w:tr w:rsidR="00857212" w:rsidRPr="00364F53" w14:paraId="55724F28" w14:textId="77777777" w:rsidTr="002135B0">
        <w:trPr>
          <w:trHeight w:val="300"/>
        </w:trPr>
        <w:tc>
          <w:tcPr>
            <w:tcW w:w="2340" w:type="dxa"/>
          </w:tcPr>
          <w:p w14:paraId="28F26556" w14:textId="77777777" w:rsidR="00857212" w:rsidRPr="00364F53" w:rsidRDefault="00857212" w:rsidP="006233FA">
            <w:pPr>
              <w:spacing w:after="0"/>
              <w:rPr>
                <w:rFonts w:eastAsia="Times New Roman Bold"/>
              </w:rPr>
            </w:pPr>
            <w:r w:rsidRPr="00364F53">
              <w:rPr>
                <w:rFonts w:eastAsia="Times New Roman Bold"/>
              </w:rPr>
              <w:t>Investment</w:t>
            </w:r>
          </w:p>
        </w:tc>
        <w:tc>
          <w:tcPr>
            <w:tcW w:w="2430" w:type="dxa"/>
            <w:vAlign w:val="center"/>
          </w:tcPr>
          <w:p w14:paraId="76264F6F" w14:textId="77777777" w:rsidR="00857212" w:rsidRPr="00364F53" w:rsidRDefault="00857212" w:rsidP="005D589F">
            <w:pPr>
              <w:spacing w:after="0"/>
              <w:jc w:val="center"/>
              <w:rPr>
                <w:rFonts w:eastAsia="Times New Roman Bold"/>
              </w:rPr>
            </w:pPr>
            <w:r w:rsidRPr="00364F53">
              <w:rPr>
                <w:color w:val="000000"/>
                <w:lang w:eastAsia="zh-CN"/>
              </w:rPr>
              <w:t>18</w:t>
            </w:r>
          </w:p>
        </w:tc>
        <w:tc>
          <w:tcPr>
            <w:tcW w:w="2890" w:type="dxa"/>
            <w:vAlign w:val="center"/>
          </w:tcPr>
          <w:p w14:paraId="36C24232" w14:textId="015C4D3F" w:rsidR="00857212" w:rsidRPr="00364F53" w:rsidRDefault="00857212" w:rsidP="005D589F">
            <w:pPr>
              <w:spacing w:after="0"/>
              <w:jc w:val="right"/>
              <w:rPr>
                <w:color w:val="000000"/>
              </w:rPr>
            </w:pPr>
            <w:r w:rsidRPr="00364F53">
              <w:rPr>
                <w:color w:val="000000"/>
                <w:lang w:eastAsia="zh-CN"/>
              </w:rPr>
              <w:t>6,027,695</w:t>
            </w:r>
          </w:p>
        </w:tc>
      </w:tr>
      <w:tr w:rsidR="00857212" w:rsidRPr="00364F53" w14:paraId="3E67B07E" w14:textId="77777777" w:rsidTr="002135B0">
        <w:trPr>
          <w:trHeight w:val="300"/>
        </w:trPr>
        <w:tc>
          <w:tcPr>
            <w:tcW w:w="2340" w:type="dxa"/>
          </w:tcPr>
          <w:p w14:paraId="1D5386F4" w14:textId="77777777" w:rsidR="00857212" w:rsidRPr="00364F53" w:rsidRDefault="00857212" w:rsidP="006233FA">
            <w:pPr>
              <w:spacing w:after="0"/>
              <w:rPr>
                <w:rFonts w:eastAsia="Times New Roman Bold"/>
              </w:rPr>
            </w:pPr>
            <w:r w:rsidRPr="00364F53">
              <w:rPr>
                <w:rFonts w:eastAsia="Times New Roman Bold"/>
              </w:rPr>
              <w:t>Project Preparation</w:t>
            </w:r>
          </w:p>
        </w:tc>
        <w:tc>
          <w:tcPr>
            <w:tcW w:w="2430" w:type="dxa"/>
            <w:vAlign w:val="center"/>
          </w:tcPr>
          <w:p w14:paraId="286CF4D1" w14:textId="0A1CFF66" w:rsidR="00857212" w:rsidRPr="00364F53" w:rsidRDefault="654F78AF" w:rsidP="005D589F">
            <w:pPr>
              <w:spacing w:after="0"/>
              <w:jc w:val="center"/>
              <w:rPr>
                <w:rFonts w:eastAsia="Times New Roman Bold"/>
              </w:rPr>
            </w:pPr>
            <w:r w:rsidRPr="654F78AF">
              <w:rPr>
                <w:lang w:eastAsia="zh-CN"/>
              </w:rPr>
              <w:t>13</w:t>
            </w:r>
          </w:p>
        </w:tc>
        <w:tc>
          <w:tcPr>
            <w:tcW w:w="2890" w:type="dxa"/>
            <w:vAlign w:val="center"/>
          </w:tcPr>
          <w:p w14:paraId="76F8B5E9" w14:textId="712CFDE9" w:rsidR="00857212" w:rsidRPr="00364F53" w:rsidRDefault="2B40606B" w:rsidP="005D589F">
            <w:pPr>
              <w:spacing w:after="0" w:line="259" w:lineRule="auto"/>
              <w:jc w:val="right"/>
            </w:pPr>
            <w:r w:rsidRPr="2B40606B">
              <w:rPr>
                <w:lang w:eastAsia="zh-CN"/>
              </w:rPr>
              <w:t xml:space="preserve">474,450 </w:t>
            </w:r>
          </w:p>
        </w:tc>
      </w:tr>
      <w:tr w:rsidR="00857212" w:rsidRPr="00364F53" w14:paraId="26FC62F1" w14:textId="77777777" w:rsidTr="002135B0">
        <w:trPr>
          <w:trHeight w:val="300"/>
        </w:trPr>
        <w:tc>
          <w:tcPr>
            <w:tcW w:w="2340" w:type="dxa"/>
          </w:tcPr>
          <w:p w14:paraId="2AEAAD90" w14:textId="77777777" w:rsidR="00857212" w:rsidRPr="00364F53" w:rsidRDefault="00857212" w:rsidP="006233FA">
            <w:pPr>
              <w:spacing w:after="0"/>
              <w:rPr>
                <w:rFonts w:eastAsia="Times New Roman Bold"/>
              </w:rPr>
            </w:pPr>
            <w:r w:rsidRPr="00364F53">
              <w:rPr>
                <w:rFonts w:eastAsia="Times New Roman Bold"/>
              </w:rPr>
              <w:t>Technical Assistance</w:t>
            </w:r>
          </w:p>
        </w:tc>
        <w:tc>
          <w:tcPr>
            <w:tcW w:w="2430" w:type="dxa"/>
            <w:vAlign w:val="center"/>
          </w:tcPr>
          <w:p w14:paraId="08113459" w14:textId="77777777" w:rsidR="00857212" w:rsidRPr="00364F53" w:rsidRDefault="00857212" w:rsidP="005D589F">
            <w:pPr>
              <w:spacing w:after="0"/>
              <w:jc w:val="center"/>
              <w:rPr>
                <w:rFonts w:eastAsia="Times New Roman Bold"/>
              </w:rPr>
            </w:pPr>
            <w:r w:rsidRPr="00364F53">
              <w:rPr>
                <w:color w:val="000000"/>
                <w:lang w:eastAsia="zh-CN"/>
              </w:rPr>
              <w:t>11</w:t>
            </w:r>
          </w:p>
        </w:tc>
        <w:tc>
          <w:tcPr>
            <w:tcW w:w="2890" w:type="dxa"/>
            <w:vAlign w:val="center"/>
          </w:tcPr>
          <w:p w14:paraId="1711F54E" w14:textId="3DD9D6C9" w:rsidR="00857212" w:rsidRPr="00364F53" w:rsidRDefault="00857212" w:rsidP="005D589F">
            <w:pPr>
              <w:spacing w:after="0"/>
              <w:jc w:val="right"/>
              <w:rPr>
                <w:color w:val="000000"/>
              </w:rPr>
            </w:pPr>
            <w:r w:rsidRPr="00364F53">
              <w:rPr>
                <w:color w:val="000000"/>
                <w:lang w:eastAsia="zh-CN"/>
              </w:rPr>
              <w:t>2,353,754</w:t>
            </w:r>
          </w:p>
        </w:tc>
      </w:tr>
      <w:tr w:rsidR="00857212" w:rsidRPr="00364F53" w14:paraId="5D3D4449" w14:textId="77777777" w:rsidTr="002135B0">
        <w:trPr>
          <w:trHeight w:val="300"/>
        </w:trPr>
        <w:tc>
          <w:tcPr>
            <w:tcW w:w="2340" w:type="dxa"/>
          </w:tcPr>
          <w:p w14:paraId="3B6C7478" w14:textId="77777777" w:rsidR="00857212" w:rsidRPr="00364F53" w:rsidRDefault="00857212" w:rsidP="006233FA">
            <w:pPr>
              <w:spacing w:after="0"/>
              <w:rPr>
                <w:rFonts w:eastAsia="Times New Roman Bold"/>
              </w:rPr>
            </w:pPr>
            <w:r w:rsidRPr="00364F53">
              <w:rPr>
                <w:rFonts w:eastAsia="Times New Roman Bold"/>
              </w:rPr>
              <w:t>Total</w:t>
            </w:r>
          </w:p>
        </w:tc>
        <w:tc>
          <w:tcPr>
            <w:tcW w:w="2430" w:type="dxa"/>
            <w:vAlign w:val="center"/>
          </w:tcPr>
          <w:p w14:paraId="4ABCECEB" w14:textId="47C0CC7C" w:rsidR="00857212" w:rsidRPr="00364F53" w:rsidRDefault="654F78AF" w:rsidP="005D589F">
            <w:pPr>
              <w:spacing w:after="0"/>
              <w:jc w:val="center"/>
              <w:rPr>
                <w:rFonts w:eastAsia="Times New Roman Bold"/>
              </w:rPr>
            </w:pPr>
            <w:r w:rsidRPr="654F78AF">
              <w:rPr>
                <w:b/>
                <w:bCs/>
                <w:lang w:eastAsia="zh-CN"/>
              </w:rPr>
              <w:t>53</w:t>
            </w:r>
          </w:p>
        </w:tc>
        <w:tc>
          <w:tcPr>
            <w:tcW w:w="2890" w:type="dxa"/>
            <w:vAlign w:val="center"/>
          </w:tcPr>
          <w:p w14:paraId="4CD9DE98" w14:textId="12341990" w:rsidR="00857212" w:rsidRPr="00364F53" w:rsidRDefault="20D2D666" w:rsidP="005D589F">
            <w:pPr>
              <w:spacing w:after="0"/>
              <w:jc w:val="right"/>
              <w:rPr>
                <w:b/>
                <w:bCs/>
                <w:color w:val="000000"/>
              </w:rPr>
            </w:pPr>
            <w:r w:rsidRPr="20D2D666">
              <w:rPr>
                <w:b/>
                <w:bCs/>
                <w:lang w:eastAsia="zh-CN"/>
              </w:rPr>
              <w:t>13</w:t>
            </w:r>
            <w:r w:rsidR="00394876">
              <w:rPr>
                <w:b/>
                <w:bCs/>
                <w:lang w:eastAsia="zh-CN"/>
              </w:rPr>
              <w:t>,</w:t>
            </w:r>
            <w:r w:rsidRPr="20D2D666">
              <w:rPr>
                <w:b/>
                <w:bCs/>
                <w:lang w:eastAsia="zh-CN"/>
              </w:rPr>
              <w:t>630</w:t>
            </w:r>
            <w:r w:rsidR="00394876">
              <w:rPr>
                <w:b/>
                <w:bCs/>
                <w:lang w:eastAsia="zh-CN"/>
              </w:rPr>
              <w:t>,</w:t>
            </w:r>
            <w:r w:rsidRPr="20D2D666">
              <w:rPr>
                <w:b/>
                <w:bCs/>
                <w:lang w:eastAsia="zh-CN"/>
              </w:rPr>
              <w:t xml:space="preserve">372 </w:t>
            </w:r>
          </w:p>
        </w:tc>
      </w:tr>
    </w:tbl>
    <w:p w14:paraId="716DB556" w14:textId="77777777" w:rsidR="004E1E37" w:rsidRDefault="004E1E37" w:rsidP="00577395">
      <w:pPr>
        <w:spacing w:after="0"/>
        <w:rPr>
          <w:rFonts w:eastAsia="Times New Roman Bold" w:cs="Times New Roman Bold"/>
        </w:rPr>
      </w:pPr>
    </w:p>
    <w:p w14:paraId="075E0964" w14:textId="419DCA74" w:rsidR="00577395" w:rsidRDefault="00577395" w:rsidP="629484F5">
      <w:pPr>
        <w:spacing w:after="0" w:line="259" w:lineRule="auto"/>
        <w:rPr>
          <w:rFonts w:eastAsia="Times New Roman Bold" w:cs="Times New Roman Bold"/>
        </w:rPr>
      </w:pPr>
      <w:r w:rsidRPr="00364F53">
        <w:rPr>
          <w:rFonts w:eastAsia="Times New Roman Bold" w:cs="Times New Roman Bold"/>
        </w:rPr>
        <w:lastRenderedPageBreak/>
        <w:t xml:space="preserve">It is worth noting that only </w:t>
      </w:r>
      <w:r w:rsidR="629484F5" w:rsidRPr="629484F5">
        <w:rPr>
          <w:rFonts w:eastAsia="Times New Roman Bold" w:cs="Times New Roman Bold"/>
        </w:rPr>
        <w:t xml:space="preserve">13 </w:t>
      </w:r>
      <w:r w:rsidRPr="00364F53">
        <w:rPr>
          <w:rFonts w:eastAsia="Times New Roman Bold" w:cs="Times New Roman Bold"/>
        </w:rPr>
        <w:t xml:space="preserve">PRP were approved with 8 follow-on approved projects (2 demonstration projects, 5 investment projects, and 1 technical assistance project); the additional 32 approved projects were approved without a PRP. In addition, according to the </w:t>
      </w:r>
      <w:r w:rsidR="00013417">
        <w:rPr>
          <w:rFonts w:eastAsia="Times New Roman Bold" w:cs="Times New Roman Bold"/>
        </w:rPr>
        <w:t>BP</w:t>
      </w:r>
      <w:r w:rsidRPr="00364F53">
        <w:rPr>
          <w:rFonts w:eastAsia="Times New Roman Bold" w:cs="Times New Roman Bold"/>
        </w:rPr>
        <w:t>, there are projects worth US$</w:t>
      </w:r>
      <w:r w:rsidR="001D35CC">
        <w:rPr>
          <w:rFonts w:eastAsia="Times New Roman Bold" w:cs="Times New Roman Bold"/>
        </w:rPr>
        <w:t xml:space="preserve"> </w:t>
      </w:r>
      <w:r w:rsidR="629484F5" w:rsidRPr="629484F5">
        <w:rPr>
          <w:rFonts w:eastAsia="Times New Roman Bold" w:cs="Times New Roman Bold"/>
        </w:rPr>
        <w:t>6,149</w:t>
      </w:r>
      <w:r w:rsidRPr="00364F53">
        <w:rPr>
          <w:rFonts w:eastAsia="Times New Roman Bold" w:cs="Times New Roman Bold"/>
        </w:rPr>
        <w:t xml:space="preserve">,000 to be submitted in 2027. </w:t>
      </w:r>
    </w:p>
    <w:p w14:paraId="3D9B0776" w14:textId="77777777" w:rsidR="00577395" w:rsidRDefault="00577395" w:rsidP="00577395">
      <w:pPr>
        <w:spacing w:after="0"/>
        <w:rPr>
          <w:rFonts w:eastAsia="Times New Roman Bold" w:cs="Times New Roman Bold"/>
        </w:rPr>
      </w:pPr>
    </w:p>
    <w:p w14:paraId="7F7A144D" w14:textId="2F813FD7" w:rsidR="00577395" w:rsidRPr="00364F53" w:rsidRDefault="00577395" w:rsidP="00577395">
      <w:pPr>
        <w:spacing w:after="0"/>
        <w:rPr>
          <w:rFonts w:eastAsia="Times New Roman Bold" w:cs="Times New Roman Bold"/>
        </w:rPr>
      </w:pPr>
      <w:r w:rsidRPr="00364F53">
        <w:rPr>
          <w:rFonts w:eastAsia="Times New Roman Bold" w:cs="Times New Roman Bold"/>
        </w:rPr>
        <w:t xml:space="preserve">This pilot window proved to be a successful way for countries to integrate </w:t>
      </w:r>
      <w:r w:rsidR="00D02C1C">
        <w:rPr>
          <w:rFonts w:eastAsia="Times New Roman Bold" w:cs="Times New Roman Bold"/>
        </w:rPr>
        <w:t>EE</w:t>
      </w:r>
      <w:r w:rsidRPr="00364F53">
        <w:rPr>
          <w:rFonts w:eastAsia="Times New Roman Bold" w:cs="Times New Roman Bold"/>
        </w:rPr>
        <w:t xml:space="preserve"> in their </w:t>
      </w:r>
      <w:r w:rsidR="00FB7C66">
        <w:rPr>
          <w:rFonts w:eastAsia="Times New Roman Bold" w:cs="Times New Roman Bold"/>
        </w:rPr>
        <w:t>MP</w:t>
      </w:r>
      <w:r w:rsidRPr="00364F53">
        <w:rPr>
          <w:rFonts w:eastAsia="Times New Roman Bold" w:cs="Times New Roman Bold"/>
        </w:rPr>
        <w:t xml:space="preserve"> activities; in the initial phases of the funding window, the focus was on Demonstration projects, it was then focused on technical assistance and non-investment (still categorized as investment) projects that support countries to build capacity to maintain or enhance </w:t>
      </w:r>
      <w:r w:rsidR="00D02C1C">
        <w:rPr>
          <w:rFonts w:eastAsia="Times New Roman Bold" w:cs="Times New Roman Bold"/>
        </w:rPr>
        <w:t>EE</w:t>
      </w:r>
      <w:r w:rsidRPr="00364F53">
        <w:rPr>
          <w:rFonts w:eastAsia="Times New Roman Bold" w:cs="Times New Roman Bold"/>
        </w:rPr>
        <w:t xml:space="preserve"> while phasing down HFCs.</w:t>
      </w:r>
    </w:p>
    <w:p w14:paraId="0969D765" w14:textId="77777777" w:rsidR="00577395" w:rsidRPr="00364F53" w:rsidRDefault="00577395" w:rsidP="00577395">
      <w:pPr>
        <w:spacing w:after="0"/>
        <w:rPr>
          <w:rFonts w:eastAsia="Times New Roman Bold" w:cs="Times New Roman Bold"/>
        </w:rPr>
      </w:pPr>
    </w:p>
    <w:p w14:paraId="3C78F643" w14:textId="6A57FDE2" w:rsidR="00577395" w:rsidRDefault="00577395" w:rsidP="00577395">
      <w:pPr>
        <w:spacing w:after="0"/>
        <w:rPr>
          <w:rFonts w:eastAsia="Times New Roman Bold" w:cs="Times New Roman Bold"/>
        </w:rPr>
      </w:pPr>
      <w:r w:rsidRPr="00364F53">
        <w:rPr>
          <w:rFonts w:eastAsia="Times New Roman Bold" w:cs="Times New Roman Bold"/>
        </w:rPr>
        <w:t xml:space="preserve">The largest amount approved under </w:t>
      </w:r>
      <w:r w:rsidR="006F188A">
        <w:rPr>
          <w:rFonts w:eastAsia="Times New Roman Bold" w:cs="Times New Roman Bold"/>
        </w:rPr>
        <w:t xml:space="preserve">decision </w:t>
      </w:r>
      <w:r w:rsidRPr="00364F53">
        <w:rPr>
          <w:rFonts w:eastAsia="Times New Roman Bold" w:cs="Times New Roman Bold"/>
        </w:rPr>
        <w:t xml:space="preserve">91/65 was in </w:t>
      </w:r>
      <w:r w:rsidR="006F188A">
        <w:rPr>
          <w:rFonts w:eastAsia="Times New Roman Bold" w:cs="Times New Roman Bold"/>
        </w:rPr>
        <w:t>ExCom-93</w:t>
      </w:r>
      <w:r w:rsidRPr="00364F53">
        <w:rPr>
          <w:rFonts w:eastAsia="Times New Roman Bold" w:cs="Times New Roman Bold"/>
        </w:rPr>
        <w:t xml:space="preserve"> with US$</w:t>
      </w:r>
      <w:r w:rsidR="001D35CC">
        <w:rPr>
          <w:rFonts w:eastAsia="Times New Roman Bold" w:cs="Times New Roman Bold"/>
        </w:rPr>
        <w:t xml:space="preserve"> </w:t>
      </w:r>
      <w:r w:rsidRPr="00364F53">
        <w:rPr>
          <w:rFonts w:eastAsia="Times New Roman Bold" w:cs="Times New Roman Bold"/>
        </w:rPr>
        <w:t>4,</w:t>
      </w:r>
      <w:r w:rsidR="57C3B98B" w:rsidRPr="57C3B98B">
        <w:rPr>
          <w:rFonts w:eastAsia="Times New Roman Bold" w:cs="Times New Roman Bold"/>
        </w:rPr>
        <w:t>872,573</w:t>
      </w:r>
      <w:r w:rsidRPr="00364F53">
        <w:rPr>
          <w:rFonts w:eastAsia="Times New Roman Bold" w:cs="Times New Roman Bold"/>
        </w:rPr>
        <w:t xml:space="preserve"> that included investment and demonstration activities that are no longer eligible under this pilot EE funding window. Since then, countries have been ramping up programmatic activities that twin </w:t>
      </w:r>
      <w:r w:rsidR="00D02C1C">
        <w:rPr>
          <w:rFonts w:eastAsia="Times New Roman Bold" w:cs="Times New Roman Bold"/>
        </w:rPr>
        <w:t>EE</w:t>
      </w:r>
      <w:r w:rsidRPr="00364F53">
        <w:rPr>
          <w:rFonts w:eastAsia="Times New Roman Bold" w:cs="Times New Roman Bold"/>
        </w:rPr>
        <w:t xml:space="preserve"> with their HFC phase down commitments supported by this funding window with another record funding in </w:t>
      </w:r>
      <w:r w:rsidR="006F188A">
        <w:rPr>
          <w:rFonts w:eastAsia="Times New Roman Bold" w:cs="Times New Roman Bold"/>
        </w:rPr>
        <w:t>ExCom-97</w:t>
      </w:r>
      <w:r w:rsidRPr="00364F53">
        <w:rPr>
          <w:rFonts w:eastAsia="Times New Roman Bold" w:cs="Times New Roman Bold"/>
        </w:rPr>
        <w:t xml:space="preserve"> </w:t>
      </w:r>
      <w:r w:rsidR="002A5F60">
        <w:rPr>
          <w:rFonts w:eastAsia="Times New Roman Bold" w:cs="Times New Roman Bold"/>
        </w:rPr>
        <w:t>of</w:t>
      </w:r>
      <w:r w:rsidRPr="00364F53">
        <w:rPr>
          <w:rFonts w:eastAsia="Times New Roman Bold" w:cs="Times New Roman Bold"/>
        </w:rPr>
        <w:t xml:space="preserve"> US$ 3,384,486.</w:t>
      </w:r>
    </w:p>
    <w:p w14:paraId="5E5F2B6C" w14:textId="77777777" w:rsidR="00BA3057" w:rsidRDefault="00BA3057" w:rsidP="00577395">
      <w:pPr>
        <w:spacing w:after="0"/>
        <w:rPr>
          <w:rFonts w:eastAsia="Times New Roman Bold" w:cs="Times New Roman Bold"/>
        </w:rPr>
      </w:pPr>
    </w:p>
    <w:p w14:paraId="1889A177" w14:textId="66290588" w:rsidR="00BA3057" w:rsidRPr="00364F53" w:rsidRDefault="00BA3057" w:rsidP="00BA3057">
      <w:pPr>
        <w:spacing w:after="0"/>
        <w:rPr>
          <w:rFonts w:eastAsia="Times New Roman Bold" w:cs="Times New Roman Bold"/>
        </w:rPr>
      </w:pPr>
      <w:r w:rsidRPr="26C4EEEA">
        <w:rPr>
          <w:rFonts w:eastAsia="Times New Roman Bold" w:cs="Times New Roman Bold"/>
        </w:rPr>
        <w:t>As discuss</w:t>
      </w:r>
      <w:r w:rsidRPr="00D470A9">
        <w:rPr>
          <w:rFonts w:eastAsia="Times New Roman Bold" w:cs="Times New Roman Bold"/>
        </w:rPr>
        <w:t>ed later</w:t>
      </w:r>
      <w:r w:rsidRPr="26C4EEEA">
        <w:rPr>
          <w:rFonts w:eastAsia="Times New Roman Bold" w:cs="Times New Roman Bold"/>
        </w:rPr>
        <w:t>, funding under decision 94/60 is limited to manufacturing countries and funding unde</w:t>
      </w:r>
      <w:r w:rsidR="002A5F60">
        <w:rPr>
          <w:rFonts w:eastAsia="Times New Roman Bold" w:cs="Times New Roman Bold"/>
        </w:rPr>
        <w:t>r decision</w:t>
      </w:r>
      <w:r w:rsidRPr="26C4EEEA">
        <w:rPr>
          <w:rFonts w:eastAsia="Times New Roman Bold" w:cs="Times New Roman Bold"/>
        </w:rPr>
        <w:t xml:space="preserve"> 95/87 might not be readily accessible to LVCs. As such, this pilot window provides the means for non-manufacturing </w:t>
      </w:r>
      <w:r>
        <w:rPr>
          <w:rFonts w:eastAsia="Times New Roman Bold" w:cs="Times New Roman Bold"/>
        </w:rPr>
        <w:t>A5</w:t>
      </w:r>
      <w:r w:rsidRPr="26C4EEEA">
        <w:rPr>
          <w:rFonts w:eastAsia="Times New Roman Bold" w:cs="Times New Roman Bold"/>
        </w:rPr>
        <w:t xml:space="preserve"> countries to enable their EE activities while phasing down HFC consumption in line with Decision XXVIII/2. </w:t>
      </w:r>
    </w:p>
    <w:p w14:paraId="73040780" w14:textId="77777777" w:rsidR="00BA3057" w:rsidRPr="00364F53" w:rsidRDefault="00BA3057" w:rsidP="00BA3057">
      <w:pPr>
        <w:spacing w:after="0"/>
        <w:rPr>
          <w:rFonts w:eastAsia="Times New Roman Bold" w:cs="Times New Roman Bold"/>
        </w:rPr>
      </w:pPr>
    </w:p>
    <w:p w14:paraId="3DD89683" w14:textId="0D6DF39B" w:rsidR="00BA3057" w:rsidRPr="00364F53" w:rsidRDefault="274D2446" w:rsidP="00D470A9">
      <w:pPr>
        <w:spacing w:after="120"/>
        <w:rPr>
          <w:rFonts w:eastAsia="Times New Roman Bold" w:cs="Times New Roman Bold"/>
        </w:rPr>
      </w:pPr>
      <w:r w:rsidRPr="274D2446">
        <w:rPr>
          <w:rFonts w:eastAsia="Times New Roman Bold" w:cs="Times New Roman Bold"/>
        </w:rPr>
        <w:t xml:space="preserve">Furthermore, if we consider the </w:t>
      </w:r>
      <w:r w:rsidR="00764F0B">
        <w:rPr>
          <w:rFonts w:eastAsia="Times New Roman Bold" w:cs="Times New Roman Bold"/>
        </w:rPr>
        <w:t>BP</w:t>
      </w:r>
      <w:r w:rsidRPr="274D2446">
        <w:rPr>
          <w:rFonts w:eastAsia="Times New Roman Bold" w:cs="Times New Roman Bold"/>
        </w:rPr>
        <w:t>, projects for which PRPs have already been approved, and the committed funding in the 97</w:t>
      </w:r>
      <w:r w:rsidRPr="274D2446">
        <w:rPr>
          <w:rFonts w:eastAsia="Times New Roman Bold" w:cs="Times New Roman Bold"/>
          <w:vertAlign w:val="superscript"/>
        </w:rPr>
        <w:t>th</w:t>
      </w:r>
      <w:r w:rsidRPr="274D2446">
        <w:rPr>
          <w:rFonts w:eastAsia="Times New Roman Bold" w:cs="Times New Roman Bold"/>
        </w:rPr>
        <w:t xml:space="preserve"> ExCom, and the funding in the </w:t>
      </w:r>
      <w:r w:rsidR="00764F0B">
        <w:rPr>
          <w:rFonts w:eastAsia="Times New Roman Bold" w:cs="Times New Roman Bold"/>
        </w:rPr>
        <w:t>BP</w:t>
      </w:r>
      <w:r w:rsidRPr="274D2446">
        <w:rPr>
          <w:rFonts w:eastAsia="Times New Roman Bold" w:cs="Times New Roman Bold"/>
        </w:rPr>
        <w:t xml:space="preserve"> for 2026 and 2027, the RTF estimate the total required funding to be US$ 15,682,500 for the 2027-2029 triennium. The remaining balance in the funding window by ExCom-97 is US$ 6,369,628</w:t>
      </w:r>
      <w:r w:rsidR="00D470A9">
        <w:rPr>
          <w:rFonts w:eastAsia="Times New Roman Bold" w:cs="Times New Roman Bold"/>
        </w:rPr>
        <w:t>.</w:t>
      </w:r>
      <w:r w:rsidRPr="274D2446">
        <w:rPr>
          <w:rFonts w:eastAsia="Times New Roman Bold" w:cs="Times New Roman Bold"/>
        </w:rPr>
        <w:t xml:space="preserve"> </w:t>
      </w:r>
    </w:p>
    <w:p w14:paraId="391304D2" w14:textId="730CABB0" w:rsidR="00BA3057" w:rsidRPr="00777890" w:rsidRDefault="00BA3057" w:rsidP="00D470A9">
      <w:pPr>
        <w:pStyle w:val="ListParagraph"/>
        <w:numPr>
          <w:ilvl w:val="0"/>
          <w:numId w:val="97"/>
        </w:numPr>
        <w:spacing w:after="0" w:line="259" w:lineRule="auto"/>
        <w:rPr>
          <w:rFonts w:eastAsia="Times New Roman Bold" w:cs="Times New Roman Bold"/>
        </w:rPr>
      </w:pPr>
      <w:r w:rsidRPr="00777890">
        <w:rPr>
          <w:rFonts w:eastAsia="Times New Roman Bold" w:cs="Times New Roman Bold"/>
        </w:rPr>
        <w:t>Scenario 1: no extension/augmentation</w:t>
      </w:r>
      <w:r w:rsidR="000A09EB">
        <w:rPr>
          <w:rFonts w:eastAsia="Times New Roman Bold" w:cs="Times New Roman Bold"/>
        </w:rPr>
        <w:t>:</w:t>
      </w:r>
      <w:r w:rsidRPr="00777890">
        <w:rPr>
          <w:rFonts w:eastAsia="Times New Roman Bold" w:cs="Times New Roman Bold"/>
        </w:rPr>
        <w:t xml:space="preserve"> </w:t>
      </w:r>
      <w:r w:rsidR="7EB07061" w:rsidRPr="00777890">
        <w:rPr>
          <w:rFonts w:eastAsia="Times New Roman Bold" w:cs="Times New Roman Bold"/>
        </w:rPr>
        <w:t>In</w:t>
      </w:r>
      <w:r w:rsidR="58328F13" w:rsidRPr="00777890">
        <w:rPr>
          <w:rFonts w:eastAsia="Times New Roman Bold" w:cs="Times New Roman Bold"/>
        </w:rPr>
        <w:t xml:space="preserve"> this </w:t>
      </w:r>
      <w:r w:rsidR="7EB07061" w:rsidRPr="00777890">
        <w:rPr>
          <w:rFonts w:eastAsia="Times New Roman Bold" w:cs="Times New Roman Bold"/>
        </w:rPr>
        <w:t xml:space="preserve">scenario, the currently remaining </w:t>
      </w:r>
      <w:r w:rsidR="29C5798B" w:rsidRPr="00777890">
        <w:rPr>
          <w:rFonts w:eastAsia="Times New Roman Bold" w:cs="Times New Roman Bold"/>
        </w:rPr>
        <w:t>funds within the funding window will be</w:t>
      </w:r>
      <w:r w:rsidR="7F84DF1E" w:rsidRPr="00777890">
        <w:rPr>
          <w:rFonts w:eastAsia="Times New Roman Bold" w:cs="Times New Roman Bold"/>
        </w:rPr>
        <w:t xml:space="preserve"> exhausted on a first-come</w:t>
      </w:r>
      <w:r w:rsidR="000A09EB">
        <w:rPr>
          <w:rFonts w:eastAsia="Times New Roman Bold" w:cs="Times New Roman Bold"/>
        </w:rPr>
        <w:t>,</w:t>
      </w:r>
      <w:r w:rsidR="7F84DF1E" w:rsidRPr="00777890">
        <w:rPr>
          <w:rFonts w:eastAsia="Times New Roman Bold" w:cs="Times New Roman Bold"/>
        </w:rPr>
        <w:t xml:space="preserve"> first-</w:t>
      </w:r>
      <w:r w:rsidR="6C6A9032" w:rsidRPr="00777890">
        <w:rPr>
          <w:rFonts w:eastAsia="Times New Roman Bold" w:cs="Times New Roman Bold"/>
        </w:rPr>
        <w:t>serve</w:t>
      </w:r>
      <w:r w:rsidR="000A09EB">
        <w:rPr>
          <w:rFonts w:eastAsia="Times New Roman Bold" w:cs="Times New Roman Bold"/>
        </w:rPr>
        <w:t xml:space="preserve"> basis</w:t>
      </w:r>
      <w:r w:rsidR="6018AAC9" w:rsidRPr="00777890">
        <w:rPr>
          <w:rFonts w:eastAsia="Times New Roman Bold" w:cs="Times New Roman Bold"/>
        </w:rPr>
        <w:t>. This would require a funding of</w:t>
      </w:r>
      <w:r w:rsidR="6C6A9032" w:rsidRPr="00777890">
        <w:rPr>
          <w:rFonts w:eastAsia="Times New Roman Bold" w:cs="Times New Roman Bold"/>
        </w:rPr>
        <w:t xml:space="preserve"> US$ 6,369,</w:t>
      </w:r>
      <w:r w:rsidR="666A843F" w:rsidRPr="00777890">
        <w:rPr>
          <w:rFonts w:eastAsia="Times New Roman Bold" w:cs="Times New Roman Bold"/>
        </w:rPr>
        <w:t>628</w:t>
      </w:r>
      <w:r w:rsidR="6018AAC9" w:rsidRPr="00777890">
        <w:rPr>
          <w:rFonts w:eastAsia="Times New Roman Bold" w:cs="Times New Roman Bold"/>
        </w:rPr>
        <w:t xml:space="preserve"> </w:t>
      </w:r>
      <w:r w:rsidR="0355B195" w:rsidRPr="00777890">
        <w:rPr>
          <w:rFonts w:eastAsia="Times New Roman Bold" w:cs="Times New Roman Bold"/>
        </w:rPr>
        <w:t>in the next triennium.</w:t>
      </w:r>
    </w:p>
    <w:p w14:paraId="29ACAEFA" w14:textId="7DFD99F0" w:rsidR="00BA3057" w:rsidRPr="00075461" w:rsidRDefault="00BA3057" w:rsidP="00D470A9">
      <w:pPr>
        <w:pStyle w:val="ListParagraph"/>
        <w:numPr>
          <w:ilvl w:val="0"/>
          <w:numId w:val="97"/>
        </w:numPr>
        <w:spacing w:after="0"/>
        <w:rPr>
          <w:rFonts w:eastAsia="Times New Roman Bold" w:cs="Times New Roman Bold"/>
        </w:rPr>
      </w:pPr>
      <w:r w:rsidRPr="00777890">
        <w:rPr>
          <w:rFonts w:eastAsia="Times New Roman Bold" w:cs="Times New Roman Bold"/>
        </w:rPr>
        <w:t xml:space="preserve">Scenario 2: no extension with augmentation: </w:t>
      </w:r>
      <w:r w:rsidR="3348D9BF" w:rsidRPr="00777890">
        <w:rPr>
          <w:rFonts w:eastAsia="Times New Roman Bold" w:cs="Times New Roman Bold"/>
        </w:rPr>
        <w:t>In</w:t>
      </w:r>
      <w:r w:rsidR="0355B195" w:rsidRPr="00777890">
        <w:rPr>
          <w:rFonts w:eastAsia="Times New Roman Bold" w:cs="Times New Roman Bold"/>
        </w:rPr>
        <w:t xml:space="preserve"> this </w:t>
      </w:r>
      <w:r w:rsidR="3348D9BF" w:rsidRPr="00777890">
        <w:rPr>
          <w:rFonts w:eastAsia="Times New Roman Bold" w:cs="Times New Roman Bold"/>
        </w:rPr>
        <w:t xml:space="preserve">scenario, the ExCom </w:t>
      </w:r>
      <w:r w:rsidR="050E5125" w:rsidRPr="00777890">
        <w:rPr>
          <w:rFonts w:eastAsia="Times New Roman Bold" w:cs="Times New Roman Bold"/>
        </w:rPr>
        <w:t xml:space="preserve">may wish to augment the funding </w:t>
      </w:r>
      <w:r w:rsidR="085D0634" w:rsidRPr="00777890">
        <w:rPr>
          <w:rFonts w:eastAsia="Times New Roman Bold" w:cs="Times New Roman Bold"/>
        </w:rPr>
        <w:t xml:space="preserve">window to </w:t>
      </w:r>
      <w:r w:rsidR="6F969AAA" w:rsidRPr="00777890">
        <w:rPr>
          <w:rFonts w:eastAsia="Times New Roman Bold" w:cs="Times New Roman Bold"/>
        </w:rPr>
        <w:t>accommodate projects within</w:t>
      </w:r>
      <w:r w:rsidR="085D0634" w:rsidRPr="00777890">
        <w:rPr>
          <w:rFonts w:eastAsia="Times New Roman Bold" w:cs="Times New Roman Bold"/>
        </w:rPr>
        <w:t xml:space="preserve"> the </w:t>
      </w:r>
      <w:r w:rsidR="745DE78C" w:rsidRPr="00777890">
        <w:rPr>
          <w:rFonts w:eastAsia="Times New Roman Bold" w:cs="Times New Roman Bold"/>
        </w:rPr>
        <w:t>business plan.</w:t>
      </w:r>
      <w:r w:rsidR="6F969AAA" w:rsidRPr="00777890">
        <w:rPr>
          <w:rFonts w:eastAsia="Times New Roman Bold" w:cs="Times New Roman Bold"/>
        </w:rPr>
        <w:t xml:space="preserve"> </w:t>
      </w:r>
      <w:r w:rsidR="67EBB95A" w:rsidRPr="00777890">
        <w:rPr>
          <w:rFonts w:eastAsia="Times New Roman Bold" w:cs="Times New Roman Bold"/>
        </w:rPr>
        <w:t>This would require a funding of US</w:t>
      </w:r>
      <w:r w:rsidR="001A0125" w:rsidRPr="00777890">
        <w:rPr>
          <w:rFonts w:eastAsia="Times New Roman Bold" w:cs="Times New Roman Bold"/>
        </w:rPr>
        <w:t>$ 3</w:t>
      </w:r>
      <w:r w:rsidR="00FE41FD">
        <w:rPr>
          <w:rFonts w:eastAsia="Times New Roman Bold" w:cs="Times New Roman Bold"/>
        </w:rPr>
        <w:t>,</w:t>
      </w:r>
      <w:r w:rsidR="001A0125" w:rsidRPr="00777890">
        <w:rPr>
          <w:rFonts w:eastAsia="Times New Roman Bold" w:cs="Times New Roman Bold"/>
        </w:rPr>
        <w:t>754</w:t>
      </w:r>
      <w:r w:rsidR="00FE41FD">
        <w:rPr>
          <w:rFonts w:eastAsia="Times New Roman Bold" w:cs="Times New Roman Bold"/>
        </w:rPr>
        <w:t>,</w:t>
      </w:r>
      <w:r w:rsidR="001A0125" w:rsidRPr="00777890">
        <w:rPr>
          <w:rFonts w:eastAsia="Times New Roman Bold" w:cs="Times New Roman Bold"/>
        </w:rPr>
        <w:t>162</w:t>
      </w:r>
      <w:r w:rsidR="21F2FBB6" w:rsidRPr="00777890">
        <w:rPr>
          <w:rFonts w:eastAsia="Times New Roman Bold" w:cs="Times New Roman Bold"/>
        </w:rPr>
        <w:t xml:space="preserve"> </w:t>
      </w:r>
      <w:r w:rsidR="67EBB95A" w:rsidRPr="00777890">
        <w:rPr>
          <w:rFonts w:eastAsia="Times New Roman Bold" w:cs="Times New Roman Bold"/>
        </w:rPr>
        <w:t>in the next triennium.</w:t>
      </w:r>
    </w:p>
    <w:p w14:paraId="60C1799F" w14:textId="7DAD9744" w:rsidR="00BA3057" w:rsidRPr="00777890" w:rsidRDefault="4BCEE662" w:rsidP="4BCEE662">
      <w:pPr>
        <w:pStyle w:val="ListParagraph"/>
        <w:spacing w:after="0"/>
        <w:rPr>
          <w:rFonts w:eastAsia="Times New Roman Bold" w:cs="Times New Roman Bold"/>
        </w:rPr>
      </w:pPr>
      <w:r w:rsidRPr="4BCEE662">
        <w:rPr>
          <w:rFonts w:eastAsia="Times New Roman Bold" w:cs="Times New Roman Bold"/>
        </w:rPr>
        <w:t xml:space="preserve">Scenario 3: extension and augmentation: In this scenario, the ExCom may wish to extend the funding window to fund projects during the next triennium- US$ 9,312,872. </w:t>
      </w:r>
    </w:p>
    <w:p w14:paraId="38046910" w14:textId="77777777" w:rsidR="00BA3057" w:rsidRPr="00364F53" w:rsidRDefault="00BA3057" w:rsidP="00577395">
      <w:pPr>
        <w:spacing w:after="0"/>
        <w:rPr>
          <w:rFonts w:eastAsia="Times New Roman Bold" w:cs="Times New Roman Bold"/>
        </w:rPr>
      </w:pPr>
    </w:p>
    <w:p w14:paraId="24C8268D" w14:textId="2554B24B" w:rsidR="00BA3057" w:rsidRDefault="00BA3057" w:rsidP="002D02B7">
      <w:pPr>
        <w:pStyle w:val="Heading2"/>
      </w:pPr>
      <w:bookmarkStart w:id="292" w:name="_Toc230099127"/>
      <w:r w:rsidRPr="00C3634A">
        <w:t>7.</w:t>
      </w:r>
      <w:r>
        <w:t>4</w:t>
      </w:r>
      <w:r w:rsidRPr="00C3634A">
        <w:tab/>
      </w:r>
      <w:r>
        <w:t>Approved EE funding window in Decision 94/60</w:t>
      </w:r>
      <w:bookmarkEnd w:id="292"/>
    </w:p>
    <w:p w14:paraId="068883D1" w14:textId="3325F941" w:rsidR="00D46450" w:rsidRPr="00364F53" w:rsidRDefault="54777E4F" w:rsidP="00D46450">
      <w:pPr>
        <w:spacing w:after="0"/>
        <w:rPr>
          <w:rFonts w:eastAsia="Times New Roman Bold" w:cs="Times New Roman Bold"/>
        </w:rPr>
      </w:pPr>
      <w:r w:rsidRPr="00364F53">
        <w:rPr>
          <w:rFonts w:eastAsia="Times New Roman Bold" w:cs="Times New Roman Bold"/>
        </w:rPr>
        <w:t>Decision 94/60</w:t>
      </w:r>
      <w:r w:rsidR="00D46450" w:rsidRPr="00364F53">
        <w:rPr>
          <w:rFonts w:eastAsia="Times New Roman Bold" w:cs="Times New Roman Bold"/>
          <w:vertAlign w:val="superscript"/>
        </w:rPr>
        <w:footnoteReference w:id="74"/>
      </w:r>
      <w:r w:rsidRPr="00364F53">
        <w:rPr>
          <w:rFonts w:eastAsia="Times New Roman Bold" w:cs="Times New Roman Bold"/>
          <w:vertAlign w:val="superscript"/>
        </w:rPr>
        <w:t xml:space="preserve"> </w:t>
      </w:r>
      <w:r w:rsidRPr="00364F53">
        <w:rPr>
          <w:rFonts w:eastAsia="Times New Roman Bold" w:cs="Times New Roman Bold"/>
        </w:rPr>
        <w:t>has established a “a funding window of US$</w:t>
      </w:r>
      <w:r w:rsidR="00C431E4">
        <w:rPr>
          <w:rFonts w:eastAsia="Times New Roman Bold" w:cs="Times New Roman Bold"/>
        </w:rPr>
        <w:t xml:space="preserve"> </w:t>
      </w:r>
      <w:r w:rsidRPr="00364F53">
        <w:rPr>
          <w:rFonts w:eastAsia="Times New Roman Bold" w:cs="Times New Roman Bold"/>
        </w:rPr>
        <w:t>100 million for projects developed and implemented under the framework, subject to further augmentation by the Executive Committee</w:t>
      </w:r>
      <w:r w:rsidR="13393840">
        <w:rPr>
          <w:rFonts w:eastAsia="Times New Roman Bold" w:cs="Times New Roman Bold"/>
        </w:rPr>
        <w:t>.</w:t>
      </w:r>
      <w:r w:rsidRPr="00364F53">
        <w:rPr>
          <w:rFonts w:eastAsia="Times New Roman Bold" w:cs="Times New Roman Bold"/>
        </w:rPr>
        <w:t xml:space="preserve">” These projects focus on enhancing </w:t>
      </w:r>
      <w:r w:rsidR="00D02C1C">
        <w:rPr>
          <w:rFonts w:eastAsia="Times New Roman Bold" w:cs="Times New Roman Bold"/>
        </w:rPr>
        <w:t>EE</w:t>
      </w:r>
      <w:r w:rsidRPr="00364F53">
        <w:rPr>
          <w:rFonts w:eastAsia="Times New Roman Bold" w:cs="Times New Roman Bold"/>
        </w:rPr>
        <w:t xml:space="preserve"> when phasing down HFCs in the manufacturing of domestic refrigerators, commercial refrigeration display cabinets, commercial refrigeration chest freezers, residential air conditioners and commercial air conditioners. These activities were later extended to include compressors, heat exchangers, and heat pumps according to Decision 95/87</w:t>
      </w:r>
      <w:r w:rsidR="00D46450" w:rsidRPr="00364F53">
        <w:rPr>
          <w:rFonts w:eastAsia="Times New Roman Bold" w:cs="Times New Roman Bold"/>
          <w:vertAlign w:val="superscript"/>
        </w:rPr>
        <w:footnoteReference w:id="75"/>
      </w:r>
      <w:r w:rsidRPr="00364F53">
        <w:rPr>
          <w:rFonts w:eastAsia="Times New Roman Bold" w:cs="Times New Roman Bold"/>
        </w:rPr>
        <w:t xml:space="preserve"> paragraphs (b) and (c).</w:t>
      </w:r>
    </w:p>
    <w:p w14:paraId="3E35ACBC" w14:textId="77777777" w:rsidR="00D46450" w:rsidRPr="00364F53" w:rsidRDefault="00D46450" w:rsidP="00D46450">
      <w:pPr>
        <w:spacing w:after="0"/>
        <w:rPr>
          <w:rFonts w:eastAsia="Times New Roman Bold" w:cs="Times New Roman Bold"/>
        </w:rPr>
      </w:pPr>
    </w:p>
    <w:p w14:paraId="2C3090E6" w14:textId="128AB305" w:rsidR="00D46450" w:rsidRDefault="54777E4F" w:rsidP="00D46450">
      <w:pPr>
        <w:spacing w:after="0"/>
        <w:rPr>
          <w:rFonts w:eastAsia="Times New Roman Bold" w:cs="Times New Roman Bold"/>
        </w:rPr>
      </w:pPr>
      <w:r w:rsidRPr="222ABFFA">
        <w:rPr>
          <w:rFonts w:eastAsia="Times New Roman Bold" w:cs="Times New Roman Bold"/>
        </w:rPr>
        <w:t xml:space="preserve">To date, </w:t>
      </w:r>
      <w:r w:rsidR="00C431E4">
        <w:rPr>
          <w:rFonts w:eastAsia="Times New Roman Bold" w:cs="Times New Roman Bold"/>
        </w:rPr>
        <w:t>seven</w:t>
      </w:r>
      <w:r w:rsidRPr="222ABFFA">
        <w:rPr>
          <w:rFonts w:eastAsia="Times New Roman Bold" w:cs="Times New Roman Bold"/>
        </w:rPr>
        <w:t xml:space="preserve"> PRP were approved at a total funding level of US$</w:t>
      </w:r>
      <w:r w:rsidR="0FB09C37" w:rsidRPr="222ABFFA">
        <w:rPr>
          <w:rFonts w:eastAsia="Times New Roman Bold" w:cs="Times New Roman Bold"/>
        </w:rPr>
        <w:t xml:space="preserve"> </w:t>
      </w:r>
      <w:r w:rsidRPr="222ABFFA">
        <w:rPr>
          <w:rFonts w:eastAsia="Times New Roman Bold" w:cs="Times New Roman Bold"/>
        </w:rPr>
        <w:t xml:space="preserve">358,450 for </w:t>
      </w:r>
      <w:r w:rsidR="00C431E4">
        <w:rPr>
          <w:rFonts w:eastAsia="Times New Roman Bold" w:cs="Times New Roman Bold"/>
        </w:rPr>
        <w:t>seven</w:t>
      </w:r>
      <w:r w:rsidRPr="222ABFFA">
        <w:rPr>
          <w:rFonts w:eastAsia="Times New Roman Bold" w:cs="Times New Roman Bold"/>
        </w:rPr>
        <w:t xml:space="preserve"> countries and </w:t>
      </w:r>
      <w:r w:rsidR="00595BC4">
        <w:rPr>
          <w:rFonts w:eastAsia="Times New Roman Bold" w:cs="Times New Roman Bold"/>
        </w:rPr>
        <w:t>five</w:t>
      </w:r>
      <w:r w:rsidRPr="222ABFFA">
        <w:rPr>
          <w:rFonts w:eastAsia="Times New Roman Bold" w:cs="Times New Roman Bold"/>
        </w:rPr>
        <w:t xml:space="preserve"> investment projects for country-wide industry conversion projects at a total funding level of US$</w:t>
      </w:r>
      <w:r w:rsidR="0FB09C37" w:rsidRPr="222ABFFA">
        <w:rPr>
          <w:rFonts w:eastAsia="Times New Roman Bold" w:cs="Times New Roman Bold"/>
        </w:rPr>
        <w:t xml:space="preserve"> </w:t>
      </w:r>
      <w:r w:rsidRPr="222ABFFA">
        <w:rPr>
          <w:rFonts w:eastAsia="Times New Roman Bold" w:cs="Times New Roman Bold"/>
        </w:rPr>
        <w:t xml:space="preserve">21,675,350 for </w:t>
      </w:r>
      <w:r w:rsidR="00595BC4">
        <w:rPr>
          <w:rFonts w:eastAsia="Times New Roman Bold" w:cs="Times New Roman Bold"/>
        </w:rPr>
        <w:t>four</w:t>
      </w:r>
      <w:r w:rsidRPr="222ABFFA">
        <w:rPr>
          <w:rFonts w:eastAsia="Times New Roman Bold" w:cs="Times New Roman Bold"/>
        </w:rPr>
        <w:t xml:space="preserve"> countries (Table 7.2). It is also worth noting that this decision is limited to </w:t>
      </w:r>
      <w:r w:rsidR="246A08A7" w:rsidRPr="222ABFFA">
        <w:rPr>
          <w:rFonts w:eastAsia="Times New Roman Bold" w:cs="Times New Roman Bold"/>
        </w:rPr>
        <w:t xml:space="preserve">about </w:t>
      </w:r>
      <w:r w:rsidR="246A08A7" w:rsidRPr="222ABFFA">
        <w:rPr>
          <w:rFonts w:eastAsia="Times New Roman Bold" w:cs="Times New Roman Bold"/>
        </w:rPr>
        <w:lastRenderedPageBreak/>
        <w:t xml:space="preserve">35 </w:t>
      </w:r>
      <w:r w:rsidRPr="222ABFFA">
        <w:rPr>
          <w:rFonts w:eastAsia="Times New Roman Bold" w:cs="Times New Roman Bold"/>
        </w:rPr>
        <w:t xml:space="preserve">manufacturing </w:t>
      </w:r>
      <w:r w:rsidR="548BBB9B" w:rsidRPr="548BBB9B">
        <w:rPr>
          <w:rFonts w:eastAsia="Times New Roman Bold" w:cs="Times New Roman Bold"/>
        </w:rPr>
        <w:t>countries, and</w:t>
      </w:r>
      <w:r w:rsidRPr="222ABFFA">
        <w:rPr>
          <w:rFonts w:eastAsia="Times New Roman Bold" w:cs="Times New Roman Bold"/>
        </w:rPr>
        <w:t xml:space="preserve"> that the remaining A5 parties will not be able to access funding from this window for enabling EE activities. </w:t>
      </w:r>
    </w:p>
    <w:p w14:paraId="7792CF71" w14:textId="77777777" w:rsidR="00D46450" w:rsidRDefault="00D46450" w:rsidP="00D46450">
      <w:pPr>
        <w:spacing w:after="0"/>
        <w:rPr>
          <w:rFonts w:eastAsia="Times New Roman Bold" w:cs="Times New Roman Bold"/>
        </w:rPr>
      </w:pPr>
    </w:p>
    <w:p w14:paraId="1877582E" w14:textId="47EC71B6" w:rsidR="00D46450" w:rsidRDefault="00D46450" w:rsidP="002135B0">
      <w:pPr>
        <w:tabs>
          <w:tab w:val="left" w:pos="1134"/>
        </w:tabs>
        <w:spacing w:after="0"/>
        <w:ind w:left="1412" w:hanging="1412"/>
        <w:rPr>
          <w:rFonts w:eastAsia="Times New Roman Bold" w:cs="Times New Roman Bold"/>
          <w:b/>
          <w:bCs/>
        </w:rPr>
      </w:pPr>
      <w:r w:rsidRPr="00E42C5E">
        <w:rPr>
          <w:rFonts w:eastAsiaTheme="minorHAnsi"/>
          <w:b/>
          <w:bCs/>
        </w:rPr>
        <w:t xml:space="preserve">Table </w:t>
      </w:r>
      <w:r>
        <w:rPr>
          <w:rFonts w:eastAsiaTheme="minorHAnsi"/>
          <w:b/>
          <w:bCs/>
        </w:rPr>
        <w:t>7.2</w:t>
      </w:r>
      <w:r w:rsidR="006D7113">
        <w:rPr>
          <w:rFonts w:eastAsiaTheme="minorHAnsi"/>
          <w:b/>
          <w:bCs/>
        </w:rPr>
        <w:t>:</w:t>
      </w:r>
      <w:r w:rsidRPr="00E42C5E">
        <w:rPr>
          <w:rFonts w:eastAsiaTheme="minorHAnsi"/>
          <w:b/>
          <w:bCs/>
        </w:rPr>
        <w:tab/>
      </w:r>
      <w:r w:rsidR="004F79DE" w:rsidRPr="00364F53">
        <w:rPr>
          <w:rFonts w:eastAsia="Times New Roman Bold" w:cs="Times New Roman Bold"/>
          <w:b/>
          <w:bCs/>
        </w:rPr>
        <w:t>Approved funding under window 94/60 including support costs (through ExCom 97)</w:t>
      </w:r>
    </w:p>
    <w:p w14:paraId="70AFD797" w14:textId="77777777" w:rsidR="004F79DE" w:rsidRDefault="004F79DE" w:rsidP="004F79DE">
      <w:pPr>
        <w:tabs>
          <w:tab w:val="left" w:pos="1418"/>
        </w:tabs>
        <w:spacing w:after="0"/>
        <w:ind w:left="1411" w:hanging="1411"/>
        <w:rPr>
          <w:rFonts w:eastAsia="Times New Roman Bold" w:cs="Times New Roman Bold"/>
        </w:rPr>
      </w:pPr>
    </w:p>
    <w:tbl>
      <w:tblPr>
        <w:tblStyle w:val="TableGrid"/>
        <w:tblW w:w="5000" w:type="pct"/>
        <w:tblLook w:val="06A0" w:firstRow="1" w:lastRow="0" w:firstColumn="1" w:lastColumn="0" w:noHBand="1" w:noVBand="1"/>
      </w:tblPr>
      <w:tblGrid>
        <w:gridCol w:w="2658"/>
        <w:gridCol w:w="832"/>
        <w:gridCol w:w="1459"/>
        <w:gridCol w:w="800"/>
        <w:gridCol w:w="1764"/>
        <w:gridCol w:w="1561"/>
      </w:tblGrid>
      <w:tr w:rsidR="004A47D9" w:rsidRPr="00CD1C5C" w14:paraId="7C349467" w14:textId="77777777" w:rsidTr="002135B0">
        <w:trPr>
          <w:trHeight w:val="300"/>
        </w:trPr>
        <w:tc>
          <w:tcPr>
            <w:tcW w:w="1464" w:type="pct"/>
            <w:shd w:val="clear" w:color="auto" w:fill="D9E2F3" w:themeFill="accent1" w:themeFillTint="33"/>
          </w:tcPr>
          <w:p w14:paraId="7BD189C0" w14:textId="77777777" w:rsidR="004A47D9" w:rsidRPr="00CD1C5C" w:rsidRDefault="004A47D9" w:rsidP="006233FA">
            <w:pPr>
              <w:spacing w:after="0"/>
              <w:rPr>
                <w:rFonts w:ascii="Calibri" w:hAnsi="Calibri"/>
                <w:lang w:eastAsia="zh-CN"/>
              </w:rPr>
            </w:pPr>
          </w:p>
        </w:tc>
        <w:tc>
          <w:tcPr>
            <w:tcW w:w="458" w:type="pct"/>
            <w:shd w:val="clear" w:color="auto" w:fill="D9E2F3" w:themeFill="accent1" w:themeFillTint="33"/>
            <w:vAlign w:val="center"/>
          </w:tcPr>
          <w:p w14:paraId="309E913F" w14:textId="77777777" w:rsidR="004A47D9" w:rsidRPr="00CD1C5C" w:rsidRDefault="004A47D9" w:rsidP="002135B0">
            <w:pPr>
              <w:spacing w:after="0"/>
              <w:jc w:val="center"/>
              <w:rPr>
                <w:rFonts w:eastAsia="Times New Roman Bold" w:cs="Times New Roman Bold"/>
                <w:b/>
                <w:bCs/>
              </w:rPr>
            </w:pPr>
            <w:r w:rsidRPr="00CD1C5C">
              <w:rPr>
                <w:rFonts w:eastAsia="Times New Roman Bold" w:cs="Times New Roman Bold"/>
                <w:b/>
                <w:bCs/>
              </w:rPr>
              <w:t>PRP</w:t>
            </w:r>
          </w:p>
        </w:tc>
        <w:tc>
          <w:tcPr>
            <w:tcW w:w="804" w:type="pct"/>
            <w:shd w:val="clear" w:color="auto" w:fill="D9E2F3" w:themeFill="accent1" w:themeFillTint="33"/>
            <w:vAlign w:val="center"/>
          </w:tcPr>
          <w:p w14:paraId="4E36F986" w14:textId="6E1F8877" w:rsidR="004A47D9" w:rsidRPr="00CD1C5C" w:rsidRDefault="1058BD80" w:rsidP="00CC3756">
            <w:pPr>
              <w:spacing w:after="0"/>
              <w:jc w:val="center"/>
              <w:rPr>
                <w:rFonts w:eastAsia="Times New Roman Bold" w:cs="Times New Roman Bold"/>
                <w:b/>
                <w:bCs/>
              </w:rPr>
            </w:pPr>
            <w:r w:rsidRPr="00CD1C5C">
              <w:rPr>
                <w:rFonts w:eastAsia="Times New Roman Bold" w:cs="Times New Roman Bold"/>
                <w:b/>
                <w:bCs/>
              </w:rPr>
              <w:t>PRP Cost (US$)</w:t>
            </w:r>
          </w:p>
        </w:tc>
        <w:tc>
          <w:tcPr>
            <w:tcW w:w="441" w:type="pct"/>
            <w:shd w:val="clear" w:color="auto" w:fill="D9E2F3" w:themeFill="accent1" w:themeFillTint="33"/>
            <w:vAlign w:val="center"/>
          </w:tcPr>
          <w:p w14:paraId="2E0F6924" w14:textId="77777777" w:rsidR="004A47D9" w:rsidRPr="00CD1C5C" w:rsidRDefault="1058BD80" w:rsidP="00CC3756">
            <w:pPr>
              <w:spacing w:after="0"/>
              <w:jc w:val="center"/>
              <w:rPr>
                <w:rFonts w:eastAsia="Times New Roman Bold" w:cs="Times New Roman Bold"/>
                <w:b/>
                <w:bCs/>
              </w:rPr>
            </w:pPr>
            <w:r w:rsidRPr="00CD1C5C">
              <w:rPr>
                <w:rFonts w:eastAsia="Times New Roman Bold" w:cs="Times New Roman Bold"/>
                <w:b/>
                <w:bCs/>
              </w:rPr>
              <w:t>INV</w:t>
            </w:r>
          </w:p>
        </w:tc>
        <w:tc>
          <w:tcPr>
            <w:tcW w:w="972" w:type="pct"/>
            <w:shd w:val="clear" w:color="auto" w:fill="D9E2F3" w:themeFill="accent1" w:themeFillTint="33"/>
            <w:vAlign w:val="center"/>
          </w:tcPr>
          <w:p w14:paraId="20414D4B" w14:textId="2FED2817" w:rsidR="004A47D9" w:rsidRPr="00CD1C5C" w:rsidRDefault="1058BD80" w:rsidP="00CC3756">
            <w:pPr>
              <w:spacing w:after="0"/>
              <w:jc w:val="center"/>
              <w:rPr>
                <w:rFonts w:eastAsia="Times New Roman Bold" w:cs="Times New Roman Bold"/>
                <w:b/>
                <w:bCs/>
              </w:rPr>
            </w:pPr>
            <w:r w:rsidRPr="00CD1C5C">
              <w:rPr>
                <w:rFonts w:eastAsia="Times New Roman Bold" w:cs="Times New Roman Bold"/>
                <w:b/>
                <w:bCs/>
              </w:rPr>
              <w:t>INV Cost (US$)</w:t>
            </w:r>
          </w:p>
        </w:tc>
        <w:tc>
          <w:tcPr>
            <w:tcW w:w="860" w:type="pct"/>
            <w:shd w:val="clear" w:color="auto" w:fill="D9E2F3" w:themeFill="accent1" w:themeFillTint="33"/>
            <w:vAlign w:val="center"/>
          </w:tcPr>
          <w:p w14:paraId="043EE71A" w14:textId="1BFA9F3F" w:rsidR="004A47D9" w:rsidRPr="00CD1C5C" w:rsidRDefault="1058BD80" w:rsidP="00CC3756">
            <w:pPr>
              <w:spacing w:after="0"/>
              <w:jc w:val="center"/>
              <w:rPr>
                <w:rFonts w:eastAsia="Times New Roman Bold" w:cs="Times New Roman Bold"/>
                <w:b/>
                <w:bCs/>
              </w:rPr>
            </w:pPr>
            <w:r w:rsidRPr="00CD1C5C">
              <w:rPr>
                <w:rFonts w:eastAsia="Times New Roman Bold" w:cs="Times New Roman Bold"/>
                <w:b/>
                <w:bCs/>
              </w:rPr>
              <w:t>Total Cost (US$)</w:t>
            </w:r>
          </w:p>
        </w:tc>
      </w:tr>
      <w:tr w:rsidR="004A47D9" w:rsidRPr="00CD1C5C" w14:paraId="0818FEF6" w14:textId="77777777" w:rsidTr="002135B0">
        <w:trPr>
          <w:trHeight w:val="300"/>
        </w:trPr>
        <w:tc>
          <w:tcPr>
            <w:tcW w:w="1464" w:type="pct"/>
          </w:tcPr>
          <w:p w14:paraId="082E29F5" w14:textId="77777777" w:rsidR="004A47D9" w:rsidRPr="00CD1C5C" w:rsidRDefault="004A47D9" w:rsidP="006233FA">
            <w:pPr>
              <w:spacing w:after="0"/>
              <w:rPr>
                <w:lang w:eastAsia="zh-CN"/>
              </w:rPr>
            </w:pPr>
            <w:r w:rsidRPr="00CD1C5C">
              <w:rPr>
                <w:lang w:eastAsia="zh-CN"/>
              </w:rPr>
              <w:t>Air conditioning</w:t>
            </w:r>
          </w:p>
        </w:tc>
        <w:tc>
          <w:tcPr>
            <w:tcW w:w="458" w:type="pct"/>
            <w:vAlign w:val="center"/>
          </w:tcPr>
          <w:p w14:paraId="6E0C5D44" w14:textId="77777777" w:rsidR="004A47D9" w:rsidRPr="00CD1C5C" w:rsidRDefault="004A47D9" w:rsidP="006D7113">
            <w:pPr>
              <w:spacing w:after="0"/>
              <w:jc w:val="right"/>
              <w:rPr>
                <w:lang w:eastAsia="zh-CN"/>
              </w:rPr>
            </w:pPr>
            <w:r w:rsidRPr="00CD1C5C">
              <w:rPr>
                <w:lang w:eastAsia="zh-CN"/>
              </w:rPr>
              <w:t>2</w:t>
            </w:r>
          </w:p>
        </w:tc>
        <w:tc>
          <w:tcPr>
            <w:tcW w:w="804" w:type="pct"/>
            <w:vAlign w:val="center"/>
          </w:tcPr>
          <w:p w14:paraId="6B62DB8F" w14:textId="3AB21C6B" w:rsidR="004A47D9" w:rsidRPr="00CD1C5C" w:rsidRDefault="1058BD80" w:rsidP="006D7113">
            <w:pPr>
              <w:spacing w:after="0"/>
              <w:jc w:val="right"/>
              <w:rPr>
                <w:lang w:eastAsia="zh-CN"/>
              </w:rPr>
            </w:pPr>
            <w:r w:rsidRPr="00CD1C5C">
              <w:rPr>
                <w:lang w:eastAsia="zh-CN"/>
              </w:rPr>
              <w:t xml:space="preserve">77,040 </w:t>
            </w:r>
          </w:p>
        </w:tc>
        <w:tc>
          <w:tcPr>
            <w:tcW w:w="441" w:type="pct"/>
            <w:vAlign w:val="center"/>
          </w:tcPr>
          <w:p w14:paraId="4A8DDF7B" w14:textId="77777777" w:rsidR="004A47D9" w:rsidRPr="00CD1C5C" w:rsidRDefault="1058BD80" w:rsidP="002135B0">
            <w:pPr>
              <w:spacing w:after="0"/>
              <w:jc w:val="right"/>
              <w:rPr>
                <w:lang w:eastAsia="zh-CN"/>
              </w:rPr>
            </w:pPr>
            <w:r w:rsidRPr="00CD1C5C">
              <w:rPr>
                <w:lang w:eastAsia="zh-CN"/>
              </w:rPr>
              <w:t>1</w:t>
            </w:r>
          </w:p>
        </w:tc>
        <w:tc>
          <w:tcPr>
            <w:tcW w:w="972" w:type="pct"/>
            <w:vAlign w:val="center"/>
          </w:tcPr>
          <w:p w14:paraId="3FC34621" w14:textId="5DF90318" w:rsidR="004A47D9" w:rsidRPr="00CD1C5C" w:rsidRDefault="1058BD80" w:rsidP="006D7113">
            <w:pPr>
              <w:spacing w:after="0"/>
              <w:jc w:val="right"/>
              <w:rPr>
                <w:lang w:eastAsia="zh-CN"/>
              </w:rPr>
            </w:pPr>
            <w:r w:rsidRPr="00CD1C5C">
              <w:rPr>
                <w:lang w:eastAsia="zh-CN"/>
              </w:rPr>
              <w:t xml:space="preserve">1,441,675 </w:t>
            </w:r>
          </w:p>
        </w:tc>
        <w:tc>
          <w:tcPr>
            <w:tcW w:w="860" w:type="pct"/>
            <w:vAlign w:val="center"/>
          </w:tcPr>
          <w:p w14:paraId="41662EAA" w14:textId="34F8A1D6" w:rsidR="004A47D9" w:rsidRPr="00CD1C5C" w:rsidRDefault="1058BD80" w:rsidP="006D7113">
            <w:pPr>
              <w:spacing w:after="0"/>
              <w:jc w:val="right"/>
              <w:rPr>
                <w:lang w:eastAsia="zh-CN"/>
              </w:rPr>
            </w:pPr>
            <w:r w:rsidRPr="00CD1C5C">
              <w:rPr>
                <w:lang w:eastAsia="zh-CN"/>
              </w:rPr>
              <w:t xml:space="preserve">1,518,715 </w:t>
            </w:r>
          </w:p>
        </w:tc>
      </w:tr>
      <w:tr w:rsidR="004A47D9" w:rsidRPr="00CD1C5C" w14:paraId="68C242F3" w14:textId="77777777" w:rsidTr="002135B0">
        <w:trPr>
          <w:trHeight w:val="300"/>
        </w:trPr>
        <w:tc>
          <w:tcPr>
            <w:tcW w:w="1464" w:type="pct"/>
          </w:tcPr>
          <w:p w14:paraId="41F9D69E" w14:textId="77777777" w:rsidR="004A47D9" w:rsidRPr="00CD1C5C" w:rsidRDefault="004A47D9" w:rsidP="006233FA">
            <w:pPr>
              <w:spacing w:after="0"/>
              <w:rPr>
                <w:lang w:eastAsia="zh-CN"/>
              </w:rPr>
            </w:pPr>
            <w:r w:rsidRPr="00CD1C5C">
              <w:rPr>
                <w:lang w:eastAsia="zh-CN"/>
              </w:rPr>
              <w:t>Commercial</w:t>
            </w:r>
          </w:p>
        </w:tc>
        <w:tc>
          <w:tcPr>
            <w:tcW w:w="458" w:type="pct"/>
            <w:vAlign w:val="center"/>
          </w:tcPr>
          <w:p w14:paraId="28AB4E88" w14:textId="77777777" w:rsidR="004A47D9" w:rsidRPr="00CD1C5C" w:rsidRDefault="004A47D9" w:rsidP="002135B0">
            <w:pPr>
              <w:spacing w:after="0"/>
              <w:jc w:val="right"/>
              <w:rPr>
                <w:rFonts w:ascii="Calibri" w:hAnsi="Calibri"/>
                <w:lang w:eastAsia="zh-CN"/>
              </w:rPr>
            </w:pPr>
          </w:p>
        </w:tc>
        <w:tc>
          <w:tcPr>
            <w:tcW w:w="804" w:type="pct"/>
            <w:vAlign w:val="center"/>
          </w:tcPr>
          <w:p w14:paraId="4EF076CC" w14:textId="77777777" w:rsidR="004A47D9" w:rsidRPr="00CD1C5C" w:rsidRDefault="004A47D9" w:rsidP="006D7113">
            <w:pPr>
              <w:spacing w:after="0"/>
              <w:jc w:val="right"/>
              <w:rPr>
                <w:rFonts w:ascii="Calibri" w:hAnsi="Calibri"/>
                <w:lang w:eastAsia="zh-CN"/>
              </w:rPr>
            </w:pPr>
          </w:p>
        </w:tc>
        <w:tc>
          <w:tcPr>
            <w:tcW w:w="441" w:type="pct"/>
            <w:vAlign w:val="center"/>
          </w:tcPr>
          <w:p w14:paraId="7A0A3D35" w14:textId="77777777" w:rsidR="004A47D9" w:rsidRPr="00CD1C5C" w:rsidRDefault="1058BD80" w:rsidP="002135B0">
            <w:pPr>
              <w:spacing w:after="0"/>
              <w:jc w:val="right"/>
              <w:rPr>
                <w:lang w:eastAsia="zh-CN"/>
              </w:rPr>
            </w:pPr>
            <w:r w:rsidRPr="00CD1C5C">
              <w:rPr>
                <w:lang w:eastAsia="zh-CN"/>
              </w:rPr>
              <w:t>1</w:t>
            </w:r>
          </w:p>
        </w:tc>
        <w:tc>
          <w:tcPr>
            <w:tcW w:w="972" w:type="pct"/>
            <w:vAlign w:val="center"/>
          </w:tcPr>
          <w:p w14:paraId="75DB16EE" w14:textId="41655AB8" w:rsidR="004A47D9" w:rsidRPr="00CD1C5C" w:rsidRDefault="1058BD80" w:rsidP="006D7113">
            <w:pPr>
              <w:spacing w:after="0"/>
              <w:jc w:val="right"/>
              <w:rPr>
                <w:lang w:eastAsia="zh-CN"/>
              </w:rPr>
            </w:pPr>
            <w:r w:rsidRPr="00CD1C5C">
              <w:rPr>
                <w:lang w:eastAsia="zh-CN"/>
              </w:rPr>
              <w:t xml:space="preserve">444,787 </w:t>
            </w:r>
          </w:p>
        </w:tc>
        <w:tc>
          <w:tcPr>
            <w:tcW w:w="860" w:type="pct"/>
            <w:vAlign w:val="center"/>
          </w:tcPr>
          <w:p w14:paraId="710BB240" w14:textId="685625B9" w:rsidR="004A47D9" w:rsidRPr="00CD1C5C" w:rsidRDefault="1058BD80" w:rsidP="006D7113">
            <w:pPr>
              <w:spacing w:after="0"/>
              <w:jc w:val="right"/>
              <w:rPr>
                <w:lang w:eastAsia="zh-CN"/>
              </w:rPr>
            </w:pPr>
            <w:r w:rsidRPr="00CD1C5C">
              <w:rPr>
                <w:lang w:eastAsia="zh-CN"/>
              </w:rPr>
              <w:t xml:space="preserve">444,787 </w:t>
            </w:r>
          </w:p>
        </w:tc>
      </w:tr>
      <w:tr w:rsidR="004A47D9" w:rsidRPr="00CD1C5C" w14:paraId="17A24947" w14:textId="77777777" w:rsidTr="002135B0">
        <w:trPr>
          <w:trHeight w:val="300"/>
        </w:trPr>
        <w:tc>
          <w:tcPr>
            <w:tcW w:w="1464" w:type="pct"/>
          </w:tcPr>
          <w:p w14:paraId="7F8F4E4C" w14:textId="77777777" w:rsidR="004A47D9" w:rsidRPr="00CD1C5C" w:rsidRDefault="004A47D9" w:rsidP="006233FA">
            <w:pPr>
              <w:spacing w:after="0"/>
              <w:rPr>
                <w:lang w:eastAsia="zh-CN"/>
              </w:rPr>
            </w:pPr>
            <w:r w:rsidRPr="00CD1C5C">
              <w:rPr>
                <w:lang w:eastAsia="zh-CN"/>
              </w:rPr>
              <w:t>Compressor</w:t>
            </w:r>
          </w:p>
        </w:tc>
        <w:tc>
          <w:tcPr>
            <w:tcW w:w="458" w:type="pct"/>
            <w:vAlign w:val="center"/>
          </w:tcPr>
          <w:p w14:paraId="37BBBAA3" w14:textId="77777777" w:rsidR="004A47D9" w:rsidRPr="00CD1C5C" w:rsidRDefault="004A47D9" w:rsidP="002135B0">
            <w:pPr>
              <w:spacing w:after="0"/>
              <w:jc w:val="right"/>
              <w:rPr>
                <w:rFonts w:ascii="Calibri" w:hAnsi="Calibri"/>
                <w:lang w:eastAsia="zh-CN"/>
              </w:rPr>
            </w:pPr>
          </w:p>
        </w:tc>
        <w:tc>
          <w:tcPr>
            <w:tcW w:w="804" w:type="pct"/>
            <w:vAlign w:val="center"/>
          </w:tcPr>
          <w:p w14:paraId="37F3D0F6" w14:textId="77777777" w:rsidR="004A47D9" w:rsidRPr="00CD1C5C" w:rsidRDefault="004A47D9" w:rsidP="006D7113">
            <w:pPr>
              <w:spacing w:after="0"/>
              <w:jc w:val="right"/>
              <w:rPr>
                <w:rFonts w:ascii="Calibri" w:hAnsi="Calibri"/>
                <w:lang w:eastAsia="zh-CN"/>
              </w:rPr>
            </w:pPr>
          </w:p>
        </w:tc>
        <w:tc>
          <w:tcPr>
            <w:tcW w:w="441" w:type="pct"/>
            <w:vAlign w:val="center"/>
          </w:tcPr>
          <w:p w14:paraId="1FA44DBA" w14:textId="77777777" w:rsidR="004A47D9" w:rsidRPr="00CD1C5C" w:rsidRDefault="1058BD80" w:rsidP="002135B0">
            <w:pPr>
              <w:spacing w:after="0"/>
              <w:jc w:val="right"/>
              <w:rPr>
                <w:lang w:eastAsia="zh-CN"/>
              </w:rPr>
            </w:pPr>
            <w:r w:rsidRPr="00CD1C5C">
              <w:rPr>
                <w:lang w:eastAsia="zh-CN"/>
              </w:rPr>
              <w:t>1</w:t>
            </w:r>
          </w:p>
        </w:tc>
        <w:tc>
          <w:tcPr>
            <w:tcW w:w="972" w:type="pct"/>
            <w:vAlign w:val="center"/>
          </w:tcPr>
          <w:p w14:paraId="7D46A2AC" w14:textId="4BF22517" w:rsidR="004A47D9" w:rsidRPr="00CD1C5C" w:rsidRDefault="1058BD80" w:rsidP="006D7113">
            <w:pPr>
              <w:spacing w:after="0"/>
              <w:jc w:val="right"/>
              <w:rPr>
                <w:lang w:eastAsia="zh-CN"/>
              </w:rPr>
            </w:pPr>
            <w:r w:rsidRPr="00CD1C5C">
              <w:rPr>
                <w:lang w:eastAsia="zh-CN"/>
              </w:rPr>
              <w:t xml:space="preserve">1,343,118 </w:t>
            </w:r>
          </w:p>
        </w:tc>
        <w:tc>
          <w:tcPr>
            <w:tcW w:w="860" w:type="pct"/>
            <w:vAlign w:val="center"/>
          </w:tcPr>
          <w:p w14:paraId="19DB92FA" w14:textId="2385B900" w:rsidR="004A47D9" w:rsidRPr="00CD1C5C" w:rsidRDefault="1058BD80" w:rsidP="006D7113">
            <w:pPr>
              <w:spacing w:after="0"/>
              <w:jc w:val="right"/>
              <w:rPr>
                <w:lang w:eastAsia="zh-CN"/>
              </w:rPr>
            </w:pPr>
            <w:r w:rsidRPr="00CD1C5C">
              <w:rPr>
                <w:lang w:eastAsia="zh-CN"/>
              </w:rPr>
              <w:t xml:space="preserve">1,343,118 </w:t>
            </w:r>
          </w:p>
        </w:tc>
      </w:tr>
      <w:tr w:rsidR="004A47D9" w:rsidRPr="00CD1C5C" w14:paraId="43870E1C" w14:textId="77777777" w:rsidTr="002135B0">
        <w:trPr>
          <w:trHeight w:val="300"/>
        </w:trPr>
        <w:tc>
          <w:tcPr>
            <w:tcW w:w="1464" w:type="pct"/>
          </w:tcPr>
          <w:p w14:paraId="47E1F512" w14:textId="77777777" w:rsidR="004A47D9" w:rsidRPr="00CD1C5C" w:rsidRDefault="004A47D9" w:rsidP="006233FA">
            <w:pPr>
              <w:spacing w:after="0"/>
              <w:rPr>
                <w:lang w:eastAsia="zh-CN"/>
              </w:rPr>
            </w:pPr>
            <w:r w:rsidRPr="00CD1C5C">
              <w:rPr>
                <w:lang w:eastAsia="zh-CN"/>
              </w:rPr>
              <w:t>Domestic</w:t>
            </w:r>
          </w:p>
        </w:tc>
        <w:tc>
          <w:tcPr>
            <w:tcW w:w="458" w:type="pct"/>
            <w:vAlign w:val="center"/>
          </w:tcPr>
          <w:p w14:paraId="428389EE" w14:textId="77777777" w:rsidR="004A47D9" w:rsidRPr="00CD1C5C" w:rsidRDefault="004A47D9" w:rsidP="006D7113">
            <w:pPr>
              <w:spacing w:after="0"/>
              <w:jc w:val="right"/>
              <w:rPr>
                <w:lang w:eastAsia="zh-CN"/>
              </w:rPr>
            </w:pPr>
            <w:r w:rsidRPr="00CD1C5C">
              <w:rPr>
                <w:lang w:eastAsia="zh-CN"/>
              </w:rPr>
              <w:t>2</w:t>
            </w:r>
          </w:p>
        </w:tc>
        <w:tc>
          <w:tcPr>
            <w:tcW w:w="804" w:type="pct"/>
            <w:vAlign w:val="center"/>
          </w:tcPr>
          <w:p w14:paraId="4B4F59DC" w14:textId="5C170014" w:rsidR="004A47D9" w:rsidRPr="00CD1C5C" w:rsidRDefault="1058BD80" w:rsidP="006D7113">
            <w:pPr>
              <w:spacing w:after="0"/>
              <w:jc w:val="right"/>
              <w:rPr>
                <w:lang w:eastAsia="zh-CN"/>
              </w:rPr>
            </w:pPr>
            <w:r w:rsidRPr="00CD1C5C">
              <w:rPr>
                <w:lang w:eastAsia="zh-CN"/>
              </w:rPr>
              <w:t xml:space="preserve"> 58,850 </w:t>
            </w:r>
          </w:p>
        </w:tc>
        <w:tc>
          <w:tcPr>
            <w:tcW w:w="441" w:type="pct"/>
            <w:vAlign w:val="center"/>
          </w:tcPr>
          <w:p w14:paraId="3E372410" w14:textId="77777777" w:rsidR="004A47D9" w:rsidRPr="00CD1C5C" w:rsidRDefault="1058BD80" w:rsidP="002135B0">
            <w:pPr>
              <w:spacing w:after="0"/>
              <w:jc w:val="right"/>
              <w:rPr>
                <w:lang w:eastAsia="zh-CN"/>
              </w:rPr>
            </w:pPr>
            <w:r w:rsidRPr="00CD1C5C">
              <w:rPr>
                <w:lang w:eastAsia="zh-CN"/>
              </w:rPr>
              <w:t>2</w:t>
            </w:r>
          </w:p>
        </w:tc>
        <w:tc>
          <w:tcPr>
            <w:tcW w:w="972" w:type="pct"/>
            <w:vAlign w:val="center"/>
          </w:tcPr>
          <w:p w14:paraId="646F5D2A" w14:textId="796AD940" w:rsidR="004A47D9" w:rsidRPr="00CD1C5C" w:rsidRDefault="1058BD80" w:rsidP="006D7113">
            <w:pPr>
              <w:spacing w:after="0"/>
              <w:jc w:val="right"/>
              <w:rPr>
                <w:lang w:eastAsia="zh-CN"/>
              </w:rPr>
            </w:pPr>
            <w:r w:rsidRPr="00CD1C5C">
              <w:rPr>
                <w:lang w:eastAsia="zh-CN"/>
              </w:rPr>
              <w:t xml:space="preserve">18,445,770 </w:t>
            </w:r>
          </w:p>
        </w:tc>
        <w:tc>
          <w:tcPr>
            <w:tcW w:w="860" w:type="pct"/>
            <w:vAlign w:val="center"/>
          </w:tcPr>
          <w:p w14:paraId="1F560EEB" w14:textId="131D723A" w:rsidR="004A47D9" w:rsidRPr="00CD1C5C" w:rsidRDefault="1058BD80" w:rsidP="006D7113">
            <w:pPr>
              <w:spacing w:after="0"/>
              <w:jc w:val="right"/>
              <w:rPr>
                <w:lang w:eastAsia="zh-CN"/>
              </w:rPr>
            </w:pPr>
            <w:r w:rsidRPr="00CD1C5C">
              <w:rPr>
                <w:lang w:eastAsia="zh-CN"/>
              </w:rPr>
              <w:t xml:space="preserve">18,504,620 </w:t>
            </w:r>
          </w:p>
        </w:tc>
      </w:tr>
      <w:tr w:rsidR="004A47D9" w:rsidRPr="00CD1C5C" w14:paraId="209CC599" w14:textId="77777777" w:rsidTr="002135B0">
        <w:trPr>
          <w:trHeight w:val="300"/>
        </w:trPr>
        <w:tc>
          <w:tcPr>
            <w:tcW w:w="1464" w:type="pct"/>
          </w:tcPr>
          <w:p w14:paraId="2F351F9D" w14:textId="77777777" w:rsidR="004A47D9" w:rsidRPr="00CD1C5C" w:rsidRDefault="004A47D9" w:rsidP="006233FA">
            <w:pPr>
              <w:spacing w:after="0"/>
              <w:rPr>
                <w:lang w:eastAsia="zh-CN"/>
              </w:rPr>
            </w:pPr>
            <w:r w:rsidRPr="00CD1C5C">
              <w:rPr>
                <w:lang w:eastAsia="zh-CN"/>
              </w:rPr>
              <w:t>Domestic/Commercial</w:t>
            </w:r>
          </w:p>
        </w:tc>
        <w:tc>
          <w:tcPr>
            <w:tcW w:w="458" w:type="pct"/>
            <w:vAlign w:val="center"/>
          </w:tcPr>
          <w:p w14:paraId="240AA2E7" w14:textId="77777777" w:rsidR="004A47D9" w:rsidRPr="00CD1C5C" w:rsidRDefault="004A47D9" w:rsidP="006D7113">
            <w:pPr>
              <w:spacing w:after="0"/>
              <w:jc w:val="right"/>
              <w:rPr>
                <w:lang w:eastAsia="zh-CN"/>
              </w:rPr>
            </w:pPr>
            <w:r w:rsidRPr="00CD1C5C">
              <w:rPr>
                <w:lang w:eastAsia="zh-CN"/>
              </w:rPr>
              <w:t>3</w:t>
            </w:r>
          </w:p>
        </w:tc>
        <w:tc>
          <w:tcPr>
            <w:tcW w:w="804" w:type="pct"/>
            <w:vAlign w:val="center"/>
          </w:tcPr>
          <w:p w14:paraId="47183BBA" w14:textId="6BB3C5DA" w:rsidR="004A47D9" w:rsidRPr="00CD1C5C" w:rsidRDefault="1058BD80" w:rsidP="006D7113">
            <w:pPr>
              <w:spacing w:after="0"/>
              <w:jc w:val="right"/>
              <w:rPr>
                <w:lang w:eastAsia="zh-CN"/>
              </w:rPr>
            </w:pPr>
            <w:r w:rsidRPr="00CD1C5C">
              <w:rPr>
                <w:lang w:eastAsia="zh-CN"/>
              </w:rPr>
              <w:t xml:space="preserve">222,560 </w:t>
            </w:r>
          </w:p>
        </w:tc>
        <w:tc>
          <w:tcPr>
            <w:tcW w:w="441" w:type="pct"/>
            <w:vAlign w:val="center"/>
          </w:tcPr>
          <w:p w14:paraId="07B8372D" w14:textId="77777777" w:rsidR="004A47D9" w:rsidRPr="00CD1C5C" w:rsidRDefault="004A47D9" w:rsidP="002135B0">
            <w:pPr>
              <w:spacing w:after="0"/>
              <w:jc w:val="right"/>
              <w:rPr>
                <w:rFonts w:ascii="Calibri" w:hAnsi="Calibri"/>
                <w:lang w:eastAsia="zh-CN"/>
              </w:rPr>
            </w:pPr>
          </w:p>
        </w:tc>
        <w:tc>
          <w:tcPr>
            <w:tcW w:w="972" w:type="pct"/>
            <w:vAlign w:val="center"/>
          </w:tcPr>
          <w:p w14:paraId="41295C57" w14:textId="77777777" w:rsidR="004A47D9" w:rsidRPr="00CD1C5C" w:rsidRDefault="004A47D9" w:rsidP="006D7113">
            <w:pPr>
              <w:spacing w:after="0"/>
              <w:jc w:val="right"/>
              <w:rPr>
                <w:rFonts w:ascii="Calibri" w:hAnsi="Calibri"/>
                <w:lang w:eastAsia="zh-CN"/>
              </w:rPr>
            </w:pPr>
          </w:p>
        </w:tc>
        <w:tc>
          <w:tcPr>
            <w:tcW w:w="860" w:type="pct"/>
            <w:vAlign w:val="center"/>
          </w:tcPr>
          <w:p w14:paraId="6AC848C6" w14:textId="6ABA3188" w:rsidR="004A47D9" w:rsidRPr="00CD1C5C" w:rsidRDefault="1058BD80" w:rsidP="006D7113">
            <w:pPr>
              <w:spacing w:after="0"/>
              <w:jc w:val="right"/>
              <w:rPr>
                <w:lang w:eastAsia="zh-CN"/>
              </w:rPr>
            </w:pPr>
            <w:r w:rsidRPr="00CD1C5C">
              <w:rPr>
                <w:lang w:eastAsia="zh-CN"/>
              </w:rPr>
              <w:t xml:space="preserve"> 222,560 </w:t>
            </w:r>
          </w:p>
        </w:tc>
      </w:tr>
      <w:tr w:rsidR="004A47D9" w:rsidRPr="00CD1C5C" w14:paraId="0877C745" w14:textId="77777777" w:rsidTr="00CD1C5C">
        <w:trPr>
          <w:trHeight w:val="300"/>
        </w:trPr>
        <w:tc>
          <w:tcPr>
            <w:tcW w:w="1464" w:type="pct"/>
            <w:shd w:val="clear" w:color="auto" w:fill="B4C6E7" w:themeFill="accent1" w:themeFillTint="66"/>
          </w:tcPr>
          <w:p w14:paraId="39554730" w14:textId="77777777" w:rsidR="004A47D9" w:rsidRPr="00CD1C5C" w:rsidRDefault="004A47D9" w:rsidP="006233FA">
            <w:pPr>
              <w:spacing w:after="0"/>
              <w:rPr>
                <w:b/>
                <w:bCs/>
                <w:lang w:eastAsia="zh-CN"/>
              </w:rPr>
            </w:pPr>
            <w:r w:rsidRPr="00CD1C5C">
              <w:rPr>
                <w:b/>
                <w:bCs/>
                <w:lang w:eastAsia="zh-CN"/>
              </w:rPr>
              <w:t>TOTAL</w:t>
            </w:r>
          </w:p>
        </w:tc>
        <w:tc>
          <w:tcPr>
            <w:tcW w:w="458" w:type="pct"/>
            <w:shd w:val="clear" w:color="auto" w:fill="B4C6E7" w:themeFill="accent1" w:themeFillTint="66"/>
          </w:tcPr>
          <w:p w14:paraId="1798D6A7" w14:textId="77777777" w:rsidR="004A47D9" w:rsidRPr="00CD1C5C" w:rsidRDefault="004A47D9" w:rsidP="006233FA">
            <w:pPr>
              <w:spacing w:after="0"/>
              <w:rPr>
                <w:rFonts w:ascii="Calibri" w:hAnsi="Calibri"/>
                <w:b/>
                <w:bCs/>
                <w:lang w:eastAsia="zh-CN"/>
              </w:rPr>
            </w:pPr>
          </w:p>
        </w:tc>
        <w:tc>
          <w:tcPr>
            <w:tcW w:w="804" w:type="pct"/>
            <w:shd w:val="clear" w:color="auto" w:fill="B4C6E7" w:themeFill="accent1" w:themeFillTint="66"/>
          </w:tcPr>
          <w:p w14:paraId="5D6F92D1" w14:textId="040B19A2" w:rsidR="004A47D9" w:rsidRPr="00CD1C5C" w:rsidRDefault="1058BD80" w:rsidP="00CD1C5C">
            <w:pPr>
              <w:spacing w:after="0"/>
              <w:jc w:val="right"/>
              <w:rPr>
                <w:rFonts w:eastAsia="Times New Roman Bold" w:cs="Times New Roman Bold"/>
                <w:b/>
                <w:bCs/>
              </w:rPr>
            </w:pPr>
            <w:r w:rsidRPr="00CD1C5C">
              <w:rPr>
                <w:rFonts w:eastAsia="Times New Roman Bold" w:cs="Times New Roman Bold"/>
                <w:b/>
                <w:bCs/>
              </w:rPr>
              <w:t>358,450</w:t>
            </w:r>
          </w:p>
        </w:tc>
        <w:tc>
          <w:tcPr>
            <w:tcW w:w="441" w:type="pct"/>
            <w:shd w:val="clear" w:color="auto" w:fill="B4C6E7" w:themeFill="accent1" w:themeFillTint="66"/>
          </w:tcPr>
          <w:p w14:paraId="1C604713" w14:textId="77777777" w:rsidR="004A47D9" w:rsidRPr="00CD1C5C" w:rsidRDefault="004A47D9" w:rsidP="531ECB33">
            <w:pPr>
              <w:spacing w:after="0"/>
              <w:jc w:val="center"/>
              <w:rPr>
                <w:rFonts w:ascii="Calibri" w:hAnsi="Calibri"/>
                <w:b/>
                <w:bCs/>
                <w:lang w:eastAsia="zh-CN"/>
              </w:rPr>
            </w:pPr>
          </w:p>
        </w:tc>
        <w:tc>
          <w:tcPr>
            <w:tcW w:w="972" w:type="pct"/>
            <w:shd w:val="clear" w:color="auto" w:fill="B4C6E7" w:themeFill="accent1" w:themeFillTint="66"/>
          </w:tcPr>
          <w:p w14:paraId="34937400" w14:textId="38E30C8E" w:rsidR="004A47D9" w:rsidRPr="00CD1C5C" w:rsidRDefault="1058BD80" w:rsidP="00CD1C5C">
            <w:pPr>
              <w:spacing w:after="0"/>
              <w:jc w:val="right"/>
              <w:rPr>
                <w:rFonts w:eastAsia="Times New Roman Bold" w:cs="Times New Roman Bold"/>
                <w:b/>
                <w:bCs/>
              </w:rPr>
            </w:pPr>
            <w:r w:rsidRPr="00CD1C5C">
              <w:rPr>
                <w:rFonts w:eastAsia="Times New Roman Bold" w:cs="Times New Roman Bold"/>
                <w:b/>
                <w:bCs/>
              </w:rPr>
              <w:t>21,675,350</w:t>
            </w:r>
          </w:p>
        </w:tc>
        <w:tc>
          <w:tcPr>
            <w:tcW w:w="860" w:type="pct"/>
            <w:shd w:val="clear" w:color="auto" w:fill="B4C6E7" w:themeFill="accent1" w:themeFillTint="66"/>
          </w:tcPr>
          <w:p w14:paraId="17D60483" w14:textId="79657FF8" w:rsidR="004A47D9" w:rsidRPr="00CD1C5C" w:rsidRDefault="1058BD80" w:rsidP="00CD1C5C">
            <w:pPr>
              <w:spacing w:after="0"/>
              <w:jc w:val="right"/>
              <w:rPr>
                <w:b/>
                <w:bCs/>
                <w:lang w:eastAsia="zh-CN"/>
              </w:rPr>
            </w:pPr>
            <w:r w:rsidRPr="00CD1C5C">
              <w:rPr>
                <w:b/>
                <w:bCs/>
                <w:lang w:eastAsia="zh-CN"/>
              </w:rPr>
              <w:t>22,033,800</w:t>
            </w:r>
          </w:p>
        </w:tc>
      </w:tr>
    </w:tbl>
    <w:p w14:paraId="716FEE22" w14:textId="77777777" w:rsidR="004F79DE" w:rsidRPr="00364F53" w:rsidRDefault="004F79DE" w:rsidP="004F79DE">
      <w:pPr>
        <w:tabs>
          <w:tab w:val="left" w:pos="1418"/>
        </w:tabs>
        <w:spacing w:after="0"/>
        <w:ind w:left="1411" w:hanging="1411"/>
        <w:rPr>
          <w:rFonts w:eastAsia="Times New Roman Bold" w:cs="Times New Roman Bold"/>
        </w:rPr>
      </w:pPr>
    </w:p>
    <w:p w14:paraId="12C1544A" w14:textId="026F693C" w:rsidR="00945014" w:rsidRDefault="00945014" w:rsidP="00945014">
      <w:pPr>
        <w:spacing w:after="0"/>
        <w:rPr>
          <w:rFonts w:eastAsia="Times New Roman Bold" w:cs="Times New Roman Bold"/>
        </w:rPr>
      </w:pPr>
      <w:r w:rsidRPr="00364F53">
        <w:rPr>
          <w:rFonts w:eastAsia="Times New Roman Bold" w:cs="Times New Roman Bold"/>
        </w:rPr>
        <w:t>There is a learning curve associated with the submission process for this decision with the required data and information. Countries are starting to submit higher quality proposals to improve the synergies between their KIP activities and their EE investments projects. The current funding window suggests that a total of US$</w:t>
      </w:r>
      <w:r w:rsidR="00645039">
        <w:rPr>
          <w:rFonts w:eastAsia="Times New Roman Bold" w:cs="Times New Roman Bold"/>
        </w:rPr>
        <w:t xml:space="preserve"> </w:t>
      </w:r>
      <w:r w:rsidRPr="00364F53">
        <w:rPr>
          <w:rFonts w:eastAsia="Times New Roman Bold" w:cs="Times New Roman Bold"/>
        </w:rPr>
        <w:t xml:space="preserve">77,966,200.00 is still available. Assuming two preparatory and two investment projects are approved in 2026 at the average cost of projects approved to date, an additional </w:t>
      </w:r>
      <w:r w:rsidR="002809D9">
        <w:rPr>
          <w:rFonts w:eastAsia="Times New Roman Bold" w:cs="Times New Roman Bold"/>
        </w:rPr>
        <w:t>US</w:t>
      </w:r>
      <w:r w:rsidRPr="00364F53">
        <w:rPr>
          <w:rFonts w:eastAsia="Times New Roman Bold" w:cs="Times New Roman Bold"/>
        </w:rPr>
        <w:t>$</w:t>
      </w:r>
      <w:r w:rsidR="002809D9">
        <w:rPr>
          <w:rFonts w:eastAsia="Times New Roman Bold" w:cs="Times New Roman Bold"/>
        </w:rPr>
        <w:t xml:space="preserve"> </w:t>
      </w:r>
      <w:r w:rsidRPr="00364F53">
        <w:rPr>
          <w:rFonts w:eastAsia="Times New Roman Bold" w:cs="Times New Roman Bold"/>
        </w:rPr>
        <w:t xml:space="preserve">8,772,554 of the remaining funding window would be used this triennium, leaving a remaining approximately </w:t>
      </w:r>
      <w:r w:rsidR="002809D9">
        <w:rPr>
          <w:rFonts w:eastAsia="Times New Roman Bold" w:cs="Times New Roman Bold"/>
        </w:rPr>
        <w:t>US</w:t>
      </w:r>
      <w:r w:rsidRPr="00364F53">
        <w:rPr>
          <w:rFonts w:eastAsia="Times New Roman Bold" w:cs="Times New Roman Bold"/>
        </w:rPr>
        <w:t>$</w:t>
      </w:r>
      <w:r w:rsidR="002809D9">
        <w:rPr>
          <w:rFonts w:eastAsia="Times New Roman Bold" w:cs="Times New Roman Bold"/>
        </w:rPr>
        <w:t xml:space="preserve"> </w:t>
      </w:r>
      <w:r w:rsidRPr="00364F53">
        <w:rPr>
          <w:rFonts w:eastAsia="Times New Roman Bold" w:cs="Times New Roman Bold"/>
        </w:rPr>
        <w:t xml:space="preserve">70,000,000 available in the window for the next triennium. However, it is not clear what would be the countries’ submission in the next triennium. </w:t>
      </w:r>
    </w:p>
    <w:p w14:paraId="1DCB5315" w14:textId="77777777" w:rsidR="00945014" w:rsidRDefault="00945014" w:rsidP="00945014">
      <w:pPr>
        <w:spacing w:after="0"/>
        <w:rPr>
          <w:rFonts w:eastAsia="Times New Roman Bold" w:cs="Times New Roman Bold"/>
        </w:rPr>
      </w:pPr>
    </w:p>
    <w:p w14:paraId="1C3F08F3" w14:textId="346E832B" w:rsidR="00945014" w:rsidRPr="004B1E5F" w:rsidRDefault="00945014" w:rsidP="00A76024">
      <w:pPr>
        <w:spacing w:after="0"/>
        <w:rPr>
          <w:rFonts w:eastAsia="Times New Roman Bold" w:cs="Times New Roman Bold"/>
        </w:rPr>
      </w:pPr>
      <w:r w:rsidRPr="004B1E5F">
        <w:rPr>
          <w:rFonts w:eastAsia="Times New Roman Bold" w:cs="Times New Roman Bold"/>
        </w:rPr>
        <w:t xml:space="preserve">Below are </w:t>
      </w:r>
      <w:r w:rsidR="00CD1C5C">
        <w:rPr>
          <w:rFonts w:eastAsia="Times New Roman Bold" w:cs="Times New Roman Bold"/>
        </w:rPr>
        <w:t>two</w:t>
      </w:r>
      <w:r w:rsidRPr="004B1E5F">
        <w:rPr>
          <w:rFonts w:eastAsia="Times New Roman Bold" w:cs="Times New Roman Bold"/>
        </w:rPr>
        <w:t xml:space="preserve"> scenarios based on available trends</w:t>
      </w:r>
      <w:r w:rsidR="00CD1C5C">
        <w:rPr>
          <w:rFonts w:eastAsia="Times New Roman Bold" w:cs="Times New Roman Bold"/>
        </w:rPr>
        <w:t>:</w:t>
      </w:r>
    </w:p>
    <w:p w14:paraId="3BC023F7" w14:textId="5198C2CE" w:rsidR="00945014" w:rsidRPr="004B1E5F" w:rsidRDefault="6B89E382" w:rsidP="222ABFFA">
      <w:pPr>
        <w:pStyle w:val="ListParagraph"/>
        <w:spacing w:after="0"/>
        <w:contextualSpacing/>
        <w:rPr>
          <w:rFonts w:eastAsia="Times New Roman Bold" w:cs="Times New Roman Bold"/>
        </w:rPr>
      </w:pPr>
      <w:r w:rsidRPr="004B1E5F">
        <w:rPr>
          <w:rFonts w:eastAsia="Times New Roman Bold" w:cs="Times New Roman Bold"/>
        </w:rPr>
        <w:t>Scenario 1: Assume the same level of funding over the next three years; total needed funding = US$</w:t>
      </w:r>
      <w:r w:rsidR="0C544B36" w:rsidRPr="004B1E5F">
        <w:rPr>
          <w:rFonts w:eastAsia="Times New Roman Bold" w:cs="Times New Roman Bold"/>
        </w:rPr>
        <w:t xml:space="preserve"> </w:t>
      </w:r>
      <w:r w:rsidRPr="004B1E5F">
        <w:rPr>
          <w:rFonts w:eastAsia="Times New Roman Bold" w:cs="Times New Roman Bold"/>
        </w:rPr>
        <w:t>66,101,400.</w:t>
      </w:r>
    </w:p>
    <w:p w14:paraId="75F9602B" w14:textId="638F6949" w:rsidR="00945014" w:rsidRPr="004B1E5F" w:rsidRDefault="6B89E382" w:rsidP="222ABFFA">
      <w:pPr>
        <w:pStyle w:val="ListParagraph"/>
        <w:spacing w:after="0"/>
        <w:contextualSpacing/>
        <w:rPr>
          <w:rFonts w:eastAsia="Times New Roman Bold" w:cs="Times New Roman Bold"/>
        </w:rPr>
      </w:pPr>
      <w:r w:rsidRPr="004B1E5F">
        <w:rPr>
          <w:rFonts w:eastAsia="Times New Roman Bold" w:cs="Times New Roman Bold"/>
        </w:rPr>
        <w:t xml:space="preserve"> Scenario 2: </w:t>
      </w:r>
      <w:r w:rsidR="00CD1C5C">
        <w:rPr>
          <w:rFonts w:eastAsia="Times New Roman Bold" w:cs="Times New Roman Bold"/>
        </w:rPr>
        <w:t>C</w:t>
      </w:r>
      <w:r w:rsidRPr="004B1E5F">
        <w:rPr>
          <w:rFonts w:eastAsia="Times New Roman Bold" w:cs="Times New Roman Bold"/>
        </w:rPr>
        <w:t>ountries ramp up their EE activities and deplete the funding window over the next triennium; total needed funding = US$</w:t>
      </w:r>
      <w:r w:rsidR="0A9D2C92" w:rsidRPr="004B1E5F">
        <w:rPr>
          <w:rFonts w:eastAsia="Times New Roman Bold" w:cs="Times New Roman Bold"/>
        </w:rPr>
        <w:t xml:space="preserve"> </w:t>
      </w:r>
      <w:r w:rsidRPr="004B1E5F">
        <w:rPr>
          <w:rFonts w:eastAsia="Times New Roman Bold" w:cs="Times New Roman Bold"/>
        </w:rPr>
        <w:t>77,966,200</w:t>
      </w:r>
      <w:r w:rsidR="00CD1C5C">
        <w:rPr>
          <w:rFonts w:eastAsia="Times New Roman Bold" w:cs="Times New Roman Bold"/>
        </w:rPr>
        <w:t xml:space="preserve"> </w:t>
      </w:r>
      <w:r w:rsidRPr="004B1E5F">
        <w:rPr>
          <w:rFonts w:eastAsia="Times New Roman Bold" w:cs="Times New Roman Bold"/>
        </w:rPr>
        <w:t>(</w:t>
      </w:r>
      <w:r w:rsidR="00C431E4">
        <w:rPr>
          <w:rFonts w:eastAsia="Times New Roman Bold" w:cs="Times New Roman Bold"/>
        </w:rPr>
        <w:t>a</w:t>
      </w:r>
      <w:r w:rsidRPr="004B1E5F">
        <w:rPr>
          <w:rFonts w:eastAsia="Times New Roman Bold" w:cs="Times New Roman Bold"/>
        </w:rPr>
        <w:t>ssumes no additional activities approved in 2026)</w:t>
      </w:r>
      <w:r w:rsidR="00C431E4">
        <w:rPr>
          <w:rFonts w:eastAsia="Times New Roman Bold" w:cs="Times New Roman Bold"/>
        </w:rPr>
        <w:t>.</w:t>
      </w:r>
    </w:p>
    <w:p w14:paraId="378F9F2E" w14:textId="095740EC" w:rsidR="00B36CFA" w:rsidRDefault="00B36CFA" w:rsidP="531ECB33">
      <w:pPr>
        <w:spacing w:after="0"/>
        <w:rPr>
          <w:rFonts w:eastAsia="Times New Roman Bold" w:cs="Times New Roman Bold"/>
        </w:rPr>
      </w:pPr>
    </w:p>
    <w:p w14:paraId="29D35A2A" w14:textId="38590EB2" w:rsidR="00A76024" w:rsidRDefault="00A76024" w:rsidP="002D02B7">
      <w:pPr>
        <w:pStyle w:val="Heading2"/>
      </w:pPr>
      <w:bookmarkStart w:id="293" w:name="_Toc230099128"/>
      <w:r w:rsidRPr="00C3634A">
        <w:t>7.</w:t>
      </w:r>
      <w:r>
        <w:t>5</w:t>
      </w:r>
      <w:r w:rsidRPr="00C3634A">
        <w:tab/>
      </w:r>
      <w:r>
        <w:t>Approved EE funding window in Decision 95/87</w:t>
      </w:r>
      <w:bookmarkEnd w:id="293"/>
    </w:p>
    <w:p w14:paraId="4DEAE363" w14:textId="6A7E76A1" w:rsidR="00B84EA2" w:rsidRPr="00364F53" w:rsidRDefault="4F2DD9C0" w:rsidP="00B84EA2">
      <w:pPr>
        <w:spacing w:after="0"/>
        <w:rPr>
          <w:rFonts w:eastAsia="Times New Roman Bold" w:cs="Times New Roman Bold"/>
        </w:rPr>
      </w:pPr>
      <w:r w:rsidRPr="00364F53">
        <w:rPr>
          <w:rFonts w:eastAsia="Times New Roman Bold" w:cs="Times New Roman Bold"/>
        </w:rPr>
        <w:t>Decision 95/87</w:t>
      </w:r>
      <w:r w:rsidR="00B84EA2" w:rsidRPr="00364F53">
        <w:rPr>
          <w:rFonts w:eastAsia="Times New Roman Bold" w:cs="Times New Roman Bold"/>
          <w:vertAlign w:val="superscript"/>
        </w:rPr>
        <w:footnoteReference w:id="76"/>
      </w:r>
      <w:r w:rsidRPr="00364F53">
        <w:rPr>
          <w:rFonts w:eastAsia="Times New Roman Bold" w:cs="Times New Roman Bold"/>
          <w:vertAlign w:val="superscript"/>
        </w:rPr>
        <w:t xml:space="preserve"> </w:t>
      </w:r>
      <w:r w:rsidRPr="00364F53">
        <w:rPr>
          <w:rFonts w:eastAsia="Times New Roman Bold" w:cs="Times New Roman Bold"/>
        </w:rPr>
        <w:t>has established in paragraph f a “funding window of U</w:t>
      </w:r>
      <w:r>
        <w:rPr>
          <w:rFonts w:eastAsia="Times New Roman Bold" w:cs="Times New Roman Bold"/>
        </w:rPr>
        <w:t>S</w:t>
      </w:r>
      <w:r w:rsidRPr="00364F53">
        <w:rPr>
          <w:rFonts w:eastAsia="Times New Roman Bold" w:cs="Times New Roman Bold"/>
        </w:rPr>
        <w:t>$</w:t>
      </w:r>
      <w:r>
        <w:rPr>
          <w:rFonts w:eastAsia="Times New Roman Bold" w:cs="Times New Roman Bold"/>
        </w:rPr>
        <w:t xml:space="preserve"> </w:t>
      </w:r>
      <w:r w:rsidRPr="00364F53">
        <w:rPr>
          <w:rFonts w:eastAsia="Times New Roman Bold" w:cs="Times New Roman Bold"/>
        </w:rPr>
        <w:t xml:space="preserve">40 million for two energy-efficiency end-user projects using a revolving fund mechanism developed and supported by </w:t>
      </w:r>
      <w:r w:rsidR="00325F8D">
        <w:rPr>
          <w:rFonts w:eastAsia="Times New Roman Bold" w:cs="Times New Roman Bold"/>
        </w:rPr>
        <w:t>IAs</w:t>
      </w:r>
      <w:r w:rsidRPr="00364F53">
        <w:rPr>
          <w:rFonts w:eastAsia="Times New Roman Bold" w:cs="Times New Roman Bold"/>
        </w:rPr>
        <w:t>, over a duration of eight years, after which funds would be returned to the Multilateral Fund, on the understanding that it would not be operationalized until the Executive Committee had agreed on the modalities for operationalizing the revolving fund;” and in paragraph g agreed to “provide funding, for the preparation of no more than five projects, of no more than US$</w:t>
      </w:r>
      <w:r>
        <w:rPr>
          <w:rFonts w:eastAsia="Times New Roman Bold" w:cs="Times New Roman Bold"/>
        </w:rPr>
        <w:t xml:space="preserve"> </w:t>
      </w:r>
      <w:r w:rsidRPr="00364F53">
        <w:rPr>
          <w:rFonts w:eastAsia="Times New Roman Bold" w:cs="Times New Roman Bold"/>
        </w:rPr>
        <w:t>100,000 per project, on the understanding that those proposals would be submitted to the 96th meeting and that only up to two projects would be selected for the funding window referred to in subparagraph (f) above</w:t>
      </w:r>
      <w:r w:rsidR="2394A1F4">
        <w:rPr>
          <w:rFonts w:eastAsia="Times New Roman Bold" w:cs="Times New Roman Bold"/>
        </w:rPr>
        <w:t>.</w:t>
      </w:r>
      <w:r w:rsidRPr="00364F53">
        <w:rPr>
          <w:rFonts w:eastAsia="Times New Roman Bold" w:cs="Times New Roman Bold"/>
        </w:rPr>
        <w:t xml:space="preserve">” </w:t>
      </w:r>
    </w:p>
    <w:p w14:paraId="472235CA" w14:textId="77777777" w:rsidR="00B84EA2" w:rsidRPr="00364F53" w:rsidRDefault="00B84EA2" w:rsidP="00B84EA2">
      <w:pPr>
        <w:spacing w:after="0"/>
        <w:rPr>
          <w:rFonts w:eastAsia="Times New Roman Bold" w:cs="Times New Roman Bold"/>
        </w:rPr>
      </w:pPr>
    </w:p>
    <w:p w14:paraId="067664A5" w14:textId="62D38EE9" w:rsidR="00B84EA2" w:rsidRPr="00364F53" w:rsidRDefault="00B84EA2" w:rsidP="00B84EA2">
      <w:pPr>
        <w:spacing w:after="0"/>
        <w:rPr>
          <w:rFonts w:eastAsia="Times New Roman Bold" w:cs="Times New Roman Bold"/>
        </w:rPr>
      </w:pPr>
      <w:r w:rsidRPr="00364F53">
        <w:rPr>
          <w:rFonts w:eastAsia="Times New Roman Bold" w:cs="Times New Roman Bold"/>
        </w:rPr>
        <w:t>Pending decisions at ExCom</w:t>
      </w:r>
      <w:r w:rsidR="00D74B4A">
        <w:rPr>
          <w:rFonts w:eastAsia="Times New Roman Bold" w:cs="Times New Roman Bold"/>
        </w:rPr>
        <w:t>-</w:t>
      </w:r>
      <w:r w:rsidRPr="00364F53">
        <w:rPr>
          <w:rFonts w:eastAsia="Times New Roman Bold" w:cs="Times New Roman Bold"/>
        </w:rPr>
        <w:t xml:space="preserve">98 and </w:t>
      </w:r>
      <w:r w:rsidR="00D74B4A">
        <w:rPr>
          <w:rFonts w:eastAsia="Times New Roman Bold" w:cs="Times New Roman Bold"/>
        </w:rPr>
        <w:t>-</w:t>
      </w:r>
      <w:r w:rsidRPr="00364F53">
        <w:rPr>
          <w:rFonts w:eastAsia="Times New Roman Bold" w:cs="Times New Roman Bold"/>
        </w:rPr>
        <w:t xml:space="preserve">99, the RTF currently assumes the full funding window amount of </w:t>
      </w:r>
      <w:r w:rsidR="001F2B1E">
        <w:rPr>
          <w:rFonts w:eastAsia="Times New Roman Bold" w:cs="Times New Roman Bold"/>
        </w:rPr>
        <w:t>US</w:t>
      </w:r>
      <w:r w:rsidRPr="00364F53">
        <w:rPr>
          <w:rFonts w:eastAsia="Times New Roman Bold" w:cs="Times New Roman Bold"/>
        </w:rPr>
        <w:t>$</w:t>
      </w:r>
      <w:r w:rsidR="001F2B1E">
        <w:rPr>
          <w:rFonts w:eastAsia="Times New Roman Bold" w:cs="Times New Roman Bold"/>
        </w:rPr>
        <w:t xml:space="preserve"> </w:t>
      </w:r>
      <w:r w:rsidRPr="00364F53">
        <w:rPr>
          <w:rFonts w:eastAsia="Times New Roman Bold" w:cs="Times New Roman Bold"/>
        </w:rPr>
        <w:t>42,800,000 including support costs will be needed for the next triennium.</w:t>
      </w:r>
    </w:p>
    <w:p w14:paraId="1833B90F" w14:textId="28A5DF52" w:rsidR="00D74B4A" w:rsidRDefault="00D74B4A" w:rsidP="002D02B7">
      <w:pPr>
        <w:pStyle w:val="Heading2"/>
      </w:pPr>
      <w:bookmarkStart w:id="294" w:name="_Toc230099129"/>
      <w:r w:rsidRPr="00C3634A">
        <w:t>7.</w:t>
      </w:r>
      <w:r>
        <w:t>6</w:t>
      </w:r>
      <w:r w:rsidRPr="00C3634A">
        <w:tab/>
      </w:r>
      <w:r w:rsidR="00B45564">
        <w:t xml:space="preserve">Summary of funding </w:t>
      </w:r>
      <w:r w:rsidR="000213B5">
        <w:t xml:space="preserve">needs </w:t>
      </w:r>
      <w:r w:rsidR="00B45564">
        <w:t>for EE during the HFC phase-down in the 2027-2029 triennium</w:t>
      </w:r>
      <w:bookmarkEnd w:id="294"/>
    </w:p>
    <w:p w14:paraId="0DB2111E" w14:textId="4CAA012A" w:rsidR="00DF5926" w:rsidRDefault="00DF5926" w:rsidP="00DF5926">
      <w:pPr>
        <w:spacing w:after="0"/>
        <w:rPr>
          <w:lang w:val="en-US"/>
        </w:rPr>
      </w:pPr>
      <w:r w:rsidRPr="1AB6E3AA">
        <w:rPr>
          <w:lang w:val="en-US"/>
        </w:rPr>
        <w:t xml:space="preserve">Table </w:t>
      </w:r>
      <w:r>
        <w:rPr>
          <w:lang w:val="en-US"/>
        </w:rPr>
        <w:t>7.3</w:t>
      </w:r>
      <w:r w:rsidR="00812297">
        <w:rPr>
          <w:lang w:val="en-US"/>
        </w:rPr>
        <w:t xml:space="preserve"> </w:t>
      </w:r>
      <w:r w:rsidR="00422EA4" w:rsidRPr="1AB6E3AA">
        <w:rPr>
          <w:lang w:val="en-US"/>
        </w:rPr>
        <w:t>summari</w:t>
      </w:r>
      <w:r w:rsidR="00422EA4">
        <w:rPr>
          <w:lang w:val="en-US"/>
        </w:rPr>
        <w:t>z</w:t>
      </w:r>
      <w:r w:rsidR="00422EA4" w:rsidRPr="1AB6E3AA">
        <w:rPr>
          <w:lang w:val="en-US"/>
        </w:rPr>
        <w:t>e</w:t>
      </w:r>
      <w:r w:rsidR="00422EA4" w:rsidRPr="1AB6E3AA" w:rsidDel="00812297">
        <w:rPr>
          <w:lang w:val="en-US"/>
        </w:rPr>
        <w:t>s</w:t>
      </w:r>
      <w:r w:rsidRPr="1AB6E3AA">
        <w:rPr>
          <w:lang w:val="en-US"/>
        </w:rPr>
        <w:t xml:space="preserve"> </w:t>
      </w:r>
      <w:r w:rsidR="00812297">
        <w:rPr>
          <w:lang w:val="en-US"/>
        </w:rPr>
        <w:t xml:space="preserve">estimated </w:t>
      </w:r>
      <w:r w:rsidRPr="1AB6E3AA">
        <w:rPr>
          <w:lang w:val="en-US"/>
        </w:rPr>
        <w:t>funding, taking into consideration the</w:t>
      </w:r>
      <w:r>
        <w:rPr>
          <w:lang w:val="en-US"/>
        </w:rPr>
        <w:t xml:space="preserve"> funding available for EE activities under various decisions, </w:t>
      </w:r>
      <w:r w:rsidRPr="1AB6E3AA">
        <w:rPr>
          <w:lang w:val="en-US"/>
        </w:rPr>
        <w:t>without considering the possibility of augmentation.</w:t>
      </w:r>
    </w:p>
    <w:p w14:paraId="408D9D5B" w14:textId="77777777" w:rsidR="00ED1FF1" w:rsidRDefault="00ED1FF1" w:rsidP="00B45564">
      <w:pPr>
        <w:tabs>
          <w:tab w:val="left" w:pos="1418"/>
        </w:tabs>
        <w:spacing w:after="0"/>
        <w:ind w:left="1411" w:hanging="1411"/>
        <w:rPr>
          <w:rFonts w:eastAsiaTheme="minorHAnsi"/>
          <w:b/>
          <w:bCs/>
        </w:rPr>
      </w:pPr>
    </w:p>
    <w:p w14:paraId="59D777C4" w14:textId="413E6713" w:rsidR="00B45564" w:rsidRDefault="00B45564" w:rsidP="002135B0">
      <w:pPr>
        <w:tabs>
          <w:tab w:val="left" w:pos="1134"/>
        </w:tabs>
        <w:spacing w:after="0"/>
        <w:ind w:left="1412" w:hanging="1412"/>
        <w:rPr>
          <w:rFonts w:eastAsia="Times New Roman Bold" w:cs="Times New Roman Bold"/>
          <w:b/>
          <w:bCs/>
        </w:rPr>
      </w:pPr>
      <w:r w:rsidRPr="00E42C5E">
        <w:rPr>
          <w:rFonts w:eastAsiaTheme="minorHAnsi"/>
          <w:b/>
          <w:bCs/>
        </w:rPr>
        <w:t xml:space="preserve">Table </w:t>
      </w:r>
      <w:r>
        <w:rPr>
          <w:rFonts w:eastAsiaTheme="minorHAnsi"/>
          <w:b/>
          <w:bCs/>
        </w:rPr>
        <w:t>7.3</w:t>
      </w:r>
      <w:r w:rsidR="00CC3756">
        <w:rPr>
          <w:rFonts w:eastAsiaTheme="minorHAnsi"/>
          <w:b/>
          <w:bCs/>
        </w:rPr>
        <w:t>:</w:t>
      </w:r>
      <w:r w:rsidRPr="00E42C5E">
        <w:rPr>
          <w:rFonts w:eastAsiaTheme="minorHAnsi"/>
          <w:b/>
          <w:bCs/>
        </w:rPr>
        <w:tab/>
      </w:r>
      <w:r w:rsidR="000213B5">
        <w:rPr>
          <w:rFonts w:eastAsiaTheme="minorHAnsi"/>
          <w:b/>
          <w:bCs/>
        </w:rPr>
        <w:t>Estimated funding needs for EE in 2027-2029</w:t>
      </w:r>
      <w:r w:rsidR="00ED1FF1">
        <w:rPr>
          <w:rFonts w:eastAsiaTheme="minorHAnsi"/>
          <w:b/>
          <w:bCs/>
        </w:rPr>
        <w:t xml:space="preserve"> (US$</w:t>
      </w:r>
      <w:r w:rsidRPr="00364F53">
        <w:rPr>
          <w:rFonts w:eastAsia="Times New Roman Bold" w:cs="Times New Roman Bold"/>
          <w:b/>
          <w:bCs/>
        </w:rPr>
        <w:t>)</w:t>
      </w:r>
    </w:p>
    <w:p w14:paraId="18EAF161" w14:textId="77777777" w:rsidR="00DF5926" w:rsidRDefault="00DF5926" w:rsidP="00B45564">
      <w:pPr>
        <w:tabs>
          <w:tab w:val="left" w:pos="1418"/>
        </w:tabs>
        <w:spacing w:after="0"/>
        <w:ind w:left="1411" w:hanging="1411"/>
        <w:rPr>
          <w:rFonts w:eastAsia="Times New Roman Bold" w:cs="Times New Roman Bold"/>
          <w:b/>
          <w:bCs/>
        </w:rPr>
      </w:pPr>
    </w:p>
    <w:tbl>
      <w:tblPr>
        <w:tblStyle w:val="TableGrid"/>
        <w:tblW w:w="5000" w:type="pct"/>
        <w:tblLook w:val="06A0" w:firstRow="1" w:lastRow="0" w:firstColumn="1" w:lastColumn="0" w:noHBand="1" w:noVBand="1"/>
      </w:tblPr>
      <w:tblGrid>
        <w:gridCol w:w="3115"/>
        <w:gridCol w:w="2936"/>
        <w:gridCol w:w="3023"/>
      </w:tblGrid>
      <w:tr w:rsidR="000721E4" w14:paraId="338804D7" w14:textId="77777777" w:rsidTr="00130EED">
        <w:trPr>
          <w:trHeight w:val="300"/>
        </w:trPr>
        <w:tc>
          <w:tcPr>
            <w:tcW w:w="1716" w:type="pct"/>
            <w:shd w:val="clear" w:color="auto" w:fill="E2EFD9" w:themeFill="accent6" w:themeFillTint="33"/>
          </w:tcPr>
          <w:p w14:paraId="24BEFFB7" w14:textId="77777777" w:rsidR="000721E4" w:rsidRPr="00E414FE" w:rsidRDefault="000721E4" w:rsidP="006233FA">
            <w:pPr>
              <w:spacing w:before="40" w:after="40"/>
              <w:rPr>
                <w:b/>
                <w:bCs/>
                <w:lang w:val="en-US"/>
              </w:rPr>
            </w:pPr>
          </w:p>
        </w:tc>
        <w:tc>
          <w:tcPr>
            <w:tcW w:w="1618" w:type="pct"/>
            <w:shd w:val="clear" w:color="auto" w:fill="E2EFD9" w:themeFill="accent6" w:themeFillTint="33"/>
          </w:tcPr>
          <w:p w14:paraId="4E64D2FE" w14:textId="77777777" w:rsidR="000721E4" w:rsidRPr="60E9D570" w:rsidRDefault="000721E4" w:rsidP="006233FA">
            <w:pPr>
              <w:spacing w:before="40" w:after="40"/>
              <w:jc w:val="center"/>
              <w:rPr>
                <w:b/>
                <w:bCs/>
                <w:lang w:val="en-US"/>
              </w:rPr>
            </w:pPr>
            <w:r>
              <w:rPr>
                <w:b/>
                <w:bCs/>
                <w:lang w:val="en-US"/>
              </w:rPr>
              <w:t>Low-end</w:t>
            </w:r>
          </w:p>
        </w:tc>
        <w:tc>
          <w:tcPr>
            <w:tcW w:w="1666" w:type="pct"/>
            <w:shd w:val="clear" w:color="auto" w:fill="E2EFD9" w:themeFill="accent6" w:themeFillTint="33"/>
          </w:tcPr>
          <w:p w14:paraId="0CFF2701" w14:textId="77777777" w:rsidR="000721E4" w:rsidRPr="60E9D570" w:rsidRDefault="000721E4" w:rsidP="006233FA">
            <w:pPr>
              <w:spacing w:before="40" w:after="40"/>
              <w:jc w:val="center"/>
              <w:rPr>
                <w:b/>
                <w:bCs/>
                <w:lang w:val="en-US"/>
              </w:rPr>
            </w:pPr>
            <w:r>
              <w:rPr>
                <w:b/>
                <w:bCs/>
                <w:lang w:val="en-US"/>
              </w:rPr>
              <w:t>High-end</w:t>
            </w:r>
          </w:p>
        </w:tc>
      </w:tr>
      <w:tr w:rsidR="000721E4" w14:paraId="1AB2C33A" w14:textId="77777777" w:rsidTr="00130EED">
        <w:trPr>
          <w:trHeight w:val="300"/>
        </w:trPr>
        <w:tc>
          <w:tcPr>
            <w:tcW w:w="1716" w:type="pct"/>
            <w:shd w:val="clear" w:color="auto" w:fill="E2EFD9" w:themeFill="accent6" w:themeFillTint="33"/>
          </w:tcPr>
          <w:p w14:paraId="042E7DC8" w14:textId="66089240" w:rsidR="000721E4" w:rsidRDefault="000721E4" w:rsidP="006233FA">
            <w:pPr>
              <w:spacing w:before="40" w:after="40"/>
              <w:rPr>
                <w:lang w:val="en-US"/>
              </w:rPr>
            </w:pPr>
            <w:r>
              <w:rPr>
                <w:lang w:val="en-US"/>
              </w:rPr>
              <w:t>Dec 89/6</w:t>
            </w:r>
            <w:r w:rsidR="0083245B">
              <w:rPr>
                <w:lang w:val="en-US"/>
              </w:rPr>
              <w:t xml:space="preserve"> </w:t>
            </w:r>
          </w:p>
        </w:tc>
        <w:tc>
          <w:tcPr>
            <w:tcW w:w="1618" w:type="pct"/>
            <w:vAlign w:val="center"/>
          </w:tcPr>
          <w:p w14:paraId="069C14B0" w14:textId="77777777" w:rsidR="000721E4" w:rsidRDefault="000721E4" w:rsidP="00454F05">
            <w:pPr>
              <w:spacing w:before="40" w:after="40"/>
              <w:jc w:val="right"/>
              <w:rPr>
                <w:lang w:val="en-US"/>
              </w:rPr>
            </w:pPr>
            <w:r>
              <w:rPr>
                <w:lang w:val="en-US"/>
              </w:rPr>
              <w:t>3,400,000</w:t>
            </w:r>
          </w:p>
        </w:tc>
        <w:tc>
          <w:tcPr>
            <w:tcW w:w="1666" w:type="pct"/>
            <w:vAlign w:val="center"/>
          </w:tcPr>
          <w:p w14:paraId="2CD24BCD" w14:textId="77777777" w:rsidR="000721E4" w:rsidRDefault="000721E4" w:rsidP="00454F05">
            <w:pPr>
              <w:spacing w:before="40" w:after="40"/>
              <w:jc w:val="right"/>
              <w:rPr>
                <w:lang w:val="en-US"/>
              </w:rPr>
            </w:pPr>
            <w:r>
              <w:rPr>
                <w:lang w:val="en-US"/>
              </w:rPr>
              <w:t>3,400,000</w:t>
            </w:r>
          </w:p>
        </w:tc>
      </w:tr>
      <w:tr w:rsidR="000721E4" w14:paraId="526A37A3" w14:textId="77777777" w:rsidTr="00130EED">
        <w:trPr>
          <w:trHeight w:val="300"/>
        </w:trPr>
        <w:tc>
          <w:tcPr>
            <w:tcW w:w="1716" w:type="pct"/>
            <w:shd w:val="clear" w:color="auto" w:fill="E2EFD9" w:themeFill="accent6" w:themeFillTint="33"/>
          </w:tcPr>
          <w:p w14:paraId="56F8540C" w14:textId="7DFD5A1C" w:rsidR="000721E4" w:rsidRDefault="000721E4" w:rsidP="006233FA">
            <w:pPr>
              <w:spacing w:before="40" w:after="40"/>
              <w:rPr>
                <w:lang w:val="en-US"/>
              </w:rPr>
            </w:pPr>
            <w:r w:rsidRPr="7C47F949">
              <w:rPr>
                <w:lang w:val="en-US"/>
              </w:rPr>
              <w:t>Dec 91/65</w:t>
            </w:r>
          </w:p>
        </w:tc>
        <w:tc>
          <w:tcPr>
            <w:tcW w:w="1618" w:type="pct"/>
            <w:vAlign w:val="center"/>
          </w:tcPr>
          <w:p w14:paraId="0FBD313F" w14:textId="07AE5576" w:rsidR="000721E4" w:rsidRDefault="092A80FF" w:rsidP="00454F05">
            <w:pPr>
              <w:spacing w:before="40" w:after="40" w:line="259" w:lineRule="auto"/>
              <w:jc w:val="right"/>
              <w:rPr>
                <w:lang w:val="en-US"/>
              </w:rPr>
            </w:pPr>
            <w:r w:rsidRPr="092A80FF">
              <w:rPr>
                <w:lang w:val="en-US"/>
              </w:rPr>
              <w:t>6,</w:t>
            </w:r>
            <w:r w:rsidR="3BD6B39A" w:rsidRPr="3BD6B39A">
              <w:rPr>
                <w:lang w:val="en-US"/>
              </w:rPr>
              <w:t>369,628</w:t>
            </w:r>
          </w:p>
        </w:tc>
        <w:tc>
          <w:tcPr>
            <w:tcW w:w="1666" w:type="pct"/>
            <w:vAlign w:val="center"/>
          </w:tcPr>
          <w:p w14:paraId="6816EC0A" w14:textId="2911C29C" w:rsidR="000721E4" w:rsidRDefault="5A570772" w:rsidP="00454F05">
            <w:pPr>
              <w:spacing w:before="40" w:after="40"/>
              <w:jc w:val="right"/>
              <w:rPr>
                <w:lang w:val="en-US"/>
              </w:rPr>
            </w:pPr>
            <w:r w:rsidRPr="5A570772">
              <w:rPr>
                <w:lang w:val="en-US"/>
              </w:rPr>
              <w:t>9,312,872</w:t>
            </w:r>
          </w:p>
        </w:tc>
      </w:tr>
      <w:tr w:rsidR="000721E4" w14:paraId="29B325BF" w14:textId="77777777" w:rsidTr="00130EED">
        <w:trPr>
          <w:trHeight w:val="300"/>
        </w:trPr>
        <w:tc>
          <w:tcPr>
            <w:tcW w:w="1716" w:type="pct"/>
            <w:shd w:val="clear" w:color="auto" w:fill="E2EFD9" w:themeFill="accent6" w:themeFillTint="33"/>
          </w:tcPr>
          <w:p w14:paraId="4FE559A8" w14:textId="4A0B9D3D" w:rsidR="000721E4" w:rsidRDefault="000721E4" w:rsidP="006233FA">
            <w:pPr>
              <w:spacing w:before="40" w:after="40"/>
              <w:rPr>
                <w:lang w:val="en-US"/>
              </w:rPr>
            </w:pPr>
            <w:r>
              <w:rPr>
                <w:lang w:val="en-US"/>
              </w:rPr>
              <w:t>Dec 94/60</w:t>
            </w:r>
          </w:p>
        </w:tc>
        <w:tc>
          <w:tcPr>
            <w:tcW w:w="1618" w:type="pct"/>
            <w:vAlign w:val="center"/>
          </w:tcPr>
          <w:p w14:paraId="2CAD5C06" w14:textId="77777777" w:rsidR="000721E4" w:rsidRDefault="000721E4" w:rsidP="00454F05">
            <w:pPr>
              <w:spacing w:before="40" w:after="40"/>
              <w:jc w:val="right"/>
              <w:rPr>
                <w:lang w:val="en-US"/>
              </w:rPr>
            </w:pPr>
            <w:r>
              <w:rPr>
                <w:lang w:val="en-US"/>
              </w:rPr>
              <w:t>66,101,400</w:t>
            </w:r>
          </w:p>
        </w:tc>
        <w:tc>
          <w:tcPr>
            <w:tcW w:w="1666" w:type="pct"/>
            <w:vAlign w:val="center"/>
          </w:tcPr>
          <w:p w14:paraId="11B00B6E" w14:textId="77777777" w:rsidR="000721E4" w:rsidRDefault="000721E4" w:rsidP="00454F05">
            <w:pPr>
              <w:spacing w:before="40" w:after="40"/>
              <w:jc w:val="right"/>
              <w:rPr>
                <w:lang w:val="en-US"/>
              </w:rPr>
            </w:pPr>
            <w:r>
              <w:rPr>
                <w:lang w:val="en-US"/>
              </w:rPr>
              <w:t>77,966,200</w:t>
            </w:r>
          </w:p>
        </w:tc>
      </w:tr>
      <w:tr w:rsidR="000721E4" w:rsidRPr="000D614E" w14:paraId="486AB155" w14:textId="77777777" w:rsidTr="00130EED">
        <w:trPr>
          <w:trHeight w:val="300"/>
        </w:trPr>
        <w:tc>
          <w:tcPr>
            <w:tcW w:w="1716" w:type="pct"/>
            <w:shd w:val="clear" w:color="auto" w:fill="E2EFD9" w:themeFill="accent6" w:themeFillTint="33"/>
          </w:tcPr>
          <w:p w14:paraId="58BBDF5C" w14:textId="255C3961" w:rsidR="000721E4" w:rsidRDefault="000721E4" w:rsidP="006233FA">
            <w:pPr>
              <w:spacing w:before="40" w:after="40"/>
              <w:rPr>
                <w:lang w:val="en-US"/>
              </w:rPr>
            </w:pPr>
            <w:r>
              <w:rPr>
                <w:lang w:val="en-US"/>
              </w:rPr>
              <w:t>Dec 95/87</w:t>
            </w:r>
          </w:p>
        </w:tc>
        <w:tc>
          <w:tcPr>
            <w:tcW w:w="1618" w:type="pct"/>
            <w:vAlign w:val="center"/>
          </w:tcPr>
          <w:p w14:paraId="3A74B77F" w14:textId="77777777" w:rsidR="000721E4" w:rsidRDefault="000721E4" w:rsidP="00454F05">
            <w:pPr>
              <w:spacing w:before="40" w:after="40"/>
              <w:jc w:val="right"/>
              <w:rPr>
                <w:lang w:val="en-US"/>
              </w:rPr>
            </w:pPr>
            <w:r>
              <w:rPr>
                <w:lang w:val="en-US"/>
              </w:rPr>
              <w:t>-</w:t>
            </w:r>
          </w:p>
        </w:tc>
        <w:tc>
          <w:tcPr>
            <w:tcW w:w="1666" w:type="pct"/>
            <w:vAlign w:val="center"/>
          </w:tcPr>
          <w:p w14:paraId="2AB04C45" w14:textId="77777777" w:rsidR="000721E4" w:rsidRPr="000D614E" w:rsidRDefault="4BCEE662" w:rsidP="00454F05">
            <w:pPr>
              <w:spacing w:before="40" w:after="40"/>
              <w:jc w:val="right"/>
              <w:rPr>
                <w:color w:val="FF0000"/>
                <w:highlight w:val="yellow"/>
                <w:lang w:val="en-US"/>
              </w:rPr>
            </w:pPr>
            <w:r w:rsidRPr="4BCEE662">
              <w:rPr>
                <w:highlight w:val="yellow"/>
                <w:lang w:val="en-US"/>
              </w:rPr>
              <w:t>42,800,000</w:t>
            </w:r>
          </w:p>
        </w:tc>
      </w:tr>
      <w:tr w:rsidR="000721E4" w14:paraId="01C15851" w14:textId="77777777" w:rsidTr="00130EED">
        <w:trPr>
          <w:trHeight w:val="300"/>
        </w:trPr>
        <w:tc>
          <w:tcPr>
            <w:tcW w:w="1716" w:type="pct"/>
            <w:shd w:val="clear" w:color="auto" w:fill="FFFF00"/>
          </w:tcPr>
          <w:p w14:paraId="4021E18C" w14:textId="77777777" w:rsidR="000721E4" w:rsidRPr="000721E4" w:rsidRDefault="000721E4" w:rsidP="006233FA">
            <w:pPr>
              <w:spacing w:before="40" w:after="40"/>
              <w:rPr>
                <w:b/>
                <w:bCs/>
                <w:lang w:val="en-US"/>
              </w:rPr>
            </w:pPr>
            <w:r w:rsidRPr="000721E4">
              <w:rPr>
                <w:b/>
                <w:bCs/>
                <w:lang w:val="en-US"/>
              </w:rPr>
              <w:t>Total US$ (with support costs)</w:t>
            </w:r>
          </w:p>
        </w:tc>
        <w:tc>
          <w:tcPr>
            <w:tcW w:w="1618" w:type="pct"/>
            <w:shd w:val="clear" w:color="auto" w:fill="FFFF00"/>
          </w:tcPr>
          <w:p w14:paraId="6ED67F43" w14:textId="233F943A" w:rsidR="000721E4" w:rsidRPr="000721E4" w:rsidRDefault="4209672F" w:rsidP="08ECBC9A">
            <w:pPr>
              <w:spacing w:before="40" w:after="40" w:line="259" w:lineRule="auto"/>
              <w:jc w:val="right"/>
              <w:rPr>
                <w:b/>
                <w:bCs/>
                <w:lang w:val="en-US"/>
              </w:rPr>
            </w:pPr>
            <w:r w:rsidRPr="4209672F">
              <w:rPr>
                <w:b/>
                <w:bCs/>
                <w:lang w:val="en-US"/>
              </w:rPr>
              <w:t>73,255,562</w:t>
            </w:r>
          </w:p>
        </w:tc>
        <w:tc>
          <w:tcPr>
            <w:tcW w:w="1666" w:type="pct"/>
            <w:shd w:val="clear" w:color="auto" w:fill="FFFF00"/>
          </w:tcPr>
          <w:p w14:paraId="35DD3184" w14:textId="56A86BBE" w:rsidR="000721E4" w:rsidRPr="000721E4" w:rsidRDefault="4209672F" w:rsidP="006233FA">
            <w:pPr>
              <w:spacing w:before="40" w:after="40"/>
              <w:jc w:val="right"/>
              <w:rPr>
                <w:b/>
                <w:bCs/>
                <w:lang w:val="en-US"/>
              </w:rPr>
            </w:pPr>
            <w:r w:rsidRPr="4209672F">
              <w:rPr>
                <w:b/>
                <w:bCs/>
                <w:lang w:val="en-US"/>
              </w:rPr>
              <w:t>133,479,072</w:t>
            </w:r>
          </w:p>
        </w:tc>
      </w:tr>
    </w:tbl>
    <w:p w14:paraId="560538DD" w14:textId="77777777" w:rsidR="00DF5926" w:rsidRDefault="00DF5926" w:rsidP="00B45564">
      <w:pPr>
        <w:tabs>
          <w:tab w:val="left" w:pos="1418"/>
        </w:tabs>
        <w:spacing w:after="0"/>
        <w:ind w:left="1411" w:hanging="1411"/>
        <w:rPr>
          <w:rFonts w:eastAsia="Times New Roman Bold" w:cs="Times New Roman Bold"/>
          <w:b/>
          <w:bCs/>
        </w:rPr>
      </w:pPr>
    </w:p>
    <w:bookmarkEnd w:id="290"/>
    <w:p w14:paraId="7569AE6A" w14:textId="748EC346" w:rsidR="005F0776" w:rsidRDefault="005F0776" w:rsidP="005F0776">
      <w:pPr>
        <w:tabs>
          <w:tab w:val="left" w:pos="1418"/>
        </w:tabs>
        <w:spacing w:after="0"/>
        <w:ind w:left="1411" w:hanging="1411"/>
      </w:pPr>
      <w:r>
        <w:tab/>
      </w:r>
    </w:p>
    <w:p w14:paraId="02254205" w14:textId="77777777" w:rsidR="00580204" w:rsidRDefault="00580204"/>
    <w:p w14:paraId="5F2F8F17" w14:textId="77777777" w:rsidR="00CA4A2C" w:rsidRDefault="00CA4A2C"/>
    <w:p w14:paraId="229B3936" w14:textId="77777777" w:rsidR="00CA4A2C" w:rsidRDefault="00CA4A2C" w:rsidP="005D31A7">
      <w:pPr>
        <w:pStyle w:val="Heading1"/>
        <w:sectPr w:rsidR="00CA4A2C" w:rsidSect="009D3A67">
          <w:headerReference w:type="even" r:id="rId46"/>
          <w:headerReference w:type="default" r:id="rId47"/>
          <w:headerReference w:type="first" r:id="rId48"/>
          <w:pgSz w:w="11906" w:h="16838"/>
          <w:pgMar w:top="1411" w:right="1411" w:bottom="1411" w:left="1411" w:header="708" w:footer="708" w:gutter="0"/>
          <w:cols w:space="708"/>
          <w:docGrid w:linePitch="360"/>
        </w:sectPr>
      </w:pPr>
      <w:bookmarkStart w:id="295" w:name="_Toc119436621"/>
      <w:bookmarkStart w:id="296" w:name="_Toc230099130"/>
    </w:p>
    <w:p w14:paraId="46D83D77" w14:textId="4A5E084F" w:rsidR="000E5797" w:rsidRDefault="00544D09" w:rsidP="005D31A7">
      <w:pPr>
        <w:pStyle w:val="Heading1"/>
      </w:pPr>
      <w:r w:rsidRPr="00C3634A">
        <w:lastRenderedPageBreak/>
        <w:t>8</w:t>
      </w:r>
      <w:r w:rsidR="000E5797" w:rsidRPr="00C3634A">
        <w:tab/>
      </w:r>
      <w:r w:rsidR="00E175D8">
        <w:t>Lifecycle Refrigerant Management</w:t>
      </w:r>
      <w:bookmarkEnd w:id="295"/>
      <w:bookmarkEnd w:id="296"/>
    </w:p>
    <w:p w14:paraId="58F42052" w14:textId="3C9EC12F" w:rsidR="00D25E49" w:rsidRDefault="014ACEC7" w:rsidP="00331B48">
      <w:r>
        <w:t xml:space="preserve">ExCom has </w:t>
      </w:r>
      <w:r w:rsidR="30E857D6">
        <w:t>had a long history of discussions on the importance o</w:t>
      </w:r>
      <w:r w:rsidR="0D4C99BF">
        <w:t xml:space="preserve">f </w:t>
      </w:r>
      <w:r w:rsidR="5EBAD932">
        <w:t>LRM</w:t>
      </w:r>
      <w:r w:rsidR="2D5D434E">
        <w:t xml:space="preserve"> and interest</w:t>
      </w:r>
      <w:r w:rsidR="4507FF87">
        <w:t xml:space="preserve"> in meaningful </w:t>
      </w:r>
      <w:r w:rsidR="0D909805">
        <w:t>actions to address the issue</w:t>
      </w:r>
      <w:r w:rsidR="1BED3327">
        <w:t>. This is evidenced in decisions taken by ExCom</w:t>
      </w:r>
      <w:r w:rsidR="7DF584B2">
        <w:t xml:space="preserve"> and </w:t>
      </w:r>
      <w:r w:rsidR="104EC080">
        <w:t xml:space="preserve">by the </w:t>
      </w:r>
      <w:r w:rsidR="009C3698">
        <w:t>MOP</w:t>
      </w:r>
      <w:r w:rsidR="3A42DFEC">
        <w:t xml:space="preserve"> on this issue.</w:t>
      </w:r>
      <w:r w:rsidR="68A68CDC">
        <w:t xml:space="preserve"> This is also evidenced by the large number of </w:t>
      </w:r>
      <w:r w:rsidR="5FC8CB04">
        <w:t>countries that had initiated projects under ExCom Decision 91/66</w:t>
      </w:r>
      <w:r w:rsidR="5FD1E4D6">
        <w:t>,</w:t>
      </w:r>
      <w:r w:rsidR="00A76A75">
        <w:rPr>
          <w:rStyle w:val="FootnoteReference"/>
        </w:rPr>
        <w:footnoteReference w:id="77"/>
      </w:r>
      <w:r w:rsidR="09461966">
        <w:t xml:space="preserve"> </w:t>
      </w:r>
      <w:r w:rsidR="5FD1E4D6">
        <w:t>which established a funding window</w:t>
      </w:r>
      <w:r w:rsidR="292F54B4">
        <w:t xml:space="preserve"> </w:t>
      </w:r>
      <w:r w:rsidR="292F54B4" w:rsidRPr="00E80B34">
        <w:t>for the preparation of national inventories of banks of used or unwanted controlled substances and a plan for the collection, transport and disposal of such substances, including consideration of recycling, reclamation and cost-effective destruction</w:t>
      </w:r>
      <w:r w:rsidR="33DAD190">
        <w:t xml:space="preserve">. </w:t>
      </w:r>
      <w:r w:rsidR="009C3698">
        <w:t>LRM</w:t>
      </w:r>
      <w:r w:rsidR="6F348142">
        <w:t xml:space="preserve"> was most recently discussed at the 97</w:t>
      </w:r>
      <w:r w:rsidR="6F348142" w:rsidRPr="008A5802">
        <w:rPr>
          <w:vertAlign w:val="superscript"/>
        </w:rPr>
        <w:t>th</w:t>
      </w:r>
      <w:r w:rsidR="6F348142">
        <w:t xml:space="preserve"> ExCom meeting </w:t>
      </w:r>
      <w:r w:rsidR="49B4186E">
        <w:t>with</w:t>
      </w:r>
      <w:r w:rsidR="4DC51DD0">
        <w:t xml:space="preserve"> consideration for establishment of a funding window.</w:t>
      </w:r>
      <w:r w:rsidR="21C40D5A">
        <w:t xml:space="preserve"> </w:t>
      </w:r>
      <w:r w:rsidR="4B30A7BC">
        <w:t xml:space="preserve">In its </w:t>
      </w:r>
      <w:r w:rsidR="1E7D8362">
        <w:t xml:space="preserve">Decision </w:t>
      </w:r>
      <w:r w:rsidR="4B63532B">
        <w:t>97/89</w:t>
      </w:r>
      <w:r w:rsidR="4B30A7BC">
        <w:t>,</w:t>
      </w:r>
      <w:r w:rsidR="4A407C97">
        <w:t xml:space="preserve"> </w:t>
      </w:r>
      <w:r w:rsidR="009A0ADB">
        <w:rPr>
          <w:rStyle w:val="FootnoteReference"/>
        </w:rPr>
        <w:footnoteReference w:id="78"/>
      </w:r>
      <w:r w:rsidR="4B30A7BC">
        <w:t xml:space="preserve"> ExCom decided</w:t>
      </w:r>
      <w:r w:rsidR="4B63532B">
        <w:t>:</w:t>
      </w:r>
    </w:p>
    <w:p w14:paraId="7BBE49C8" w14:textId="77777777" w:rsidR="002D6C4A" w:rsidRDefault="000869D9" w:rsidP="000E79CB">
      <w:pPr>
        <w:pStyle w:val="ListParagraph"/>
        <w:numPr>
          <w:ilvl w:val="0"/>
          <w:numId w:val="40"/>
        </w:numPr>
        <w:rPr>
          <w:i/>
          <w:iCs/>
        </w:rPr>
      </w:pPr>
      <w:r w:rsidRPr="002D6C4A">
        <w:rPr>
          <w:i/>
          <w:iCs/>
        </w:rPr>
        <w:t xml:space="preserve">To note the report prepared pursuant to decision 93/104 on life-cycle refrigerant management with a view to considering the establishment of a funding window in line with decision XXXV/11 of the Thirty-Fifth Meeting of the Parties contained in document UNEP/OzL.Pro/ExCom/97/87;  </w:t>
      </w:r>
    </w:p>
    <w:p w14:paraId="745C6475" w14:textId="77777777" w:rsidR="002D6C4A" w:rsidRDefault="000869D9" w:rsidP="000E79CB">
      <w:pPr>
        <w:pStyle w:val="ListParagraph"/>
        <w:numPr>
          <w:ilvl w:val="0"/>
          <w:numId w:val="40"/>
        </w:numPr>
        <w:rPr>
          <w:i/>
          <w:iCs/>
        </w:rPr>
      </w:pPr>
      <w:r w:rsidRPr="002D6C4A">
        <w:rPr>
          <w:i/>
          <w:iCs/>
        </w:rPr>
        <w:t xml:space="preserve">To encourage the bilateral and implementing agencies to intensify their efforts to assist Article 5 countries in finalizing projects under decision 91/66 as soon as feasible and in submitting the final reports and a copy of the resulting national inventories and national action plans in line with decision 91/66(e)(iii); </w:t>
      </w:r>
    </w:p>
    <w:p w14:paraId="2969E3D0" w14:textId="5D0A5C0B" w:rsidR="00966ACF" w:rsidRDefault="000869D9" w:rsidP="000E79CB">
      <w:pPr>
        <w:pStyle w:val="ListParagraph"/>
        <w:numPr>
          <w:ilvl w:val="0"/>
          <w:numId w:val="40"/>
        </w:numPr>
        <w:rPr>
          <w:i/>
          <w:iCs/>
        </w:rPr>
      </w:pPr>
      <w:r w:rsidRPr="002D6C4A">
        <w:rPr>
          <w:i/>
          <w:iCs/>
        </w:rPr>
        <w:t xml:space="preserve">To request the Secretariat to update, for the 99th meeting, the information in document UNEP/OzL.Pro/ExCom/97/87 in light of completed inventory projects and national plans and other relevant information, including on the movement of controlled substances for destruction or reclamation; and </w:t>
      </w:r>
    </w:p>
    <w:p w14:paraId="06ABD66F" w14:textId="0C05E56D" w:rsidR="00DE2C92" w:rsidRPr="00975C3F" w:rsidRDefault="2155B341" w:rsidP="000E79CB">
      <w:pPr>
        <w:pStyle w:val="ListParagraph"/>
        <w:numPr>
          <w:ilvl w:val="0"/>
          <w:numId w:val="40"/>
        </w:numPr>
        <w:rPr>
          <w:i/>
        </w:rPr>
      </w:pPr>
      <w:r w:rsidRPr="00975C3F">
        <w:rPr>
          <w:i/>
        </w:rPr>
        <w:t>To request the Secretariat to prepare, for the 100th meeting, a document on funding modalities, including elements for draft cost guidelines to implement plans developed in accordance with decision 91/66, with a view to considering the establishment of a funding window in line with decision XXXV/11, taking into consideration the information provided in the report referred to in subparagraph (c) and the views on that report expressed by the Executive Committee.</w:t>
      </w:r>
    </w:p>
    <w:p w14:paraId="58907B01" w14:textId="25FDB14B" w:rsidR="00DE2C92" w:rsidRPr="00DE2C92" w:rsidRDefault="780B3DD5" w:rsidP="00DE2C92">
      <w:r>
        <w:t xml:space="preserve">RTF </w:t>
      </w:r>
      <w:r w:rsidR="04E1B2C8">
        <w:t xml:space="preserve">was </w:t>
      </w:r>
      <w:r>
        <w:t xml:space="preserve">requested to estimate funding needs for the 2027-2029 </w:t>
      </w:r>
      <w:r w:rsidR="77C1E466">
        <w:t xml:space="preserve">triennium </w:t>
      </w:r>
      <w:r>
        <w:t>and beyond</w:t>
      </w:r>
      <w:r w:rsidR="0AF5E2ED">
        <w:t xml:space="preserve">, </w:t>
      </w:r>
      <w:r w:rsidR="2B5489CD">
        <w:t xml:space="preserve">considering </w:t>
      </w:r>
      <w:r w:rsidRPr="002C0D3A">
        <w:t>ExCom decisions</w:t>
      </w:r>
      <w:r w:rsidR="025DBB34" w:rsidRPr="002C0D3A">
        <w:t>,</w:t>
      </w:r>
      <w:r w:rsidR="556305D8" w:rsidRPr="002C0D3A">
        <w:t xml:space="preserve"> and those are pending on this matter. </w:t>
      </w:r>
      <w:r w:rsidR="00ED396A" w:rsidRPr="002C0D3A">
        <w:t xml:space="preserve">Even though </w:t>
      </w:r>
      <w:r w:rsidR="005C5065" w:rsidRPr="002C0D3A">
        <w:t>LRM was not explicitly included in the TOR, i</w:t>
      </w:r>
      <w:r w:rsidR="54D0910D" w:rsidRPr="002C0D3A">
        <w:t xml:space="preserve">tem 4 above indicates the potential for </w:t>
      </w:r>
      <w:r w:rsidR="418895AE" w:rsidRPr="002C0D3A">
        <w:t xml:space="preserve">the establishment of </w:t>
      </w:r>
      <w:r w:rsidR="54D0910D" w:rsidRPr="002C0D3A">
        <w:t>a funding window to</w:t>
      </w:r>
      <w:r w:rsidR="3DC481B2" w:rsidRPr="002C0D3A">
        <w:t xml:space="preserve"> implement LRM plans</w:t>
      </w:r>
      <w:r w:rsidR="5723DE7A" w:rsidRPr="002C0D3A">
        <w:t xml:space="preserve">. </w:t>
      </w:r>
      <w:r w:rsidR="3B490705" w:rsidRPr="002C0D3A">
        <w:t xml:space="preserve">If </w:t>
      </w:r>
      <w:r w:rsidR="64F84494" w:rsidRPr="002C0D3A">
        <w:t>agreed</w:t>
      </w:r>
      <w:r w:rsidR="3B490705" w:rsidRPr="002C0D3A">
        <w:t xml:space="preserve"> by the ExCom, a</w:t>
      </w:r>
      <w:r w:rsidR="52DF6E1C" w:rsidRPr="002C0D3A">
        <w:t xml:space="preserve"> d</w:t>
      </w:r>
      <w:r w:rsidR="5D2E5A70" w:rsidRPr="002C0D3A">
        <w:t>ecision</w:t>
      </w:r>
      <w:r w:rsidR="482D8F1B" w:rsidRPr="002C0D3A">
        <w:t xml:space="preserve"> </w:t>
      </w:r>
      <w:r w:rsidR="508331BD" w:rsidRPr="002C0D3A">
        <w:t xml:space="preserve">would </w:t>
      </w:r>
      <w:r w:rsidR="0F105A79" w:rsidRPr="002C0D3A">
        <w:t xml:space="preserve">come but </w:t>
      </w:r>
      <w:r w:rsidR="5D2E5A70" w:rsidRPr="002C0D3A">
        <w:t xml:space="preserve">not earlier than </w:t>
      </w:r>
      <w:r w:rsidR="00582FCE">
        <w:t xml:space="preserve">ExCom-100 </w:t>
      </w:r>
      <w:r w:rsidR="28F00DBF" w:rsidRPr="002C0D3A">
        <w:t>in 2027</w:t>
      </w:r>
      <w:r w:rsidR="00150C16" w:rsidRPr="002C0D3A">
        <w:t xml:space="preserve"> prompting the RTF to include a discussion on LRM in its report.</w:t>
      </w:r>
    </w:p>
    <w:p w14:paraId="5A354555" w14:textId="1461DEC7" w:rsidR="00DE2C92" w:rsidRPr="00DE2C92" w:rsidRDefault="439EE37F" w:rsidP="00DE2C92">
      <w:r>
        <w:t xml:space="preserve">Noting the continued interest of the ExCom and parties </w:t>
      </w:r>
      <w:r w:rsidR="4D2053F6">
        <w:t xml:space="preserve">on </w:t>
      </w:r>
      <w:r w:rsidR="00582FCE">
        <w:t>LRM</w:t>
      </w:r>
      <w:r w:rsidR="7209FF51">
        <w:t xml:space="preserve"> </w:t>
      </w:r>
      <w:r w:rsidR="4D2053F6">
        <w:t xml:space="preserve">and </w:t>
      </w:r>
      <w:r w:rsidR="7209FF51">
        <w:t xml:space="preserve">future </w:t>
      </w:r>
      <w:r w:rsidR="5BEB57F3">
        <w:t>consideration</w:t>
      </w:r>
      <w:r w:rsidR="60E4ABAE">
        <w:t xml:space="preserve"> for establishing a funding window</w:t>
      </w:r>
      <w:r w:rsidR="7209FF51">
        <w:t xml:space="preserve">, this chapter </w:t>
      </w:r>
      <w:r w:rsidR="00130DC4">
        <w:t>and Ann</w:t>
      </w:r>
      <w:r w:rsidR="00126FBF">
        <w:t xml:space="preserve">ex 10 of this report </w:t>
      </w:r>
      <w:r w:rsidR="7209FF51">
        <w:t xml:space="preserve">provide </w:t>
      </w:r>
      <w:r w:rsidR="3A29E7AA">
        <w:t>information</w:t>
      </w:r>
      <w:r w:rsidR="7ABE7A76">
        <w:t xml:space="preserve"> to support those ongoing discussions</w:t>
      </w:r>
      <w:r w:rsidR="00A1292A">
        <w:t>.</w:t>
      </w:r>
    </w:p>
    <w:p w14:paraId="2D98945D" w14:textId="6EDAFFDF" w:rsidR="00CF0D13" w:rsidRDefault="00CF0D13" w:rsidP="002D02B7">
      <w:pPr>
        <w:pStyle w:val="Heading2"/>
      </w:pPr>
      <w:bookmarkStart w:id="297" w:name="_Toc113319196"/>
      <w:bookmarkStart w:id="298" w:name="_Toc119436622"/>
      <w:bookmarkStart w:id="299" w:name="_Toc230099131"/>
      <w:r w:rsidRPr="00D7427C">
        <w:t>8.1</w:t>
      </w:r>
      <w:r w:rsidRPr="00D7427C">
        <w:tab/>
      </w:r>
      <w:bookmarkEnd w:id="297"/>
      <w:r w:rsidRPr="00D7427C">
        <w:t>Introduction</w:t>
      </w:r>
      <w:bookmarkEnd w:id="298"/>
      <w:bookmarkEnd w:id="299"/>
    </w:p>
    <w:p w14:paraId="40B03FEF" w14:textId="3951142C" w:rsidR="008C6547" w:rsidRPr="008C6547" w:rsidRDefault="0978709B" w:rsidP="008C6547">
      <w:r w:rsidRPr="003C5437">
        <w:t xml:space="preserve">LRM is increasingly recognized as a critical component in achieving the environmental objectives of the </w:t>
      </w:r>
      <w:r w:rsidR="00FB7C66">
        <w:t>MP</w:t>
      </w:r>
      <w:r w:rsidRPr="003C5437">
        <w:t xml:space="preserve"> and its </w:t>
      </w:r>
      <w:r w:rsidR="00912482">
        <w:t>KA</w:t>
      </w:r>
      <w:r w:rsidR="002F6DB1">
        <w:t xml:space="preserve"> and </w:t>
      </w:r>
      <w:r w:rsidR="1F05CBF0">
        <w:t xml:space="preserve">mitigating compliance risks through </w:t>
      </w:r>
      <w:r w:rsidR="002F6DB1">
        <w:t xml:space="preserve">providing additional </w:t>
      </w:r>
      <w:r w:rsidR="1F05CBF0">
        <w:t xml:space="preserve">HFC </w:t>
      </w:r>
      <w:r w:rsidR="002F6DB1">
        <w:t xml:space="preserve">supply </w:t>
      </w:r>
      <w:r w:rsidR="00AD0F40">
        <w:t xml:space="preserve">during challenging consumption </w:t>
      </w:r>
      <w:r w:rsidR="1F05CBF0">
        <w:t xml:space="preserve">reduction </w:t>
      </w:r>
      <w:r w:rsidR="00AD0F40">
        <w:t>steps</w:t>
      </w:r>
      <w:r w:rsidR="000D614E">
        <w:t>.</w:t>
      </w:r>
      <w:r w:rsidRPr="003C5437">
        <w:t xml:space="preserve"> While the Protocol has historically focused on controlling the production and consumption of ODS, the large quantities of refrigerants already contained in existing equipment, referred to as refrigerant banks, represent a significant potential source of </w:t>
      </w:r>
      <w:r w:rsidRPr="003C5437">
        <w:lastRenderedPageBreak/>
        <w:t xml:space="preserve">emissions if not properly managed at the end of equipment life. In 2022, the active global refrigerant bank contained around 6 million </w:t>
      </w:r>
      <w:r w:rsidR="150DDC0B">
        <w:t xml:space="preserve">metric </w:t>
      </w:r>
      <w:r w:rsidRPr="003C5437">
        <w:t>tonnes (Mt) of ODS and HFCs, equivalent to approximately 16 Gt CO</w:t>
      </w:r>
      <w:r w:rsidRPr="00701C50">
        <w:rPr>
          <w:vertAlign w:val="subscript"/>
        </w:rPr>
        <w:t>2</w:t>
      </w:r>
      <w:r w:rsidRPr="003C5437">
        <w:t>e</w:t>
      </w:r>
      <w:r w:rsidR="105F805A">
        <w:t>.</w:t>
      </w:r>
      <w:r w:rsidR="003C5437">
        <w:rPr>
          <w:rStyle w:val="FootnoteReference"/>
        </w:rPr>
        <w:footnoteReference w:id="79"/>
      </w:r>
      <w:r w:rsidRPr="003C5437">
        <w:t xml:space="preserve"> Effective management of these banks through recovery, recycling, reclamation, and destruction (RRRD) can substantially reduce emissions of both ODS and high</w:t>
      </w:r>
      <w:r w:rsidR="00DE0B39">
        <w:t>-</w:t>
      </w:r>
      <w:r w:rsidRPr="003C5437">
        <w:t xml:space="preserve">GWP HFCs. TEAP has emphasized that strengthening lifecycle management practices is essential for maximizing the climate and ozone benefits of the </w:t>
      </w:r>
      <w:r w:rsidR="00FB7C66">
        <w:t>MP</w:t>
      </w:r>
      <w:r w:rsidRPr="003C5437">
        <w:t xml:space="preserve"> framework</w:t>
      </w:r>
      <w:r w:rsidR="48B9A602">
        <w:t>.</w:t>
      </w:r>
      <w:r w:rsidR="6AC164EF">
        <w:t xml:space="preserve"> </w:t>
      </w:r>
      <w:r w:rsidR="00F1104C">
        <w:rPr>
          <w:rStyle w:val="FootnoteReference"/>
        </w:rPr>
        <w:footnoteReference w:id="80"/>
      </w:r>
    </w:p>
    <w:p w14:paraId="1BF90F03" w14:textId="015CD2D1" w:rsidR="007D3426" w:rsidRDefault="37433AD0" w:rsidP="007D3426">
      <w:r w:rsidRPr="006908FD">
        <w:t xml:space="preserve">LRM encompasses the set of activities that ensure refrigerants are responsibly handled throughout their entire lifecycle, from installation and servicing through to equipment retirement and end-of-life management. These activities include refrigerant handling during servicing and decommissioning, collection, aggregation and logistics systems, reclamation and purification infrastructure, and environmentally sound destruction where reuse or reclamation is not feasible. By minimizing leakage during servicing and ensuring maximum effective recovery at the end of equipment life, LRM contributes to reducing both direct emissions and the demand for newly produced refrigerants. Improving LRM </w:t>
      </w:r>
      <w:r w:rsidR="7775801F">
        <w:t>activities</w:t>
      </w:r>
      <w:r>
        <w:t xml:space="preserve"> </w:t>
      </w:r>
      <w:r w:rsidRPr="006908FD">
        <w:t>can significantly mitigate emissions from existing refrigerant banks, which remain a major contributor to projected future emissions even as production and consumption controls tighten</w:t>
      </w:r>
      <w:r>
        <w:t>.</w:t>
      </w:r>
      <w:r w:rsidR="006908FD">
        <w:rPr>
          <w:rStyle w:val="FootnoteReference"/>
        </w:rPr>
        <w:footnoteReference w:id="81"/>
      </w:r>
    </w:p>
    <w:p w14:paraId="7DA78E91" w14:textId="7E7F372D" w:rsidR="00064FDF" w:rsidRDefault="00245324" w:rsidP="007D3426">
      <w:r w:rsidRPr="00245324">
        <w:t xml:space="preserve">Within the </w:t>
      </w:r>
      <w:r w:rsidR="00FB7C66">
        <w:t>MP</w:t>
      </w:r>
      <w:r w:rsidRPr="00245324">
        <w:t xml:space="preserve"> implementation architecture, several elements of LRM are already embedded within existing programme structures, particularly HPMPs and </w:t>
      </w:r>
      <w:r w:rsidR="667EF821">
        <w:t xml:space="preserve">now </w:t>
      </w:r>
      <w:r w:rsidRPr="00245324">
        <w:t xml:space="preserve">KIPs. These programmes typically include activities such as technician training on refrigerant recovery practices, provision of basic recovery equipment, development of servicing sector regulations, and pilot reclamation initiatives. Such interventions contribute to strengthening lifecycle management systems and can indirectly support refrigerant bank management. However, these activities have historically been designed primarily to facilitate compliance with production and consumption phase-out/down schedules, rather than to establish comprehensive national </w:t>
      </w:r>
      <w:r w:rsidR="66E75AE8">
        <w:t>capability</w:t>
      </w:r>
      <w:r w:rsidRPr="00245324">
        <w:t xml:space="preserve"> for end-of-life refrigerant management.</w:t>
      </w:r>
    </w:p>
    <w:p w14:paraId="455D8699" w14:textId="6354B762" w:rsidR="006B09AF" w:rsidRDefault="000A5805" w:rsidP="007D3426">
      <w:r w:rsidRPr="000A5805">
        <w:t xml:space="preserve">The current funding architecture of the MLF provides only limited and fragmented support for the full spectrum of LRM activities. While certain upstream measures, such as servicing sector training and provision of recovery equipment, are eligible for funding, broader system elements including nationwide collection networks, large-scale reclamation infrastructure, refrigerant destruction capacity, and long-term refrigerant bank management strategies, remain insufficiently addressed. This gap has been highlighted in several policy discussions of the MLF </w:t>
      </w:r>
      <w:r w:rsidR="00AF291D">
        <w:t>ExCom</w:t>
      </w:r>
      <w:r w:rsidRPr="000A5805">
        <w:t xml:space="preserve">, including UNEP/OzL.Pro/ExCom/97/87, which examined options for strengthening </w:t>
      </w:r>
      <w:r w:rsidR="009C3698">
        <w:t>LRM</w:t>
      </w:r>
      <w:r w:rsidRPr="000A5805">
        <w:t xml:space="preserve"> and improving the treatment of refrigerant banks within the </w:t>
      </w:r>
      <w:r w:rsidR="00FB7C66">
        <w:t>MP</w:t>
      </w:r>
      <w:r w:rsidRPr="000A5805">
        <w:t xml:space="preserve"> framework</w:t>
      </w:r>
      <w:r w:rsidR="00365ADB" w:rsidRPr="000A5805">
        <w:t xml:space="preserve"> </w:t>
      </w:r>
      <w:r w:rsidRPr="000A5805">
        <w:t>(UNEP, 2022).</w:t>
      </w:r>
    </w:p>
    <w:p w14:paraId="2B823F6F" w14:textId="393BB7FF" w:rsidR="002E0F65" w:rsidRDefault="004F510A" w:rsidP="007D3426">
      <w:r w:rsidRPr="004F510A">
        <w:t xml:space="preserve">Addressing the above gap will require a more systematic approach to assessing the financial and institutional requirements associated with end-of-life refrigerant management in A5 </w:t>
      </w:r>
      <w:r>
        <w:t>p</w:t>
      </w:r>
      <w:r w:rsidRPr="004F510A">
        <w:t xml:space="preserve">arties. Establishing effective LRM </w:t>
      </w:r>
      <w:r w:rsidR="004A3A11">
        <w:t>activities</w:t>
      </w:r>
      <w:r w:rsidRPr="004F510A">
        <w:t xml:space="preserve"> involves multiple cost elements across the refrigerant value chain, including deployment of recovery equipment, development of collection and logistics systems that incentivise technicians to return recovered refrigerants to collection centres, establishment of reclamation and purification facilities, access to destruction technologies, and the strengthening of regulatory, monitoring and enforcement frameworks. The scale of these requirements varies significantly depending on national circumstances, including the size of the installed equipment base, historical refrigerant consumption levels, and the maturity of servicing sector infrastructure.</w:t>
      </w:r>
    </w:p>
    <w:p w14:paraId="2E020025" w14:textId="168E5865" w:rsidR="008C05F3" w:rsidRPr="008C05F3" w:rsidRDefault="7B32FCAB" w:rsidP="008C05F3">
      <w:pPr>
        <w:rPr>
          <w:lang w:val="en-US"/>
        </w:rPr>
      </w:pPr>
      <w:r w:rsidRPr="00186007">
        <w:lastRenderedPageBreak/>
        <w:t xml:space="preserve">This chapter therefore examines the funding requirements associated with strengthening LRM under the </w:t>
      </w:r>
      <w:r w:rsidR="00FB7C66">
        <w:t>MP</w:t>
      </w:r>
      <w:r w:rsidRPr="00186007">
        <w:t>. It draws on findings from the TEAP 2024 LRM Task Force Report</w:t>
      </w:r>
      <w:r w:rsidR="00186007">
        <w:rPr>
          <w:rStyle w:val="FootnoteReference"/>
        </w:rPr>
        <w:footnoteReference w:id="82"/>
      </w:r>
      <w:r w:rsidR="1E7D29C2">
        <w:t>,</w:t>
      </w:r>
      <w:r w:rsidR="373B00CB">
        <w:t xml:space="preserve"> </w:t>
      </w:r>
      <w:r w:rsidRPr="00186007">
        <w:t>relevant policy discussions of the ExCom, and existing literature on refrigerant bank management</w:t>
      </w:r>
      <w:r w:rsidR="00654FCF">
        <w:rPr>
          <w:rStyle w:val="FootnoteReference"/>
        </w:rPr>
        <w:footnoteReference w:id="83"/>
      </w:r>
      <w:r w:rsidRPr="00186007">
        <w:t xml:space="preserve">. The analysis reviews typical cost </w:t>
      </w:r>
      <w:r w:rsidR="006D62F4" w:rsidRPr="006D62F4">
        <w:t>components associated with</w:t>
      </w:r>
      <w:r w:rsidR="006D62F4">
        <w:t xml:space="preserve"> </w:t>
      </w:r>
      <w:r w:rsidRPr="00186007">
        <w:t xml:space="preserve">key LRM activities, including recovery, collection, transport, reclamation, and </w:t>
      </w:r>
      <w:r w:rsidR="00C34CC8" w:rsidRPr="00C34CC8">
        <w:t>environmentally sound</w:t>
      </w:r>
      <w:r w:rsidR="00C34CC8">
        <w:t xml:space="preserve"> </w:t>
      </w:r>
      <w:r w:rsidRPr="00186007">
        <w:t xml:space="preserve">destruction, </w:t>
      </w:r>
      <w:r w:rsidR="00A36DB7" w:rsidRPr="008C05F3">
        <w:t>this</w:t>
      </w:r>
      <w:r w:rsidR="008C05F3" w:rsidRPr="008C05F3">
        <w:t xml:space="preserve"> chapter adopts </w:t>
      </w:r>
      <w:r w:rsidR="008A7A10">
        <w:t>an</w:t>
      </w:r>
      <w:r w:rsidR="008C05F3" w:rsidRPr="008C05F3">
        <w:t xml:space="preserve"> approach to examining </w:t>
      </w:r>
      <w:r w:rsidR="1147FC11">
        <w:t xml:space="preserve">future opportunities for </w:t>
      </w:r>
      <w:r w:rsidR="008C05F3" w:rsidRPr="008C05F3">
        <w:t>additional funding for LRM services, designed to</w:t>
      </w:r>
      <w:r w:rsidR="00D1573D">
        <w:t xml:space="preserve"> </w:t>
      </w:r>
      <w:r w:rsidR="008C05F3" w:rsidRPr="008C05F3">
        <w:t>complement existing HPMPs and KIPs in supporting the phase-out and phase-down of controlled substances under the </w:t>
      </w:r>
      <w:r w:rsidR="00FB7C66">
        <w:t>MP</w:t>
      </w:r>
      <w:r w:rsidR="008C05F3" w:rsidRPr="008C05F3">
        <w:t xml:space="preserve">. Most servicing-sector infrastructure, training, and </w:t>
      </w:r>
      <w:r w:rsidR="00F64E92">
        <w:t>IS</w:t>
      </w:r>
      <w:r w:rsidR="008C05F3" w:rsidRPr="008C05F3">
        <w:t xml:space="preserve"> are expected to continue to be funded through HPMPs and KIPs. </w:t>
      </w:r>
    </w:p>
    <w:p w14:paraId="44595835" w14:textId="74A34F6C" w:rsidR="008C05F3" w:rsidRPr="008C05F3" w:rsidRDefault="008C05F3" w:rsidP="00DC4B06">
      <w:pPr>
        <w:spacing w:after="120"/>
        <w:rPr>
          <w:lang w:val="en-US"/>
        </w:rPr>
      </w:pPr>
      <w:r w:rsidRPr="008C05F3">
        <w:t>In this context, the chapter considers the following high-level LRM activities</w:t>
      </w:r>
      <w:r w:rsidR="5F8B9B76">
        <w:t xml:space="preserve"> for purposes of</w:t>
      </w:r>
      <w:r w:rsidR="48D95E5B">
        <w:t xml:space="preserve"> informing </w:t>
      </w:r>
      <w:r w:rsidR="47706540">
        <w:t>development potential</w:t>
      </w:r>
      <w:r w:rsidR="5F8B9B76">
        <w:t xml:space="preserve"> future consideration </w:t>
      </w:r>
      <w:r w:rsidR="57A6611E">
        <w:t xml:space="preserve">of </w:t>
      </w:r>
      <w:r w:rsidR="5EB87C7D">
        <w:t xml:space="preserve">a </w:t>
      </w:r>
      <w:r w:rsidR="57A6611E">
        <w:t>formal</w:t>
      </w:r>
      <w:r w:rsidR="5F8B9B76">
        <w:t xml:space="preserve"> LRM </w:t>
      </w:r>
      <w:r w:rsidR="6E9CFC1C">
        <w:t xml:space="preserve">implementation </w:t>
      </w:r>
      <w:r w:rsidR="5F8B9B76">
        <w:t>funding window</w:t>
      </w:r>
      <w:r w:rsidRPr="008C05F3">
        <w:t>:  </w:t>
      </w:r>
      <w:r w:rsidRPr="008C05F3">
        <w:rPr>
          <w:lang w:val="en-US"/>
        </w:rPr>
        <w:t> </w:t>
      </w:r>
    </w:p>
    <w:p w14:paraId="5267E42A" w14:textId="712129DF" w:rsidR="008C05F3" w:rsidRPr="008C05F3" w:rsidRDefault="008C05F3" w:rsidP="00DC4B06">
      <w:pPr>
        <w:numPr>
          <w:ilvl w:val="0"/>
          <w:numId w:val="84"/>
        </w:numPr>
        <w:spacing w:after="120"/>
        <w:rPr>
          <w:lang w:val="en-US"/>
        </w:rPr>
      </w:pPr>
      <w:r w:rsidRPr="008C05F3">
        <w:t>Enhancing recovery</w:t>
      </w:r>
      <w:r w:rsidR="00613224">
        <w:t>, recycling</w:t>
      </w:r>
      <w:r w:rsidRPr="008C05F3">
        <w:t xml:space="preserve"> and collection systems,</w:t>
      </w:r>
      <w:r w:rsidRPr="008C05F3">
        <w:rPr>
          <w:lang w:val="en-US"/>
        </w:rPr>
        <w:t> </w:t>
      </w:r>
    </w:p>
    <w:p w14:paraId="76A8EE01" w14:textId="16AEB2B7" w:rsidR="008C05F3" w:rsidRPr="008C05F3" w:rsidRDefault="008C05F3" w:rsidP="00DC4B06">
      <w:pPr>
        <w:numPr>
          <w:ilvl w:val="0"/>
          <w:numId w:val="84"/>
        </w:numPr>
        <w:spacing w:after="120"/>
        <w:rPr>
          <w:lang w:val="en-US"/>
        </w:rPr>
      </w:pPr>
      <w:r w:rsidRPr="008C05F3">
        <w:t>Expanding access to reclamation,</w:t>
      </w:r>
      <w:r w:rsidRPr="008C05F3">
        <w:rPr>
          <w:lang w:val="en-US"/>
        </w:rPr>
        <w:t> </w:t>
      </w:r>
    </w:p>
    <w:p w14:paraId="69736EB3" w14:textId="0B2B1F9A" w:rsidR="00DD6CD4" w:rsidRDefault="008C05F3" w:rsidP="00DC4B06">
      <w:pPr>
        <w:numPr>
          <w:ilvl w:val="0"/>
          <w:numId w:val="84"/>
        </w:numPr>
        <w:spacing w:after="120"/>
        <w:rPr>
          <w:lang w:val="en-US"/>
        </w:rPr>
      </w:pPr>
      <w:r w:rsidRPr="008C05F3">
        <w:t>Facilitating transboundary shipment of recovered refrigerants under the Basel Convention (for reclamation and/or destruction), and</w:t>
      </w:r>
    </w:p>
    <w:p w14:paraId="56595ED5" w14:textId="77777777" w:rsidR="008C05F3" w:rsidRPr="00DD6CD4" w:rsidRDefault="008C05F3" w:rsidP="00DC4B06">
      <w:pPr>
        <w:numPr>
          <w:ilvl w:val="0"/>
          <w:numId w:val="84"/>
        </w:numPr>
        <w:spacing w:after="120"/>
        <w:rPr>
          <w:lang w:val="en-US"/>
        </w:rPr>
      </w:pPr>
      <w:r w:rsidRPr="008C05F3">
        <w:t>Enabling destruction where possible. </w:t>
      </w:r>
      <w:r w:rsidRPr="00DD6CD4">
        <w:rPr>
          <w:lang w:val="en-US"/>
        </w:rPr>
        <w:t> </w:t>
      </w:r>
    </w:p>
    <w:p w14:paraId="0BB10C48" w14:textId="1A334A5D" w:rsidR="008C05F3" w:rsidRDefault="008C05F3" w:rsidP="008C05F3">
      <w:r w:rsidRPr="008C05F3">
        <w:t xml:space="preserve">Each of these activities corresponds to a specific function within the LRM chain and can be implemented independently or in combination. </w:t>
      </w:r>
    </w:p>
    <w:p w14:paraId="5549BEBF" w14:textId="49E52E1F" w:rsidR="004E796C" w:rsidRDefault="004B179B" w:rsidP="004E796C">
      <w:bookmarkStart w:id="300" w:name="_Toc113319197"/>
      <w:bookmarkStart w:id="301" w:name="_Toc119436623"/>
      <w:r w:rsidRPr="004B179B">
        <w:t>While Decision 91/66 provides funding for preparatory activities, such as national inventories and action plans</w:t>
      </w:r>
      <w:r w:rsidR="00602685">
        <w:t>.</w:t>
      </w:r>
      <w:r w:rsidRPr="004B179B">
        <w:t xml:space="preserve"> </w:t>
      </w:r>
      <w:r w:rsidR="00602685">
        <w:t>T</w:t>
      </w:r>
      <w:r w:rsidRPr="004B179B">
        <w:t xml:space="preserve">he </w:t>
      </w:r>
      <w:r w:rsidR="004E71B3">
        <w:t xml:space="preserve">decision on funding those plans </w:t>
      </w:r>
      <w:r w:rsidR="00DA64E2">
        <w:t>is expected within th</w:t>
      </w:r>
      <w:r w:rsidR="00840846">
        <w:t>e 2027 – 2029 triennium</w:t>
      </w:r>
      <w:r w:rsidR="00370C6E">
        <w:t>.</w:t>
      </w:r>
      <w:r w:rsidR="00840846">
        <w:t xml:space="preserve"> </w:t>
      </w:r>
      <w:r w:rsidRPr="004B179B">
        <w:t xml:space="preserve"> </w:t>
      </w:r>
      <w:r w:rsidR="00DB743F">
        <w:t>At the time of preparation of this report</w:t>
      </w:r>
      <w:r w:rsidR="00BD64B4">
        <w:t xml:space="preserve"> </w:t>
      </w:r>
      <w:r w:rsidR="00244B6E">
        <w:t>the RTF have not seen any of the proposed action plans</w:t>
      </w:r>
      <w:r w:rsidR="005C1A76">
        <w:t>.</w:t>
      </w:r>
      <w:r w:rsidRPr="004B179B">
        <w:t xml:space="preserve"> A gap persists between existing funding provisions and the broader requirements for comprehensive end-of-life management systems, including collection networks, reclamation capacity, destruction infrastructure, and national regulatory and monitoring frameworks (Table </w:t>
      </w:r>
      <w:r w:rsidR="00B16900">
        <w:t>8</w:t>
      </w:r>
      <w:r w:rsidRPr="004B179B">
        <w:t xml:space="preserve">.2). Bridging this gap </w:t>
      </w:r>
      <w:r w:rsidR="00E87BC9">
        <w:t>is</w:t>
      </w:r>
      <w:r w:rsidR="008914F5">
        <w:t xml:space="preserve"> </w:t>
      </w:r>
      <w:r w:rsidR="00E2705A">
        <w:t xml:space="preserve">necessary </w:t>
      </w:r>
      <w:r w:rsidRPr="004B179B">
        <w:t xml:space="preserve">to </w:t>
      </w:r>
      <w:r w:rsidR="007070C7">
        <w:t>enable</w:t>
      </w:r>
      <w:r w:rsidRPr="004B179B">
        <w:t xml:space="preserve"> </w:t>
      </w:r>
      <w:r w:rsidR="00406035">
        <w:t>an effective management</w:t>
      </w:r>
      <w:r w:rsidR="008914F5" w:rsidRPr="004B179B">
        <w:t xml:space="preserve"> </w:t>
      </w:r>
      <w:r w:rsidR="00E87BC9">
        <w:t>of</w:t>
      </w:r>
      <w:r w:rsidRPr="004B179B">
        <w:t xml:space="preserve"> refrigerant banks</w:t>
      </w:r>
      <w:r w:rsidR="00064028">
        <w:t xml:space="preserve">, with associated </w:t>
      </w:r>
      <w:r w:rsidRPr="004B179B">
        <w:t>ozone and climate benefits</w:t>
      </w:r>
      <w:r w:rsidR="00064028">
        <w:t xml:space="preserve">, </w:t>
      </w:r>
      <w:r w:rsidR="003D0ACF">
        <w:t>while improving the availability of recovered refrigerants</w:t>
      </w:r>
      <w:r w:rsidR="00111D6D">
        <w:t xml:space="preserve"> and </w:t>
      </w:r>
      <w:r w:rsidR="006F4DC9">
        <w:t xml:space="preserve">reducing pressures on </w:t>
      </w:r>
      <w:r w:rsidR="008B3E72">
        <w:t xml:space="preserve">virgin </w:t>
      </w:r>
      <w:r w:rsidR="00111D6D">
        <w:t xml:space="preserve">supply </w:t>
      </w:r>
      <w:r w:rsidR="008B3E72">
        <w:t>chains</w:t>
      </w:r>
      <w:r w:rsidRPr="004B179B">
        <w:t>.</w:t>
      </w:r>
    </w:p>
    <w:p w14:paraId="4189C1AF" w14:textId="77777777" w:rsidR="00B26E16" w:rsidRDefault="00B26E16" w:rsidP="004E796C">
      <w:pPr>
        <w:rPr>
          <w:rFonts w:eastAsiaTheme="minorEastAsia"/>
          <w:b/>
        </w:rPr>
      </w:pPr>
      <w:r>
        <w:rPr>
          <w:rFonts w:eastAsiaTheme="minorEastAsia"/>
          <w:b/>
        </w:rPr>
        <w:br w:type="page"/>
      </w:r>
    </w:p>
    <w:p w14:paraId="1B782E27" w14:textId="61A45EC0" w:rsidR="004E796C" w:rsidRPr="005D2AFF" w:rsidRDefault="004E796C" w:rsidP="002135B0">
      <w:pPr>
        <w:tabs>
          <w:tab w:val="left" w:pos="1134"/>
        </w:tabs>
        <w:rPr>
          <w:rFonts w:eastAsiaTheme="minorEastAsia"/>
          <w:b/>
        </w:rPr>
      </w:pPr>
      <w:r w:rsidRPr="73E3B5B4">
        <w:rPr>
          <w:rFonts w:eastAsiaTheme="minorEastAsia"/>
          <w:b/>
        </w:rPr>
        <w:lastRenderedPageBreak/>
        <w:t>Table 8.</w:t>
      </w:r>
      <w:r>
        <w:rPr>
          <w:rFonts w:eastAsiaTheme="minorEastAsia"/>
          <w:b/>
        </w:rPr>
        <w:t>2</w:t>
      </w:r>
      <w:r w:rsidR="00454F05">
        <w:rPr>
          <w:rFonts w:eastAsiaTheme="minorEastAsia"/>
          <w:b/>
        </w:rPr>
        <w:t>:</w:t>
      </w:r>
      <w:r w:rsidR="00C7609F">
        <w:tab/>
      </w:r>
      <w:r>
        <w:rPr>
          <w:rFonts w:eastAsiaTheme="minorEastAsia"/>
          <w:b/>
        </w:rPr>
        <w:t>Gap between current funding provisions and comprehensive LRM needs</w:t>
      </w:r>
    </w:p>
    <w:tbl>
      <w:tblPr>
        <w:tblW w:w="829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82"/>
        <w:gridCol w:w="1980"/>
        <w:gridCol w:w="4429"/>
      </w:tblGrid>
      <w:tr w:rsidR="001C1BC5" w:rsidRPr="001C1BC5" w14:paraId="1AC0CB29" w14:textId="77777777" w:rsidTr="00D40DBB">
        <w:trPr>
          <w:trHeight w:val="480"/>
        </w:trPr>
        <w:tc>
          <w:tcPr>
            <w:tcW w:w="1882" w:type="dxa"/>
            <w:tcBorders>
              <w:top w:val="single" w:sz="6" w:space="0" w:color="auto"/>
              <w:left w:val="single" w:sz="6" w:space="0" w:color="auto"/>
              <w:bottom w:val="single" w:sz="6" w:space="0" w:color="auto"/>
              <w:right w:val="single" w:sz="6" w:space="0" w:color="auto"/>
            </w:tcBorders>
            <w:hideMark/>
          </w:tcPr>
          <w:p w14:paraId="0947D578" w14:textId="744AE8D8" w:rsidR="001C1BC5" w:rsidRPr="001C1BC5" w:rsidRDefault="001C1BC5" w:rsidP="00F77144">
            <w:pPr>
              <w:spacing w:before="120" w:after="120"/>
              <w:jc w:val="center"/>
              <w:rPr>
                <w:sz w:val="20"/>
                <w:szCs w:val="20"/>
                <w:lang w:val="en-US"/>
              </w:rPr>
            </w:pPr>
            <w:r w:rsidRPr="001C1BC5">
              <w:rPr>
                <w:b/>
                <w:bCs/>
                <w:sz w:val="20"/>
                <w:szCs w:val="20"/>
              </w:rPr>
              <w:t>Aspect</w:t>
            </w:r>
          </w:p>
        </w:tc>
        <w:tc>
          <w:tcPr>
            <w:tcW w:w="1980" w:type="dxa"/>
            <w:tcBorders>
              <w:top w:val="single" w:sz="6" w:space="0" w:color="auto"/>
              <w:left w:val="single" w:sz="6" w:space="0" w:color="auto"/>
              <w:bottom w:val="single" w:sz="6" w:space="0" w:color="auto"/>
              <w:right w:val="single" w:sz="6" w:space="0" w:color="auto"/>
            </w:tcBorders>
            <w:hideMark/>
          </w:tcPr>
          <w:p w14:paraId="23D503A2" w14:textId="78D395CF" w:rsidR="001C1BC5" w:rsidRPr="001C1BC5" w:rsidRDefault="001C1BC5" w:rsidP="00F77144">
            <w:pPr>
              <w:spacing w:before="120" w:after="120"/>
              <w:jc w:val="center"/>
              <w:rPr>
                <w:sz w:val="20"/>
                <w:szCs w:val="20"/>
                <w:lang w:val="en-US"/>
              </w:rPr>
            </w:pPr>
            <w:r w:rsidRPr="001C1BC5">
              <w:rPr>
                <w:b/>
                <w:bCs/>
                <w:sz w:val="20"/>
                <w:szCs w:val="20"/>
              </w:rPr>
              <w:t>Current funding / provision</w:t>
            </w:r>
          </w:p>
        </w:tc>
        <w:tc>
          <w:tcPr>
            <w:tcW w:w="4429" w:type="dxa"/>
            <w:tcBorders>
              <w:top w:val="single" w:sz="6" w:space="0" w:color="auto"/>
              <w:left w:val="single" w:sz="6" w:space="0" w:color="auto"/>
              <w:bottom w:val="single" w:sz="6" w:space="0" w:color="auto"/>
              <w:right w:val="single" w:sz="6" w:space="0" w:color="auto"/>
            </w:tcBorders>
            <w:hideMark/>
          </w:tcPr>
          <w:p w14:paraId="3DF929AE" w14:textId="68272367" w:rsidR="001C1BC5" w:rsidRPr="001C1BC5" w:rsidRDefault="001C1BC5" w:rsidP="00F77144">
            <w:pPr>
              <w:spacing w:before="120" w:after="120"/>
              <w:jc w:val="center"/>
              <w:rPr>
                <w:sz w:val="20"/>
                <w:szCs w:val="20"/>
                <w:lang w:val="en-US"/>
              </w:rPr>
            </w:pPr>
            <w:r w:rsidRPr="001C1BC5">
              <w:rPr>
                <w:b/>
                <w:bCs/>
                <w:sz w:val="20"/>
                <w:szCs w:val="20"/>
              </w:rPr>
              <w:t>Needs/Expectation</w:t>
            </w:r>
          </w:p>
        </w:tc>
      </w:tr>
      <w:tr w:rsidR="009F3508" w:rsidRPr="001C1BC5" w14:paraId="1CEAA2C2" w14:textId="77777777" w:rsidTr="00F77144">
        <w:trPr>
          <w:trHeight w:val="1427"/>
        </w:trPr>
        <w:tc>
          <w:tcPr>
            <w:tcW w:w="1882" w:type="dxa"/>
            <w:tcBorders>
              <w:top w:val="single" w:sz="6" w:space="0" w:color="auto"/>
              <w:left w:val="single" w:sz="6" w:space="0" w:color="auto"/>
              <w:bottom w:val="single" w:sz="6" w:space="0" w:color="auto"/>
              <w:right w:val="single" w:sz="6" w:space="0" w:color="auto"/>
            </w:tcBorders>
            <w:vAlign w:val="center"/>
          </w:tcPr>
          <w:p w14:paraId="56205C50" w14:textId="319C7A7F" w:rsidR="009F3508" w:rsidRPr="001C1BC5" w:rsidRDefault="009F3508" w:rsidP="00F77144">
            <w:pPr>
              <w:rPr>
                <w:sz w:val="20"/>
                <w:szCs w:val="20"/>
              </w:rPr>
            </w:pPr>
            <w:r w:rsidRPr="001C1BC5">
              <w:rPr>
                <w:sz w:val="20"/>
                <w:szCs w:val="20"/>
              </w:rPr>
              <w:t>Institutional support</w:t>
            </w:r>
            <w:r w:rsidRPr="001C1BC5">
              <w:rPr>
                <w:sz w:val="20"/>
                <w:szCs w:val="20"/>
                <w:lang w:val="en-US"/>
              </w:rPr>
              <w:t> </w:t>
            </w:r>
          </w:p>
        </w:tc>
        <w:tc>
          <w:tcPr>
            <w:tcW w:w="1980" w:type="dxa"/>
            <w:tcBorders>
              <w:top w:val="single" w:sz="6" w:space="0" w:color="auto"/>
              <w:left w:val="single" w:sz="6" w:space="0" w:color="auto"/>
              <w:bottom w:val="single" w:sz="6" w:space="0" w:color="auto"/>
              <w:right w:val="single" w:sz="6" w:space="0" w:color="auto"/>
            </w:tcBorders>
            <w:vAlign w:val="center"/>
          </w:tcPr>
          <w:p w14:paraId="32823C62" w14:textId="5B142583" w:rsidR="009F3508" w:rsidRPr="001C1BC5" w:rsidRDefault="009F3508" w:rsidP="00F77144">
            <w:pPr>
              <w:rPr>
                <w:sz w:val="20"/>
                <w:szCs w:val="20"/>
              </w:rPr>
            </w:pPr>
            <w:r w:rsidRPr="001C1BC5">
              <w:rPr>
                <w:sz w:val="20"/>
                <w:szCs w:val="20"/>
              </w:rPr>
              <w:t>Limited technical assistance</w:t>
            </w:r>
            <w:r w:rsidRPr="001C1BC5">
              <w:rPr>
                <w:sz w:val="20"/>
                <w:szCs w:val="20"/>
                <w:lang w:val="en-US"/>
              </w:rPr>
              <w:t> </w:t>
            </w:r>
          </w:p>
        </w:tc>
        <w:tc>
          <w:tcPr>
            <w:tcW w:w="4429" w:type="dxa"/>
            <w:tcBorders>
              <w:top w:val="single" w:sz="6" w:space="0" w:color="auto"/>
              <w:left w:val="single" w:sz="6" w:space="0" w:color="auto"/>
              <w:bottom w:val="single" w:sz="6" w:space="0" w:color="auto"/>
              <w:right w:val="single" w:sz="6" w:space="0" w:color="auto"/>
            </w:tcBorders>
            <w:vAlign w:val="center"/>
          </w:tcPr>
          <w:p w14:paraId="495354D7" w14:textId="2EF00874" w:rsidR="009F3508" w:rsidRPr="001C1BC5" w:rsidRDefault="009F3508" w:rsidP="00F77144">
            <w:pPr>
              <w:rPr>
                <w:sz w:val="20"/>
                <w:szCs w:val="20"/>
              </w:rPr>
            </w:pPr>
            <w:r w:rsidRPr="001C1BC5">
              <w:rPr>
                <w:sz w:val="20"/>
                <w:szCs w:val="20"/>
                <w:lang w:val="en-US"/>
              </w:rPr>
              <w:t>Strengthened </w:t>
            </w:r>
            <w:r w:rsidRPr="001C1BC5">
              <w:rPr>
                <w:sz w:val="20"/>
                <w:szCs w:val="20"/>
              </w:rPr>
              <w:t>regulatory frameworks, monitoring and enforcement systems, </w:t>
            </w:r>
            <w:r w:rsidRPr="001C1BC5">
              <w:rPr>
                <w:sz w:val="20"/>
                <w:szCs w:val="20"/>
                <w:lang w:val="en-US"/>
              </w:rPr>
              <w:t>extended producer responsibility (</w:t>
            </w:r>
            <w:r w:rsidRPr="001C1BC5">
              <w:rPr>
                <w:sz w:val="20"/>
                <w:szCs w:val="20"/>
              </w:rPr>
              <w:t>EPR) schemes, </w:t>
            </w:r>
            <w:r w:rsidRPr="001C1BC5">
              <w:rPr>
                <w:sz w:val="20"/>
                <w:szCs w:val="20"/>
                <w:lang w:val="en-US"/>
              </w:rPr>
              <w:t>and mechanisms to enable environmentally sound transboundary movement and destruction (i.e., </w:t>
            </w:r>
            <w:r w:rsidRPr="001C1BC5">
              <w:rPr>
                <w:sz w:val="20"/>
                <w:szCs w:val="20"/>
              </w:rPr>
              <w:t>carbon finance integration, export of unwanted ODS/HFC for destruction)</w:t>
            </w:r>
            <w:r w:rsidRPr="001C1BC5">
              <w:rPr>
                <w:sz w:val="20"/>
                <w:szCs w:val="20"/>
                <w:lang w:val="en-US"/>
              </w:rPr>
              <w:t> </w:t>
            </w:r>
          </w:p>
        </w:tc>
      </w:tr>
      <w:tr w:rsidR="001C1BC5" w:rsidRPr="001C1BC5" w14:paraId="1312841C" w14:textId="77777777" w:rsidTr="00F77144">
        <w:trPr>
          <w:trHeight w:val="300"/>
        </w:trPr>
        <w:tc>
          <w:tcPr>
            <w:tcW w:w="1882" w:type="dxa"/>
            <w:tcBorders>
              <w:top w:val="single" w:sz="6" w:space="0" w:color="auto"/>
              <w:left w:val="single" w:sz="6" w:space="0" w:color="auto"/>
              <w:bottom w:val="single" w:sz="6" w:space="0" w:color="auto"/>
              <w:right w:val="single" w:sz="6" w:space="0" w:color="auto"/>
            </w:tcBorders>
            <w:vAlign w:val="center"/>
            <w:hideMark/>
          </w:tcPr>
          <w:p w14:paraId="377C558A" w14:textId="77777777" w:rsidR="001C1BC5" w:rsidRPr="001C1BC5" w:rsidRDefault="001C1BC5" w:rsidP="00F77144">
            <w:pPr>
              <w:rPr>
                <w:sz w:val="20"/>
                <w:szCs w:val="20"/>
                <w:lang w:val="en-US"/>
              </w:rPr>
            </w:pPr>
            <w:r w:rsidRPr="001C1BC5">
              <w:rPr>
                <w:sz w:val="20"/>
                <w:szCs w:val="20"/>
              </w:rPr>
              <w:t>Infrastructure</w:t>
            </w:r>
            <w:r w:rsidRPr="001C1BC5">
              <w:rPr>
                <w:sz w:val="20"/>
                <w:szCs w:val="20"/>
                <w:lang w:val="en-US"/>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37EA5D82" w14:textId="77777777" w:rsidR="001C1BC5" w:rsidRPr="001C1BC5" w:rsidRDefault="001C1BC5" w:rsidP="00F77144">
            <w:pPr>
              <w:rPr>
                <w:sz w:val="20"/>
                <w:szCs w:val="20"/>
                <w:lang w:val="en-US"/>
              </w:rPr>
            </w:pPr>
            <w:r w:rsidRPr="001C1BC5">
              <w:rPr>
                <w:sz w:val="20"/>
                <w:szCs w:val="20"/>
              </w:rPr>
              <w:t>Limited to servicing-sector equipment</w:t>
            </w:r>
            <w:r w:rsidRPr="001C1BC5">
              <w:rPr>
                <w:sz w:val="20"/>
                <w:szCs w:val="20"/>
                <w:lang w:val="en-US"/>
              </w:rPr>
              <w:t> </w:t>
            </w:r>
          </w:p>
        </w:tc>
        <w:tc>
          <w:tcPr>
            <w:tcW w:w="4429" w:type="dxa"/>
            <w:tcBorders>
              <w:top w:val="single" w:sz="6" w:space="0" w:color="auto"/>
              <w:left w:val="single" w:sz="6" w:space="0" w:color="auto"/>
              <w:bottom w:val="single" w:sz="6" w:space="0" w:color="auto"/>
              <w:right w:val="single" w:sz="6" w:space="0" w:color="auto"/>
            </w:tcBorders>
            <w:vAlign w:val="center"/>
            <w:hideMark/>
          </w:tcPr>
          <w:p w14:paraId="35121DEB" w14:textId="77777777" w:rsidR="001C1BC5" w:rsidRPr="001C1BC5" w:rsidRDefault="001C1BC5" w:rsidP="00F77144">
            <w:pPr>
              <w:rPr>
                <w:sz w:val="20"/>
                <w:szCs w:val="20"/>
                <w:lang w:val="en-US"/>
              </w:rPr>
            </w:pPr>
            <w:r w:rsidRPr="001C1BC5">
              <w:rPr>
                <w:sz w:val="20"/>
                <w:szCs w:val="20"/>
              </w:rPr>
              <w:t>Dedicated infrastructure for refrigerant storage, reclamation facilities/labs, and destruction capacity</w:t>
            </w:r>
            <w:r w:rsidRPr="001C1BC5">
              <w:rPr>
                <w:sz w:val="20"/>
                <w:szCs w:val="20"/>
                <w:lang w:val="en-US"/>
              </w:rPr>
              <w:t> </w:t>
            </w:r>
          </w:p>
        </w:tc>
      </w:tr>
      <w:tr w:rsidR="001C1BC5" w:rsidRPr="001C1BC5" w14:paraId="20DAEC12" w14:textId="77777777" w:rsidTr="00F77144">
        <w:trPr>
          <w:trHeight w:val="300"/>
        </w:trPr>
        <w:tc>
          <w:tcPr>
            <w:tcW w:w="1882" w:type="dxa"/>
            <w:tcBorders>
              <w:top w:val="single" w:sz="6" w:space="0" w:color="auto"/>
              <w:left w:val="single" w:sz="6" w:space="0" w:color="auto"/>
              <w:bottom w:val="single" w:sz="6" w:space="0" w:color="auto"/>
              <w:right w:val="single" w:sz="6" w:space="0" w:color="auto"/>
            </w:tcBorders>
            <w:vAlign w:val="center"/>
            <w:hideMark/>
          </w:tcPr>
          <w:p w14:paraId="47B14799" w14:textId="77777777" w:rsidR="001C1BC5" w:rsidRPr="001C1BC5" w:rsidRDefault="001C1BC5" w:rsidP="00F77144">
            <w:pPr>
              <w:rPr>
                <w:sz w:val="20"/>
                <w:szCs w:val="20"/>
                <w:lang w:val="en-US"/>
              </w:rPr>
            </w:pPr>
            <w:r w:rsidRPr="001C1BC5">
              <w:rPr>
                <w:sz w:val="20"/>
                <w:szCs w:val="20"/>
              </w:rPr>
              <w:t>Coverage</w:t>
            </w:r>
            <w:r w:rsidRPr="001C1BC5">
              <w:rPr>
                <w:sz w:val="20"/>
                <w:szCs w:val="20"/>
                <w:lang w:val="en-US"/>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77148A07" w14:textId="77777777" w:rsidR="001C1BC5" w:rsidRPr="001C1BC5" w:rsidRDefault="001C1BC5" w:rsidP="00F77144">
            <w:pPr>
              <w:rPr>
                <w:sz w:val="20"/>
                <w:szCs w:val="20"/>
                <w:lang w:val="en-US"/>
              </w:rPr>
            </w:pPr>
            <w:r w:rsidRPr="001C1BC5">
              <w:rPr>
                <w:sz w:val="20"/>
                <w:szCs w:val="20"/>
              </w:rPr>
              <w:t>Focused on selected HCFC/HFC sectors</w:t>
            </w:r>
            <w:r w:rsidRPr="001C1BC5">
              <w:rPr>
                <w:sz w:val="20"/>
                <w:szCs w:val="20"/>
                <w:lang w:val="en-US"/>
              </w:rPr>
              <w:t> </w:t>
            </w:r>
          </w:p>
        </w:tc>
        <w:tc>
          <w:tcPr>
            <w:tcW w:w="4429" w:type="dxa"/>
            <w:tcBorders>
              <w:top w:val="single" w:sz="6" w:space="0" w:color="auto"/>
              <w:left w:val="single" w:sz="6" w:space="0" w:color="auto"/>
              <w:bottom w:val="single" w:sz="6" w:space="0" w:color="auto"/>
              <w:right w:val="single" w:sz="6" w:space="0" w:color="auto"/>
            </w:tcBorders>
            <w:vAlign w:val="center"/>
            <w:hideMark/>
          </w:tcPr>
          <w:p w14:paraId="6A001963" w14:textId="77777777" w:rsidR="001C1BC5" w:rsidRPr="001C1BC5" w:rsidRDefault="001C1BC5" w:rsidP="00F77144">
            <w:pPr>
              <w:rPr>
                <w:sz w:val="20"/>
                <w:szCs w:val="20"/>
                <w:lang w:val="en-US"/>
              </w:rPr>
            </w:pPr>
            <w:r w:rsidRPr="001C1BC5">
              <w:rPr>
                <w:sz w:val="20"/>
                <w:szCs w:val="20"/>
                <w:lang w:val="en-US"/>
              </w:rPr>
              <w:t>Comprehensive coverage of </w:t>
            </w:r>
            <w:r w:rsidRPr="001C1BC5">
              <w:rPr>
                <w:sz w:val="20"/>
                <w:szCs w:val="20"/>
              </w:rPr>
              <w:t>all controlled substances (ODS and HFCs) across all relevant sectors (RACHP, foams, fire protection)</w:t>
            </w:r>
            <w:r w:rsidRPr="001C1BC5">
              <w:rPr>
                <w:sz w:val="20"/>
                <w:szCs w:val="20"/>
                <w:lang w:val="en-US"/>
              </w:rPr>
              <w:t> </w:t>
            </w:r>
          </w:p>
        </w:tc>
      </w:tr>
      <w:bookmarkEnd w:id="300"/>
      <w:bookmarkEnd w:id="301"/>
    </w:tbl>
    <w:p w14:paraId="12C30124" w14:textId="28628E1B" w:rsidR="004E796C" w:rsidRDefault="004E796C" w:rsidP="0099430D">
      <w:pPr>
        <w:rPr>
          <w:i/>
          <w:iCs/>
          <w:sz w:val="18"/>
          <w:szCs w:val="18"/>
        </w:rPr>
      </w:pPr>
    </w:p>
    <w:p w14:paraId="3DA5482C" w14:textId="111FA3E5" w:rsidR="009C17C3" w:rsidRDefault="009C17C3" w:rsidP="002D02B7">
      <w:pPr>
        <w:pStyle w:val="Heading2"/>
      </w:pPr>
      <w:bookmarkStart w:id="302" w:name="_Toc230099132"/>
      <w:bookmarkStart w:id="303" w:name="_Toc113319203"/>
      <w:bookmarkStart w:id="304" w:name="_Toc119436634"/>
      <w:r w:rsidRPr="00D7427C">
        <w:t>8.</w:t>
      </w:r>
      <w:r w:rsidR="008F56AB">
        <w:t>2</w:t>
      </w:r>
      <w:r w:rsidRPr="00D7427C">
        <w:tab/>
      </w:r>
      <w:r w:rsidR="00822179">
        <w:t>Enhanced recovery</w:t>
      </w:r>
      <w:r w:rsidR="00613224">
        <w:t>, recycling</w:t>
      </w:r>
      <w:r w:rsidR="00822179">
        <w:t xml:space="preserve"> and collection</w:t>
      </w:r>
      <w:bookmarkEnd w:id="302"/>
    </w:p>
    <w:p w14:paraId="62BB1DB6" w14:textId="0B843046" w:rsidR="00167105" w:rsidRDefault="000C5290" w:rsidP="00167105">
      <w:r>
        <w:t xml:space="preserve">In addition to leak detection and prevention in service, the basic foundational </w:t>
      </w:r>
      <w:r w:rsidR="00C46B42">
        <w:t>activity</w:t>
      </w:r>
      <w:r w:rsidR="00167105">
        <w:t xml:space="preserve"> is the improvement of refrigerant recovery during servicing. This requires equipping technicians with appropriate tools, including recovery machines and cylinders, digital charging gauges, and related equipment. The cost of equipping one technician </w:t>
      </w:r>
      <w:r w:rsidR="007176FC">
        <w:t xml:space="preserve">was estimated in 2024 at </w:t>
      </w:r>
      <w:r w:rsidR="00167105">
        <w:t>US$</w:t>
      </w:r>
      <w:r w:rsidR="00B066A6">
        <w:t xml:space="preserve"> </w:t>
      </w:r>
      <w:r w:rsidR="00167105">
        <w:t>1,500 (UNEP, 2024</w:t>
      </w:r>
      <w:r w:rsidR="001268B6">
        <w:t>) but</w:t>
      </w:r>
      <w:r w:rsidR="007176FC">
        <w:t xml:space="preserve"> currently is expected to be </w:t>
      </w:r>
      <w:r w:rsidR="003434E0">
        <w:t>between US$</w:t>
      </w:r>
      <w:r w:rsidR="00B066A6">
        <w:t xml:space="preserve"> </w:t>
      </w:r>
      <w:r w:rsidR="003434E0">
        <w:t xml:space="preserve">1,500 and </w:t>
      </w:r>
      <w:r w:rsidR="00CB46CC">
        <w:t>US</w:t>
      </w:r>
      <w:r w:rsidR="0098560C">
        <w:t>$</w:t>
      </w:r>
      <w:r w:rsidR="00CB46CC">
        <w:t xml:space="preserve"> </w:t>
      </w:r>
      <w:r w:rsidR="003434E0">
        <w:t>1,600.</w:t>
      </w:r>
      <w:r w:rsidR="00167105">
        <w:t xml:space="preserve"> In addition to equipment provision, </w:t>
      </w:r>
      <w:r w:rsidR="001268B6">
        <w:t>there is a need</w:t>
      </w:r>
      <w:r w:rsidR="00167105">
        <w:t xml:space="preserve"> to incentivise recovery </w:t>
      </w:r>
      <w:r w:rsidR="002D4FD1">
        <w:t xml:space="preserve">and recycling </w:t>
      </w:r>
      <w:r w:rsidR="00167105">
        <w:t>behaviour through a structured framework for refrigerant collection and profit sharing</w:t>
      </w:r>
      <w:r w:rsidR="001268B6">
        <w:t xml:space="preserve"> which would cover incremental return logistics cost</w:t>
      </w:r>
      <w:r w:rsidR="00167105">
        <w:t xml:space="preserve">. </w:t>
      </w:r>
      <w:r w:rsidR="006A3292">
        <w:t>RTF estimated that e</w:t>
      </w:r>
      <w:r w:rsidR="00167105">
        <w:t>stablishing a recovered refrigerant trading platform is a one-time cost of US$</w:t>
      </w:r>
      <w:r w:rsidR="00CB46CC">
        <w:t xml:space="preserve"> </w:t>
      </w:r>
      <w:r w:rsidR="00167105">
        <w:t xml:space="preserve">10,000 per </w:t>
      </w:r>
      <w:r w:rsidR="00CB46CC">
        <w:t>p</w:t>
      </w:r>
      <w:r w:rsidR="00167105">
        <w:t>arty, plus an annual technician subscription fee of US$</w:t>
      </w:r>
      <w:r w:rsidR="00CB46CC">
        <w:t xml:space="preserve"> </w:t>
      </w:r>
      <w:r w:rsidR="00167105">
        <w:t xml:space="preserve">250. </w:t>
      </w:r>
      <w:r w:rsidR="00F53DDD">
        <w:t xml:space="preserve">Annex </w:t>
      </w:r>
      <w:r w:rsidR="00EB693D">
        <w:t>9</w:t>
      </w:r>
      <w:r w:rsidR="00F53DDD">
        <w:t xml:space="preserve"> </w:t>
      </w:r>
      <w:r w:rsidR="00F53DDD" w:rsidRPr="00D80024">
        <w:t xml:space="preserve">provides </w:t>
      </w:r>
      <w:r w:rsidR="00D80024" w:rsidRPr="007D44F3">
        <w:t>indicative</w:t>
      </w:r>
      <w:r w:rsidR="00D80024" w:rsidRPr="007D44F3">
        <w:rPr>
          <w:spacing w:val="-6"/>
        </w:rPr>
        <w:t xml:space="preserve"> </w:t>
      </w:r>
      <w:r w:rsidR="00D80024" w:rsidRPr="007D44F3">
        <w:t>costs</w:t>
      </w:r>
      <w:r w:rsidR="00D80024" w:rsidRPr="007D44F3">
        <w:rPr>
          <w:spacing w:val="-5"/>
        </w:rPr>
        <w:t xml:space="preserve"> </w:t>
      </w:r>
      <w:r w:rsidR="00D80024" w:rsidRPr="007D44F3">
        <w:t>for</w:t>
      </w:r>
      <w:r w:rsidR="00D80024" w:rsidRPr="007D44F3">
        <w:rPr>
          <w:spacing w:val="-4"/>
        </w:rPr>
        <w:t xml:space="preserve"> </w:t>
      </w:r>
      <w:r w:rsidR="00D80024" w:rsidRPr="007D44F3">
        <w:t>EOL</w:t>
      </w:r>
      <w:r w:rsidR="00D80024" w:rsidRPr="007D44F3">
        <w:rPr>
          <w:spacing w:val="-7"/>
        </w:rPr>
        <w:t xml:space="preserve"> </w:t>
      </w:r>
      <w:r w:rsidR="00D80024" w:rsidRPr="007D44F3">
        <w:t>ODS/HFC</w:t>
      </w:r>
      <w:r w:rsidR="00D80024" w:rsidRPr="007D44F3">
        <w:rPr>
          <w:spacing w:val="-5"/>
        </w:rPr>
        <w:t xml:space="preserve"> </w:t>
      </w:r>
      <w:r w:rsidR="00D80024" w:rsidRPr="007D44F3">
        <w:t>management.</w:t>
      </w:r>
      <w:r w:rsidR="00F53DDD" w:rsidRPr="00D80024">
        <w:t xml:space="preserve"> </w:t>
      </w:r>
    </w:p>
    <w:p w14:paraId="24D2C786" w14:textId="79D3D984" w:rsidR="00167105" w:rsidRDefault="00167105" w:rsidP="002D02B7">
      <w:pPr>
        <w:pStyle w:val="Heading2"/>
      </w:pPr>
      <w:bookmarkStart w:id="305" w:name="_Toc230099133"/>
      <w:r w:rsidRPr="00D7427C">
        <w:t>8.</w:t>
      </w:r>
      <w:r w:rsidR="003862BD">
        <w:t>3</w:t>
      </w:r>
      <w:r w:rsidRPr="00D7427C">
        <w:tab/>
      </w:r>
      <w:r w:rsidR="00977530">
        <w:t xml:space="preserve">Expanded </w:t>
      </w:r>
      <w:r>
        <w:t xml:space="preserve">reclamation </w:t>
      </w:r>
      <w:r w:rsidR="00977530">
        <w:t>capacity</w:t>
      </w:r>
      <w:bookmarkEnd w:id="305"/>
    </w:p>
    <w:p w14:paraId="79067D86" w14:textId="174ABCCF" w:rsidR="00167105" w:rsidRDefault="6004272A" w:rsidP="00167105">
      <w:r w:rsidRPr="00E27007">
        <w:t xml:space="preserve">Currently, reclamation centres are limited to few </w:t>
      </w:r>
      <w:r w:rsidR="00FC6242">
        <w:t>p</w:t>
      </w:r>
      <w:r w:rsidRPr="00E27007">
        <w:t>arties</w:t>
      </w:r>
      <w:r w:rsidR="00E27007">
        <w:rPr>
          <w:rStyle w:val="FootnoteReference"/>
        </w:rPr>
        <w:footnoteReference w:id="84"/>
      </w:r>
      <w:r w:rsidRPr="00E27007">
        <w:t xml:space="preserve"> (UNEP, 2024) mainly due to the cost of establishing these centres which is an average of US$</w:t>
      </w:r>
      <w:r w:rsidR="00CB46CC">
        <w:t xml:space="preserve"> </w:t>
      </w:r>
      <w:r w:rsidRPr="00E27007">
        <w:t>140,000</w:t>
      </w:r>
      <w:r w:rsidR="5441169C">
        <w:t xml:space="preserve"> and the feasibility of </w:t>
      </w:r>
      <w:r w:rsidR="48CE0DEE">
        <w:t>putting a</w:t>
      </w:r>
      <w:r w:rsidR="5BB83D5E">
        <w:t>n economically viable business mode.</w:t>
      </w:r>
      <w:r w:rsidR="25E5FCB3">
        <w:t xml:space="preserve"> </w:t>
      </w:r>
      <w:r w:rsidRPr="00E27007">
        <w:t xml:space="preserve"> LVCs and VLVCs have no known reclamation facilities</w:t>
      </w:r>
      <w:r w:rsidR="3E17854A">
        <w:t xml:space="preserve"> and have greater challenges with respect to economies of scale</w:t>
      </w:r>
      <w:r w:rsidR="00245CAA">
        <w:t xml:space="preserve"> promoting the consideration of regional centres</w:t>
      </w:r>
      <w:r w:rsidR="25183878">
        <w:t xml:space="preserve"> and integration with destruction capacity as required.</w:t>
      </w:r>
    </w:p>
    <w:p w14:paraId="325077EE" w14:textId="4F4CA120" w:rsidR="0035109F" w:rsidRDefault="0035109F" w:rsidP="002D02B7">
      <w:pPr>
        <w:pStyle w:val="Heading2"/>
      </w:pPr>
      <w:bookmarkStart w:id="306" w:name="_Toc230099134"/>
      <w:r w:rsidRPr="00D7427C">
        <w:t>8.</w:t>
      </w:r>
      <w:r w:rsidR="003862BD">
        <w:t>4</w:t>
      </w:r>
      <w:r w:rsidRPr="00D7427C">
        <w:tab/>
      </w:r>
      <w:r w:rsidR="00017EA7">
        <w:t>Facilitate transboundary shipment of recovered refrigerants</w:t>
      </w:r>
      <w:bookmarkEnd w:id="306"/>
    </w:p>
    <w:p w14:paraId="5D81E08E" w14:textId="6CA080B0" w:rsidR="00E27007" w:rsidRDefault="69249A58" w:rsidP="00167105">
      <w:r>
        <w:t xml:space="preserve">Where in-country </w:t>
      </w:r>
      <w:r w:rsidR="00413BA5">
        <w:t xml:space="preserve">recycling or </w:t>
      </w:r>
      <w:r>
        <w:t xml:space="preserve">reclamation is not sufficient or feasible, all eligible A5 </w:t>
      </w:r>
      <w:r w:rsidR="2C60D280">
        <w:t>parties</w:t>
      </w:r>
      <w:r>
        <w:t xml:space="preserve"> would require an appropriate framework to enable the export of recovered refrigerants under the Basel Convention, either for chemical reclamation in distillation columns or for environmentally responsible destruction. The RTF estimates a cost of approximately US$</w:t>
      </w:r>
      <w:r w:rsidR="00CB46CC">
        <w:t xml:space="preserve"> </w:t>
      </w:r>
      <w:r>
        <w:t xml:space="preserve">51,300 per </w:t>
      </w:r>
      <w:r w:rsidR="004B5272">
        <w:t>p</w:t>
      </w:r>
      <w:r>
        <w:t xml:space="preserve">arty, covering capacity building, instrumentation and equipment, and refrigerant handling safety. </w:t>
      </w:r>
    </w:p>
    <w:p w14:paraId="7C68E2BE" w14:textId="49CE3259" w:rsidR="0035109F" w:rsidRDefault="0035109F" w:rsidP="002D02B7">
      <w:pPr>
        <w:pStyle w:val="Heading2"/>
      </w:pPr>
      <w:bookmarkStart w:id="307" w:name="_Toc230099135"/>
      <w:r w:rsidRPr="00D7427C">
        <w:lastRenderedPageBreak/>
        <w:t>8.</w:t>
      </w:r>
      <w:r w:rsidR="003862BD">
        <w:t>5</w:t>
      </w:r>
      <w:r w:rsidRPr="00D7427C">
        <w:tab/>
      </w:r>
      <w:r>
        <w:t>E</w:t>
      </w:r>
      <w:r w:rsidR="00B34AF1">
        <w:t xml:space="preserve">nabling destruction where </w:t>
      </w:r>
      <w:r w:rsidR="00B577F7">
        <w:t>required</w:t>
      </w:r>
      <w:bookmarkEnd w:id="307"/>
    </w:p>
    <w:p w14:paraId="45072445" w14:textId="0F0A671E" w:rsidR="00B34AF1" w:rsidRDefault="00920A27" w:rsidP="00B34AF1">
      <w:r w:rsidRPr="00920A27">
        <w:t xml:space="preserve">The final step in any LRM is the environmentally responsible destruction of refrigerants that cannot be reused or reclaimed. </w:t>
      </w:r>
      <w:r w:rsidR="003222C8">
        <w:t>D</w:t>
      </w:r>
      <w:r w:rsidRPr="00920A27">
        <w:t xml:space="preserve">edicated destruction facilities are </w:t>
      </w:r>
      <w:r w:rsidR="003222C8">
        <w:t xml:space="preserve">currently </w:t>
      </w:r>
      <w:r w:rsidRPr="00920A27">
        <w:t xml:space="preserve">considered beyond the scope of </w:t>
      </w:r>
      <w:r w:rsidR="007A76C9">
        <w:t xml:space="preserve">the </w:t>
      </w:r>
      <w:r w:rsidR="00FB7C66">
        <w:t>MP</w:t>
      </w:r>
      <w:r w:rsidR="007A76C9">
        <w:t xml:space="preserve"> compliance </w:t>
      </w:r>
      <w:r w:rsidR="005829D5">
        <w:t>model</w:t>
      </w:r>
      <w:r w:rsidR="001A2F49">
        <w:t>.</w:t>
      </w:r>
      <w:r w:rsidRPr="00920A27">
        <w:t xml:space="preserve"> </w:t>
      </w:r>
      <w:r w:rsidR="42950C90">
        <w:t>T</w:t>
      </w:r>
      <w:r w:rsidRPr="00920A27">
        <w:t xml:space="preserve">he RTF notes that </w:t>
      </w:r>
      <w:r w:rsidR="001A2F49">
        <w:t xml:space="preserve">substantial </w:t>
      </w:r>
      <w:r w:rsidR="00E669E5">
        <w:t>cement kiln destruction capacity is available in A5 countries</w:t>
      </w:r>
      <w:r w:rsidR="00903115">
        <w:t xml:space="preserve"> and can be qualified for controlled substance destruction. </w:t>
      </w:r>
      <w:r w:rsidR="00E669E5">
        <w:t xml:space="preserve"> </w:t>
      </w:r>
      <w:r w:rsidR="00903115">
        <w:t xml:space="preserve">This could provide </w:t>
      </w:r>
      <w:r w:rsidR="00810D6A">
        <w:t xml:space="preserve">sufficient regional and geographical coverage </w:t>
      </w:r>
      <w:r w:rsidR="00000EAC">
        <w:t>and could be enable</w:t>
      </w:r>
      <w:r w:rsidR="004570BF">
        <w:t>d</w:t>
      </w:r>
      <w:r w:rsidR="00000EAC">
        <w:t xml:space="preserve"> for this purpose. </w:t>
      </w:r>
      <w:r w:rsidRPr="00920A27">
        <w:t xml:space="preserve">Enabling a kiln would include retrofits for controlling refrigerant gas injection into the kiln, </w:t>
      </w:r>
      <w:r w:rsidR="00AF0B9C">
        <w:t xml:space="preserve">measuring </w:t>
      </w:r>
      <w:r w:rsidR="00C75A41">
        <w:t>waste fee</w:t>
      </w:r>
      <w:r w:rsidR="00DA31D7">
        <w:t>d, demonstrating destruction efficiency</w:t>
      </w:r>
      <w:r w:rsidRPr="00920A27">
        <w:t xml:space="preserve"> and licensing support </w:t>
      </w:r>
      <w:r w:rsidR="00DA31D7">
        <w:t xml:space="preserve">is </w:t>
      </w:r>
      <w:r w:rsidRPr="00920A27">
        <w:t>estimated at US$</w:t>
      </w:r>
      <w:r w:rsidR="00CB46CC">
        <w:t xml:space="preserve"> </w:t>
      </w:r>
      <w:r w:rsidRPr="00920A27">
        <w:t xml:space="preserve">50,000 </w:t>
      </w:r>
      <w:r w:rsidR="0098560C">
        <w:t xml:space="preserve">to </w:t>
      </w:r>
      <w:r w:rsidR="00C66EB1">
        <w:t>US</w:t>
      </w:r>
      <w:r w:rsidR="0098560C">
        <w:t>$</w:t>
      </w:r>
      <w:r w:rsidR="00C66EB1">
        <w:t xml:space="preserve"> </w:t>
      </w:r>
      <w:r w:rsidR="0098560C">
        <w:t xml:space="preserve">100,000 </w:t>
      </w:r>
      <w:r w:rsidRPr="00920A27">
        <w:t xml:space="preserve">per facility </w:t>
      </w:r>
      <w:r w:rsidR="00800CBF">
        <w:t>(UNEP, 2024)</w:t>
      </w:r>
      <w:r w:rsidR="0098560C">
        <w:t>.</w:t>
      </w:r>
    </w:p>
    <w:p w14:paraId="6F3079BF" w14:textId="066E657D" w:rsidR="00920A27" w:rsidRDefault="00920A27" w:rsidP="002D02B7">
      <w:pPr>
        <w:pStyle w:val="Heading2"/>
      </w:pPr>
      <w:bookmarkStart w:id="308" w:name="_Toc230099136"/>
      <w:r w:rsidRPr="00D7427C">
        <w:t>8.</w:t>
      </w:r>
      <w:r w:rsidR="003862BD">
        <w:t>6</w:t>
      </w:r>
      <w:r w:rsidRPr="00D7427C">
        <w:tab/>
      </w:r>
      <w:r>
        <w:t>Conclusions</w:t>
      </w:r>
      <w:bookmarkEnd w:id="308"/>
    </w:p>
    <w:p w14:paraId="04256878" w14:textId="2E4CA5FC" w:rsidR="00CF0D13" w:rsidRDefault="274D2446" w:rsidP="00920A27">
      <w:r>
        <w:t xml:space="preserve">The RTF has estimated some suggested activities that would enable implementation of LRM in A5 </w:t>
      </w:r>
      <w:r w:rsidR="00FC6242">
        <w:t>p</w:t>
      </w:r>
      <w:r>
        <w:t xml:space="preserve">arties. This work should be considered preliminary because it was developed in absence of information related to submitted decision 91/66 action plans by participating </w:t>
      </w:r>
      <w:r w:rsidR="00FC6242">
        <w:t>p</w:t>
      </w:r>
      <w:r>
        <w:t>arties. Therefore, RTF has not provided estimated costs related to implementation of LRM plans due to implications of potential decisions to happen in the 2027-2029 triennium. RTF requests more guidance on this matter from parties that could be taken on board for the Supplementary Report.</w:t>
      </w:r>
      <w:bookmarkEnd w:id="303"/>
      <w:bookmarkEnd w:id="304"/>
    </w:p>
    <w:p w14:paraId="7EC5A045" w14:textId="4CFF0A3C" w:rsidR="006815CB" w:rsidRDefault="006815CB" w:rsidP="006815CB">
      <w:r w:rsidRPr="00C379A9">
        <w:t>The RTF has not included a specific funding estimate for LRM in its 2027-2029 total because the modalities and timing of a potential funding window are pending at the ExCom. The analysis in this chapter is provided for the information of parties.</w:t>
      </w:r>
    </w:p>
    <w:p w14:paraId="58A42901" w14:textId="77777777" w:rsidR="009226DD" w:rsidRDefault="009226DD" w:rsidP="005D31A7">
      <w:pPr>
        <w:pStyle w:val="Heading1"/>
      </w:pPr>
    </w:p>
    <w:p w14:paraId="40ABB9E8" w14:textId="77777777" w:rsidR="00FB5D56" w:rsidRDefault="00FB5D56" w:rsidP="00FB5D56">
      <w:pPr>
        <w:rPr>
          <w:lang w:eastAsia="zh-CN"/>
        </w:rPr>
      </w:pPr>
    </w:p>
    <w:p w14:paraId="5D1C3A3D" w14:textId="77777777" w:rsidR="00FB5D56" w:rsidRDefault="00FB5D56" w:rsidP="005D31A7">
      <w:pPr>
        <w:pStyle w:val="Heading1"/>
        <w:sectPr w:rsidR="00FB5D56" w:rsidSect="00CA4A2C">
          <w:type w:val="oddPage"/>
          <w:pgSz w:w="11906" w:h="16838"/>
          <w:pgMar w:top="1411" w:right="1411" w:bottom="1411" w:left="1411" w:header="708" w:footer="708" w:gutter="0"/>
          <w:cols w:space="708"/>
          <w:docGrid w:linePitch="360"/>
        </w:sectPr>
      </w:pPr>
      <w:bookmarkStart w:id="309" w:name="_Toc119436645"/>
    </w:p>
    <w:p w14:paraId="13EE5DB9" w14:textId="45003D73" w:rsidR="000E5797" w:rsidRDefault="00544D09" w:rsidP="005D31A7">
      <w:pPr>
        <w:pStyle w:val="Heading1"/>
      </w:pPr>
      <w:bookmarkStart w:id="310" w:name="_Toc230099137"/>
      <w:r w:rsidRPr="00C3634A">
        <w:lastRenderedPageBreak/>
        <w:t>9</w:t>
      </w:r>
      <w:r w:rsidR="004124EA" w:rsidRPr="00C3634A">
        <w:tab/>
      </w:r>
      <w:r w:rsidR="00E175D8">
        <w:t>Integrating Digital Technologies and Tools in the Servicing Sector</w:t>
      </w:r>
      <w:bookmarkEnd w:id="309"/>
      <w:bookmarkEnd w:id="310"/>
    </w:p>
    <w:p w14:paraId="0C30FD48" w14:textId="2BF8F9B0" w:rsidR="00110B03" w:rsidRPr="00110B03" w:rsidRDefault="00110B03" w:rsidP="00110B03">
      <w:pPr>
        <w:spacing w:after="0"/>
        <w:textAlignment w:val="baseline"/>
        <w:rPr>
          <w:color w:val="000000"/>
        </w:rPr>
      </w:pPr>
      <w:r w:rsidRPr="00C21A2F">
        <w:rPr>
          <w:color w:val="000000"/>
        </w:rPr>
        <w:t>Paragraph 2(</w:t>
      </w:r>
      <w:r>
        <w:rPr>
          <w:color w:val="000000"/>
        </w:rPr>
        <w:t>d</w:t>
      </w:r>
      <w:r w:rsidRPr="00C21A2F">
        <w:rPr>
          <w:color w:val="000000"/>
        </w:rPr>
        <w:t>) of Decision XXX</w:t>
      </w:r>
      <w:r>
        <w:rPr>
          <w:color w:val="000000"/>
        </w:rPr>
        <w:t xml:space="preserve">VII/6 </w:t>
      </w:r>
      <w:r w:rsidRPr="00C21A2F">
        <w:rPr>
          <w:color w:val="000000"/>
        </w:rPr>
        <w:t>requests the Replenishment Task Force to consider “</w:t>
      </w:r>
      <w:r>
        <w:rPr>
          <w:color w:val="000000"/>
        </w:rPr>
        <w:t>[i</w:t>
      </w:r>
      <w:r w:rsidRPr="009B4812">
        <w:rPr>
          <w:color w:val="000000"/>
        </w:rPr>
        <w:t>ntegrating</w:t>
      </w:r>
      <w:r>
        <w:rPr>
          <w:color w:val="000000"/>
        </w:rPr>
        <w:t>]</w:t>
      </w:r>
      <w:r w:rsidRPr="009B4812">
        <w:rPr>
          <w:color w:val="000000"/>
        </w:rPr>
        <w:t xml:space="preserve"> digital technologies and tools within the servicing sector</w:t>
      </w:r>
      <w:r>
        <w:rPr>
          <w:color w:val="000000"/>
        </w:rPr>
        <w:t>.”</w:t>
      </w:r>
    </w:p>
    <w:p w14:paraId="5F8A9F92" w14:textId="6EAEF5EB" w:rsidR="009F6392" w:rsidRDefault="009F6392" w:rsidP="002D02B7">
      <w:pPr>
        <w:pStyle w:val="Heading2"/>
        <w:rPr>
          <w:lang w:eastAsia="zh-CN"/>
        </w:rPr>
      </w:pPr>
      <w:bookmarkStart w:id="311" w:name="_Toc534820148"/>
      <w:bookmarkStart w:id="312" w:name="_Toc119436646"/>
      <w:bookmarkStart w:id="313" w:name="_Toc230099138"/>
      <w:r w:rsidRPr="00C3634A">
        <w:rPr>
          <w:lang w:eastAsia="zh-CN"/>
        </w:rPr>
        <w:t>9.1</w:t>
      </w:r>
      <w:r w:rsidRPr="00C3634A">
        <w:rPr>
          <w:lang w:eastAsia="zh-CN"/>
        </w:rPr>
        <w:tab/>
      </w:r>
      <w:r w:rsidR="00110B03">
        <w:rPr>
          <w:lang w:eastAsia="zh-CN"/>
        </w:rPr>
        <w:t>Introduction</w:t>
      </w:r>
      <w:bookmarkEnd w:id="311"/>
      <w:bookmarkEnd w:id="312"/>
      <w:bookmarkEnd w:id="313"/>
    </w:p>
    <w:p w14:paraId="351F28B6" w14:textId="77777777" w:rsidR="008413C1" w:rsidRDefault="1100314C" w:rsidP="2374FBE6">
      <w:pPr>
        <w:spacing w:after="0"/>
        <w:textAlignment w:val="baseline"/>
        <w:rPr>
          <w:color w:val="000000"/>
        </w:rPr>
      </w:pPr>
      <w:r w:rsidRPr="4555C3FE">
        <w:t xml:space="preserve">The use of digital technologies in the service sector can be classified as (1) digitization and (2) digitalization. </w:t>
      </w:r>
      <w:r w:rsidRPr="46EA92E6">
        <w:rPr>
          <w:b/>
          <w:i/>
          <w:lang w:val="en-GB"/>
        </w:rPr>
        <w:t>Digitization</w:t>
      </w:r>
      <w:r w:rsidRPr="4555C3FE">
        <w:t xml:space="preserve"> transforms the RACHP service sector by replacing manual, paper-based workflows with integrated software that improves operational efficiency, technician productivity, and customer satisfaction. </w:t>
      </w:r>
      <w:r w:rsidRPr="46EA92E6">
        <w:rPr>
          <w:b/>
          <w:i/>
          <w:lang w:val="en-GB"/>
        </w:rPr>
        <w:t>Digitalization</w:t>
      </w:r>
      <w:r w:rsidRPr="4555C3FE">
        <w:t>, on the other hand, shifts the focus from data to how the work (technical service) is performed.  Some examples of digitalization include:</w:t>
      </w:r>
    </w:p>
    <w:p w14:paraId="2A80123C" w14:textId="77777777" w:rsidR="008413C1" w:rsidRDefault="008413C1" w:rsidP="008413C1">
      <w:pPr>
        <w:spacing w:after="0"/>
        <w:textAlignment w:val="baseline"/>
        <w:rPr>
          <w:color w:val="000000"/>
          <w:lang w:val="en-US"/>
        </w:rPr>
      </w:pPr>
    </w:p>
    <w:p w14:paraId="0769977A" w14:textId="77777777" w:rsidR="008413C1" w:rsidRDefault="008413C1" w:rsidP="5AD5DB8B">
      <w:pPr>
        <w:pStyle w:val="ListParagraph"/>
        <w:spacing w:after="0"/>
        <w:contextualSpacing/>
        <w:textAlignment w:val="baseline"/>
        <w:rPr>
          <w:rFonts w:eastAsia="Times New Roman"/>
          <w:color w:val="000000"/>
          <w:lang w:val="en-US"/>
        </w:rPr>
      </w:pPr>
      <w:r w:rsidRPr="5AD5DB8B">
        <w:rPr>
          <w:rFonts w:eastAsia="Times New Roman"/>
          <w:color w:val="000000" w:themeColor="text1"/>
          <w:lang w:val="en-US"/>
        </w:rPr>
        <w:t>Service technician training;</w:t>
      </w:r>
    </w:p>
    <w:p w14:paraId="78E4D020" w14:textId="77777777" w:rsidR="008413C1" w:rsidRDefault="008413C1" w:rsidP="000E79CB">
      <w:pPr>
        <w:pStyle w:val="ListParagraph"/>
        <w:spacing w:after="0"/>
        <w:contextualSpacing/>
        <w:textAlignment w:val="baseline"/>
        <w:rPr>
          <w:rFonts w:eastAsia="Times New Roman"/>
          <w:color w:val="000000"/>
          <w:lang w:val="en-US"/>
        </w:rPr>
      </w:pPr>
      <w:r w:rsidRPr="53375285">
        <w:rPr>
          <w:rFonts w:eastAsia="Times New Roman"/>
          <w:color w:val="000000" w:themeColor="text1"/>
          <w:lang w:val="en-US"/>
        </w:rPr>
        <w:t>Mobile field service apps for technicians (digital work orders, checklists, photos);</w:t>
      </w:r>
    </w:p>
    <w:p w14:paraId="7D114D4A" w14:textId="77777777" w:rsidR="008413C1" w:rsidRDefault="008413C1" w:rsidP="000E79CB">
      <w:pPr>
        <w:pStyle w:val="ListParagraph"/>
        <w:spacing w:after="0"/>
        <w:contextualSpacing/>
        <w:textAlignment w:val="baseline"/>
        <w:rPr>
          <w:rFonts w:eastAsia="Times New Roman"/>
          <w:color w:val="000000"/>
          <w:lang w:val="en-US"/>
        </w:rPr>
      </w:pPr>
      <w:r w:rsidRPr="53375285">
        <w:rPr>
          <w:rFonts w:eastAsia="Times New Roman"/>
          <w:color w:val="000000" w:themeColor="text1"/>
          <w:lang w:val="en-US"/>
        </w:rPr>
        <w:t>Digital scheduling and dispatch systems with real-time technician tracking;</w:t>
      </w:r>
    </w:p>
    <w:p w14:paraId="1BCEFEDB" w14:textId="77777777" w:rsidR="008413C1" w:rsidRDefault="008413C1" w:rsidP="000E79CB">
      <w:pPr>
        <w:pStyle w:val="ListParagraph"/>
        <w:spacing w:after="0"/>
        <w:contextualSpacing/>
        <w:textAlignment w:val="baseline"/>
        <w:rPr>
          <w:rFonts w:eastAsia="Times New Roman"/>
          <w:color w:val="000000"/>
          <w:lang w:val="en-US"/>
        </w:rPr>
      </w:pPr>
      <w:r w:rsidRPr="53375285">
        <w:rPr>
          <w:rFonts w:eastAsia="Times New Roman"/>
          <w:color w:val="000000" w:themeColor="text1"/>
          <w:lang w:val="en-US"/>
        </w:rPr>
        <w:t>Real-time digital support help;</w:t>
      </w:r>
    </w:p>
    <w:p w14:paraId="6F13CB7B" w14:textId="6E52D91C" w:rsidR="008413C1" w:rsidRDefault="008413C1" w:rsidP="000E79CB">
      <w:pPr>
        <w:pStyle w:val="ListParagraph"/>
        <w:spacing w:after="0"/>
        <w:contextualSpacing/>
        <w:textAlignment w:val="baseline"/>
        <w:rPr>
          <w:rFonts w:eastAsia="Times New Roman"/>
          <w:color w:val="000000"/>
          <w:lang w:val="en-US"/>
        </w:rPr>
      </w:pPr>
      <w:r w:rsidRPr="53375285">
        <w:rPr>
          <w:rFonts w:eastAsia="Times New Roman"/>
          <w:color w:val="000000" w:themeColor="text1"/>
          <w:lang w:val="en-US"/>
        </w:rPr>
        <w:t>IoT-enabled HVAC systems that send fault alerts automatically;</w:t>
      </w:r>
    </w:p>
    <w:p w14:paraId="6572292A" w14:textId="3577F3CD" w:rsidR="008413C1" w:rsidRDefault="008413C1" w:rsidP="006B0C2A">
      <w:pPr>
        <w:pStyle w:val="ListParagraph"/>
        <w:spacing w:after="0"/>
        <w:contextualSpacing/>
        <w:textAlignment w:val="baseline"/>
        <w:rPr>
          <w:color w:val="000000"/>
          <w:lang w:val="en-US"/>
        </w:rPr>
      </w:pPr>
      <w:r w:rsidRPr="53375285">
        <w:rPr>
          <w:lang w:val="en-US"/>
        </w:rPr>
        <w:t>Predictive maintenance using sensor data instead of fixed service intervals; and</w:t>
      </w:r>
    </w:p>
    <w:p w14:paraId="67A21748" w14:textId="6F4A60D7" w:rsidR="008413C1" w:rsidRDefault="1100314C" w:rsidP="00567600">
      <w:pPr>
        <w:pStyle w:val="ListParagraph"/>
        <w:spacing w:after="0"/>
        <w:contextualSpacing/>
        <w:textAlignment w:val="baseline"/>
        <w:rPr>
          <w:color w:val="000000"/>
          <w:lang w:val="en-US"/>
        </w:rPr>
      </w:pPr>
      <w:r w:rsidRPr="116A5E57">
        <w:rPr>
          <w:lang w:val="en-US"/>
        </w:rPr>
        <w:t xml:space="preserve">Customer portals for service requests, approvals, and </w:t>
      </w:r>
      <w:r w:rsidR="5C2108BE" w:rsidRPr="046861A4">
        <w:rPr>
          <w:lang w:val="en-US"/>
        </w:rPr>
        <w:t>payments</w:t>
      </w:r>
      <w:r w:rsidRPr="222ABFFA">
        <w:rPr>
          <w:lang w:val="en-US"/>
        </w:rPr>
        <w:t xml:space="preserve">. </w:t>
      </w:r>
    </w:p>
    <w:p w14:paraId="09E1FB5F" w14:textId="77777777" w:rsidR="008413C1" w:rsidRDefault="008413C1" w:rsidP="008413C1">
      <w:pPr>
        <w:spacing w:after="0"/>
        <w:textAlignment w:val="baseline"/>
        <w:rPr>
          <w:color w:val="000000"/>
          <w:lang w:val="en-US"/>
        </w:rPr>
      </w:pPr>
    </w:p>
    <w:p w14:paraId="50641BFE" w14:textId="16787177" w:rsidR="008413C1" w:rsidRPr="00053BA1" w:rsidRDefault="1100314C" w:rsidP="008413C1">
      <w:pPr>
        <w:spacing w:after="0"/>
        <w:textAlignment w:val="baseline"/>
        <w:rPr>
          <w:color w:val="000000"/>
          <w:lang w:val="en-US"/>
        </w:rPr>
      </w:pPr>
      <w:r w:rsidRPr="222ABFFA">
        <w:rPr>
          <w:lang w:val="en-US"/>
        </w:rPr>
        <w:t xml:space="preserve">Digitalization achieves faster response times and fewer repeat visits, better first-time fix rates, improved customer </w:t>
      </w:r>
      <w:r w:rsidR="008413C1" w:rsidRPr="222ABFFA" w:rsidDel="1100314C">
        <w:rPr>
          <w:lang w:val="en-US"/>
        </w:rPr>
        <w:t>experience</w:t>
      </w:r>
      <w:r w:rsidR="4ADF2051" w:rsidRPr="222ABFFA">
        <w:rPr>
          <w:lang w:val="en-US"/>
        </w:rPr>
        <w:t>,</w:t>
      </w:r>
      <w:r w:rsidRPr="222ABFFA">
        <w:rPr>
          <w:lang w:val="en-US"/>
        </w:rPr>
        <w:t xml:space="preserve"> and data driven maintenance and service decisions. In short, digitalization changes how HVAC service is delivered, which includes end-of-life scenarios for the equipment, tracking technician time fix rates driven maintenance and service decisions.</w:t>
      </w:r>
    </w:p>
    <w:p w14:paraId="59E7A695" w14:textId="1D1ECFCC" w:rsidR="00BB1E8C" w:rsidRDefault="00BB1E8C" w:rsidP="002D02B7">
      <w:pPr>
        <w:pStyle w:val="Heading2"/>
        <w:rPr>
          <w:lang w:eastAsia="zh-CN"/>
        </w:rPr>
      </w:pPr>
      <w:bookmarkStart w:id="314" w:name="_Toc230099139"/>
      <w:r w:rsidRPr="00C3634A">
        <w:rPr>
          <w:lang w:eastAsia="zh-CN"/>
        </w:rPr>
        <w:t>9.</w:t>
      </w:r>
      <w:r>
        <w:rPr>
          <w:lang w:eastAsia="zh-CN"/>
        </w:rPr>
        <w:t>2</w:t>
      </w:r>
      <w:r w:rsidRPr="00C3634A">
        <w:rPr>
          <w:lang w:eastAsia="zh-CN"/>
        </w:rPr>
        <w:tab/>
      </w:r>
      <w:r>
        <w:rPr>
          <w:lang w:eastAsia="zh-CN"/>
        </w:rPr>
        <w:t>Background</w:t>
      </w:r>
      <w:bookmarkEnd w:id="314"/>
    </w:p>
    <w:p w14:paraId="5960DA6B" w14:textId="316441C6" w:rsidR="006E0EA8" w:rsidRPr="00E30B31" w:rsidRDefault="006E0EA8" w:rsidP="006E0EA8">
      <w:pPr>
        <w:rPr>
          <w:lang w:val="en-US" w:eastAsia="nl-NL"/>
        </w:rPr>
      </w:pPr>
      <w:r w:rsidRPr="00E30B31">
        <w:rPr>
          <w:lang w:val="en-US" w:eastAsia="nl-NL"/>
        </w:rPr>
        <w:t>Integrating digital technologies and tools is a delivery and service efficiency improvement enabler. Formal reporting streams already exist (including A7 reporting, C</w:t>
      </w:r>
      <w:r w:rsidR="00DD03B3">
        <w:rPr>
          <w:lang w:val="en-US" w:eastAsia="nl-NL"/>
        </w:rPr>
        <w:t xml:space="preserve">P </w:t>
      </w:r>
      <w:r w:rsidRPr="00E30B31">
        <w:rPr>
          <w:lang w:val="en-US" w:eastAsia="nl-NL"/>
        </w:rPr>
        <w:t>reporting, tranche reporting, and independent verification where required). The appropriate role of digital tools in this context is therefore to improve the quality, timeliness, traceability, and cost of implementing and documenting compliance-relevant actions, particularly in the servicing sector.</w:t>
      </w:r>
    </w:p>
    <w:p w14:paraId="73A81695" w14:textId="444BBC5B" w:rsidR="006E0EA8" w:rsidRPr="00E30B31" w:rsidRDefault="006E0EA8" w:rsidP="006E0EA8">
      <w:pPr>
        <w:rPr>
          <w:lang w:val="en-US" w:eastAsia="nl-NL"/>
        </w:rPr>
      </w:pPr>
      <w:r w:rsidRPr="00E30B31">
        <w:rPr>
          <w:lang w:val="en-US" w:eastAsia="nl-NL"/>
        </w:rPr>
        <w:t xml:space="preserve">Accordingly, this section focuses on digital tools that either (i) reduce the transaction costs of delivering and evidencing compliance actions or (ii) demonstrably improve servicing-sector performance outcomes (e.g., improved performance, reduced maintenance, leakage reduction and </w:t>
      </w:r>
      <w:r w:rsidR="00D02C1C">
        <w:rPr>
          <w:lang w:val="en-US" w:eastAsia="nl-NL"/>
        </w:rPr>
        <w:t>EE</w:t>
      </w:r>
      <w:r w:rsidRPr="00E30B31">
        <w:rPr>
          <w:lang w:val="en-US" w:eastAsia="nl-NL"/>
        </w:rPr>
        <w:t>), while remaining feasible and sustainable in a range of national contexts.</w:t>
      </w:r>
    </w:p>
    <w:p w14:paraId="1277388F" w14:textId="77777777" w:rsidR="006E0EA8" w:rsidRPr="00E30B31" w:rsidRDefault="006E0EA8" w:rsidP="006E0EA8">
      <w:pPr>
        <w:rPr>
          <w:lang w:val="en-US" w:eastAsia="nl-NL"/>
        </w:rPr>
      </w:pPr>
      <w:r w:rsidRPr="00E30B31">
        <w:rPr>
          <w:lang w:val="en-US" w:eastAsia="nl-NL"/>
        </w:rPr>
        <w:t>Therefore, in this section, integration refers to the incremental costs required to embed digital tools into existing service sector activities, rather than creating parallel reporting systems. Costs can be presented across as: (i) one-time setup and configuration, (ii) recurring operations, (iii) hardware and connectivity where applicable, and (iv) sustainability and governance. Depending on the tool type, costs are best expressed per technician, per servicing enterprise, per monitored system/ site, or per country programme.</w:t>
      </w:r>
    </w:p>
    <w:p w14:paraId="02C1851E" w14:textId="20775986" w:rsidR="006E0EA8" w:rsidRPr="00E30B31" w:rsidRDefault="006E0EA8" w:rsidP="006E0EA8">
      <w:pPr>
        <w:rPr>
          <w:lang w:val="en-US" w:eastAsia="nl-NL"/>
        </w:rPr>
      </w:pPr>
      <w:r w:rsidRPr="00E30B31">
        <w:rPr>
          <w:u w:val="single"/>
          <w:lang w:val="en-US" w:eastAsia="nl-NL"/>
        </w:rPr>
        <w:t>Current baseline</w:t>
      </w:r>
      <w:r w:rsidRPr="00E30B31">
        <w:rPr>
          <w:lang w:val="en-US" w:eastAsia="nl-NL"/>
        </w:rPr>
        <w:t xml:space="preserve">: digitalization is already underway within the </w:t>
      </w:r>
      <w:r w:rsidR="00C958FC">
        <w:rPr>
          <w:lang w:val="en-US" w:eastAsia="nl-NL"/>
        </w:rPr>
        <w:t>MLF</w:t>
      </w:r>
      <w:r w:rsidRPr="00E30B31">
        <w:rPr>
          <w:lang w:val="en-US" w:eastAsia="nl-NL"/>
        </w:rPr>
        <w:t xml:space="preserve"> ecosystem. ExCom documentation indicates that digitalization is already progressing within MLF operations and related project contexts. </w:t>
      </w:r>
      <w:r w:rsidR="008656A9">
        <w:rPr>
          <w:lang w:val="en-US" w:eastAsia="nl-NL"/>
        </w:rPr>
        <w:t>OS</w:t>
      </w:r>
      <w:r w:rsidRPr="00E30B31">
        <w:rPr>
          <w:lang w:val="en-US" w:eastAsia="nl-NL"/>
        </w:rPr>
        <w:t xml:space="preserve"> reporting highlights live and developing knowledge-management components (including dashboards and a CP data centre), ongoing testing of digital modules to support workflows, and exploration of </w:t>
      </w:r>
      <w:r w:rsidR="008656A9">
        <w:rPr>
          <w:lang w:val="en-US" w:eastAsia="nl-NL"/>
        </w:rPr>
        <w:t xml:space="preserve">artificial </w:t>
      </w:r>
      <w:r w:rsidR="003377FD">
        <w:rPr>
          <w:lang w:val="en-US" w:eastAsia="nl-NL"/>
        </w:rPr>
        <w:t>intelligence (</w:t>
      </w:r>
      <w:r w:rsidRPr="00E30B31">
        <w:rPr>
          <w:lang w:val="en-US" w:eastAsia="nl-NL"/>
        </w:rPr>
        <w:t>AI</w:t>
      </w:r>
      <w:r w:rsidR="003377FD">
        <w:rPr>
          <w:lang w:val="en-US" w:eastAsia="nl-NL"/>
        </w:rPr>
        <w:t>)</w:t>
      </w:r>
      <w:r w:rsidRPr="00E30B31">
        <w:rPr>
          <w:lang w:val="en-US" w:eastAsia="nl-NL"/>
        </w:rPr>
        <w:t>-enabled tools intended to improve access to decision histories and policy-related analysis.</w:t>
      </w:r>
    </w:p>
    <w:p w14:paraId="551C8818" w14:textId="77777777" w:rsidR="006E0EA8" w:rsidRPr="00AC7BD7" w:rsidRDefault="006E0EA8" w:rsidP="006E0EA8">
      <w:r w:rsidRPr="00E30B31">
        <w:rPr>
          <w:lang w:val="en-US" w:eastAsia="nl-NL"/>
        </w:rPr>
        <w:lastRenderedPageBreak/>
        <w:t>In addition, the ExCom has discussed better ways to use evidence from reports that are already produced (e.g., project completion reports and detailed final project reports), suggesting that “digital tools” can be meaningfully interpreted as strengthening how information is structured, accessed, and re-used thereby reducing repeated data requests and administrative load.</w:t>
      </w:r>
    </w:p>
    <w:p w14:paraId="7C395378" w14:textId="25714FC1" w:rsidR="009F6392" w:rsidRDefault="009F6392" w:rsidP="002D02B7">
      <w:pPr>
        <w:pStyle w:val="Heading2"/>
      </w:pPr>
      <w:bookmarkStart w:id="315" w:name="_Toc119436653"/>
      <w:bookmarkStart w:id="316" w:name="_Toc230099140"/>
      <w:r w:rsidRPr="00C3634A">
        <w:t>9.3</w:t>
      </w:r>
      <w:r w:rsidRPr="00C3634A">
        <w:tab/>
      </w:r>
      <w:r w:rsidR="006E0EA8">
        <w:t>Approaches to integrating digital technologies and tools</w:t>
      </w:r>
      <w:bookmarkEnd w:id="315"/>
      <w:bookmarkEnd w:id="316"/>
    </w:p>
    <w:p w14:paraId="07DEA480" w14:textId="3629EA0B" w:rsidR="009F161E" w:rsidRPr="008D55B1" w:rsidRDefault="009F161E" w:rsidP="009F161E">
      <w:pPr>
        <w:rPr>
          <w:lang w:val="en-US"/>
        </w:rPr>
      </w:pPr>
      <w:r w:rsidRPr="008D55B1">
        <w:rPr>
          <w:lang w:val="en-US"/>
        </w:rPr>
        <w:t>The following is suggested as a practical structure for consideration</w:t>
      </w:r>
      <w:r w:rsidR="3BD3EDC4" w:rsidRPr="31E78117">
        <w:rPr>
          <w:lang w:val="en-US"/>
        </w:rPr>
        <w:t xml:space="preserve"> (numbering is used as reference in later sections)</w:t>
      </w:r>
      <w:r w:rsidRPr="31E78117">
        <w:rPr>
          <w:lang w:val="en-US"/>
        </w:rPr>
        <w:t>:</w:t>
      </w:r>
    </w:p>
    <w:p w14:paraId="03598304" w14:textId="497CE9BD" w:rsidR="009F161E" w:rsidRPr="008D55B1" w:rsidRDefault="009F161E" w:rsidP="1610C5DC">
      <w:pPr>
        <w:ind w:left="720"/>
        <w:rPr>
          <w:lang w:val="en-US"/>
        </w:rPr>
      </w:pPr>
      <w:r w:rsidRPr="222ABFFA" w:rsidDel="36E476DC">
        <w:rPr>
          <w:lang w:val="en-US"/>
        </w:rPr>
        <w:t>1</w:t>
      </w:r>
      <w:r w:rsidR="69D787E8" w:rsidRPr="1610C5DC">
        <w:rPr>
          <w:lang w:val="en-US"/>
        </w:rPr>
        <w:t>.</w:t>
      </w:r>
      <w:r w:rsidR="69D787E8" w:rsidRPr="1E40BBB8">
        <w:rPr>
          <w:lang w:val="en-US"/>
        </w:rPr>
        <w:t xml:space="preserve"> </w:t>
      </w:r>
      <w:r w:rsidR="36E476DC" w:rsidRPr="222ABFFA">
        <w:rPr>
          <w:lang w:val="en-US"/>
        </w:rPr>
        <w:t>Transaction Efficiency Improvement</w:t>
      </w:r>
    </w:p>
    <w:p w14:paraId="1C03F2FE" w14:textId="17B6CFE1" w:rsidR="009F161E" w:rsidRPr="008D55B1" w:rsidRDefault="75455F8B" w:rsidP="1610C5DC">
      <w:pPr>
        <w:ind w:left="1440"/>
        <w:rPr>
          <w:lang w:val="en-US"/>
        </w:rPr>
      </w:pPr>
      <w:r w:rsidRPr="1E40BBB8">
        <w:rPr>
          <w:lang w:val="en-US"/>
        </w:rPr>
        <w:t xml:space="preserve">(A) </w:t>
      </w:r>
      <w:r w:rsidR="36E476DC" w:rsidRPr="222ABFFA">
        <w:rPr>
          <w:lang w:val="en-US"/>
        </w:rPr>
        <w:t>Certification, Registry and Training Management</w:t>
      </w:r>
    </w:p>
    <w:p w14:paraId="5E8DB923" w14:textId="5D00A4F6" w:rsidR="009F161E" w:rsidRPr="008D55B1" w:rsidRDefault="014A2B09" w:rsidP="1610C5DC">
      <w:pPr>
        <w:ind w:left="1440"/>
        <w:rPr>
          <w:lang w:val="en-US"/>
        </w:rPr>
      </w:pPr>
      <w:r w:rsidRPr="1E40BBB8">
        <w:rPr>
          <w:lang w:val="en-US"/>
        </w:rPr>
        <w:t xml:space="preserve">(B) </w:t>
      </w:r>
      <w:r w:rsidR="0E02C616" w:rsidRPr="1E40BBB8">
        <w:rPr>
          <w:lang w:val="en-US"/>
        </w:rPr>
        <w:t>T</w:t>
      </w:r>
      <w:r w:rsidR="36E476DC" w:rsidRPr="1E40BBB8">
        <w:rPr>
          <w:lang w:val="en-US"/>
        </w:rPr>
        <w:t>echnician</w:t>
      </w:r>
      <w:r w:rsidR="36E476DC" w:rsidRPr="222ABFFA">
        <w:rPr>
          <w:lang w:val="en-US"/>
        </w:rPr>
        <w:t xml:space="preserve"> Servicing Records and Field Services App</w:t>
      </w:r>
    </w:p>
    <w:p w14:paraId="7E045CC3" w14:textId="111DAEA6" w:rsidR="009F161E" w:rsidRPr="008D55B1" w:rsidRDefault="009F161E" w:rsidP="1610C5DC">
      <w:pPr>
        <w:ind w:left="720"/>
        <w:rPr>
          <w:lang w:val="en-US"/>
        </w:rPr>
      </w:pPr>
      <w:r w:rsidRPr="222ABFFA" w:rsidDel="36E476DC">
        <w:rPr>
          <w:lang w:val="en-US"/>
        </w:rPr>
        <w:t>2</w:t>
      </w:r>
      <w:r w:rsidR="2A824FB2" w:rsidRPr="1610C5DC">
        <w:rPr>
          <w:lang w:val="en-US"/>
        </w:rPr>
        <w:t>.</w:t>
      </w:r>
      <w:r w:rsidR="2A824FB2" w:rsidRPr="1E40BBB8">
        <w:rPr>
          <w:lang w:val="en-US"/>
        </w:rPr>
        <w:t xml:space="preserve"> </w:t>
      </w:r>
      <w:r w:rsidR="36E476DC" w:rsidRPr="222ABFFA">
        <w:rPr>
          <w:lang w:val="en-US"/>
        </w:rPr>
        <w:t>Performance Tools</w:t>
      </w:r>
    </w:p>
    <w:p w14:paraId="08679802" w14:textId="08B03588" w:rsidR="009F161E" w:rsidRPr="008D55B1" w:rsidRDefault="2B27C169" w:rsidP="1610C5DC">
      <w:pPr>
        <w:ind w:left="1440"/>
        <w:rPr>
          <w:lang w:val="en-US"/>
        </w:rPr>
      </w:pPr>
      <w:r w:rsidRPr="1E40BBB8">
        <w:rPr>
          <w:lang w:val="en-US"/>
        </w:rPr>
        <w:t xml:space="preserve">(A) </w:t>
      </w:r>
      <w:r w:rsidR="36E476DC" w:rsidRPr="222ABFFA">
        <w:rPr>
          <w:lang w:val="en-US"/>
        </w:rPr>
        <w:t>Digital Job Quality Tools</w:t>
      </w:r>
    </w:p>
    <w:p w14:paraId="093F3F40" w14:textId="45D5474A" w:rsidR="009F161E" w:rsidRPr="008D55B1" w:rsidRDefault="64EE090F" w:rsidP="1610C5DC">
      <w:pPr>
        <w:ind w:left="1440"/>
        <w:rPr>
          <w:lang w:val="en-US"/>
        </w:rPr>
      </w:pPr>
      <w:r w:rsidRPr="1610C5DC">
        <w:rPr>
          <w:lang w:val="en-US"/>
        </w:rPr>
        <w:t>(</w:t>
      </w:r>
      <w:r w:rsidR="27A350CC" w:rsidRPr="1610C5DC">
        <w:rPr>
          <w:lang w:val="en-US"/>
        </w:rPr>
        <w:t>B)</w:t>
      </w:r>
      <w:r w:rsidR="009F161E" w:rsidRPr="222ABFFA" w:rsidDel="36E476DC">
        <w:rPr>
          <w:lang w:val="en-US"/>
        </w:rPr>
        <w:t xml:space="preserve"> </w:t>
      </w:r>
      <w:r w:rsidR="36E476DC" w:rsidRPr="222ABFFA">
        <w:rPr>
          <w:lang w:val="en-US"/>
        </w:rPr>
        <w:t>Targeted Monitoring for Optimization and Fault Alerts</w:t>
      </w:r>
    </w:p>
    <w:p w14:paraId="5A6A2868" w14:textId="5ACFDBFF" w:rsidR="009F161E" w:rsidRPr="008D55B1" w:rsidRDefault="25F975CB" w:rsidP="1610C5DC">
      <w:pPr>
        <w:ind w:left="720"/>
        <w:rPr>
          <w:lang w:val="en-US"/>
        </w:rPr>
      </w:pPr>
      <w:r w:rsidRPr="222ABFFA">
        <w:rPr>
          <w:lang w:val="en-US"/>
        </w:rPr>
        <w:t xml:space="preserve">3. </w:t>
      </w:r>
      <w:r w:rsidR="36E476DC" w:rsidRPr="222ABFFA">
        <w:rPr>
          <w:lang w:val="en-US"/>
        </w:rPr>
        <w:t>Workflow and Knowledge Tools</w:t>
      </w:r>
    </w:p>
    <w:p w14:paraId="4B4105EE" w14:textId="1449036F" w:rsidR="004B456B" w:rsidRPr="00D7427C" w:rsidRDefault="41426818" w:rsidP="007C77CF">
      <w:pPr>
        <w:pStyle w:val="Heading3"/>
      </w:pPr>
      <w:bookmarkStart w:id="317" w:name="_Toc230099141"/>
      <w:r>
        <w:t>9.3.1</w:t>
      </w:r>
      <w:r w:rsidR="00791598">
        <w:tab/>
      </w:r>
      <w:r w:rsidR="4C0613C8" w:rsidRPr="222ABFFA">
        <w:rPr>
          <w:lang w:val="en-US"/>
        </w:rPr>
        <w:t>Transaction-efficiency improvement (broadly applicable; LVC/VLVC-suitable)</w:t>
      </w:r>
      <w:bookmarkEnd w:id="317"/>
    </w:p>
    <w:p w14:paraId="33DEAC83" w14:textId="23258E09" w:rsidR="00652575" w:rsidRPr="00652575" w:rsidRDefault="4F8963C8" w:rsidP="00652575">
      <w:pPr>
        <w:rPr>
          <w:lang w:val="en-US"/>
        </w:rPr>
      </w:pPr>
      <w:r w:rsidRPr="222ABFFA">
        <w:rPr>
          <w:lang w:val="en-US"/>
        </w:rPr>
        <w:t xml:space="preserve">These are low-complexity tools (often offline-first) that reduce the cost of meeting existing implementation and safeguarding requirements. Examples include technician certification registries and renewal tracking, training management (coverage and recertification), and basic digitized servicing records that help IAs and verifiers compile evidence efficiently. The primary benefit is </w:t>
      </w:r>
      <w:r w:rsidR="07908C02" w:rsidRPr="3C0C6139">
        <w:rPr>
          <w:lang w:val="en-US"/>
        </w:rPr>
        <w:t>reducing</w:t>
      </w:r>
      <w:r w:rsidRPr="222ABFFA">
        <w:rPr>
          <w:lang w:val="en-US"/>
        </w:rPr>
        <w:t xml:space="preserve"> administrative time and improved traceability, rather than additional reporting.</w:t>
      </w:r>
    </w:p>
    <w:p w14:paraId="008CEA95" w14:textId="3AF75C49" w:rsidR="00652575" w:rsidRPr="00BE594A" w:rsidRDefault="4F8963C8" w:rsidP="00BE594A">
      <w:pPr>
        <w:rPr>
          <w:lang w:val="en-US"/>
        </w:rPr>
      </w:pPr>
      <w:r w:rsidRPr="00BE594A">
        <w:rPr>
          <w:lang w:val="en-US"/>
        </w:rPr>
        <w:t xml:space="preserve">An illustrative case for </w:t>
      </w:r>
      <w:r w:rsidR="31E6D7FC" w:rsidRPr="00BE594A">
        <w:rPr>
          <w:lang w:val="en-US"/>
        </w:rPr>
        <w:t>1(A)</w:t>
      </w:r>
      <w:r w:rsidR="00652575" w:rsidRPr="00BE594A" w:rsidDel="00652575">
        <w:rPr>
          <w:lang w:val="en-US"/>
        </w:rPr>
        <w:t xml:space="preserve"> </w:t>
      </w:r>
      <w:r w:rsidRPr="00BE594A">
        <w:rPr>
          <w:lang w:val="en-US"/>
        </w:rPr>
        <w:t>is the MLF’s CP Data Cent</w:t>
      </w:r>
      <w:r w:rsidR="00A31D21">
        <w:rPr>
          <w:lang w:val="en-US"/>
        </w:rPr>
        <w:t>er</w:t>
      </w:r>
      <w:r w:rsidRPr="00BE594A">
        <w:rPr>
          <w:lang w:val="en-US"/>
        </w:rPr>
        <w:t>,</w:t>
      </w:r>
      <w:r w:rsidR="00652575">
        <w:rPr>
          <w:rStyle w:val="FootnoteReference"/>
          <w:lang w:val="en-US"/>
        </w:rPr>
        <w:footnoteReference w:id="85"/>
      </w:r>
      <w:r w:rsidRPr="00BE594A">
        <w:rPr>
          <w:lang w:val="en-US"/>
        </w:rPr>
        <w:t xml:space="preserve"> which provides a centralized digital platform for country programme data, including historical reporting and visualization of trends through dynamic charts and graphs. While it is not a technician certification registry in itself, it demonstrates that the MLF context already uses light digital infrastructure to improve reporting, traceability, access to information, and programme oversight. This is relevant to </w:t>
      </w:r>
      <w:r w:rsidR="48256A21" w:rsidRPr="00BE594A">
        <w:rPr>
          <w:lang w:val="en-US"/>
        </w:rPr>
        <w:t>1(A)</w:t>
      </w:r>
      <w:r w:rsidR="00652575" w:rsidRPr="00BE594A" w:rsidDel="00652575">
        <w:rPr>
          <w:lang w:val="en-US"/>
        </w:rPr>
        <w:t xml:space="preserve"> </w:t>
      </w:r>
      <w:r w:rsidRPr="00BE594A">
        <w:rPr>
          <w:lang w:val="en-US"/>
        </w:rPr>
        <w:t>because the same type of low-complexity digital architecture could be adapted at country level to manage technician records, training completion, recertification dates, and links to licensing systems. Supporting evidence from the International Labour Organization</w:t>
      </w:r>
      <w:r w:rsidR="00652575">
        <w:rPr>
          <w:rStyle w:val="FootnoteReference"/>
          <w:lang w:val="en-US"/>
        </w:rPr>
        <w:footnoteReference w:id="86"/>
      </w:r>
      <w:r w:rsidRPr="00BE594A">
        <w:rPr>
          <w:lang w:val="en-US"/>
        </w:rPr>
        <w:t xml:space="preserve"> on the digital transformation of apprenticeship systems also shows that vocational and work-based learning systems are increasingly being modernized through digital learner records, training management platforms, and more efficient administration of certification processes. Together, these examples support </w:t>
      </w:r>
      <w:r w:rsidR="25009725" w:rsidRPr="00BE594A">
        <w:rPr>
          <w:lang w:val="en-US"/>
        </w:rPr>
        <w:t>Certification, Registry and Training Management</w:t>
      </w:r>
      <w:r w:rsidRPr="00BE594A">
        <w:rPr>
          <w:lang w:val="en-US"/>
        </w:rPr>
        <w:t xml:space="preserve"> as a realistic and implementable category of digital intervention focused on administrative efficiency and improved visibility of training and certification status.</w:t>
      </w:r>
    </w:p>
    <w:p w14:paraId="39100ED0" w14:textId="6CAD221E" w:rsidR="00652575" w:rsidRPr="00BE594A" w:rsidRDefault="4F8963C8" w:rsidP="00BE594A">
      <w:pPr>
        <w:rPr>
          <w:lang w:val="en-US"/>
        </w:rPr>
      </w:pPr>
      <w:r w:rsidRPr="00BE594A">
        <w:rPr>
          <w:lang w:val="en-US"/>
        </w:rPr>
        <w:lastRenderedPageBreak/>
        <w:t xml:space="preserve">A relatable case study for </w:t>
      </w:r>
      <w:r w:rsidR="7CBC9820" w:rsidRPr="00BE594A">
        <w:rPr>
          <w:lang w:val="en-US"/>
        </w:rPr>
        <w:t>1(B)</w:t>
      </w:r>
      <w:r w:rsidRPr="00BE594A">
        <w:rPr>
          <w:lang w:val="en-US"/>
        </w:rPr>
        <w:t xml:space="preserve"> is provided by Microsoft Dynamics 365 Field Service,</w:t>
      </w:r>
      <w:r w:rsidR="00652575">
        <w:rPr>
          <w:rStyle w:val="FootnoteReference"/>
          <w:lang w:val="en-US"/>
        </w:rPr>
        <w:footnoteReference w:id="87"/>
      </w:r>
      <w:r w:rsidRPr="00BE594A">
        <w:rPr>
          <w:lang w:val="en-US"/>
        </w:rPr>
        <w:t xml:space="preserve"> which is designed to support work order management, scheduling, mobile access for technicians, and the shift from paper-based reactive service to more proactive and digitally managed service operations. The platform documentation highlights functions such as work order management, mobile tools for frontline workers, and workflow automation, all of which closely align with the</w:t>
      </w:r>
      <w:r w:rsidR="003318B1" w:rsidRPr="00BE594A">
        <w:rPr>
          <w:lang w:val="en-US"/>
        </w:rPr>
        <w:t xml:space="preserve"> </w:t>
      </w:r>
      <w:r w:rsidRPr="00BE594A">
        <w:rPr>
          <w:lang w:val="en-US"/>
        </w:rPr>
        <w:t xml:space="preserve">concept of technician-facing digital service records. In the context of RACHP servicing, similar tools could be used to record leak checks, refrigerant use, component replacement, fault histories, and photographic evidence from service visits. The relevance of this example is not that a country programme would necessarily adopt this exact platform, but that it shows the maturity of mobile field-service systems as a proven class of tools capable of replacing fragmented paper records with structured digital job documentation. This supports the inclusion of </w:t>
      </w:r>
      <w:r w:rsidR="732104E0" w:rsidRPr="00BE594A">
        <w:rPr>
          <w:lang w:val="en-US"/>
        </w:rPr>
        <w:t xml:space="preserve">Technician Servicing Records and Field Services App </w:t>
      </w:r>
      <w:r w:rsidRPr="00BE594A">
        <w:rPr>
          <w:lang w:val="en-US"/>
        </w:rPr>
        <w:t>as a practical, low-to-medium complexity step beyond registry-only systems</w:t>
      </w:r>
    </w:p>
    <w:p w14:paraId="188D565A" w14:textId="7008E9F8" w:rsidR="004B456B" w:rsidRDefault="63753AA7" w:rsidP="007C77CF">
      <w:pPr>
        <w:pStyle w:val="Heading3"/>
        <w:rPr>
          <w:lang w:val="en-US"/>
        </w:rPr>
      </w:pPr>
      <w:bookmarkStart w:id="318" w:name="_Toc230099142"/>
      <w:r>
        <w:t>9</w:t>
      </w:r>
      <w:r w:rsidR="68E64E07">
        <w:t>.</w:t>
      </w:r>
      <w:r>
        <w:t>3</w:t>
      </w:r>
      <w:r w:rsidR="68E64E07">
        <w:t>.2</w:t>
      </w:r>
      <w:r w:rsidR="00EC76DF">
        <w:tab/>
      </w:r>
      <w:r w:rsidR="408697DC" w:rsidRPr="222ABFFA">
        <w:rPr>
          <w:lang w:val="en-US"/>
        </w:rPr>
        <w:t>Performance tools linked to improved comfort, reduced maintenance, refrigerant leakage reduction and increased energy efficiency (selective; case-based)</w:t>
      </w:r>
      <w:bookmarkEnd w:id="318"/>
    </w:p>
    <w:p w14:paraId="185A4839" w14:textId="31D1B633" w:rsidR="0054203A" w:rsidRPr="008D55B1" w:rsidRDefault="0A8A0E39" w:rsidP="0054203A">
      <w:pPr>
        <w:rPr>
          <w:lang w:val="en-US"/>
        </w:rPr>
      </w:pPr>
      <w:r w:rsidRPr="222ABFFA">
        <w:rPr>
          <w:lang w:val="en-US"/>
        </w:rPr>
        <w:t>These are digital tools applied where there is a clear pathway to measurable servicing</w:t>
      </w:r>
      <w:r w:rsidR="6C6FB2DF" w:rsidRPr="222ABFFA">
        <w:rPr>
          <w:lang w:val="en-US"/>
        </w:rPr>
        <w:t xml:space="preserve"> </w:t>
      </w:r>
      <w:r w:rsidRPr="222ABFFA">
        <w:rPr>
          <w:lang w:val="en-US"/>
        </w:rPr>
        <w:t xml:space="preserve">sector performance improvement such as targeted digital monitoring and management tools in cold-chain or commercial refrigeration contexts for example, where they can enable optimization, prevent leakage, and improve </w:t>
      </w:r>
      <w:r w:rsidR="00D02C1C">
        <w:rPr>
          <w:lang w:val="en-US"/>
        </w:rPr>
        <w:t>EE</w:t>
      </w:r>
      <w:r w:rsidRPr="222ABFFA">
        <w:rPr>
          <w:lang w:val="en-US"/>
        </w:rPr>
        <w:t>. Such tools are best treated as selective interventions, guided by clear criteria, and accompanied by sustainability provisions.</w:t>
      </w:r>
    </w:p>
    <w:p w14:paraId="5A916834" w14:textId="3E9C2367" w:rsidR="0054203A" w:rsidRPr="008D55B1" w:rsidRDefault="0054203A" w:rsidP="0054203A">
      <w:pPr>
        <w:rPr>
          <w:lang w:val="en-US"/>
        </w:rPr>
      </w:pPr>
      <w:r w:rsidRPr="008D55B1">
        <w:rPr>
          <w:lang w:val="en-US"/>
        </w:rPr>
        <w:t>Digital tools for RACHP typically consist of sensors that collect data on refrigerant mass flows, refrigerant temperatures, pressures, compressor speed, valve position, equipment vibrations, and refrigerant levels in accumulators and receiver tanks. In addition, space temperature (e.g.</w:t>
      </w:r>
      <w:r w:rsidR="00A31D21">
        <w:rPr>
          <w:lang w:val="en-US"/>
        </w:rPr>
        <w:t>,</w:t>
      </w:r>
      <w:r w:rsidRPr="008D55B1">
        <w:rPr>
          <w:lang w:val="en-US"/>
        </w:rPr>
        <w:t xml:space="preserve"> indoor or cold room), humidity, CO</w:t>
      </w:r>
      <w:r w:rsidRPr="008D55B1">
        <w:rPr>
          <w:vertAlign w:val="subscript"/>
          <w:lang w:val="en-US"/>
        </w:rPr>
        <w:t>2</w:t>
      </w:r>
      <w:r w:rsidRPr="008D55B1">
        <w:rPr>
          <w:lang w:val="en-US"/>
        </w:rPr>
        <w:t>-levels, and particle matters can be measured to allow multi-functional control. Both data storage and applications are typically Cloud-based, providing access worldwide and from a wide range of devices, including computers, tablets, and mobile phones.</w:t>
      </w:r>
    </w:p>
    <w:p w14:paraId="17578742" w14:textId="7CDAC0C0" w:rsidR="0054203A" w:rsidRDefault="0A8A0E39" w:rsidP="00FA0CA5">
      <w:pPr>
        <w:rPr>
          <w:lang w:val="en-US"/>
        </w:rPr>
      </w:pPr>
      <w:r w:rsidRPr="00FA0CA5">
        <w:rPr>
          <w:lang w:val="en-US"/>
        </w:rPr>
        <w:t xml:space="preserve">An illustrative </w:t>
      </w:r>
      <w:r w:rsidR="629A144D" w:rsidRPr="00FA0CA5">
        <w:rPr>
          <w:lang w:val="en-US"/>
        </w:rPr>
        <w:t>2(A)</w:t>
      </w:r>
      <w:r w:rsidRPr="00FA0CA5" w:rsidDel="0054203A">
        <w:rPr>
          <w:lang w:val="en-US"/>
        </w:rPr>
        <w:t xml:space="preserve"> </w:t>
      </w:r>
      <w:r w:rsidRPr="00FA0CA5">
        <w:rPr>
          <w:lang w:val="en-US"/>
        </w:rPr>
        <w:t>case can be drawn from a compressor manufacturer’s controls and monitoring systems, which are designed to improve refrigeration system performance through functions such as monitoring, alarm handling, and remote diagnostics</w:t>
      </w:r>
      <w:r w:rsidRPr="6BB754F2">
        <w:rPr>
          <w:vertAlign w:val="superscript"/>
          <w:lang w:val="en-US"/>
        </w:rPr>
        <w:footnoteReference w:id="88"/>
      </w:r>
      <w:r w:rsidRPr="00FA0CA5">
        <w:rPr>
          <w:lang w:val="en-US"/>
        </w:rPr>
        <w:t xml:space="preserve">. These types of tools move beyond basic record-keeping and begin to influence the quality of servicing interventions by helping technicians identify faults earlier, respond to abnormal operating conditions, and reduce unnecessary reactive callouts. In </w:t>
      </w:r>
      <w:r w:rsidR="5840B0A1" w:rsidRPr="00FA0CA5">
        <w:rPr>
          <w:lang w:val="en-US"/>
        </w:rPr>
        <w:t>terms of</w:t>
      </w:r>
      <w:r w:rsidRPr="00FA0CA5">
        <w:rPr>
          <w:lang w:val="en-US"/>
        </w:rPr>
        <w:t xml:space="preserve"> </w:t>
      </w:r>
      <w:r w:rsidR="374231D8" w:rsidRPr="00FA0CA5">
        <w:rPr>
          <w:lang w:val="en-US"/>
        </w:rPr>
        <w:t>Digital Job Quality Tools</w:t>
      </w:r>
      <w:r w:rsidRPr="00FA0CA5">
        <w:rPr>
          <w:lang w:val="en-US"/>
        </w:rPr>
        <w:t xml:space="preserve">, the significance of such systems is that they support more consistent service quality, better fault identification, and improved maintenance practice rather than only faster administration. In the MLF context, this tier could therefore include digital tools such as guided leak inspection workflows, structured maintenance checklists, or QA dashboards that allow supervisors and </w:t>
      </w:r>
      <w:r w:rsidR="00325F8D">
        <w:rPr>
          <w:lang w:val="en-US"/>
        </w:rPr>
        <w:t>IAs</w:t>
      </w:r>
      <w:r w:rsidRPr="00FA0CA5">
        <w:rPr>
          <w:lang w:val="en-US"/>
        </w:rPr>
        <w:t xml:space="preserve"> to assess whether servicing practices are </w:t>
      </w:r>
      <w:r w:rsidR="3C8D7C55" w:rsidRPr="00FA0CA5">
        <w:rPr>
          <w:lang w:val="en-US"/>
        </w:rPr>
        <w:t>improving</w:t>
      </w:r>
      <w:r w:rsidRPr="00FA0CA5">
        <w:rPr>
          <w:lang w:val="en-US"/>
        </w:rPr>
        <w:t>. This example strongly demonstrates that digital support for better service decisions is already embedded in commercial refrigeration practice and is not merely a theoretical extension of paper-based systems.</w:t>
      </w:r>
    </w:p>
    <w:p w14:paraId="376CF34B" w14:textId="69BE65E0" w:rsidR="003D3B74" w:rsidRPr="003D3B74" w:rsidRDefault="003D3B74" w:rsidP="00F533E0">
      <w:pPr>
        <w:tabs>
          <w:tab w:val="left" w:pos="5926"/>
        </w:tabs>
        <w:rPr>
          <w:lang w:val="en-US"/>
        </w:rPr>
      </w:pPr>
      <w:r>
        <w:rPr>
          <w:lang w:val="en-US"/>
        </w:rPr>
        <w:tab/>
      </w:r>
    </w:p>
    <w:p w14:paraId="13ECA5D4" w14:textId="349D5279" w:rsidR="0054203A" w:rsidRDefault="0A8A0E39" w:rsidP="0054203A">
      <w:pPr>
        <w:rPr>
          <w:lang w:val="en-US"/>
        </w:rPr>
      </w:pPr>
      <w:r w:rsidRPr="6FA71381">
        <w:rPr>
          <w:lang w:val="en-US"/>
        </w:rPr>
        <w:lastRenderedPageBreak/>
        <w:t xml:space="preserve">A relatable case study for </w:t>
      </w:r>
      <w:r w:rsidR="104EB87B" w:rsidRPr="6FA71381">
        <w:rPr>
          <w:lang w:val="en-US"/>
        </w:rPr>
        <w:t>2(B)</w:t>
      </w:r>
      <w:r w:rsidRPr="6FA71381" w:rsidDel="0054203A">
        <w:rPr>
          <w:lang w:val="en-US"/>
        </w:rPr>
        <w:t xml:space="preserve"> </w:t>
      </w:r>
      <w:r w:rsidRPr="6FA71381">
        <w:rPr>
          <w:lang w:val="en-US"/>
        </w:rPr>
        <w:t>is another manufacturer’s refrigeration control and monitoring platform used in food retail applications</w:t>
      </w:r>
      <w:r w:rsidRPr="680FA849">
        <w:rPr>
          <w:vertAlign w:val="superscript"/>
          <w:lang w:val="en-US"/>
        </w:rPr>
        <w:footnoteReference w:id="89"/>
      </w:r>
      <w:r w:rsidRPr="6FA71381">
        <w:rPr>
          <w:lang w:val="en-US"/>
        </w:rPr>
        <w:footnoteReference w:id="90"/>
      </w:r>
      <w:r w:rsidRPr="6FA71381">
        <w:rPr>
          <w:lang w:val="en-US"/>
        </w:rPr>
        <w:t>￼</w:t>
      </w:r>
      <w:r w:rsidRPr="6FA71381" w:rsidDel="0054203A">
        <w:rPr>
          <w:lang w:val="en-US"/>
        </w:rPr>
        <w:t>.</w:t>
      </w:r>
      <w:r w:rsidRPr="6FA71381">
        <w:rPr>
          <w:lang w:val="en-US"/>
        </w:rPr>
        <w:t xml:space="preserve"> This system is an adaptive refrigeration control solution that automatically responds to changing operating conditions to improve refrigeration performance and </w:t>
      </w:r>
      <w:r w:rsidR="00D02C1C">
        <w:rPr>
          <w:lang w:val="en-US"/>
        </w:rPr>
        <w:t>EE</w:t>
      </w:r>
      <w:r w:rsidRPr="6FA71381">
        <w:rPr>
          <w:lang w:val="en-US"/>
        </w:rPr>
        <w:t>. The benefits associated with using the platform include optimization of refrigeration, lighting, and HVAC, reduced maintenance needs, lower downtime, and improved food quality and loss prevention. In practical terms, this is closely aligned with the concept of monitoring and IoT-enabled tools that generate measurable operational outcomes rather than merely digitizing paperwork. This case is especially relevant because it shows how cloud-connected or controller-based systems can support energy optimization, alarm monitoring, service prioritization, and performance visibility across refrigeration assets.</w:t>
      </w:r>
    </w:p>
    <w:p w14:paraId="2CC217CE" w14:textId="5B9E4B25" w:rsidR="00D60C40" w:rsidRPr="008D55B1" w:rsidRDefault="00D60C40" w:rsidP="00D60C40">
      <w:pPr>
        <w:rPr>
          <w:lang w:val="en-US"/>
        </w:rPr>
      </w:pPr>
      <w:r>
        <w:rPr>
          <w:lang w:val="en-US"/>
        </w:rPr>
        <w:t xml:space="preserve">Figure 9.1 </w:t>
      </w:r>
      <w:r w:rsidRPr="008D55B1">
        <w:rPr>
          <w:lang w:val="en-US"/>
        </w:rPr>
        <w:t xml:space="preserve">illustrates an example of refrigerant monitoring, control, and alarm, which could typically be part of an overall </w:t>
      </w:r>
      <w:r>
        <w:rPr>
          <w:lang w:val="en-US"/>
        </w:rPr>
        <w:t>d</w:t>
      </w:r>
      <w:r w:rsidRPr="008D55B1">
        <w:rPr>
          <w:lang w:val="en-US"/>
        </w:rPr>
        <w:t xml:space="preserve">igital </w:t>
      </w:r>
      <w:r>
        <w:rPr>
          <w:lang w:val="en-US"/>
        </w:rPr>
        <w:t>s</w:t>
      </w:r>
      <w:r w:rsidRPr="008D55B1">
        <w:rPr>
          <w:lang w:val="en-US"/>
        </w:rPr>
        <w:t>olution for RACHP.</w:t>
      </w:r>
    </w:p>
    <w:p w14:paraId="5D03FD3E" w14:textId="19A2EA28" w:rsidR="00BA7DB7" w:rsidRDefault="00BA7DB7" w:rsidP="002135B0">
      <w:pPr>
        <w:tabs>
          <w:tab w:val="left" w:pos="1134"/>
        </w:tabs>
        <w:spacing w:after="0"/>
        <w:ind w:left="1411" w:hanging="1411"/>
        <w:rPr>
          <w:rFonts w:eastAsia="Times New Roman Bold" w:cs="Times New Roman Bold"/>
          <w:b/>
          <w:bCs/>
        </w:rPr>
      </w:pPr>
      <w:r>
        <w:rPr>
          <w:rFonts w:eastAsiaTheme="minorHAnsi"/>
          <w:b/>
          <w:bCs/>
        </w:rPr>
        <w:t>Figure 9.1</w:t>
      </w:r>
      <w:r w:rsidRPr="00E42C5E">
        <w:rPr>
          <w:rFonts w:eastAsiaTheme="minorHAnsi"/>
          <w:b/>
          <w:bCs/>
        </w:rPr>
        <w:tab/>
      </w:r>
      <w:r w:rsidR="004E0CD5">
        <w:rPr>
          <w:rFonts w:eastAsia="Times New Roman Bold" w:cs="Times New Roman Bold"/>
          <w:b/>
          <w:bCs/>
        </w:rPr>
        <w:t>Example of RACHP digital solution</w:t>
      </w:r>
    </w:p>
    <w:p w14:paraId="5D07AA65" w14:textId="7CE66D24" w:rsidR="00E55B41" w:rsidRDefault="00F2668B" w:rsidP="00E55B41">
      <w:pPr>
        <w:rPr>
          <w:lang w:val="en-US"/>
        </w:rPr>
      </w:pPr>
      <w:r>
        <w:rPr>
          <w:noProof/>
          <w:lang w:val="en-US"/>
        </w:rPr>
        <w:drawing>
          <wp:inline distT="0" distB="0" distL="0" distR="0" wp14:anchorId="295B0D3F" wp14:editId="1D5A8E5B">
            <wp:extent cx="5018949" cy="3224918"/>
            <wp:effectExtent l="0" t="0" r="0" b="0"/>
            <wp:docPr id="774623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4062" cy="3247480"/>
                    </a:xfrm>
                    <a:prstGeom prst="rect">
                      <a:avLst/>
                    </a:prstGeom>
                    <a:noFill/>
                  </pic:spPr>
                </pic:pic>
              </a:graphicData>
            </a:graphic>
          </wp:inline>
        </w:drawing>
      </w:r>
    </w:p>
    <w:p w14:paraId="3E66474A" w14:textId="77777777" w:rsidR="004E0CD5" w:rsidRPr="00E55B41" w:rsidRDefault="004E0CD5" w:rsidP="00E55B41">
      <w:pPr>
        <w:rPr>
          <w:lang w:val="en-US"/>
        </w:rPr>
      </w:pPr>
    </w:p>
    <w:p w14:paraId="01367AD7" w14:textId="730E7F8B" w:rsidR="004B456B" w:rsidRDefault="002933E8" w:rsidP="007C77CF">
      <w:pPr>
        <w:pStyle w:val="Heading3"/>
        <w:rPr>
          <w:lang w:val="en-US"/>
        </w:rPr>
      </w:pPr>
      <w:bookmarkStart w:id="319" w:name="_Toc230099143"/>
      <w:r>
        <w:t>9.3.3</w:t>
      </w:r>
      <w:r>
        <w:tab/>
      </w:r>
      <w:r w:rsidR="54D3C894" w:rsidRPr="7CBB7BB3">
        <w:rPr>
          <w:lang w:val="en-US"/>
        </w:rPr>
        <w:t xml:space="preserve">Workflow and </w:t>
      </w:r>
      <w:r w:rsidR="00543B84">
        <w:rPr>
          <w:lang w:val="en-US"/>
        </w:rPr>
        <w:t>k</w:t>
      </w:r>
      <w:r w:rsidR="54D3C894" w:rsidRPr="7CBB7BB3">
        <w:rPr>
          <w:lang w:val="en-US"/>
        </w:rPr>
        <w:t xml:space="preserve">nowledge </w:t>
      </w:r>
      <w:r w:rsidR="00A42613" w:rsidRPr="7CBB7BB3">
        <w:rPr>
          <w:lang w:val="en-US"/>
        </w:rPr>
        <w:t>tools</w:t>
      </w:r>
      <w:bookmarkEnd w:id="319"/>
    </w:p>
    <w:p w14:paraId="30A38D10" w14:textId="37B2037B" w:rsidR="00EB0C1E" w:rsidRPr="008D55B1" w:rsidRDefault="00EB0C1E" w:rsidP="00EB0C1E">
      <w:pPr>
        <w:rPr>
          <w:lang w:val="en-US"/>
        </w:rPr>
      </w:pPr>
      <w:r w:rsidRPr="16E2B4E5">
        <w:rPr>
          <w:lang w:val="en-US"/>
        </w:rPr>
        <w:t xml:space="preserve">These </w:t>
      </w:r>
      <w:r w:rsidR="551A7C35" w:rsidRPr="16E2B4E5">
        <w:rPr>
          <w:lang w:val="en-US"/>
        </w:rPr>
        <w:t>system level efficiency improvement tools</w:t>
      </w:r>
      <w:r w:rsidRPr="008D55B1">
        <w:rPr>
          <w:lang w:val="en-US"/>
        </w:rPr>
        <w:t xml:space="preserve"> include further strengthening of Secretariat and </w:t>
      </w:r>
      <w:r>
        <w:rPr>
          <w:lang w:val="en-US"/>
        </w:rPr>
        <w:t>IA</w:t>
      </w:r>
      <w:r w:rsidRPr="008D55B1">
        <w:rPr>
          <w:lang w:val="en-US"/>
        </w:rPr>
        <w:t xml:space="preserve"> workflows using knowledge-management assets (e.g., CP data center, structured decision databases) and, where appropriate, AI-enabled document handling with quality assurance. Their value lies in improving consistency, reducing processing time, and strengthening institutional memory.</w:t>
      </w:r>
    </w:p>
    <w:p w14:paraId="0D676420" w14:textId="3FA461C9" w:rsidR="00EB0C1E" w:rsidRPr="008D55B1" w:rsidRDefault="27873824" w:rsidP="222ABFFA">
      <w:pPr>
        <w:rPr>
          <w:lang w:val="en-US"/>
        </w:rPr>
      </w:pPr>
      <w:r w:rsidRPr="222ABFFA">
        <w:rPr>
          <w:lang w:val="en-US"/>
        </w:rPr>
        <w:t xml:space="preserve">A useful case study for </w:t>
      </w:r>
      <w:r w:rsidR="6C8C0026" w:rsidRPr="7CBB7BB3">
        <w:rPr>
          <w:lang w:val="en-US"/>
        </w:rPr>
        <w:t xml:space="preserve">Workflow and Knowledge </w:t>
      </w:r>
      <w:r w:rsidR="719CCAB6" w:rsidRPr="7CBB7BB3">
        <w:rPr>
          <w:lang w:val="en-US"/>
        </w:rPr>
        <w:t>Tools</w:t>
      </w:r>
      <w:r w:rsidRPr="222ABFFA">
        <w:rPr>
          <w:lang w:val="en-US"/>
        </w:rPr>
        <w:t xml:space="preserve"> is again the MLF’s CP Data Center, but here the relevance is different. Rather than illustrating simple administrative digitalization, it illustrates the </w:t>
      </w:r>
      <w:r w:rsidRPr="222ABFFA">
        <w:rPr>
          <w:lang w:val="en-US"/>
        </w:rPr>
        <w:lastRenderedPageBreak/>
        <w:t xml:space="preserve">value of structured data systems for decision support, evidence retrieval, and programme-level visibility. The platform allows users to view long-term country programme data and visualize trends, which reflects the basic logic of </w:t>
      </w:r>
      <w:r w:rsidR="7A2B212B" w:rsidRPr="7FC8407B">
        <w:rPr>
          <w:lang w:val="en-US"/>
        </w:rPr>
        <w:t>these</w:t>
      </w:r>
      <w:r w:rsidR="553B46CD" w:rsidRPr="7FC8407B">
        <w:rPr>
          <w:lang w:val="en-US"/>
        </w:rPr>
        <w:t xml:space="preserve"> </w:t>
      </w:r>
      <w:r w:rsidR="00EB0C1E" w:rsidRPr="7FC8407B">
        <w:rPr>
          <w:lang w:val="en-US"/>
        </w:rPr>
        <w:t>tools</w:t>
      </w:r>
      <w:r w:rsidRPr="222ABFFA">
        <w:rPr>
          <w:lang w:val="en-US"/>
        </w:rPr>
        <w:t xml:space="preserve">: helping institutions work more effectively with evidence rather than creating new technical servicing functions in the field. In the context of the present framework, </w:t>
      </w:r>
      <w:r w:rsidR="358D2667" w:rsidRPr="688B8398">
        <w:rPr>
          <w:lang w:val="en-US"/>
        </w:rPr>
        <w:t>s</w:t>
      </w:r>
      <w:r w:rsidR="1562CA8E" w:rsidRPr="688B8398">
        <w:rPr>
          <w:lang w:val="en-US"/>
        </w:rPr>
        <w:t xml:space="preserve">ystem </w:t>
      </w:r>
      <w:r w:rsidR="72FA7F5D" w:rsidRPr="688B8398">
        <w:rPr>
          <w:lang w:val="en-US"/>
        </w:rPr>
        <w:t>l</w:t>
      </w:r>
      <w:r w:rsidR="1562CA8E" w:rsidRPr="688B8398">
        <w:rPr>
          <w:lang w:val="en-US"/>
        </w:rPr>
        <w:t xml:space="preserve">evel </w:t>
      </w:r>
      <w:r w:rsidR="3FF05404" w:rsidRPr="688B8398">
        <w:rPr>
          <w:lang w:val="en-US"/>
        </w:rPr>
        <w:t>e</w:t>
      </w:r>
      <w:r w:rsidR="1562CA8E" w:rsidRPr="688B8398">
        <w:rPr>
          <w:lang w:val="en-US"/>
        </w:rPr>
        <w:t xml:space="preserve">fficiency </w:t>
      </w:r>
      <w:r w:rsidR="7FD3D0B2" w:rsidRPr="688B8398">
        <w:rPr>
          <w:lang w:val="en-US"/>
        </w:rPr>
        <w:t>t</w:t>
      </w:r>
      <w:r w:rsidR="4B37D8AD" w:rsidRPr="688B8398">
        <w:rPr>
          <w:lang w:val="en-US"/>
        </w:rPr>
        <w:t>ools</w:t>
      </w:r>
      <w:r w:rsidR="4B37D8AD" w:rsidRPr="7FC8407B">
        <w:rPr>
          <w:lang w:val="en-US"/>
        </w:rPr>
        <w:t xml:space="preserve"> therefore</w:t>
      </w:r>
      <w:r w:rsidRPr="222ABFFA">
        <w:rPr>
          <w:lang w:val="en-US"/>
        </w:rPr>
        <w:t xml:space="preserve"> </w:t>
      </w:r>
      <w:r w:rsidR="00EB0C1E" w:rsidRPr="7CBB7BB3">
        <w:rPr>
          <w:lang w:val="en-US"/>
        </w:rPr>
        <w:t>capture</w:t>
      </w:r>
      <w:r w:rsidRPr="222ABFFA">
        <w:rPr>
          <w:lang w:val="en-US"/>
        </w:rPr>
        <w:t xml:space="preserve"> digital tools that support implementing agencies, </w:t>
      </w:r>
      <w:r w:rsidR="00325F8D">
        <w:rPr>
          <w:lang w:val="en-US"/>
        </w:rPr>
        <w:t>NOUs</w:t>
      </w:r>
      <w:r w:rsidRPr="222ABFFA">
        <w:rPr>
          <w:lang w:val="en-US"/>
        </w:rPr>
        <w:t xml:space="preserve">, and the </w:t>
      </w:r>
      <w:r w:rsidR="00185768">
        <w:rPr>
          <w:lang w:val="en-US"/>
        </w:rPr>
        <w:t>MLFS</w:t>
      </w:r>
      <w:r w:rsidRPr="222ABFFA">
        <w:rPr>
          <w:lang w:val="en-US"/>
        </w:rPr>
        <w:t xml:space="preserve"> in tasks such as programme workflow management, structured storage of evidence, compliance review, and internal knowledge retrieval. The case supports the argument that higher-tier digitalization does not only mean sensors or AI in equipment but can also mean better institutional workflow tools that improve the quality, consistency and speed of programme oversight and decision-making.</w:t>
      </w:r>
    </w:p>
    <w:p w14:paraId="5278D3C6" w14:textId="77777777" w:rsidR="00EB0C1E" w:rsidRPr="008D55B1" w:rsidRDefault="00EB0C1E" w:rsidP="00EB0C1E">
      <w:pPr>
        <w:rPr>
          <w:lang w:val="en-US"/>
        </w:rPr>
      </w:pPr>
      <w:r w:rsidRPr="008D55B1">
        <w:rPr>
          <w:lang w:val="en-US"/>
        </w:rPr>
        <w:t>Experience reflected in ExCom discussions suggests that successful digitalization depends less on the sophistication of tools and more on sustainability and ownership. This includes clarity on who owns and maintains systems and data, how tools remain functional after pilot phases, how they align with HFC phasedown and servicing-sector needs, and whether they are best integrated within existing HPMP/KIP servicing activities rather than established as standalone digital platforms. Therefore, digital tools should not create unfunded liabilities or divert scarce capacity away from core compliance delivery. This is particularly relevant for LVC/VLVC contexts, where offline-first “digital-light” solutions can provide high enabling value without imposing significant operational overhead.</w:t>
      </w:r>
    </w:p>
    <w:p w14:paraId="00613CF5" w14:textId="77777777" w:rsidR="00EB0C1E" w:rsidRPr="008D55B1" w:rsidRDefault="00EB0C1E" w:rsidP="00EB0C1E">
      <w:pPr>
        <w:rPr>
          <w:lang w:val="en-US"/>
        </w:rPr>
      </w:pPr>
      <w:r w:rsidRPr="008D55B1">
        <w:rPr>
          <w:lang w:val="en-US"/>
        </w:rPr>
        <w:t>Within a compliance-based approach, digital tools can be presented as either:</w:t>
      </w:r>
    </w:p>
    <w:p w14:paraId="2D6C374E" w14:textId="569FC718" w:rsidR="00EB0C1E" w:rsidRPr="008D55B1" w:rsidRDefault="27873824" w:rsidP="00EB0C1E">
      <w:pPr>
        <w:pStyle w:val="ListParagraph"/>
      </w:pPr>
      <w:r w:rsidRPr="222ABFFA">
        <w:rPr>
          <w:b/>
          <w:bCs/>
        </w:rPr>
        <w:t>Cost-efficiency enablers</w:t>
      </w:r>
      <w:r>
        <w:t> that lower the transaction costs of delivering and evidencing compliance actions (</w:t>
      </w:r>
      <w:r w:rsidR="4D8BCC8B">
        <w:t xml:space="preserve">types </w:t>
      </w:r>
      <w:r w:rsidR="00EB0C1E">
        <w:t>1 and</w:t>
      </w:r>
      <w:r w:rsidR="00EB0C1E" w:rsidDel="27873824">
        <w:t xml:space="preserve"> 3</w:t>
      </w:r>
      <w:r>
        <w:t>), and/or</w:t>
      </w:r>
    </w:p>
    <w:p w14:paraId="2B927CF0" w14:textId="2E907962" w:rsidR="00EB0C1E" w:rsidRPr="008D55B1" w:rsidRDefault="27873824" w:rsidP="00EB0C1E">
      <w:pPr>
        <w:pStyle w:val="ListParagraph"/>
      </w:pPr>
      <w:r w:rsidRPr="222ABFFA">
        <w:rPr>
          <w:b/>
          <w:bCs/>
        </w:rPr>
        <w:t>Targeted performance interventions</w:t>
      </w:r>
      <w:r>
        <w:t xml:space="preserve"> that demonstrably reduce maintenance, refrigerant leakage, and improve </w:t>
      </w:r>
      <w:r w:rsidR="00D02C1C">
        <w:t>EE</w:t>
      </w:r>
      <w:r>
        <w:t xml:space="preserve"> in selected sectors (</w:t>
      </w:r>
      <w:r w:rsidR="5E8C58E3">
        <w:t xml:space="preserve">type </w:t>
      </w:r>
      <w:r>
        <w:t>2), with explicit sustainability provisions.</w:t>
      </w:r>
    </w:p>
    <w:p w14:paraId="2DCFBDA2" w14:textId="7DB3C088" w:rsidR="00EB0C1E" w:rsidRDefault="00EB0C1E" w:rsidP="00EB0C1E">
      <w:pPr>
        <w:rPr>
          <w:lang w:val="en-US"/>
        </w:rPr>
      </w:pPr>
      <w:r w:rsidRPr="008D55B1">
        <w:rPr>
          <w:lang w:val="en-US"/>
        </w:rPr>
        <w:t xml:space="preserve">Indicative costs are provided below to illustrate the order of magnitude of funding that may be required to integrate digital tools into </w:t>
      </w:r>
      <w:r w:rsidR="00E50E64">
        <w:rPr>
          <w:lang w:val="en-US"/>
        </w:rPr>
        <w:t xml:space="preserve">the </w:t>
      </w:r>
      <w:r w:rsidRPr="008D55B1">
        <w:rPr>
          <w:lang w:val="en-US"/>
        </w:rPr>
        <w:t xml:space="preserve">servicing sector </w:t>
      </w:r>
      <w:r w:rsidR="00B3682B">
        <w:rPr>
          <w:lang w:val="en-US"/>
        </w:rPr>
        <w:t>activities</w:t>
      </w:r>
      <w:r w:rsidRPr="008D55B1">
        <w:rPr>
          <w:lang w:val="en-US"/>
        </w:rPr>
        <w:t>. Actual costs can vary by country's context, scale, connectivity, and the extent of localization and support.</w:t>
      </w:r>
    </w:p>
    <w:p w14:paraId="1FF4A2F7" w14:textId="3A1DF07C" w:rsidR="009F6392" w:rsidRDefault="2E14C8EC" w:rsidP="002D02B7">
      <w:pPr>
        <w:pStyle w:val="Heading2"/>
        <w:rPr>
          <w:lang w:val="en-US"/>
        </w:rPr>
      </w:pPr>
      <w:bookmarkStart w:id="320" w:name="_Toc333511531"/>
      <w:bookmarkStart w:id="321" w:name="_Toc461054373"/>
      <w:bookmarkStart w:id="322" w:name="_Toc461396149"/>
      <w:bookmarkStart w:id="323" w:name="_Toc534820157"/>
      <w:bookmarkStart w:id="324" w:name="_Toc119436654"/>
      <w:bookmarkStart w:id="325" w:name="_Toc230099144"/>
      <w:r>
        <w:t>9</w:t>
      </w:r>
      <w:r w:rsidR="671B5975">
        <w:t>.4</w:t>
      </w:r>
      <w:r w:rsidR="00F72553">
        <w:tab/>
      </w:r>
      <w:bookmarkEnd w:id="320"/>
      <w:bookmarkEnd w:id="321"/>
      <w:bookmarkEnd w:id="322"/>
      <w:r w:rsidR="27873824">
        <w:t>Cost estimates</w:t>
      </w:r>
      <w:bookmarkEnd w:id="323"/>
      <w:bookmarkEnd w:id="324"/>
      <w:bookmarkEnd w:id="325"/>
    </w:p>
    <w:p w14:paraId="574AA713" w14:textId="7121EE95" w:rsidR="001260F0" w:rsidRDefault="609CF9B1" w:rsidP="007C77CF">
      <w:pPr>
        <w:pStyle w:val="Heading3"/>
        <w:rPr>
          <w:lang w:eastAsia="en-GB"/>
        </w:rPr>
      </w:pPr>
      <w:bookmarkStart w:id="326" w:name="_Toc230099145"/>
      <w:r w:rsidRPr="222ABFFA">
        <w:rPr>
          <w:lang w:eastAsia="en-GB"/>
        </w:rPr>
        <w:t>9.4.1</w:t>
      </w:r>
      <w:r w:rsidR="001260F0">
        <w:tab/>
      </w:r>
      <w:r w:rsidR="441611D6" w:rsidRPr="222ABFFA">
        <w:rPr>
          <w:lang w:eastAsia="en-GB"/>
        </w:rPr>
        <w:t xml:space="preserve">Transaction efficiency improvement </w:t>
      </w:r>
      <w:r w:rsidRPr="222ABFFA">
        <w:rPr>
          <w:lang w:eastAsia="en-GB"/>
        </w:rPr>
        <w:t>cost estimates</w:t>
      </w:r>
      <w:bookmarkEnd w:id="326"/>
    </w:p>
    <w:p w14:paraId="160B67DB" w14:textId="5501A4E2" w:rsidR="00406CD2" w:rsidRDefault="4421915F" w:rsidP="00406CD2">
      <w:pPr>
        <w:rPr>
          <w:lang w:eastAsia="en-GB"/>
        </w:rPr>
      </w:pPr>
      <w:r w:rsidRPr="222ABFFA">
        <w:rPr>
          <w:lang w:eastAsia="en-GB"/>
        </w:rPr>
        <w:t xml:space="preserve">Software and software companies exist globally that provide on-line services that could be customized to suit the needs of the service organization. As mentioned earlier, tools </w:t>
      </w:r>
      <w:r w:rsidR="511C6F62" w:rsidRPr="222ABFFA">
        <w:rPr>
          <w:lang w:eastAsia="en-GB"/>
        </w:rPr>
        <w:t xml:space="preserve">in this category </w:t>
      </w:r>
      <w:r w:rsidRPr="222ABFFA">
        <w:rPr>
          <w:lang w:eastAsia="en-GB"/>
        </w:rPr>
        <w:t>are typically low-complexity, offline-first where needed and aimed at reducing transaction costs and improving traceability. Splitting these into two below:</w:t>
      </w:r>
    </w:p>
    <w:p w14:paraId="46EDC1B3" w14:textId="66DB48A3" w:rsidR="00406CD2" w:rsidRDefault="4421915F" w:rsidP="222ABFFA">
      <w:pPr>
        <w:pStyle w:val="ListParagraph"/>
        <w:rPr>
          <w:lang w:eastAsia="en-GB"/>
        </w:rPr>
      </w:pPr>
      <w:r w:rsidRPr="68AAA8FB">
        <w:rPr>
          <w:b/>
          <w:bCs/>
          <w:lang w:eastAsia="en-GB"/>
        </w:rPr>
        <w:t>1</w:t>
      </w:r>
      <w:r w:rsidR="4B9EDD59" w:rsidRPr="222ABFFA">
        <w:rPr>
          <w:b/>
          <w:bCs/>
          <w:lang w:eastAsia="en-GB"/>
        </w:rPr>
        <w:t>(</w:t>
      </w:r>
      <w:r w:rsidRPr="222ABFFA">
        <w:rPr>
          <w:b/>
          <w:bCs/>
          <w:lang w:eastAsia="en-GB"/>
        </w:rPr>
        <w:t>A</w:t>
      </w:r>
      <w:r w:rsidR="1F12DEDF" w:rsidRPr="222ABFFA">
        <w:rPr>
          <w:b/>
          <w:bCs/>
          <w:lang w:eastAsia="en-GB"/>
        </w:rPr>
        <w:t>)</w:t>
      </w:r>
      <w:r w:rsidRPr="222ABFFA">
        <w:rPr>
          <w:b/>
          <w:bCs/>
          <w:lang w:eastAsia="en-GB"/>
        </w:rPr>
        <w:t xml:space="preserve"> </w:t>
      </w:r>
      <w:r w:rsidR="5AD5DB8B" w:rsidRPr="5AD5DB8B">
        <w:rPr>
          <w:b/>
          <w:bCs/>
          <w:lang w:eastAsia="en-GB"/>
        </w:rPr>
        <w:t>Registry</w:t>
      </w:r>
      <w:r w:rsidRPr="222ABFFA">
        <w:rPr>
          <w:b/>
          <w:bCs/>
          <w:lang w:eastAsia="en-GB"/>
        </w:rPr>
        <w:t xml:space="preserve"> and training management</w:t>
      </w:r>
      <w:r w:rsidR="5AD5DB8B" w:rsidRPr="5AD5DB8B">
        <w:rPr>
          <w:lang w:eastAsia="en-GB"/>
        </w:rPr>
        <w:t>:</w:t>
      </w:r>
      <w:r w:rsidRPr="222ABFFA">
        <w:rPr>
          <w:lang w:eastAsia="en-GB"/>
        </w:rPr>
        <w:t xml:space="preserve"> technician certification/ recertification registry, training coverage tracker, and basic reporting outports for </w:t>
      </w:r>
      <w:r w:rsidR="00185768">
        <w:rPr>
          <w:lang w:eastAsia="en-GB"/>
        </w:rPr>
        <w:t>IAs</w:t>
      </w:r>
      <w:r w:rsidRPr="222ABFFA">
        <w:rPr>
          <w:lang w:eastAsia="en-GB"/>
        </w:rPr>
        <w:t xml:space="preserve">/NOU. Costs are typically expressed per country programme and depend heavily on whether a country can adapt to an existing platform (preferred) versus procuring a more customized system. As an indicative range, one time configuration/ localization in the range of ~ </w:t>
      </w:r>
      <w:r w:rsidR="00EC730E">
        <w:rPr>
          <w:lang w:eastAsia="en-GB"/>
        </w:rPr>
        <w:t>US$</w:t>
      </w:r>
      <w:r w:rsidRPr="222ABFFA">
        <w:rPr>
          <w:lang w:eastAsia="en-GB"/>
        </w:rPr>
        <w:t xml:space="preserve"> 10,000 – 30,000 for digital light deployments, with recurring operations and support of ~ </w:t>
      </w:r>
      <w:r w:rsidR="00EC730E">
        <w:rPr>
          <w:lang w:eastAsia="en-GB"/>
        </w:rPr>
        <w:t>US$</w:t>
      </w:r>
      <w:r w:rsidRPr="222ABFFA">
        <w:rPr>
          <w:lang w:eastAsia="en-GB"/>
        </w:rPr>
        <w:t xml:space="preserve"> 3,000 – 10,000 per year (hosting, user support, minimal administration). Higher costs of more than ~ </w:t>
      </w:r>
      <w:r w:rsidR="00EC730E">
        <w:rPr>
          <w:lang w:eastAsia="en-GB"/>
        </w:rPr>
        <w:t>US$</w:t>
      </w:r>
      <w:r w:rsidRPr="222ABFFA">
        <w:rPr>
          <w:lang w:eastAsia="en-GB"/>
        </w:rPr>
        <w:t xml:space="preserve"> 50,000 plus setup and ~ </w:t>
      </w:r>
      <w:r w:rsidR="00EC730E">
        <w:rPr>
          <w:lang w:eastAsia="en-GB"/>
        </w:rPr>
        <w:t>US$</w:t>
      </w:r>
      <w:r w:rsidRPr="222ABFFA">
        <w:rPr>
          <w:lang w:eastAsia="en-GB"/>
        </w:rPr>
        <w:t xml:space="preserve"> 15,000+ per year may arise where there is multi- agency integration, multilingual roll-out, significant data migration, or a larger user base. However, these should be treated as case-specific rather than assumed.</w:t>
      </w:r>
    </w:p>
    <w:p w14:paraId="1518D238" w14:textId="586D1365" w:rsidR="00406CD2" w:rsidRDefault="4421915F" w:rsidP="222ABFFA">
      <w:pPr>
        <w:pStyle w:val="ListParagraph"/>
        <w:rPr>
          <w:lang w:eastAsia="en-GB"/>
        </w:rPr>
      </w:pPr>
      <w:r w:rsidRPr="68AAA8FB">
        <w:rPr>
          <w:b/>
          <w:bCs/>
          <w:lang w:eastAsia="en-GB"/>
        </w:rPr>
        <w:t>1</w:t>
      </w:r>
      <w:r w:rsidR="060E39DF" w:rsidRPr="222ABFFA">
        <w:rPr>
          <w:b/>
          <w:bCs/>
          <w:lang w:eastAsia="en-GB"/>
        </w:rPr>
        <w:t>(</w:t>
      </w:r>
      <w:r w:rsidRPr="222ABFFA">
        <w:rPr>
          <w:b/>
          <w:bCs/>
          <w:lang w:eastAsia="en-GB"/>
        </w:rPr>
        <w:t>B</w:t>
      </w:r>
      <w:r w:rsidR="65CBFA00" w:rsidRPr="222ABFFA">
        <w:rPr>
          <w:b/>
          <w:bCs/>
          <w:lang w:eastAsia="en-GB"/>
        </w:rPr>
        <w:t>)</w:t>
      </w:r>
      <w:r w:rsidRPr="222ABFFA">
        <w:rPr>
          <w:b/>
          <w:bCs/>
          <w:lang w:eastAsia="en-GB"/>
        </w:rPr>
        <w:t xml:space="preserve"> </w:t>
      </w:r>
      <w:r w:rsidR="5AD5DB8B" w:rsidRPr="5AD5DB8B">
        <w:rPr>
          <w:b/>
          <w:bCs/>
          <w:lang w:eastAsia="en-GB"/>
        </w:rPr>
        <w:t>Technician</w:t>
      </w:r>
      <w:r w:rsidRPr="222ABFFA">
        <w:rPr>
          <w:b/>
          <w:bCs/>
          <w:lang w:eastAsia="en-GB"/>
        </w:rPr>
        <w:t xml:space="preserve"> servicing records/ field service app</w:t>
      </w:r>
      <w:r w:rsidR="5AD5DB8B" w:rsidRPr="5AD5DB8B">
        <w:rPr>
          <w:lang w:eastAsia="en-GB"/>
        </w:rPr>
        <w:t>:</w:t>
      </w:r>
      <w:r w:rsidRPr="222ABFFA">
        <w:rPr>
          <w:lang w:eastAsia="en-GB"/>
        </w:rPr>
        <w:t xml:space="preserve"> digital work orders, checklists, photo evidence, and refrigerant handling logs aligned with good servicing practices. Indicative costs may be expressed per technician or enterprise with one time configuration in the range of </w:t>
      </w:r>
      <w:r w:rsidRPr="222ABFFA">
        <w:rPr>
          <w:lang w:eastAsia="en-GB"/>
        </w:rPr>
        <w:lastRenderedPageBreak/>
        <w:t>~</w:t>
      </w:r>
      <w:r w:rsidR="00EC730E">
        <w:rPr>
          <w:lang w:eastAsia="en-GB"/>
        </w:rPr>
        <w:t>US$</w:t>
      </w:r>
      <w:r w:rsidRPr="222ABFFA">
        <w:rPr>
          <w:lang w:eastAsia="en-GB"/>
        </w:rPr>
        <w:t xml:space="preserve"> 500 – 5000 per enterprise, plus recurring license/ support typically in the range of ~ </w:t>
      </w:r>
      <w:r w:rsidR="00EC730E">
        <w:rPr>
          <w:lang w:eastAsia="en-GB"/>
        </w:rPr>
        <w:t>US$</w:t>
      </w:r>
      <w:r w:rsidRPr="222ABFFA">
        <w:rPr>
          <w:lang w:eastAsia="en-GB"/>
        </w:rPr>
        <w:t xml:space="preserve"> 2 – 10 per technician per month </w:t>
      </w:r>
      <w:r w:rsidR="2C002D8A" w:rsidRPr="2C002D8A">
        <w:rPr>
          <w:lang w:eastAsia="en-GB"/>
        </w:rPr>
        <w:t>(or</w:t>
      </w:r>
      <w:r w:rsidRPr="222ABFFA">
        <w:rPr>
          <w:lang w:eastAsia="en-GB"/>
        </w:rPr>
        <w:t xml:space="preserve"> an enterprise plan). Additional costs may apply where devices or data plans must be provided, where possible; programmes can reduce costs through BYOD (bring your own device), offline-first design, and limited sync windows.</w:t>
      </w:r>
    </w:p>
    <w:p w14:paraId="5836B17B" w14:textId="3604AB3C" w:rsidR="00406CD2" w:rsidRPr="000C1F5A" w:rsidRDefault="00406CD2" w:rsidP="00406CD2">
      <w:pPr>
        <w:ind w:left="720"/>
        <w:rPr>
          <w:lang w:eastAsia="en-GB"/>
        </w:rPr>
      </w:pPr>
      <w:r>
        <w:rPr>
          <w:lang w:eastAsia="en-GB"/>
        </w:rPr>
        <w:t>The charges often are a one-time set up charge (</w:t>
      </w:r>
      <w:r w:rsidR="008834C1">
        <w:rPr>
          <w:lang w:eastAsia="en-GB"/>
        </w:rPr>
        <w:t>US</w:t>
      </w:r>
      <w:r>
        <w:rPr>
          <w:lang w:eastAsia="en-GB"/>
        </w:rPr>
        <w:t>$</w:t>
      </w:r>
      <w:r w:rsidR="008834C1">
        <w:rPr>
          <w:lang w:eastAsia="en-GB"/>
        </w:rPr>
        <w:t xml:space="preserve"> </w:t>
      </w:r>
      <w:r>
        <w:rPr>
          <w:lang w:eastAsia="en-GB"/>
        </w:rPr>
        <w:t xml:space="preserve">500-$1500 depending on complexity of customization) followed by a monthly fee (ranging from </w:t>
      </w:r>
      <w:r w:rsidR="008834C1">
        <w:rPr>
          <w:lang w:eastAsia="en-GB"/>
        </w:rPr>
        <w:t>US</w:t>
      </w:r>
      <w:r>
        <w:rPr>
          <w:lang w:eastAsia="en-GB"/>
        </w:rPr>
        <w:t>$</w:t>
      </w:r>
      <w:r w:rsidR="008834C1">
        <w:rPr>
          <w:lang w:eastAsia="en-GB"/>
        </w:rPr>
        <w:t xml:space="preserve"> </w:t>
      </w:r>
      <w:r>
        <w:rPr>
          <w:lang w:eastAsia="en-GB"/>
        </w:rPr>
        <w:t>50 to $1000) depending on features that are subscribed.</w:t>
      </w:r>
    </w:p>
    <w:p w14:paraId="6F40BA41" w14:textId="7A1A365A" w:rsidR="00406CD2" w:rsidRDefault="27873824" w:rsidP="007C77CF">
      <w:pPr>
        <w:pStyle w:val="Heading3"/>
        <w:rPr>
          <w:lang w:eastAsia="en-GB"/>
        </w:rPr>
      </w:pPr>
      <w:r w:rsidRPr="222ABFFA">
        <w:rPr>
          <w:lang w:eastAsia="en-GB"/>
        </w:rPr>
        <w:t xml:space="preserve"> </w:t>
      </w:r>
      <w:bookmarkStart w:id="327" w:name="_Toc230099146"/>
      <w:r w:rsidR="4421915F" w:rsidRPr="222ABFFA">
        <w:rPr>
          <w:lang w:eastAsia="en-GB"/>
        </w:rPr>
        <w:t>9.4.2</w:t>
      </w:r>
      <w:r w:rsidR="00EB0C1E">
        <w:tab/>
      </w:r>
      <w:r w:rsidR="05EAC908" w:rsidRPr="222ABFFA">
        <w:rPr>
          <w:lang w:eastAsia="en-GB"/>
        </w:rPr>
        <w:t xml:space="preserve">Performance tools </w:t>
      </w:r>
      <w:r w:rsidR="4421915F" w:rsidRPr="222ABFFA">
        <w:rPr>
          <w:lang w:eastAsia="en-GB"/>
        </w:rPr>
        <w:t>cost estimates</w:t>
      </w:r>
      <w:bookmarkEnd w:id="327"/>
    </w:p>
    <w:p w14:paraId="1EC0D3E3" w14:textId="06B4CF35" w:rsidR="00FD7FF8" w:rsidRDefault="02DAD9E8" w:rsidP="00FD7FF8">
      <w:pPr>
        <w:rPr>
          <w:lang w:eastAsia="en-GB"/>
        </w:rPr>
      </w:pPr>
      <w:r w:rsidRPr="222ABFFA">
        <w:rPr>
          <w:lang w:eastAsia="en-GB"/>
        </w:rPr>
        <w:t>Performance</w:t>
      </w:r>
      <w:r w:rsidR="00FD7FF8" w:rsidRPr="222ABFFA" w:rsidDel="2E5F20E4">
        <w:rPr>
          <w:lang w:eastAsia="en-GB"/>
        </w:rPr>
        <w:t xml:space="preserve"> </w:t>
      </w:r>
      <w:r w:rsidR="2E5F20E4" w:rsidRPr="222ABFFA">
        <w:rPr>
          <w:lang w:eastAsia="en-GB"/>
        </w:rPr>
        <w:t xml:space="preserve">tools are selective, applied where there is a clear pathway to measurable improvements (e.g. reduced leakage and /or improved </w:t>
      </w:r>
      <w:r w:rsidR="00D02C1C">
        <w:rPr>
          <w:lang w:eastAsia="en-GB"/>
        </w:rPr>
        <w:t>EE</w:t>
      </w:r>
      <w:r w:rsidR="2E5F20E4" w:rsidRPr="222ABFFA">
        <w:rPr>
          <w:lang w:eastAsia="en-GB"/>
        </w:rPr>
        <w:t>) and where sustainability can be assured. Two common deployment types may include:</w:t>
      </w:r>
    </w:p>
    <w:p w14:paraId="00C76ACB" w14:textId="418FE078" w:rsidR="00FD7FF8" w:rsidRDefault="2E5F20E4" w:rsidP="222ABFFA">
      <w:pPr>
        <w:pStyle w:val="ListParagraph"/>
        <w:rPr>
          <w:lang w:eastAsia="en-GB"/>
        </w:rPr>
      </w:pPr>
      <w:r w:rsidRPr="007D44F3">
        <w:rPr>
          <w:b/>
          <w:lang w:eastAsia="en-GB"/>
        </w:rPr>
        <w:t>2</w:t>
      </w:r>
      <w:r w:rsidR="1E7CFC7A" w:rsidRPr="007D44F3">
        <w:rPr>
          <w:b/>
          <w:lang w:eastAsia="en-GB"/>
        </w:rPr>
        <w:t>(</w:t>
      </w:r>
      <w:r w:rsidRPr="007D44F3">
        <w:rPr>
          <w:b/>
          <w:lang w:eastAsia="en-GB"/>
        </w:rPr>
        <w:t>A</w:t>
      </w:r>
      <w:r w:rsidR="6F46BE2C" w:rsidRPr="007D44F3">
        <w:rPr>
          <w:b/>
          <w:lang w:eastAsia="en-GB"/>
        </w:rPr>
        <w:t>)</w:t>
      </w:r>
      <w:r w:rsidRPr="007D44F3">
        <w:rPr>
          <w:b/>
          <w:lang w:eastAsia="en-GB"/>
        </w:rPr>
        <w:t xml:space="preserve"> </w:t>
      </w:r>
      <w:r w:rsidR="5AD5DB8B" w:rsidRPr="5AD5DB8B">
        <w:rPr>
          <w:b/>
          <w:bCs/>
          <w:lang w:eastAsia="en-GB"/>
        </w:rPr>
        <w:t>Digital</w:t>
      </w:r>
      <w:r w:rsidRPr="007D44F3">
        <w:rPr>
          <w:b/>
          <w:lang w:eastAsia="en-GB"/>
        </w:rPr>
        <w:t xml:space="preserve"> job quality tools – low hardware</w:t>
      </w:r>
      <w:r w:rsidR="5AD5DB8B" w:rsidRPr="5AD5DB8B">
        <w:rPr>
          <w:lang w:eastAsia="en-GB"/>
        </w:rPr>
        <w:t>:</w:t>
      </w:r>
      <w:r w:rsidRPr="222ABFFA">
        <w:rPr>
          <w:lang w:eastAsia="en-GB"/>
        </w:rPr>
        <w:t xml:space="preserve"> guided leak inspection/ repair workflows, refrigerant recovery and charging records, calibration reminders, supervisory dashboards for targeted programmes. Costs are often similar to </w:t>
      </w:r>
      <w:r w:rsidR="1196D754" w:rsidRPr="222ABFFA">
        <w:rPr>
          <w:lang w:eastAsia="en-GB"/>
        </w:rPr>
        <w:t xml:space="preserve">that in </w:t>
      </w:r>
      <w:r w:rsidRPr="68AAA8FB">
        <w:rPr>
          <w:lang w:eastAsia="en-GB"/>
        </w:rPr>
        <w:t>T</w:t>
      </w:r>
      <w:r w:rsidR="69674748" w:rsidRPr="68AAA8FB">
        <w:rPr>
          <w:lang w:eastAsia="en-GB"/>
        </w:rPr>
        <w:t>ype</w:t>
      </w:r>
      <w:r w:rsidRPr="68AAA8FB">
        <w:rPr>
          <w:lang w:eastAsia="en-GB"/>
        </w:rPr>
        <w:t>1</w:t>
      </w:r>
      <w:r w:rsidR="5EFFBE85" w:rsidRPr="222ABFFA">
        <w:rPr>
          <w:lang w:eastAsia="en-GB"/>
        </w:rPr>
        <w:t>(</w:t>
      </w:r>
      <w:r w:rsidRPr="222ABFFA">
        <w:rPr>
          <w:lang w:eastAsia="en-GB"/>
        </w:rPr>
        <w:t>B</w:t>
      </w:r>
      <w:r w:rsidR="5AD3651B" w:rsidRPr="222ABFFA">
        <w:rPr>
          <w:lang w:eastAsia="en-GB"/>
        </w:rPr>
        <w:t>) tools</w:t>
      </w:r>
      <w:r w:rsidRPr="222ABFFA">
        <w:rPr>
          <w:lang w:eastAsia="en-GB"/>
        </w:rPr>
        <w:t xml:space="preserve"> – modest setup plus recurring license/ support typically in the range of ~</w:t>
      </w:r>
      <w:r w:rsidR="00EC730E">
        <w:rPr>
          <w:lang w:eastAsia="en-GB"/>
        </w:rPr>
        <w:t>US$</w:t>
      </w:r>
      <w:r w:rsidRPr="222ABFFA">
        <w:rPr>
          <w:lang w:eastAsia="en-GB"/>
        </w:rPr>
        <w:t xml:space="preserve"> 5 – 20 per technician per month (scale dependent).</w:t>
      </w:r>
    </w:p>
    <w:p w14:paraId="1150E17D" w14:textId="624E17D0" w:rsidR="00406CD2" w:rsidRPr="003C717C" w:rsidRDefault="2E5F20E4" w:rsidP="222ABFFA">
      <w:pPr>
        <w:pStyle w:val="ListParagraph"/>
        <w:rPr>
          <w:lang w:eastAsia="en-GB"/>
        </w:rPr>
      </w:pPr>
      <w:r w:rsidRPr="007D44F3">
        <w:rPr>
          <w:b/>
          <w:lang w:eastAsia="en-GB"/>
        </w:rPr>
        <w:t>2</w:t>
      </w:r>
      <w:r w:rsidR="4D871CE4" w:rsidRPr="007D44F3">
        <w:rPr>
          <w:b/>
          <w:lang w:eastAsia="en-GB"/>
        </w:rPr>
        <w:t>(</w:t>
      </w:r>
      <w:r w:rsidRPr="007D44F3">
        <w:rPr>
          <w:b/>
          <w:lang w:eastAsia="en-GB"/>
        </w:rPr>
        <w:t>B</w:t>
      </w:r>
      <w:r w:rsidR="4D871CE4" w:rsidRPr="007D44F3">
        <w:rPr>
          <w:b/>
          <w:lang w:eastAsia="en-GB"/>
        </w:rPr>
        <w:t>)</w:t>
      </w:r>
      <w:r w:rsidRPr="007D44F3">
        <w:rPr>
          <w:b/>
          <w:lang w:eastAsia="en-GB"/>
        </w:rPr>
        <w:t xml:space="preserve"> </w:t>
      </w:r>
      <w:r w:rsidR="5AD5DB8B" w:rsidRPr="5AD5DB8B">
        <w:rPr>
          <w:b/>
          <w:bCs/>
          <w:lang w:eastAsia="en-GB"/>
        </w:rPr>
        <w:t>Monitoring</w:t>
      </w:r>
      <w:r w:rsidRPr="007D44F3">
        <w:rPr>
          <w:b/>
          <w:lang w:eastAsia="en-GB"/>
        </w:rPr>
        <w:t>/IoT-enabled optimization- hardware heavy</w:t>
      </w:r>
      <w:r w:rsidRPr="222ABFFA">
        <w:rPr>
          <w:lang w:eastAsia="en-GB"/>
        </w:rPr>
        <w:t>: targeted monitoring for commercial refrigeration/ cold chain systems with alerts and maintenance triggers. Costs are best expressed per monitored system/site: indicative one-time hardware plus installation/ commissioning in the range of ~</w:t>
      </w:r>
      <w:r w:rsidR="00EC730E">
        <w:rPr>
          <w:lang w:eastAsia="en-GB"/>
        </w:rPr>
        <w:t>US$</w:t>
      </w:r>
      <w:r w:rsidR="002C6C9E">
        <w:rPr>
          <w:lang w:eastAsia="en-GB"/>
        </w:rPr>
        <w:t xml:space="preserve"> </w:t>
      </w:r>
      <w:r w:rsidRPr="222ABFFA">
        <w:rPr>
          <w:lang w:eastAsia="en-GB"/>
        </w:rPr>
        <w:t>1,000 – 10,000 per site (depending on sensor scope and robustness), plus recurring data hosting/ connectivity/ support typically ~</w:t>
      </w:r>
      <w:r w:rsidR="00EC730E">
        <w:rPr>
          <w:lang w:eastAsia="en-GB"/>
        </w:rPr>
        <w:t>US$</w:t>
      </w:r>
      <w:r w:rsidR="002C6C9E">
        <w:rPr>
          <w:lang w:eastAsia="en-GB"/>
        </w:rPr>
        <w:t xml:space="preserve"> </w:t>
      </w:r>
      <w:r w:rsidRPr="222ABFFA">
        <w:rPr>
          <w:lang w:eastAsia="en-GB"/>
        </w:rPr>
        <w:t xml:space="preserve">100 – 500 per site per month. Sustainability provisions are critical (ownership, who pays connectivity, </w:t>
      </w:r>
      <w:r w:rsidRPr="003C717C">
        <w:rPr>
          <w:lang w:eastAsia="en-GB"/>
        </w:rPr>
        <w:t>maintenance responsibilities, and post-pilot support).</w:t>
      </w:r>
    </w:p>
    <w:p w14:paraId="4E3AEBE5" w14:textId="44832318" w:rsidR="00406CD2" w:rsidRDefault="4421915F" w:rsidP="007C77CF">
      <w:pPr>
        <w:pStyle w:val="Heading3"/>
        <w:rPr>
          <w:lang w:eastAsia="en-GB"/>
        </w:rPr>
      </w:pPr>
      <w:bookmarkStart w:id="328" w:name="_Toc230099147"/>
      <w:r w:rsidRPr="003C717C">
        <w:rPr>
          <w:lang w:eastAsia="en-GB"/>
        </w:rPr>
        <w:t>9.4.</w:t>
      </w:r>
      <w:r w:rsidR="2E5F20E4" w:rsidRPr="003C717C">
        <w:rPr>
          <w:lang w:eastAsia="en-GB"/>
        </w:rPr>
        <w:t>3</w:t>
      </w:r>
      <w:r w:rsidR="00406CD2" w:rsidRPr="003C717C">
        <w:tab/>
      </w:r>
      <w:r w:rsidR="2E835E18" w:rsidRPr="003C717C">
        <w:rPr>
          <w:lang w:eastAsia="en-GB"/>
        </w:rPr>
        <w:t>Workflow and knowl</w:t>
      </w:r>
      <w:r w:rsidR="10183B79" w:rsidRPr="003C717C">
        <w:rPr>
          <w:lang w:eastAsia="en-GB"/>
        </w:rPr>
        <w:t>e</w:t>
      </w:r>
      <w:r w:rsidR="2E835E18" w:rsidRPr="003C717C">
        <w:rPr>
          <w:lang w:eastAsia="en-GB"/>
        </w:rPr>
        <w:t xml:space="preserve">dge tools </w:t>
      </w:r>
      <w:r w:rsidRPr="003C717C">
        <w:rPr>
          <w:lang w:eastAsia="en-GB"/>
        </w:rPr>
        <w:t>cost estimates</w:t>
      </w:r>
      <w:bookmarkEnd w:id="328"/>
    </w:p>
    <w:p w14:paraId="1039EB5A" w14:textId="465CF5DF" w:rsidR="00FD7FF8" w:rsidRDefault="7EE1F50F" w:rsidP="00FD7FF8">
      <w:pPr>
        <w:rPr>
          <w:lang w:eastAsia="en-GB"/>
        </w:rPr>
      </w:pPr>
      <w:r w:rsidRPr="7E5DB57B">
        <w:rPr>
          <w:lang w:eastAsia="en-GB"/>
        </w:rPr>
        <w:t xml:space="preserve">In 9.3.3, examples of existing and </w:t>
      </w:r>
      <w:r w:rsidRPr="056D54F2">
        <w:rPr>
          <w:lang w:eastAsia="en-GB"/>
        </w:rPr>
        <w:t xml:space="preserve">developing workflow and </w:t>
      </w:r>
      <w:r w:rsidRPr="35544E1F">
        <w:rPr>
          <w:lang w:eastAsia="en-GB"/>
        </w:rPr>
        <w:t>knowledge tools that can improve overall system efficiency are presented</w:t>
      </w:r>
      <w:r w:rsidRPr="340F6611">
        <w:rPr>
          <w:lang w:eastAsia="en-GB"/>
        </w:rPr>
        <w:t xml:space="preserve">, </w:t>
      </w:r>
      <w:r w:rsidR="526F4161" w:rsidRPr="0BF3B9F8">
        <w:rPr>
          <w:lang w:eastAsia="en-GB"/>
        </w:rPr>
        <w:t xml:space="preserve">Due to the </w:t>
      </w:r>
      <w:r w:rsidR="526F4161" w:rsidRPr="39397BEB">
        <w:rPr>
          <w:lang w:eastAsia="en-GB"/>
        </w:rPr>
        <w:t>wide</w:t>
      </w:r>
      <w:r w:rsidR="526F4161" w:rsidRPr="5A6AA241">
        <w:rPr>
          <w:lang w:eastAsia="en-GB"/>
        </w:rPr>
        <w:t xml:space="preserve"> nature of </w:t>
      </w:r>
      <w:r w:rsidR="526F4161" w:rsidRPr="39397BEB">
        <w:rPr>
          <w:lang w:eastAsia="en-GB"/>
        </w:rPr>
        <w:t xml:space="preserve">applicability and use, these </w:t>
      </w:r>
      <w:r w:rsidR="526F4161" w:rsidRPr="25C8729F">
        <w:rPr>
          <w:lang w:eastAsia="en-GB"/>
        </w:rPr>
        <w:t xml:space="preserve">software tools tend to be higher cost both </w:t>
      </w:r>
      <w:r w:rsidR="526F4161" w:rsidRPr="68CAC636">
        <w:rPr>
          <w:lang w:eastAsia="en-GB"/>
        </w:rPr>
        <w:t xml:space="preserve">upfront and </w:t>
      </w:r>
      <w:r w:rsidR="0B61B209" w:rsidRPr="060EFB0C">
        <w:rPr>
          <w:lang w:eastAsia="en-GB"/>
        </w:rPr>
        <w:t>annual maintenance</w:t>
      </w:r>
      <w:r w:rsidR="0B61B209" w:rsidRPr="6939BA8F">
        <w:rPr>
          <w:lang w:eastAsia="en-GB"/>
        </w:rPr>
        <w:t>.</w:t>
      </w:r>
      <w:r w:rsidR="526F4161" w:rsidRPr="68CAC636">
        <w:rPr>
          <w:lang w:eastAsia="en-GB"/>
        </w:rPr>
        <w:t xml:space="preserve"> </w:t>
      </w:r>
      <w:r w:rsidR="0813918D" w:rsidRPr="50BADA6B">
        <w:rPr>
          <w:lang w:eastAsia="en-GB"/>
        </w:rPr>
        <w:t xml:space="preserve"> </w:t>
      </w:r>
      <w:r w:rsidR="0813918D" w:rsidRPr="1BB0C879">
        <w:rPr>
          <w:lang w:eastAsia="en-GB"/>
        </w:rPr>
        <w:t xml:space="preserve">Initial </w:t>
      </w:r>
      <w:r w:rsidR="0813918D" w:rsidRPr="0DE083E5">
        <w:rPr>
          <w:lang w:eastAsia="en-GB"/>
        </w:rPr>
        <w:t>inve</w:t>
      </w:r>
      <w:r w:rsidR="5F4CEC52" w:rsidRPr="0DE083E5">
        <w:rPr>
          <w:lang w:eastAsia="en-GB"/>
        </w:rPr>
        <w:t>stments</w:t>
      </w:r>
      <w:r w:rsidR="0813918D" w:rsidRPr="1BB0C879">
        <w:rPr>
          <w:lang w:eastAsia="en-GB"/>
        </w:rPr>
        <w:t xml:space="preserve"> can range </w:t>
      </w:r>
      <w:r w:rsidR="7F3B9E1E" w:rsidRPr="379A6835">
        <w:rPr>
          <w:lang w:eastAsia="en-GB"/>
        </w:rPr>
        <w:t xml:space="preserve">in the </w:t>
      </w:r>
      <w:r w:rsidR="0813918D" w:rsidRPr="1BB0C879">
        <w:rPr>
          <w:lang w:eastAsia="en-GB"/>
        </w:rPr>
        <w:t>hundreds of thousands in US dollars</w:t>
      </w:r>
      <w:r w:rsidR="0813918D" w:rsidRPr="379A6835">
        <w:rPr>
          <w:lang w:eastAsia="en-GB"/>
        </w:rPr>
        <w:t>.</w:t>
      </w:r>
      <w:r w:rsidR="0813918D" w:rsidRPr="1BB0C879">
        <w:rPr>
          <w:lang w:eastAsia="en-GB"/>
        </w:rPr>
        <w:t xml:space="preserve">  </w:t>
      </w:r>
      <w:r w:rsidR="0813918D" w:rsidRPr="4D058EBD">
        <w:rPr>
          <w:lang w:eastAsia="en-GB"/>
        </w:rPr>
        <w:t>Maintenance cost of the software systems devel</w:t>
      </w:r>
      <w:r w:rsidR="3CB2757D" w:rsidRPr="4D058EBD">
        <w:rPr>
          <w:lang w:eastAsia="en-GB"/>
        </w:rPr>
        <w:t xml:space="preserve">oped </w:t>
      </w:r>
      <w:r w:rsidR="3CB2757D" w:rsidRPr="61B2D695">
        <w:rPr>
          <w:lang w:eastAsia="en-GB"/>
        </w:rPr>
        <w:t xml:space="preserve">or repurposed </w:t>
      </w:r>
      <w:r w:rsidR="3CB2757D" w:rsidRPr="7E5A46A1">
        <w:rPr>
          <w:lang w:eastAsia="en-GB"/>
        </w:rPr>
        <w:t xml:space="preserve">should also be taken into </w:t>
      </w:r>
      <w:r w:rsidR="6B879C7B" w:rsidRPr="379A6835">
        <w:rPr>
          <w:lang w:eastAsia="en-GB"/>
        </w:rPr>
        <w:t>account</w:t>
      </w:r>
      <w:r w:rsidR="3CB2757D" w:rsidRPr="379A6835">
        <w:rPr>
          <w:lang w:eastAsia="en-GB"/>
        </w:rPr>
        <w:t xml:space="preserve"> and that can be upwards of 10% </w:t>
      </w:r>
      <w:r w:rsidR="3CB2757D" w:rsidRPr="68AAA8FB">
        <w:rPr>
          <w:lang w:eastAsia="en-GB"/>
        </w:rPr>
        <w:t>o</w:t>
      </w:r>
      <w:r w:rsidR="6596A441" w:rsidRPr="68AAA8FB">
        <w:rPr>
          <w:lang w:eastAsia="en-GB"/>
        </w:rPr>
        <w:t>r</w:t>
      </w:r>
      <w:r w:rsidR="3CB2757D" w:rsidRPr="379A6835">
        <w:rPr>
          <w:lang w:eastAsia="en-GB"/>
        </w:rPr>
        <w:t xml:space="preserve"> more of the initial cos</w:t>
      </w:r>
      <w:r w:rsidR="427C9016" w:rsidRPr="379A6835">
        <w:rPr>
          <w:lang w:eastAsia="en-GB"/>
        </w:rPr>
        <w:t xml:space="preserve">t.  </w:t>
      </w:r>
      <w:r w:rsidR="526F4161" w:rsidRPr="379A6835">
        <w:rPr>
          <w:lang w:eastAsia="en-GB"/>
        </w:rPr>
        <w:t xml:space="preserve"> </w:t>
      </w:r>
    </w:p>
    <w:p w14:paraId="3B45F2BC" w14:textId="3E75D402" w:rsidR="00406CD2" w:rsidRDefault="00406CD2" w:rsidP="007C77CF">
      <w:pPr>
        <w:pStyle w:val="Heading3"/>
        <w:rPr>
          <w:lang w:eastAsia="en-GB"/>
        </w:rPr>
      </w:pPr>
      <w:bookmarkStart w:id="329" w:name="_Toc230099148"/>
      <w:r>
        <w:rPr>
          <w:lang w:eastAsia="en-GB"/>
        </w:rPr>
        <w:t>9.4.</w:t>
      </w:r>
      <w:r w:rsidR="00FD7FF8">
        <w:rPr>
          <w:lang w:eastAsia="en-GB"/>
        </w:rPr>
        <w:t>4</w:t>
      </w:r>
      <w:r w:rsidRPr="00C3634A">
        <w:rPr>
          <w:lang w:eastAsia="en-GB"/>
        </w:rPr>
        <w:tab/>
      </w:r>
      <w:r w:rsidR="00FD7FF8">
        <w:rPr>
          <w:lang w:eastAsia="en-GB"/>
        </w:rPr>
        <w:t>Summary</w:t>
      </w:r>
      <w:bookmarkEnd w:id="329"/>
    </w:p>
    <w:p w14:paraId="1AC11462" w14:textId="45D789CA" w:rsidR="00FD7FF8" w:rsidRDefault="00965A73" w:rsidP="00D35BCB">
      <w:r w:rsidRPr="00965A73">
        <w:t xml:space="preserve">The average estimated costs are </w:t>
      </w:r>
      <w:r w:rsidR="009403E9">
        <w:t>summarised</w:t>
      </w:r>
      <w:r w:rsidRPr="00965A73">
        <w:t xml:space="preserve"> in Tables 9</w:t>
      </w:r>
      <w:r>
        <w:t>.1</w:t>
      </w:r>
      <w:r w:rsidRPr="00965A73">
        <w:t xml:space="preserve"> and 9</w:t>
      </w:r>
      <w:r>
        <w:t>.2</w:t>
      </w:r>
      <w:r w:rsidRPr="00965A73">
        <w:t xml:space="preserve"> for common usage of digital technologies and the actual numbers can vary substantially from application to application within the RACHP sector and between parties and region.</w:t>
      </w:r>
    </w:p>
    <w:p w14:paraId="6A06E733" w14:textId="5F5DF64B" w:rsidR="00965A73" w:rsidRDefault="1274AC49" w:rsidP="002135B0">
      <w:pPr>
        <w:tabs>
          <w:tab w:val="left" w:pos="1134"/>
        </w:tabs>
        <w:spacing w:after="0"/>
        <w:ind w:left="1412" w:hanging="1412"/>
        <w:rPr>
          <w:rFonts w:eastAsia="Times New Roman Bold" w:cs="Times New Roman Bold"/>
          <w:b/>
          <w:bCs/>
        </w:rPr>
      </w:pPr>
      <w:r w:rsidRPr="222ABFFA">
        <w:rPr>
          <w:rFonts w:eastAsiaTheme="minorEastAsia"/>
          <w:b/>
          <w:bCs/>
        </w:rPr>
        <w:t>Table 9.1</w:t>
      </w:r>
      <w:r w:rsidR="00293354">
        <w:rPr>
          <w:rFonts w:eastAsiaTheme="minorEastAsia"/>
          <w:b/>
          <w:bCs/>
        </w:rPr>
        <w:t>:</w:t>
      </w:r>
      <w:r w:rsidR="00965A73">
        <w:tab/>
      </w:r>
      <w:r w:rsidR="49BA25D0" w:rsidRPr="00FA0CA5">
        <w:rPr>
          <w:rFonts w:eastAsia="Times New Roman Bold" w:cs="Times New Roman Bold"/>
          <w:b/>
          <w:bCs/>
        </w:rPr>
        <w:t>Summary of average estimated cost for each approach (US$)</w:t>
      </w:r>
    </w:p>
    <w:p w14:paraId="042F9632" w14:textId="77777777" w:rsidR="00E860F6" w:rsidRDefault="00E860F6" w:rsidP="00965A73">
      <w:pPr>
        <w:tabs>
          <w:tab w:val="left" w:pos="1418"/>
        </w:tabs>
        <w:spacing w:after="0"/>
        <w:ind w:left="1411" w:hanging="1411"/>
        <w:rPr>
          <w:rFonts w:eastAsia="Times New Roman Bold" w:cs="Times New Roman Bold"/>
          <w:b/>
          <w:bCs/>
        </w:rPr>
      </w:pPr>
    </w:p>
    <w:tbl>
      <w:tblPr>
        <w:tblStyle w:val="TableGrid16"/>
        <w:tblW w:w="0" w:type="auto"/>
        <w:tblLook w:val="04A0" w:firstRow="1" w:lastRow="0" w:firstColumn="1" w:lastColumn="0" w:noHBand="0" w:noVBand="1"/>
      </w:tblPr>
      <w:tblGrid>
        <w:gridCol w:w="1705"/>
        <w:gridCol w:w="2660"/>
        <w:gridCol w:w="2225"/>
        <w:gridCol w:w="2484"/>
      </w:tblGrid>
      <w:tr w:rsidR="00464AF7" w:rsidRPr="001970BE" w14:paraId="6DA973EA" w14:textId="77777777" w:rsidTr="00616D91">
        <w:tc>
          <w:tcPr>
            <w:tcW w:w="1705" w:type="dxa"/>
            <w:vAlign w:val="center"/>
          </w:tcPr>
          <w:p w14:paraId="0D512678" w14:textId="6C583589" w:rsidR="00464AF7" w:rsidRPr="001970BE" w:rsidRDefault="00464AF7" w:rsidP="00616D91">
            <w:pPr>
              <w:spacing w:before="120" w:after="120" w:line="278" w:lineRule="auto"/>
              <w:jc w:val="center"/>
              <w:rPr>
                <w:b/>
                <w:bCs/>
                <w:lang w:val="en-US"/>
              </w:rPr>
            </w:pPr>
            <w:r w:rsidRPr="379A6835">
              <w:rPr>
                <w:b/>
                <w:bCs/>
                <w:lang w:val="en-US"/>
              </w:rPr>
              <w:t>Type</w:t>
            </w:r>
          </w:p>
        </w:tc>
        <w:tc>
          <w:tcPr>
            <w:tcW w:w="2660" w:type="dxa"/>
            <w:vAlign w:val="center"/>
          </w:tcPr>
          <w:p w14:paraId="1A0CCAE1" w14:textId="52BDA587" w:rsidR="00464AF7" w:rsidRPr="001970BE" w:rsidRDefault="00ED1BA2" w:rsidP="00616D91">
            <w:pPr>
              <w:spacing w:before="120" w:after="120" w:line="278" w:lineRule="auto"/>
              <w:jc w:val="center"/>
              <w:rPr>
                <w:b/>
                <w:bCs/>
                <w:lang w:val="en-US"/>
              </w:rPr>
            </w:pPr>
            <w:r>
              <w:rPr>
                <w:b/>
                <w:bCs/>
                <w:lang w:val="en-US"/>
              </w:rPr>
              <w:t>Description</w:t>
            </w:r>
          </w:p>
        </w:tc>
        <w:tc>
          <w:tcPr>
            <w:tcW w:w="2225" w:type="dxa"/>
            <w:vAlign w:val="center"/>
          </w:tcPr>
          <w:p w14:paraId="7D3D8DA0" w14:textId="5DF4F94C" w:rsidR="00464AF7" w:rsidRPr="001970BE" w:rsidRDefault="00464AF7" w:rsidP="00616D91">
            <w:pPr>
              <w:spacing w:before="120" w:after="120" w:line="278" w:lineRule="auto"/>
              <w:jc w:val="center"/>
              <w:rPr>
                <w:b/>
                <w:bCs/>
                <w:lang w:val="en-US"/>
              </w:rPr>
            </w:pPr>
            <w:r w:rsidRPr="001970BE">
              <w:rPr>
                <w:b/>
                <w:bCs/>
                <w:lang w:val="en-US"/>
              </w:rPr>
              <w:t xml:space="preserve">Upfront set-up </w:t>
            </w:r>
            <w:r>
              <w:rPr>
                <w:b/>
                <w:bCs/>
                <w:lang w:val="en-US"/>
              </w:rPr>
              <w:t>US</w:t>
            </w:r>
            <w:r w:rsidRPr="001970BE">
              <w:rPr>
                <w:b/>
                <w:bCs/>
                <w:lang w:val="en-US"/>
              </w:rPr>
              <w:t>$</w:t>
            </w:r>
          </w:p>
        </w:tc>
        <w:tc>
          <w:tcPr>
            <w:tcW w:w="2484" w:type="dxa"/>
            <w:vAlign w:val="center"/>
          </w:tcPr>
          <w:p w14:paraId="3D6F30A1" w14:textId="28FAD9A1" w:rsidR="00464AF7" w:rsidRPr="001970BE" w:rsidRDefault="00464AF7" w:rsidP="00616D91">
            <w:pPr>
              <w:spacing w:before="120" w:after="120" w:line="278" w:lineRule="auto"/>
              <w:jc w:val="center"/>
              <w:rPr>
                <w:b/>
                <w:bCs/>
                <w:lang w:val="en-US"/>
              </w:rPr>
            </w:pPr>
            <w:r w:rsidRPr="001970BE">
              <w:rPr>
                <w:b/>
                <w:bCs/>
                <w:lang w:val="en-US"/>
              </w:rPr>
              <w:t xml:space="preserve">Monthly on-going </w:t>
            </w:r>
            <w:r>
              <w:rPr>
                <w:b/>
                <w:bCs/>
                <w:lang w:val="en-US"/>
              </w:rPr>
              <w:t>US</w:t>
            </w:r>
            <w:r w:rsidRPr="001970BE">
              <w:rPr>
                <w:b/>
                <w:bCs/>
                <w:lang w:val="en-US"/>
              </w:rPr>
              <w:t>$</w:t>
            </w:r>
          </w:p>
        </w:tc>
      </w:tr>
      <w:tr w:rsidR="00464AF7" w:rsidRPr="001970BE" w14:paraId="52E46C4A" w14:textId="77777777" w:rsidTr="00616D91">
        <w:tc>
          <w:tcPr>
            <w:tcW w:w="1705" w:type="dxa"/>
            <w:vAlign w:val="center"/>
          </w:tcPr>
          <w:p w14:paraId="18D0D9A3" w14:textId="77777777" w:rsidR="00464AF7" w:rsidRPr="001970BE" w:rsidRDefault="00464AF7" w:rsidP="00616D91">
            <w:pPr>
              <w:spacing w:before="120" w:after="120" w:line="278" w:lineRule="auto"/>
              <w:jc w:val="center"/>
              <w:rPr>
                <w:b/>
                <w:bCs/>
                <w:lang w:val="en-US"/>
              </w:rPr>
            </w:pPr>
            <w:r w:rsidRPr="001970BE">
              <w:rPr>
                <w:b/>
                <w:bCs/>
                <w:lang w:val="en-US"/>
              </w:rPr>
              <w:t>1</w:t>
            </w:r>
          </w:p>
        </w:tc>
        <w:tc>
          <w:tcPr>
            <w:tcW w:w="2660" w:type="dxa"/>
            <w:vAlign w:val="center"/>
          </w:tcPr>
          <w:p w14:paraId="413365D3" w14:textId="0DE4CC8B" w:rsidR="00464AF7" w:rsidRPr="001970BE" w:rsidRDefault="00464AF7" w:rsidP="00616D91">
            <w:pPr>
              <w:spacing w:before="120" w:after="120" w:line="278" w:lineRule="auto"/>
              <w:jc w:val="center"/>
              <w:rPr>
                <w:lang w:val="en-US"/>
              </w:rPr>
            </w:pPr>
            <w:r>
              <w:rPr>
                <w:lang w:val="en-US"/>
              </w:rPr>
              <w:t>Efficiency improvement</w:t>
            </w:r>
          </w:p>
        </w:tc>
        <w:tc>
          <w:tcPr>
            <w:tcW w:w="2225" w:type="dxa"/>
            <w:vAlign w:val="center"/>
          </w:tcPr>
          <w:p w14:paraId="1F39FEFC" w14:textId="2640917F" w:rsidR="00464AF7" w:rsidRPr="001970BE" w:rsidRDefault="00464AF7" w:rsidP="00616D91">
            <w:pPr>
              <w:spacing w:before="120" w:after="120" w:line="278" w:lineRule="auto"/>
              <w:jc w:val="center"/>
              <w:rPr>
                <w:lang w:val="en-US"/>
              </w:rPr>
            </w:pPr>
            <w:r w:rsidRPr="001970BE">
              <w:rPr>
                <w:lang w:val="en-US"/>
              </w:rPr>
              <w:t>Varies</w:t>
            </w:r>
            <w:r w:rsidRPr="379A6835">
              <w:rPr>
                <w:lang w:val="en-US"/>
              </w:rPr>
              <w:t xml:space="preserve">, </w:t>
            </w:r>
            <w:r w:rsidRPr="548BBB9B">
              <w:rPr>
                <w:lang w:val="en-US"/>
              </w:rPr>
              <w:t>up to</w:t>
            </w:r>
            <w:r w:rsidRPr="379A6835">
              <w:rPr>
                <w:lang w:val="en-US"/>
              </w:rPr>
              <w:t xml:space="preserve"> $</w:t>
            </w:r>
            <w:r w:rsidRPr="229A502D">
              <w:rPr>
                <w:lang w:val="en-US"/>
              </w:rPr>
              <w:t>5</w:t>
            </w:r>
            <w:r w:rsidRPr="379A6835">
              <w:rPr>
                <w:lang w:val="en-US"/>
              </w:rPr>
              <w:t>0k</w:t>
            </w:r>
          </w:p>
        </w:tc>
        <w:tc>
          <w:tcPr>
            <w:tcW w:w="2484" w:type="dxa"/>
            <w:vAlign w:val="center"/>
          </w:tcPr>
          <w:p w14:paraId="0EF7C8F1" w14:textId="77777777" w:rsidR="00464AF7" w:rsidRPr="001970BE" w:rsidRDefault="00464AF7" w:rsidP="00616D91">
            <w:pPr>
              <w:spacing w:before="120" w:after="120" w:line="278" w:lineRule="auto"/>
              <w:jc w:val="center"/>
              <w:rPr>
                <w:lang w:val="en-US"/>
              </w:rPr>
            </w:pPr>
            <w:r w:rsidRPr="001970BE">
              <w:rPr>
                <w:lang w:val="en-US"/>
              </w:rPr>
              <w:t>$50-$200/tech</w:t>
            </w:r>
          </w:p>
        </w:tc>
      </w:tr>
      <w:tr w:rsidR="00464AF7" w:rsidRPr="001970BE" w14:paraId="14973033" w14:textId="77777777" w:rsidTr="00616D91">
        <w:tc>
          <w:tcPr>
            <w:tcW w:w="1705" w:type="dxa"/>
            <w:vAlign w:val="center"/>
          </w:tcPr>
          <w:p w14:paraId="599AB664" w14:textId="77777777" w:rsidR="00464AF7" w:rsidRPr="001970BE" w:rsidRDefault="00464AF7" w:rsidP="00616D91">
            <w:pPr>
              <w:spacing w:before="120" w:after="120" w:line="278" w:lineRule="auto"/>
              <w:jc w:val="center"/>
              <w:rPr>
                <w:b/>
                <w:bCs/>
                <w:lang w:val="en-US"/>
              </w:rPr>
            </w:pPr>
            <w:r w:rsidRPr="001970BE">
              <w:rPr>
                <w:b/>
                <w:bCs/>
                <w:lang w:val="en-US"/>
              </w:rPr>
              <w:t>2</w:t>
            </w:r>
          </w:p>
        </w:tc>
        <w:tc>
          <w:tcPr>
            <w:tcW w:w="2660" w:type="dxa"/>
            <w:vAlign w:val="center"/>
          </w:tcPr>
          <w:p w14:paraId="5638D30F" w14:textId="33CCFEEF" w:rsidR="00464AF7" w:rsidRPr="379A6835" w:rsidRDefault="00464AF7" w:rsidP="00616D91">
            <w:pPr>
              <w:spacing w:before="120" w:after="120" w:line="278" w:lineRule="auto"/>
              <w:jc w:val="center"/>
              <w:rPr>
                <w:lang w:val="en-US"/>
              </w:rPr>
            </w:pPr>
            <w:r>
              <w:rPr>
                <w:lang w:val="en-US"/>
              </w:rPr>
              <w:t>Performance tools</w:t>
            </w:r>
          </w:p>
        </w:tc>
        <w:tc>
          <w:tcPr>
            <w:tcW w:w="2225" w:type="dxa"/>
            <w:vAlign w:val="center"/>
          </w:tcPr>
          <w:p w14:paraId="1F53EFAC" w14:textId="27850103" w:rsidR="00464AF7" w:rsidRPr="001970BE" w:rsidRDefault="00464AF7" w:rsidP="00616D91">
            <w:pPr>
              <w:spacing w:before="120" w:after="120" w:line="278" w:lineRule="auto"/>
              <w:jc w:val="center"/>
              <w:rPr>
                <w:lang w:val="en-US"/>
              </w:rPr>
            </w:pPr>
            <w:r w:rsidRPr="379A6835">
              <w:rPr>
                <w:lang w:val="en-US"/>
              </w:rPr>
              <w:t>~$10k</w:t>
            </w:r>
          </w:p>
        </w:tc>
        <w:tc>
          <w:tcPr>
            <w:tcW w:w="2484" w:type="dxa"/>
            <w:vAlign w:val="center"/>
          </w:tcPr>
          <w:p w14:paraId="721E6F0D" w14:textId="388CF58D" w:rsidR="00464AF7" w:rsidRPr="001970BE" w:rsidRDefault="00464AF7" w:rsidP="00616D91">
            <w:pPr>
              <w:spacing w:before="120" w:after="120" w:line="278" w:lineRule="auto"/>
              <w:jc w:val="center"/>
              <w:rPr>
                <w:lang w:val="en-US"/>
              </w:rPr>
            </w:pPr>
            <w:r w:rsidRPr="548BBB9B">
              <w:rPr>
                <w:lang w:val="en-US"/>
              </w:rPr>
              <w:t>Up to</w:t>
            </w:r>
            <w:r w:rsidRPr="379A6835">
              <w:rPr>
                <w:lang w:val="en-US"/>
              </w:rPr>
              <w:t xml:space="preserve"> $200/tech</w:t>
            </w:r>
          </w:p>
        </w:tc>
      </w:tr>
      <w:tr w:rsidR="00464AF7" w:rsidRPr="001970BE" w14:paraId="38661207" w14:textId="77777777" w:rsidTr="00616D91">
        <w:tc>
          <w:tcPr>
            <w:tcW w:w="1705" w:type="dxa"/>
            <w:vAlign w:val="center"/>
          </w:tcPr>
          <w:p w14:paraId="3BA0C9EB" w14:textId="77777777" w:rsidR="00464AF7" w:rsidRPr="001970BE" w:rsidRDefault="00464AF7" w:rsidP="00616D91">
            <w:pPr>
              <w:spacing w:before="120" w:after="120" w:line="278" w:lineRule="auto"/>
              <w:jc w:val="center"/>
              <w:rPr>
                <w:b/>
                <w:bCs/>
                <w:lang w:val="en-US"/>
              </w:rPr>
            </w:pPr>
            <w:r w:rsidRPr="001970BE">
              <w:rPr>
                <w:b/>
                <w:bCs/>
                <w:lang w:val="en-US"/>
              </w:rPr>
              <w:t>3</w:t>
            </w:r>
          </w:p>
        </w:tc>
        <w:tc>
          <w:tcPr>
            <w:tcW w:w="2660" w:type="dxa"/>
            <w:vAlign w:val="center"/>
          </w:tcPr>
          <w:p w14:paraId="4F1B97A0" w14:textId="1E50DD8C" w:rsidR="00464AF7" w:rsidRPr="229A502D" w:rsidRDefault="00ED1BA2" w:rsidP="00616D91">
            <w:pPr>
              <w:spacing w:before="120" w:after="120" w:line="278" w:lineRule="auto"/>
              <w:jc w:val="center"/>
              <w:rPr>
                <w:lang w:val="en-US"/>
              </w:rPr>
            </w:pPr>
            <w:r>
              <w:rPr>
                <w:lang w:val="en-US"/>
              </w:rPr>
              <w:t>Knowledge tools</w:t>
            </w:r>
          </w:p>
        </w:tc>
        <w:tc>
          <w:tcPr>
            <w:tcW w:w="2225" w:type="dxa"/>
            <w:vAlign w:val="center"/>
          </w:tcPr>
          <w:p w14:paraId="226F0282" w14:textId="62EAB758" w:rsidR="00464AF7" w:rsidRPr="001970BE" w:rsidRDefault="00464AF7" w:rsidP="00616D91">
            <w:pPr>
              <w:spacing w:before="120" w:after="120" w:line="278" w:lineRule="auto"/>
              <w:jc w:val="center"/>
              <w:rPr>
                <w:lang w:val="en-US"/>
              </w:rPr>
            </w:pPr>
            <w:r w:rsidRPr="229A502D">
              <w:rPr>
                <w:lang w:val="en-US"/>
              </w:rPr>
              <w:t xml:space="preserve">Varies, </w:t>
            </w:r>
            <w:r w:rsidRPr="548BBB9B">
              <w:rPr>
                <w:lang w:val="en-US"/>
              </w:rPr>
              <w:t>up to</w:t>
            </w:r>
            <w:r w:rsidRPr="229A502D">
              <w:rPr>
                <w:lang w:val="en-US"/>
              </w:rPr>
              <w:t xml:space="preserve"> $1250k</w:t>
            </w:r>
          </w:p>
        </w:tc>
        <w:tc>
          <w:tcPr>
            <w:tcW w:w="2484" w:type="dxa"/>
            <w:vAlign w:val="center"/>
          </w:tcPr>
          <w:p w14:paraId="17BFE94E" w14:textId="60492097" w:rsidR="00464AF7" w:rsidRPr="001970BE" w:rsidRDefault="00464AF7" w:rsidP="00616D91">
            <w:pPr>
              <w:spacing w:before="120" w:after="120" w:line="278" w:lineRule="auto"/>
              <w:jc w:val="center"/>
              <w:rPr>
                <w:lang w:val="en-US"/>
              </w:rPr>
            </w:pPr>
            <w:r w:rsidRPr="001970BE">
              <w:rPr>
                <w:lang w:val="en-US"/>
              </w:rPr>
              <w:t>~$</w:t>
            </w:r>
            <w:r w:rsidRPr="379A6835">
              <w:rPr>
                <w:lang w:val="en-US"/>
              </w:rPr>
              <w:t>25k</w:t>
            </w:r>
          </w:p>
        </w:tc>
      </w:tr>
    </w:tbl>
    <w:p w14:paraId="4D2445DD" w14:textId="77777777" w:rsidR="00965A73" w:rsidRDefault="00965A73" w:rsidP="00D35BCB"/>
    <w:p w14:paraId="22EF949E" w14:textId="36ACA44D" w:rsidR="00965A73" w:rsidRDefault="1274AC49" w:rsidP="002135B0">
      <w:pPr>
        <w:tabs>
          <w:tab w:val="left" w:pos="1134"/>
        </w:tabs>
        <w:spacing w:after="0"/>
        <w:ind w:left="1412" w:hanging="1412"/>
        <w:rPr>
          <w:rFonts w:eastAsia="Times New Roman Bold" w:cs="Times New Roman Bold"/>
          <w:b/>
          <w:bCs/>
        </w:rPr>
      </w:pPr>
      <w:r w:rsidRPr="6FA71381">
        <w:rPr>
          <w:rFonts w:eastAsiaTheme="minorEastAsia"/>
          <w:b/>
          <w:bCs/>
        </w:rPr>
        <w:lastRenderedPageBreak/>
        <w:t>Table 9.2</w:t>
      </w:r>
      <w:r w:rsidR="00293354">
        <w:rPr>
          <w:rFonts w:eastAsiaTheme="minorEastAsia"/>
          <w:b/>
          <w:bCs/>
        </w:rPr>
        <w:t>:</w:t>
      </w:r>
      <w:r>
        <w:tab/>
      </w:r>
      <w:r w:rsidR="59F11A46" w:rsidRPr="6FA71381">
        <w:rPr>
          <w:rFonts w:eastAsia="Times New Roman Bold" w:cs="Times New Roman Bold"/>
          <w:b/>
          <w:bCs/>
        </w:rPr>
        <w:t>Summary of average estimated cost for t</w:t>
      </w:r>
      <w:r w:rsidR="16FE3B8E" w:rsidRPr="6FA71381">
        <w:rPr>
          <w:rFonts w:eastAsia="Times New Roman Bold" w:cs="Times New Roman Bold"/>
          <w:b/>
          <w:bCs/>
        </w:rPr>
        <w:t>he different</w:t>
      </w:r>
      <w:r w:rsidR="15ED0D5E" w:rsidRPr="6FA71381">
        <w:rPr>
          <w:rFonts w:eastAsia="Times New Roman Bold" w:cs="Times New Roman Bold"/>
          <w:b/>
          <w:bCs/>
        </w:rPr>
        <w:t xml:space="preserve"> </w:t>
      </w:r>
      <w:r w:rsidR="00A35862" w:rsidRPr="6FA71381">
        <w:rPr>
          <w:rFonts w:eastAsia="Times New Roman Bold" w:cs="Times New Roman Bold"/>
          <w:b/>
          <w:bCs/>
        </w:rPr>
        <w:t>options</w:t>
      </w:r>
      <w:r w:rsidR="00C36FDE">
        <w:rPr>
          <w:rStyle w:val="FootnoteReference"/>
          <w:rFonts w:eastAsia="Times New Roman Bold" w:cs="Times New Roman Bold"/>
          <w:b/>
          <w:bCs/>
        </w:rPr>
        <w:footnoteReference w:id="91"/>
      </w:r>
      <w:r w:rsidR="00FD42BE">
        <w:rPr>
          <w:rFonts w:eastAsia="Times New Roman Bold" w:cs="Times New Roman Bold"/>
          <w:b/>
          <w:bCs/>
        </w:rPr>
        <w:t xml:space="preserve"> </w:t>
      </w:r>
      <w:r w:rsidR="009C3738">
        <w:rPr>
          <w:rStyle w:val="FootnoteReference"/>
          <w:rFonts w:eastAsia="Times New Roman Bold" w:cs="Times New Roman Bold"/>
          <w:b/>
          <w:bCs/>
        </w:rPr>
        <w:footnoteReference w:id="92"/>
      </w:r>
      <w:r w:rsidR="009C3738">
        <w:rPr>
          <w:rFonts w:eastAsia="Times New Roman Bold" w:cs="Times New Roman Bold"/>
          <w:b/>
          <w:bCs/>
        </w:rPr>
        <w:t xml:space="preserve"> </w:t>
      </w:r>
      <w:r w:rsidR="000C63A1">
        <w:rPr>
          <w:rStyle w:val="FootnoteReference"/>
          <w:rFonts w:eastAsia="Times New Roman Bold" w:cs="Times New Roman Bold"/>
          <w:b/>
          <w:bCs/>
        </w:rPr>
        <w:footnoteReference w:id="93"/>
      </w:r>
      <w:r w:rsidR="000C63A1">
        <w:rPr>
          <w:rFonts w:eastAsia="Times New Roman Bold" w:cs="Times New Roman Bold"/>
          <w:b/>
          <w:bCs/>
        </w:rPr>
        <w:t xml:space="preserve"> </w:t>
      </w:r>
      <w:r w:rsidR="009F1266">
        <w:rPr>
          <w:rStyle w:val="FootnoteReference"/>
          <w:rFonts w:eastAsia="Times New Roman Bold" w:cs="Times New Roman Bold"/>
          <w:b/>
          <w:bCs/>
        </w:rPr>
        <w:footnoteReference w:id="94"/>
      </w:r>
      <w:r w:rsidR="59F11A46" w:rsidRPr="6FA71381">
        <w:rPr>
          <w:rFonts w:eastAsia="Times New Roman Bold" w:cs="Times New Roman Bold"/>
          <w:b/>
          <w:bCs/>
        </w:rPr>
        <w:t xml:space="preserve"> (US$)</w:t>
      </w:r>
    </w:p>
    <w:p w14:paraId="2D72C829" w14:textId="77777777" w:rsidR="005C28F2" w:rsidRDefault="005C28F2" w:rsidP="00965A73">
      <w:pPr>
        <w:tabs>
          <w:tab w:val="left" w:pos="1418"/>
        </w:tabs>
        <w:spacing w:after="0"/>
        <w:ind w:left="1411" w:hanging="1411"/>
        <w:rPr>
          <w:rFonts w:eastAsia="Times New Roman Bold" w:cs="Times New Roman Bold"/>
          <w:b/>
          <w:bCs/>
        </w:rPr>
      </w:pPr>
    </w:p>
    <w:tbl>
      <w:tblPr>
        <w:tblStyle w:val="TableGrid16"/>
        <w:tblW w:w="8297" w:type="dxa"/>
        <w:tblLook w:val="04A0" w:firstRow="1" w:lastRow="0" w:firstColumn="1" w:lastColumn="0" w:noHBand="0" w:noVBand="1"/>
      </w:tblPr>
      <w:tblGrid>
        <w:gridCol w:w="645"/>
        <w:gridCol w:w="1997"/>
        <w:gridCol w:w="1228"/>
        <w:gridCol w:w="1300"/>
        <w:gridCol w:w="1277"/>
        <w:gridCol w:w="1850"/>
      </w:tblGrid>
      <w:tr w:rsidR="005C28F2" w:rsidRPr="005C28F2" w14:paraId="532C7FB0" w14:textId="77777777" w:rsidTr="00616D91">
        <w:trPr>
          <w:trHeight w:val="300"/>
        </w:trPr>
        <w:tc>
          <w:tcPr>
            <w:tcW w:w="635" w:type="dxa"/>
            <w:vAlign w:val="center"/>
          </w:tcPr>
          <w:p w14:paraId="6B98E7CF" w14:textId="6555DC27" w:rsidR="005C28F2" w:rsidRPr="005C28F2" w:rsidRDefault="5F498DEA" w:rsidP="00616D91">
            <w:pPr>
              <w:spacing w:before="120" w:after="120" w:line="278" w:lineRule="auto"/>
              <w:rPr>
                <w:b/>
                <w:bCs/>
                <w:sz w:val="20"/>
                <w:szCs w:val="20"/>
                <w:lang w:val="en-US"/>
              </w:rPr>
            </w:pPr>
            <w:r w:rsidRPr="379A6835">
              <w:rPr>
                <w:b/>
                <w:bCs/>
                <w:sz w:val="20"/>
                <w:szCs w:val="20"/>
                <w:lang w:val="en-US"/>
              </w:rPr>
              <w:t>T</w:t>
            </w:r>
            <w:r w:rsidR="6135A52D" w:rsidRPr="379A6835">
              <w:rPr>
                <w:b/>
                <w:bCs/>
                <w:sz w:val="20"/>
                <w:szCs w:val="20"/>
                <w:lang w:val="en-US"/>
              </w:rPr>
              <w:t>ype</w:t>
            </w:r>
          </w:p>
        </w:tc>
        <w:tc>
          <w:tcPr>
            <w:tcW w:w="1967" w:type="dxa"/>
            <w:vAlign w:val="center"/>
          </w:tcPr>
          <w:p w14:paraId="6401F0A0" w14:textId="77777777" w:rsidR="005C28F2" w:rsidRPr="005C28F2" w:rsidRDefault="005C28F2" w:rsidP="00616D91">
            <w:pPr>
              <w:spacing w:before="120" w:after="120" w:line="278" w:lineRule="auto"/>
              <w:rPr>
                <w:b/>
                <w:bCs/>
                <w:sz w:val="20"/>
                <w:szCs w:val="20"/>
                <w:lang w:val="en-US"/>
              </w:rPr>
            </w:pPr>
            <w:r w:rsidRPr="005C28F2">
              <w:rPr>
                <w:b/>
                <w:bCs/>
                <w:sz w:val="20"/>
                <w:szCs w:val="20"/>
                <w:lang w:val="en-US"/>
              </w:rPr>
              <w:t>Typical use case</w:t>
            </w:r>
          </w:p>
        </w:tc>
        <w:tc>
          <w:tcPr>
            <w:tcW w:w="1210" w:type="dxa"/>
            <w:vAlign w:val="center"/>
          </w:tcPr>
          <w:p w14:paraId="397910DA" w14:textId="77777777" w:rsidR="005C28F2" w:rsidRPr="005C28F2" w:rsidRDefault="005C28F2" w:rsidP="00616D91">
            <w:pPr>
              <w:spacing w:before="120" w:after="120" w:line="278" w:lineRule="auto"/>
              <w:rPr>
                <w:b/>
                <w:bCs/>
                <w:sz w:val="20"/>
                <w:szCs w:val="20"/>
                <w:lang w:val="en-US"/>
              </w:rPr>
            </w:pPr>
            <w:r w:rsidRPr="005C28F2">
              <w:rPr>
                <w:b/>
                <w:bCs/>
                <w:sz w:val="20"/>
                <w:szCs w:val="20"/>
                <w:lang w:val="en-US"/>
              </w:rPr>
              <w:t>Unit basis</w:t>
            </w:r>
          </w:p>
        </w:tc>
        <w:tc>
          <w:tcPr>
            <w:tcW w:w="1281" w:type="dxa"/>
            <w:vAlign w:val="center"/>
          </w:tcPr>
          <w:p w14:paraId="74885628" w14:textId="3FC3E5B6" w:rsidR="005C28F2" w:rsidRPr="005C28F2" w:rsidRDefault="005C28F2" w:rsidP="00616D91">
            <w:pPr>
              <w:spacing w:before="120" w:after="120" w:line="278" w:lineRule="auto"/>
              <w:rPr>
                <w:b/>
                <w:bCs/>
                <w:sz w:val="20"/>
                <w:szCs w:val="20"/>
                <w:lang w:val="en-US"/>
              </w:rPr>
            </w:pPr>
            <w:r w:rsidRPr="005C28F2">
              <w:rPr>
                <w:b/>
                <w:bCs/>
                <w:sz w:val="20"/>
                <w:szCs w:val="20"/>
                <w:lang w:val="en-US"/>
              </w:rPr>
              <w:t>One-time integration (US</w:t>
            </w:r>
            <w:r w:rsidR="00BB2588">
              <w:rPr>
                <w:b/>
                <w:bCs/>
                <w:sz w:val="20"/>
                <w:szCs w:val="20"/>
                <w:lang w:val="en-US"/>
              </w:rPr>
              <w:t>$</w:t>
            </w:r>
            <w:r w:rsidRPr="005C28F2">
              <w:rPr>
                <w:b/>
                <w:bCs/>
                <w:sz w:val="20"/>
                <w:szCs w:val="20"/>
                <w:lang w:val="en-US"/>
              </w:rPr>
              <w:t>)</w:t>
            </w:r>
          </w:p>
        </w:tc>
        <w:tc>
          <w:tcPr>
            <w:tcW w:w="1258" w:type="dxa"/>
            <w:vAlign w:val="center"/>
          </w:tcPr>
          <w:p w14:paraId="2D5E2A01" w14:textId="5BE831C6" w:rsidR="005C28F2" w:rsidRPr="005C28F2" w:rsidRDefault="005C28F2" w:rsidP="00616D91">
            <w:pPr>
              <w:spacing w:before="120" w:after="120" w:line="278" w:lineRule="auto"/>
              <w:rPr>
                <w:b/>
                <w:bCs/>
                <w:sz w:val="20"/>
                <w:szCs w:val="20"/>
                <w:lang w:val="en-US"/>
              </w:rPr>
            </w:pPr>
            <w:r w:rsidRPr="005C28F2">
              <w:rPr>
                <w:b/>
                <w:bCs/>
                <w:sz w:val="20"/>
                <w:szCs w:val="20"/>
                <w:lang w:val="en-US"/>
              </w:rPr>
              <w:t>Recurring (</w:t>
            </w:r>
            <w:r w:rsidR="00EC730E">
              <w:rPr>
                <w:b/>
                <w:bCs/>
                <w:sz w:val="20"/>
                <w:szCs w:val="20"/>
                <w:lang w:val="en-US"/>
              </w:rPr>
              <w:t>US$</w:t>
            </w:r>
            <w:r w:rsidRPr="005C28F2">
              <w:rPr>
                <w:b/>
                <w:bCs/>
                <w:sz w:val="20"/>
                <w:szCs w:val="20"/>
                <w:lang w:val="en-US"/>
              </w:rPr>
              <w:t>/year)</w:t>
            </w:r>
          </w:p>
        </w:tc>
        <w:tc>
          <w:tcPr>
            <w:tcW w:w="1822" w:type="dxa"/>
            <w:vAlign w:val="center"/>
          </w:tcPr>
          <w:p w14:paraId="107E2A61" w14:textId="77777777" w:rsidR="005C28F2" w:rsidRPr="005C28F2" w:rsidRDefault="005C28F2" w:rsidP="00616D91">
            <w:pPr>
              <w:spacing w:before="120" w:after="120" w:line="278" w:lineRule="auto"/>
              <w:rPr>
                <w:b/>
                <w:bCs/>
                <w:sz w:val="20"/>
                <w:szCs w:val="20"/>
                <w:lang w:val="en-US"/>
              </w:rPr>
            </w:pPr>
            <w:r w:rsidRPr="005C28F2">
              <w:rPr>
                <w:b/>
                <w:bCs/>
                <w:sz w:val="20"/>
                <w:szCs w:val="20"/>
                <w:lang w:val="en-US"/>
              </w:rPr>
              <w:t>Key cost drivers / notes</w:t>
            </w:r>
          </w:p>
        </w:tc>
      </w:tr>
      <w:tr w:rsidR="005C28F2" w:rsidRPr="005C28F2" w14:paraId="3884BEAC" w14:textId="77777777" w:rsidTr="007D44F3">
        <w:trPr>
          <w:trHeight w:val="300"/>
        </w:trPr>
        <w:tc>
          <w:tcPr>
            <w:tcW w:w="635" w:type="dxa"/>
          </w:tcPr>
          <w:p w14:paraId="6D2B6278" w14:textId="77777777" w:rsidR="005C28F2" w:rsidRPr="005C28F2" w:rsidRDefault="005C28F2" w:rsidP="006233FA">
            <w:pPr>
              <w:spacing w:after="160" w:line="278" w:lineRule="auto"/>
              <w:rPr>
                <w:sz w:val="20"/>
                <w:szCs w:val="20"/>
                <w:lang w:val="en-US"/>
              </w:rPr>
            </w:pPr>
            <w:r w:rsidRPr="005C28F2">
              <w:rPr>
                <w:sz w:val="20"/>
                <w:szCs w:val="20"/>
                <w:lang w:val="en-US"/>
              </w:rPr>
              <w:t>1A</w:t>
            </w:r>
          </w:p>
        </w:tc>
        <w:tc>
          <w:tcPr>
            <w:tcW w:w="1967" w:type="dxa"/>
          </w:tcPr>
          <w:p w14:paraId="346D8623" w14:textId="77777777" w:rsidR="005C28F2" w:rsidRPr="005C28F2" w:rsidRDefault="005C28F2" w:rsidP="006233FA">
            <w:pPr>
              <w:spacing w:after="160" w:line="278" w:lineRule="auto"/>
              <w:rPr>
                <w:sz w:val="20"/>
                <w:szCs w:val="20"/>
                <w:lang w:val="en-US"/>
              </w:rPr>
            </w:pPr>
            <w:r w:rsidRPr="005C28F2">
              <w:rPr>
                <w:sz w:val="20"/>
                <w:szCs w:val="20"/>
                <w:lang w:val="en-US"/>
              </w:rPr>
              <w:t>Certification registry &amp; training management</w:t>
            </w:r>
          </w:p>
        </w:tc>
        <w:tc>
          <w:tcPr>
            <w:tcW w:w="1210" w:type="dxa"/>
          </w:tcPr>
          <w:p w14:paraId="68BFBFF5" w14:textId="77777777" w:rsidR="005C28F2" w:rsidRPr="005C28F2" w:rsidRDefault="005C28F2" w:rsidP="006233FA">
            <w:pPr>
              <w:spacing w:after="160" w:line="278" w:lineRule="auto"/>
              <w:rPr>
                <w:sz w:val="20"/>
                <w:szCs w:val="20"/>
                <w:lang w:val="en-US"/>
              </w:rPr>
            </w:pPr>
            <w:r w:rsidRPr="005C28F2">
              <w:rPr>
                <w:sz w:val="20"/>
                <w:szCs w:val="20"/>
                <w:lang w:val="en-US"/>
              </w:rPr>
              <w:t>Per country programme</w:t>
            </w:r>
          </w:p>
        </w:tc>
        <w:tc>
          <w:tcPr>
            <w:tcW w:w="1281" w:type="dxa"/>
          </w:tcPr>
          <w:p w14:paraId="1F3412A4" w14:textId="77777777" w:rsidR="005C28F2" w:rsidRPr="005C28F2" w:rsidRDefault="005C28F2" w:rsidP="006233FA">
            <w:pPr>
              <w:spacing w:after="160" w:line="278" w:lineRule="auto"/>
              <w:rPr>
                <w:sz w:val="20"/>
                <w:szCs w:val="20"/>
                <w:lang w:val="en-US"/>
              </w:rPr>
            </w:pPr>
            <w:r w:rsidRPr="005C28F2">
              <w:rPr>
                <w:sz w:val="20"/>
                <w:szCs w:val="20"/>
                <w:lang w:val="en-US"/>
              </w:rPr>
              <w:t>$10k–$30k</w:t>
            </w:r>
          </w:p>
          <w:p w14:paraId="2BBBE1FD" w14:textId="327A84D2" w:rsidR="005C28F2" w:rsidRPr="005C28F2" w:rsidRDefault="4441AED1" w:rsidP="006233FA">
            <w:pPr>
              <w:spacing w:after="160" w:line="278" w:lineRule="auto"/>
              <w:rPr>
                <w:sz w:val="20"/>
                <w:szCs w:val="20"/>
                <w:lang w:val="en-US"/>
              </w:rPr>
            </w:pPr>
            <w:r w:rsidRPr="222ABFFA">
              <w:rPr>
                <w:sz w:val="20"/>
                <w:szCs w:val="20"/>
                <w:lang w:val="en-US"/>
              </w:rPr>
              <w:t>Up</w:t>
            </w:r>
            <w:r w:rsidR="62ECCE4D" w:rsidRPr="222ABFFA">
              <w:rPr>
                <w:sz w:val="20"/>
                <w:szCs w:val="20"/>
                <w:lang w:val="en-US"/>
              </w:rPr>
              <w:t xml:space="preserve"> </w:t>
            </w:r>
            <w:r w:rsidRPr="222ABFFA">
              <w:rPr>
                <w:sz w:val="20"/>
                <w:szCs w:val="20"/>
                <w:lang w:val="en-US"/>
              </w:rPr>
              <w:t>to $50k+ (case specific</w:t>
            </w:r>
          </w:p>
        </w:tc>
        <w:tc>
          <w:tcPr>
            <w:tcW w:w="1258" w:type="dxa"/>
          </w:tcPr>
          <w:p w14:paraId="61D97A87" w14:textId="77777777" w:rsidR="005C28F2" w:rsidRPr="005C28F2" w:rsidRDefault="005C28F2" w:rsidP="006233FA">
            <w:pPr>
              <w:spacing w:after="160" w:line="278" w:lineRule="auto"/>
              <w:rPr>
                <w:sz w:val="20"/>
                <w:szCs w:val="20"/>
                <w:lang w:val="en-US"/>
              </w:rPr>
            </w:pPr>
            <w:r w:rsidRPr="005C28F2">
              <w:rPr>
                <w:sz w:val="20"/>
                <w:szCs w:val="20"/>
                <w:lang w:val="en-US"/>
              </w:rPr>
              <w:t>$3k–$10k</w:t>
            </w:r>
          </w:p>
          <w:p w14:paraId="6F3E8227" w14:textId="77777777" w:rsidR="005C28F2" w:rsidRPr="005C28F2" w:rsidRDefault="005C28F2" w:rsidP="006233FA">
            <w:pPr>
              <w:spacing w:after="160" w:line="278" w:lineRule="auto"/>
              <w:rPr>
                <w:sz w:val="20"/>
                <w:szCs w:val="20"/>
                <w:lang w:val="en-US"/>
              </w:rPr>
            </w:pPr>
            <w:r w:rsidRPr="005C28F2">
              <w:rPr>
                <w:sz w:val="20"/>
                <w:szCs w:val="20"/>
                <w:lang w:val="en-US"/>
              </w:rPr>
              <w:t>$15k+</w:t>
            </w:r>
          </w:p>
        </w:tc>
        <w:tc>
          <w:tcPr>
            <w:tcW w:w="1822" w:type="dxa"/>
          </w:tcPr>
          <w:p w14:paraId="4C140EB3" w14:textId="2DDA64F1" w:rsidR="005C28F2" w:rsidRPr="005C28F2" w:rsidRDefault="4441AED1" w:rsidP="006233FA">
            <w:pPr>
              <w:spacing w:after="160" w:line="278" w:lineRule="auto"/>
              <w:rPr>
                <w:sz w:val="20"/>
                <w:szCs w:val="20"/>
                <w:lang w:val="en-US"/>
              </w:rPr>
            </w:pPr>
            <w:r w:rsidRPr="222ABFFA">
              <w:rPr>
                <w:sz w:val="20"/>
                <w:szCs w:val="20"/>
                <w:lang w:val="en-US"/>
              </w:rPr>
              <w:t xml:space="preserve">Adapting existing platforms, </w:t>
            </w:r>
            <w:r w:rsidR="004405D2" w:rsidRPr="222ABFFA">
              <w:rPr>
                <w:sz w:val="20"/>
                <w:szCs w:val="20"/>
                <w:lang w:val="en-US"/>
              </w:rPr>
              <w:t>localization</w:t>
            </w:r>
            <w:r w:rsidRPr="222ABFFA">
              <w:rPr>
                <w:sz w:val="20"/>
                <w:szCs w:val="20"/>
                <w:lang w:val="en-US"/>
              </w:rPr>
              <w:t>, user base, multi-agency</w:t>
            </w:r>
            <w:r w:rsidR="6E995DB9" w:rsidRPr="222ABFFA">
              <w:rPr>
                <w:sz w:val="20"/>
                <w:szCs w:val="20"/>
                <w:lang w:val="en-US"/>
              </w:rPr>
              <w:t xml:space="preserve"> </w:t>
            </w:r>
            <w:r w:rsidRPr="222ABFFA">
              <w:rPr>
                <w:sz w:val="20"/>
                <w:szCs w:val="20"/>
                <w:lang w:val="en-US"/>
              </w:rPr>
              <w:t>integration, data migration, hosting/support model; offline-first where needed</w:t>
            </w:r>
          </w:p>
        </w:tc>
      </w:tr>
      <w:tr w:rsidR="005C28F2" w:rsidRPr="005C28F2" w14:paraId="74CF41D0" w14:textId="77777777" w:rsidTr="007D44F3">
        <w:trPr>
          <w:trHeight w:val="375"/>
        </w:trPr>
        <w:tc>
          <w:tcPr>
            <w:tcW w:w="635" w:type="dxa"/>
          </w:tcPr>
          <w:p w14:paraId="57939790" w14:textId="77777777" w:rsidR="005C28F2" w:rsidRPr="005C28F2" w:rsidRDefault="005C28F2" w:rsidP="006233FA">
            <w:pPr>
              <w:spacing w:after="160" w:line="278" w:lineRule="auto"/>
              <w:rPr>
                <w:sz w:val="20"/>
                <w:szCs w:val="20"/>
                <w:lang w:val="en-US"/>
              </w:rPr>
            </w:pPr>
            <w:r w:rsidRPr="005C28F2">
              <w:rPr>
                <w:sz w:val="20"/>
                <w:szCs w:val="20"/>
                <w:lang w:val="en-US"/>
              </w:rPr>
              <w:t>1B</w:t>
            </w:r>
          </w:p>
        </w:tc>
        <w:tc>
          <w:tcPr>
            <w:tcW w:w="1967" w:type="dxa"/>
          </w:tcPr>
          <w:p w14:paraId="542A494D" w14:textId="77777777" w:rsidR="005C28F2" w:rsidRPr="005C28F2" w:rsidRDefault="005C28F2" w:rsidP="006233FA">
            <w:pPr>
              <w:spacing w:after="160" w:line="278" w:lineRule="auto"/>
              <w:rPr>
                <w:sz w:val="20"/>
                <w:szCs w:val="20"/>
                <w:lang w:val="en-US"/>
              </w:rPr>
            </w:pPr>
            <w:r w:rsidRPr="005C28F2">
              <w:rPr>
                <w:sz w:val="20"/>
                <w:szCs w:val="20"/>
                <w:lang w:val="en-US"/>
              </w:rPr>
              <w:t>Technician servicing records / field-service app</w:t>
            </w:r>
          </w:p>
        </w:tc>
        <w:tc>
          <w:tcPr>
            <w:tcW w:w="1210" w:type="dxa"/>
          </w:tcPr>
          <w:p w14:paraId="754AEE94" w14:textId="5960852E" w:rsidR="005C28F2" w:rsidRPr="005C28F2" w:rsidRDefault="60F9B68C" w:rsidP="006233FA">
            <w:pPr>
              <w:spacing w:after="160" w:line="278" w:lineRule="auto"/>
              <w:rPr>
                <w:sz w:val="20"/>
                <w:szCs w:val="20"/>
                <w:lang w:val="en-US"/>
              </w:rPr>
            </w:pPr>
            <w:r w:rsidRPr="53375285">
              <w:rPr>
                <w:sz w:val="20"/>
                <w:szCs w:val="20"/>
                <w:lang w:val="en-US"/>
              </w:rPr>
              <w:t>$</w:t>
            </w:r>
            <w:r w:rsidR="731A3097" w:rsidRPr="53375285">
              <w:rPr>
                <w:sz w:val="20"/>
                <w:szCs w:val="20"/>
                <w:lang w:val="en-US"/>
              </w:rPr>
              <w:t>1.0</w:t>
            </w:r>
            <w:r w:rsidRPr="53375285">
              <w:rPr>
                <w:sz w:val="20"/>
                <w:szCs w:val="20"/>
                <w:lang w:val="en-US"/>
              </w:rPr>
              <w:t>k–$</w:t>
            </w:r>
            <w:r w:rsidR="087051F5" w:rsidRPr="53375285">
              <w:rPr>
                <w:sz w:val="20"/>
                <w:szCs w:val="20"/>
                <w:lang w:val="en-US"/>
              </w:rPr>
              <w:t>10</w:t>
            </w:r>
            <w:r w:rsidRPr="53375285">
              <w:rPr>
                <w:sz w:val="20"/>
                <w:szCs w:val="20"/>
                <w:lang w:val="en-US"/>
              </w:rPr>
              <w:t>k (org setup)</w:t>
            </w:r>
          </w:p>
        </w:tc>
        <w:tc>
          <w:tcPr>
            <w:tcW w:w="1281" w:type="dxa"/>
          </w:tcPr>
          <w:p w14:paraId="56AF9B46" w14:textId="77777777" w:rsidR="005C28F2" w:rsidRPr="005C28F2" w:rsidRDefault="005C28F2" w:rsidP="006233FA">
            <w:pPr>
              <w:spacing w:after="160" w:line="278" w:lineRule="auto"/>
              <w:rPr>
                <w:sz w:val="20"/>
                <w:szCs w:val="20"/>
                <w:lang w:val="en-US"/>
              </w:rPr>
            </w:pPr>
            <w:r w:rsidRPr="005C28F2">
              <w:rPr>
                <w:sz w:val="20"/>
                <w:szCs w:val="20"/>
                <w:lang w:val="en-US"/>
              </w:rPr>
              <w:t>$0.5k–$5k (org setup)</w:t>
            </w:r>
          </w:p>
        </w:tc>
        <w:tc>
          <w:tcPr>
            <w:tcW w:w="1258" w:type="dxa"/>
          </w:tcPr>
          <w:p w14:paraId="29E4C1D8" w14:textId="2F56716F" w:rsidR="005C28F2" w:rsidRPr="005C28F2" w:rsidRDefault="005C28F2" w:rsidP="006233FA">
            <w:pPr>
              <w:spacing w:after="160" w:line="278" w:lineRule="auto"/>
              <w:rPr>
                <w:sz w:val="20"/>
                <w:szCs w:val="20"/>
                <w:lang w:val="en-US"/>
              </w:rPr>
            </w:pPr>
            <w:r w:rsidRPr="005C28F2">
              <w:rPr>
                <w:sz w:val="20"/>
                <w:szCs w:val="20"/>
                <w:lang w:val="en-US"/>
              </w:rPr>
              <w:t xml:space="preserve">$24–$120 per tech, enterprise plans </w:t>
            </w:r>
            <w:r w:rsidR="548BBB9B" w:rsidRPr="548BBB9B">
              <w:rPr>
                <w:sz w:val="20"/>
                <w:szCs w:val="20"/>
                <w:lang w:val="en-US"/>
              </w:rPr>
              <w:t>were</w:t>
            </w:r>
            <w:r w:rsidRPr="005C28F2">
              <w:rPr>
                <w:sz w:val="20"/>
                <w:szCs w:val="20"/>
                <w:lang w:val="en-US"/>
              </w:rPr>
              <w:t xml:space="preserve"> used</w:t>
            </w:r>
          </w:p>
        </w:tc>
        <w:tc>
          <w:tcPr>
            <w:tcW w:w="1822" w:type="dxa"/>
          </w:tcPr>
          <w:p w14:paraId="47ED4725" w14:textId="77777777" w:rsidR="005C28F2" w:rsidRPr="005C28F2" w:rsidRDefault="005C28F2" w:rsidP="006233FA">
            <w:pPr>
              <w:spacing w:after="160" w:line="278" w:lineRule="auto"/>
              <w:rPr>
                <w:sz w:val="20"/>
                <w:szCs w:val="20"/>
                <w:lang w:val="en-US"/>
              </w:rPr>
            </w:pPr>
            <w:r w:rsidRPr="005C28F2">
              <w:rPr>
                <w:sz w:val="20"/>
                <w:szCs w:val="20"/>
                <w:lang w:val="en-US"/>
              </w:rPr>
              <w:t>Licenses/support, onboarding, BYOD can reduce device cost, add devices/data plans if required, offline first with periodic sync</w:t>
            </w:r>
          </w:p>
        </w:tc>
      </w:tr>
      <w:tr w:rsidR="005C28F2" w:rsidRPr="005C28F2" w14:paraId="27296B65" w14:textId="77777777" w:rsidTr="007D44F3">
        <w:trPr>
          <w:trHeight w:val="300"/>
        </w:trPr>
        <w:tc>
          <w:tcPr>
            <w:tcW w:w="635" w:type="dxa"/>
          </w:tcPr>
          <w:p w14:paraId="4E1CAD91" w14:textId="77777777" w:rsidR="005C28F2" w:rsidRPr="005C28F2" w:rsidRDefault="005C28F2" w:rsidP="006233FA">
            <w:pPr>
              <w:spacing w:after="160" w:line="278" w:lineRule="auto"/>
              <w:rPr>
                <w:sz w:val="20"/>
                <w:szCs w:val="20"/>
                <w:lang w:val="en-US"/>
              </w:rPr>
            </w:pPr>
            <w:r w:rsidRPr="005C28F2">
              <w:rPr>
                <w:sz w:val="20"/>
                <w:szCs w:val="20"/>
                <w:lang w:val="en-US"/>
              </w:rPr>
              <w:t>2A</w:t>
            </w:r>
          </w:p>
        </w:tc>
        <w:tc>
          <w:tcPr>
            <w:tcW w:w="1967" w:type="dxa"/>
          </w:tcPr>
          <w:p w14:paraId="3D3B67D2" w14:textId="77777777" w:rsidR="005C28F2" w:rsidRPr="005C28F2" w:rsidRDefault="005C28F2" w:rsidP="006233FA">
            <w:pPr>
              <w:spacing w:after="160" w:line="278" w:lineRule="auto"/>
              <w:rPr>
                <w:sz w:val="20"/>
                <w:szCs w:val="20"/>
                <w:lang w:val="en-US"/>
              </w:rPr>
            </w:pPr>
            <w:r w:rsidRPr="005C28F2">
              <w:rPr>
                <w:sz w:val="20"/>
                <w:szCs w:val="20"/>
                <w:lang w:val="en-US"/>
              </w:rPr>
              <w:t>Digital job-quality tools (leak workflows, QA dashboards)</w:t>
            </w:r>
          </w:p>
        </w:tc>
        <w:tc>
          <w:tcPr>
            <w:tcW w:w="1210" w:type="dxa"/>
          </w:tcPr>
          <w:p w14:paraId="2B0ABC75" w14:textId="77777777" w:rsidR="005C28F2" w:rsidRPr="005C28F2" w:rsidRDefault="005C28F2" w:rsidP="006233FA">
            <w:pPr>
              <w:spacing w:after="160" w:line="278" w:lineRule="auto"/>
              <w:rPr>
                <w:sz w:val="20"/>
                <w:szCs w:val="20"/>
                <w:lang w:val="en-US"/>
              </w:rPr>
            </w:pPr>
            <w:r w:rsidRPr="005C28F2">
              <w:rPr>
                <w:sz w:val="20"/>
                <w:szCs w:val="20"/>
                <w:lang w:val="en-US"/>
              </w:rPr>
              <w:t>Per tech or targeted programme</w:t>
            </w:r>
          </w:p>
        </w:tc>
        <w:tc>
          <w:tcPr>
            <w:tcW w:w="1281" w:type="dxa"/>
          </w:tcPr>
          <w:p w14:paraId="55EC8DD3" w14:textId="77777777" w:rsidR="005C28F2" w:rsidRPr="005C28F2" w:rsidRDefault="005C28F2" w:rsidP="006233FA">
            <w:pPr>
              <w:spacing w:after="160" w:line="278" w:lineRule="auto"/>
              <w:rPr>
                <w:sz w:val="20"/>
                <w:szCs w:val="20"/>
                <w:lang w:val="en-US"/>
              </w:rPr>
            </w:pPr>
            <w:r w:rsidRPr="005C28F2">
              <w:rPr>
                <w:sz w:val="20"/>
                <w:szCs w:val="20"/>
                <w:lang w:val="en-US"/>
              </w:rPr>
              <w:t>$1k–$10k (programme setup)</w:t>
            </w:r>
          </w:p>
        </w:tc>
        <w:tc>
          <w:tcPr>
            <w:tcW w:w="1258" w:type="dxa"/>
          </w:tcPr>
          <w:p w14:paraId="6F09AFC4" w14:textId="77777777" w:rsidR="005C28F2" w:rsidRPr="005C28F2" w:rsidRDefault="005C28F2" w:rsidP="006233FA">
            <w:pPr>
              <w:spacing w:after="160" w:line="278" w:lineRule="auto"/>
              <w:rPr>
                <w:sz w:val="20"/>
                <w:szCs w:val="20"/>
                <w:lang w:val="en-US"/>
              </w:rPr>
            </w:pPr>
            <w:r w:rsidRPr="005C28F2">
              <w:rPr>
                <w:sz w:val="20"/>
                <w:szCs w:val="20"/>
                <w:lang w:val="en-US"/>
              </w:rPr>
              <w:t>$60–$240 per tech</w:t>
            </w:r>
          </w:p>
        </w:tc>
        <w:tc>
          <w:tcPr>
            <w:tcW w:w="1822" w:type="dxa"/>
          </w:tcPr>
          <w:p w14:paraId="61A8E36B" w14:textId="77777777" w:rsidR="005C28F2" w:rsidRPr="005C28F2" w:rsidRDefault="005C28F2" w:rsidP="006233FA">
            <w:pPr>
              <w:spacing w:after="160" w:line="278" w:lineRule="auto"/>
              <w:rPr>
                <w:sz w:val="20"/>
                <w:szCs w:val="20"/>
                <w:lang w:val="en-US"/>
              </w:rPr>
            </w:pPr>
            <w:r w:rsidRPr="005C28F2">
              <w:rPr>
                <w:sz w:val="20"/>
                <w:szCs w:val="20"/>
                <w:lang w:val="en-US"/>
              </w:rPr>
              <w:t>Scope of features, QA, supervisor/admin capacity</w:t>
            </w:r>
          </w:p>
        </w:tc>
      </w:tr>
      <w:tr w:rsidR="005C28F2" w:rsidRPr="005C28F2" w14:paraId="0D1AD46E" w14:textId="77777777" w:rsidTr="007D44F3">
        <w:trPr>
          <w:trHeight w:val="300"/>
        </w:trPr>
        <w:tc>
          <w:tcPr>
            <w:tcW w:w="635" w:type="dxa"/>
          </w:tcPr>
          <w:p w14:paraId="7B09CE44" w14:textId="77777777" w:rsidR="005C28F2" w:rsidRPr="005C28F2" w:rsidRDefault="005C28F2" w:rsidP="006233FA">
            <w:pPr>
              <w:spacing w:after="160" w:line="278" w:lineRule="auto"/>
              <w:rPr>
                <w:sz w:val="20"/>
                <w:szCs w:val="20"/>
                <w:lang w:val="en-US"/>
              </w:rPr>
            </w:pPr>
            <w:r w:rsidRPr="005C28F2">
              <w:rPr>
                <w:sz w:val="20"/>
                <w:szCs w:val="20"/>
                <w:lang w:val="en-US"/>
              </w:rPr>
              <w:t>2B</w:t>
            </w:r>
          </w:p>
        </w:tc>
        <w:tc>
          <w:tcPr>
            <w:tcW w:w="1967" w:type="dxa"/>
          </w:tcPr>
          <w:p w14:paraId="423AF8F8" w14:textId="77777777" w:rsidR="005C28F2" w:rsidRPr="005C28F2" w:rsidRDefault="005C28F2" w:rsidP="006233FA">
            <w:pPr>
              <w:spacing w:after="160" w:line="278" w:lineRule="auto"/>
              <w:rPr>
                <w:sz w:val="20"/>
                <w:szCs w:val="20"/>
                <w:lang w:val="en-US"/>
              </w:rPr>
            </w:pPr>
            <w:r w:rsidRPr="005C28F2">
              <w:rPr>
                <w:sz w:val="20"/>
                <w:szCs w:val="20"/>
                <w:lang w:val="en-US"/>
              </w:rPr>
              <w:t>Targeted monitoring/IoT for optimization &amp; fault alerts</w:t>
            </w:r>
          </w:p>
        </w:tc>
        <w:tc>
          <w:tcPr>
            <w:tcW w:w="1210" w:type="dxa"/>
          </w:tcPr>
          <w:p w14:paraId="6B6E1C15" w14:textId="77777777" w:rsidR="005C28F2" w:rsidRPr="005C28F2" w:rsidRDefault="005C28F2" w:rsidP="006233FA">
            <w:pPr>
              <w:spacing w:after="160" w:line="278" w:lineRule="auto"/>
              <w:rPr>
                <w:sz w:val="20"/>
                <w:szCs w:val="20"/>
                <w:lang w:val="en-US"/>
              </w:rPr>
            </w:pPr>
            <w:r w:rsidRPr="005C28F2">
              <w:rPr>
                <w:sz w:val="20"/>
                <w:szCs w:val="20"/>
                <w:lang w:val="en-US"/>
              </w:rPr>
              <w:t>Per monitored system/site</w:t>
            </w:r>
          </w:p>
        </w:tc>
        <w:tc>
          <w:tcPr>
            <w:tcW w:w="1281" w:type="dxa"/>
          </w:tcPr>
          <w:p w14:paraId="7A38313C" w14:textId="77777777" w:rsidR="005C28F2" w:rsidRPr="005C28F2" w:rsidRDefault="005C28F2" w:rsidP="006233FA">
            <w:pPr>
              <w:spacing w:after="160" w:line="278" w:lineRule="auto"/>
              <w:rPr>
                <w:sz w:val="20"/>
                <w:szCs w:val="20"/>
                <w:lang w:val="en-US"/>
              </w:rPr>
            </w:pPr>
            <w:r w:rsidRPr="005C28F2">
              <w:rPr>
                <w:sz w:val="20"/>
                <w:szCs w:val="20"/>
                <w:lang w:val="en-US"/>
              </w:rPr>
              <w:t>$1k–$10k per site</w:t>
            </w:r>
          </w:p>
        </w:tc>
        <w:tc>
          <w:tcPr>
            <w:tcW w:w="1258" w:type="dxa"/>
          </w:tcPr>
          <w:p w14:paraId="58C5C24E" w14:textId="77777777" w:rsidR="005C28F2" w:rsidRPr="005C28F2" w:rsidRDefault="005C28F2" w:rsidP="006233FA">
            <w:pPr>
              <w:spacing w:after="160" w:line="278" w:lineRule="auto"/>
              <w:rPr>
                <w:sz w:val="20"/>
                <w:szCs w:val="20"/>
                <w:lang w:val="en-US"/>
              </w:rPr>
            </w:pPr>
            <w:r w:rsidRPr="005C28F2">
              <w:rPr>
                <w:sz w:val="20"/>
                <w:szCs w:val="20"/>
                <w:lang w:val="en-US"/>
              </w:rPr>
              <w:t>$1.2k–$6k per site</w:t>
            </w:r>
          </w:p>
        </w:tc>
        <w:tc>
          <w:tcPr>
            <w:tcW w:w="1822" w:type="dxa"/>
          </w:tcPr>
          <w:p w14:paraId="35BC1FC0" w14:textId="77777777" w:rsidR="005C28F2" w:rsidRPr="005C28F2" w:rsidRDefault="005C28F2" w:rsidP="006233FA">
            <w:pPr>
              <w:spacing w:after="160" w:line="278" w:lineRule="auto"/>
              <w:rPr>
                <w:sz w:val="20"/>
                <w:szCs w:val="20"/>
                <w:lang w:val="en-US"/>
              </w:rPr>
            </w:pPr>
            <w:r w:rsidRPr="005C28F2">
              <w:rPr>
                <w:sz w:val="20"/>
                <w:szCs w:val="20"/>
                <w:lang w:val="en-US"/>
              </w:rPr>
              <w:t>Sensors/gateway, installation, connectivity, maintenance; sustainability provisions critical</w:t>
            </w:r>
          </w:p>
        </w:tc>
      </w:tr>
      <w:tr w:rsidR="005C28F2" w:rsidRPr="005C28F2" w14:paraId="258B861C" w14:textId="77777777" w:rsidTr="007D44F3">
        <w:trPr>
          <w:trHeight w:val="300"/>
        </w:trPr>
        <w:tc>
          <w:tcPr>
            <w:tcW w:w="635" w:type="dxa"/>
          </w:tcPr>
          <w:p w14:paraId="595444F8" w14:textId="77777777" w:rsidR="005C28F2" w:rsidRPr="005C28F2" w:rsidRDefault="005C28F2" w:rsidP="006233FA">
            <w:pPr>
              <w:spacing w:after="160" w:line="278" w:lineRule="auto"/>
              <w:rPr>
                <w:sz w:val="20"/>
                <w:szCs w:val="20"/>
                <w:lang w:val="en-US"/>
              </w:rPr>
            </w:pPr>
            <w:r w:rsidRPr="005C28F2">
              <w:rPr>
                <w:sz w:val="20"/>
                <w:szCs w:val="20"/>
                <w:lang w:val="en-US"/>
              </w:rPr>
              <w:t>3</w:t>
            </w:r>
          </w:p>
        </w:tc>
        <w:tc>
          <w:tcPr>
            <w:tcW w:w="1967" w:type="dxa"/>
          </w:tcPr>
          <w:p w14:paraId="10E6C31A" w14:textId="77777777" w:rsidR="005C28F2" w:rsidRPr="005C28F2" w:rsidRDefault="005C28F2" w:rsidP="006233FA">
            <w:pPr>
              <w:spacing w:after="160" w:line="278" w:lineRule="auto"/>
              <w:rPr>
                <w:sz w:val="20"/>
                <w:szCs w:val="20"/>
                <w:lang w:val="en-US"/>
              </w:rPr>
            </w:pPr>
            <w:r w:rsidRPr="005C28F2">
              <w:rPr>
                <w:sz w:val="20"/>
                <w:szCs w:val="20"/>
                <w:lang w:val="en-US"/>
              </w:rPr>
              <w:t>Workflow/knowledge tools supporting servicing evidence &amp; verification</w:t>
            </w:r>
          </w:p>
        </w:tc>
        <w:tc>
          <w:tcPr>
            <w:tcW w:w="1210" w:type="dxa"/>
          </w:tcPr>
          <w:p w14:paraId="7FD76A39" w14:textId="77777777" w:rsidR="005C28F2" w:rsidRPr="005C28F2" w:rsidRDefault="005C28F2" w:rsidP="006233FA">
            <w:pPr>
              <w:spacing w:after="160" w:line="278" w:lineRule="auto"/>
              <w:rPr>
                <w:sz w:val="20"/>
                <w:szCs w:val="20"/>
                <w:lang w:val="en-US"/>
              </w:rPr>
            </w:pPr>
            <w:r w:rsidRPr="005C28F2">
              <w:rPr>
                <w:sz w:val="20"/>
                <w:szCs w:val="20"/>
                <w:lang w:val="en-US"/>
              </w:rPr>
              <w:t>Per country programme or shared platform</w:t>
            </w:r>
          </w:p>
        </w:tc>
        <w:tc>
          <w:tcPr>
            <w:tcW w:w="1281" w:type="dxa"/>
          </w:tcPr>
          <w:p w14:paraId="06130C3D" w14:textId="77777777" w:rsidR="005C28F2" w:rsidRPr="005C28F2" w:rsidRDefault="005C28F2" w:rsidP="006233FA">
            <w:pPr>
              <w:spacing w:after="160" w:line="278" w:lineRule="auto"/>
              <w:rPr>
                <w:sz w:val="20"/>
                <w:szCs w:val="20"/>
                <w:lang w:val="en-US"/>
              </w:rPr>
            </w:pPr>
            <w:r w:rsidRPr="005C28F2">
              <w:rPr>
                <w:sz w:val="20"/>
                <w:szCs w:val="20"/>
                <w:lang w:val="en-US"/>
              </w:rPr>
              <w:t>$25k–$150k</w:t>
            </w:r>
          </w:p>
        </w:tc>
        <w:tc>
          <w:tcPr>
            <w:tcW w:w="1258" w:type="dxa"/>
          </w:tcPr>
          <w:p w14:paraId="23C939A2" w14:textId="77777777" w:rsidR="005C28F2" w:rsidRPr="005C28F2" w:rsidRDefault="005C28F2" w:rsidP="006233FA">
            <w:pPr>
              <w:spacing w:after="160" w:line="278" w:lineRule="auto"/>
              <w:rPr>
                <w:sz w:val="20"/>
                <w:szCs w:val="20"/>
                <w:lang w:val="en-US"/>
              </w:rPr>
            </w:pPr>
            <w:r w:rsidRPr="005C28F2">
              <w:rPr>
                <w:sz w:val="20"/>
                <w:szCs w:val="20"/>
                <w:lang w:val="en-US"/>
              </w:rPr>
              <w:t>$10k–$50k</w:t>
            </w:r>
          </w:p>
        </w:tc>
        <w:tc>
          <w:tcPr>
            <w:tcW w:w="1822" w:type="dxa"/>
          </w:tcPr>
          <w:p w14:paraId="79B4BB8A" w14:textId="77777777" w:rsidR="005C28F2" w:rsidRPr="005C28F2" w:rsidRDefault="005C28F2" w:rsidP="006233FA">
            <w:pPr>
              <w:spacing w:after="160" w:line="278" w:lineRule="auto"/>
              <w:rPr>
                <w:sz w:val="20"/>
                <w:szCs w:val="20"/>
                <w:lang w:val="en-US"/>
              </w:rPr>
            </w:pPr>
            <w:r w:rsidRPr="005C28F2">
              <w:rPr>
                <w:sz w:val="20"/>
                <w:szCs w:val="20"/>
                <w:lang w:val="en-US"/>
              </w:rPr>
              <w:t>Interoperability, QA, governance, long-term ownership/support</w:t>
            </w:r>
          </w:p>
        </w:tc>
      </w:tr>
    </w:tbl>
    <w:p w14:paraId="634BBCDA" w14:textId="77777777" w:rsidR="005C28F2" w:rsidRDefault="005C28F2" w:rsidP="00965A73">
      <w:pPr>
        <w:tabs>
          <w:tab w:val="left" w:pos="1418"/>
        </w:tabs>
        <w:spacing w:after="0"/>
        <w:ind w:left="1411" w:hanging="1411"/>
        <w:rPr>
          <w:rFonts w:eastAsia="Times New Roman Bold" w:cs="Times New Roman Bold"/>
          <w:b/>
          <w:bCs/>
        </w:rPr>
      </w:pPr>
    </w:p>
    <w:p w14:paraId="15EE0ACC" w14:textId="77777777" w:rsidR="00690D6E" w:rsidRDefault="00D67889">
      <w:pPr>
        <w:tabs>
          <w:tab w:val="clear" w:pos="0"/>
        </w:tabs>
        <w:spacing w:after="0"/>
        <w:sectPr w:rsidR="00690D6E" w:rsidSect="00FB5D56">
          <w:type w:val="oddPage"/>
          <w:pgSz w:w="11906" w:h="16838"/>
          <w:pgMar w:top="1411" w:right="1411" w:bottom="1411" w:left="1411" w:header="708" w:footer="708" w:gutter="0"/>
          <w:cols w:space="708"/>
          <w:docGrid w:linePitch="360"/>
        </w:sectPr>
      </w:pPr>
      <w:r>
        <w:br w:type="page"/>
      </w:r>
      <w:bookmarkStart w:id="330" w:name="_Toc119436655"/>
    </w:p>
    <w:p w14:paraId="47C495AE" w14:textId="31F50DA7" w:rsidR="004124EA" w:rsidRPr="00C3634A" w:rsidRDefault="00544D09" w:rsidP="005D31A7">
      <w:pPr>
        <w:pStyle w:val="Heading1"/>
      </w:pPr>
      <w:bookmarkStart w:id="331" w:name="_Toc230099149"/>
      <w:r w:rsidRPr="00C3634A">
        <w:lastRenderedPageBreak/>
        <w:t>10</w:t>
      </w:r>
      <w:r w:rsidR="004124EA" w:rsidRPr="00C3634A">
        <w:tab/>
      </w:r>
      <w:r w:rsidR="002126ED">
        <w:t>Estimated Funding to Support Pilot Projects to Enhance Regional Atmospheric Monitoring</w:t>
      </w:r>
      <w:bookmarkEnd w:id="330"/>
      <w:bookmarkEnd w:id="331"/>
    </w:p>
    <w:p w14:paraId="084562F5" w14:textId="07429BDD" w:rsidR="001A4FA0" w:rsidRDefault="00272951" w:rsidP="002D02B7">
      <w:pPr>
        <w:pStyle w:val="Heading2"/>
        <w:rPr>
          <w:lang w:eastAsia="en-GB"/>
        </w:rPr>
      </w:pPr>
      <w:bookmarkStart w:id="332" w:name="_Toc113319232"/>
      <w:bookmarkStart w:id="333" w:name="_Toc119436656"/>
      <w:bookmarkStart w:id="334" w:name="_Toc230099150"/>
      <w:r w:rsidRPr="00C3634A">
        <w:rPr>
          <w:lang w:eastAsia="en-GB"/>
        </w:rPr>
        <w:t>10.1</w:t>
      </w:r>
      <w:r w:rsidRPr="00C3634A">
        <w:rPr>
          <w:lang w:eastAsia="en-GB"/>
        </w:rPr>
        <w:tab/>
      </w:r>
      <w:r w:rsidR="002126ED">
        <w:rPr>
          <w:lang w:eastAsia="en-GB"/>
        </w:rPr>
        <w:t>Introduction</w:t>
      </w:r>
      <w:bookmarkEnd w:id="332"/>
      <w:bookmarkEnd w:id="333"/>
      <w:bookmarkEnd w:id="334"/>
    </w:p>
    <w:p w14:paraId="7BD503E5" w14:textId="55C828DB" w:rsidR="007D5C18" w:rsidRPr="00183362" w:rsidRDefault="007D5C18" w:rsidP="007D5C18">
      <w:r w:rsidRPr="00183362">
        <w:t xml:space="preserve">Paragraph 2(e) of Decision XXXVII/6 requests the TEAP to provide “a scenario to allocate resources for a funding modality to support a limited number of pilot projects to enhance regional atmospheric monitoring of substances controlled by the </w:t>
      </w:r>
      <w:r w:rsidR="00FB7C66">
        <w:t>MP</w:t>
      </w:r>
      <w:r w:rsidRPr="00183362">
        <w:t xml:space="preserve">, taking into account decision XXXVI/1 and any other decisions of the </w:t>
      </w:r>
      <w:r>
        <w:t xml:space="preserve">meeting of the </w:t>
      </w:r>
      <w:r w:rsidR="003D2BEA">
        <w:t>parties and the Executive Committee</w:t>
      </w:r>
      <w:r w:rsidRPr="00183362">
        <w:t>.”</w:t>
      </w:r>
    </w:p>
    <w:p w14:paraId="360368EB" w14:textId="0F4B9E47" w:rsidR="007D5C18" w:rsidRPr="00183362" w:rsidRDefault="007D5C18" w:rsidP="007D5C18">
      <w:r w:rsidRPr="00183362">
        <w:t xml:space="preserve">In order to respond to this request, the RTF considered the referenced Decision XXXVI/1 and other relevant decisions of the MOP and the ExCom which are listed in Table 10.1 and </w:t>
      </w:r>
      <w:r w:rsidR="009403E9">
        <w:t>summarised</w:t>
      </w:r>
      <w:r w:rsidRPr="00183362">
        <w:t xml:space="preserve"> in </w:t>
      </w:r>
      <w:r w:rsidRPr="00590558">
        <w:t>Annex</w:t>
      </w:r>
      <w:r w:rsidR="00B9318D" w:rsidRPr="00590558">
        <w:t xml:space="preserve"> </w:t>
      </w:r>
      <w:r w:rsidR="00590558" w:rsidRPr="00590558">
        <w:t>8</w:t>
      </w:r>
      <w:r w:rsidRPr="00590558">
        <w:t>:</w:t>
      </w:r>
    </w:p>
    <w:p w14:paraId="3BDCDB9C" w14:textId="0CEF3F5E" w:rsidR="007D5C18" w:rsidRPr="00183362" w:rsidRDefault="007D5C18" w:rsidP="002135B0">
      <w:pPr>
        <w:ind w:left="1276" w:hanging="1276"/>
        <w:rPr>
          <w:b/>
          <w:bCs/>
        </w:rPr>
      </w:pPr>
      <w:r w:rsidRPr="00183362">
        <w:rPr>
          <w:b/>
          <w:bCs/>
        </w:rPr>
        <w:t>Table 10.1</w:t>
      </w:r>
      <w:r w:rsidR="00293354">
        <w:rPr>
          <w:b/>
          <w:bCs/>
        </w:rPr>
        <w:t>:</w:t>
      </w:r>
      <w:r w:rsidRPr="00183362">
        <w:rPr>
          <w:b/>
          <w:bCs/>
        </w:rPr>
        <w:tab/>
        <w:t xml:space="preserve">List of relevant MOP and ExCom decisions </w:t>
      </w:r>
      <w:r w:rsidR="00610810">
        <w:rPr>
          <w:b/>
          <w:bCs/>
        </w:rPr>
        <w:t xml:space="preserve">and </w:t>
      </w:r>
      <w:r w:rsidR="002F0134">
        <w:rPr>
          <w:b/>
          <w:bCs/>
        </w:rPr>
        <w:t xml:space="preserve">other materials </w:t>
      </w:r>
      <w:r w:rsidRPr="00183362">
        <w:rPr>
          <w:b/>
          <w:bCs/>
        </w:rPr>
        <w:t>related to enhancing atmospheric monitoring</w:t>
      </w:r>
    </w:p>
    <w:tbl>
      <w:tblPr>
        <w:tblStyle w:val="1"/>
        <w:tblW w:w="0" w:type="auto"/>
        <w:tblLook w:val="04A0" w:firstRow="1" w:lastRow="0" w:firstColumn="1" w:lastColumn="0" w:noHBand="0" w:noVBand="1"/>
      </w:tblPr>
      <w:tblGrid>
        <w:gridCol w:w="798"/>
        <w:gridCol w:w="1447"/>
        <w:gridCol w:w="6829"/>
      </w:tblGrid>
      <w:tr w:rsidR="007D5C18" w:rsidRPr="00183362" w14:paraId="043BB026" w14:textId="77777777" w:rsidTr="00616D91">
        <w:tc>
          <w:tcPr>
            <w:tcW w:w="2245" w:type="dxa"/>
            <w:gridSpan w:val="2"/>
            <w:shd w:val="clear" w:color="auto" w:fill="D9E2F3" w:themeFill="accent1" w:themeFillTint="33"/>
            <w:vAlign w:val="center"/>
          </w:tcPr>
          <w:p w14:paraId="22E1BA27" w14:textId="77777777" w:rsidR="007D5C18" w:rsidRPr="00986D46" w:rsidRDefault="007D5C18" w:rsidP="00616D91">
            <w:pPr>
              <w:spacing w:before="120" w:after="120"/>
              <w:rPr>
                <w:b/>
                <w:bCs/>
              </w:rPr>
            </w:pPr>
            <w:r w:rsidRPr="00986D46">
              <w:rPr>
                <w:b/>
                <w:bCs/>
              </w:rPr>
              <w:t>MEETING</w:t>
            </w:r>
          </w:p>
        </w:tc>
        <w:tc>
          <w:tcPr>
            <w:tcW w:w="6829" w:type="dxa"/>
            <w:shd w:val="clear" w:color="auto" w:fill="D9E2F3" w:themeFill="accent1" w:themeFillTint="33"/>
            <w:vAlign w:val="center"/>
          </w:tcPr>
          <w:p w14:paraId="48AF32C6" w14:textId="77777777" w:rsidR="007D5C18" w:rsidRPr="00986D46" w:rsidRDefault="007D5C18" w:rsidP="00616D91">
            <w:pPr>
              <w:spacing w:before="120" w:after="120"/>
              <w:rPr>
                <w:b/>
                <w:bCs/>
              </w:rPr>
            </w:pPr>
            <w:r w:rsidRPr="00986D46">
              <w:rPr>
                <w:b/>
                <w:bCs/>
              </w:rPr>
              <w:t>DECISIONS AND RELATED REPORTS</w:t>
            </w:r>
          </w:p>
        </w:tc>
      </w:tr>
      <w:tr w:rsidR="007D5C18" w:rsidRPr="00183362" w14:paraId="314D4C87" w14:textId="77777777" w:rsidTr="002135B0">
        <w:trPr>
          <w:trHeight w:val="577"/>
        </w:trPr>
        <w:tc>
          <w:tcPr>
            <w:tcW w:w="798" w:type="dxa"/>
            <w:vAlign w:val="center"/>
          </w:tcPr>
          <w:p w14:paraId="00E14999" w14:textId="77777777" w:rsidR="007D5C18" w:rsidRPr="00183362" w:rsidRDefault="007D5C18" w:rsidP="002749B7">
            <w:r w:rsidRPr="00183362">
              <w:t>2025</w:t>
            </w:r>
          </w:p>
        </w:tc>
        <w:tc>
          <w:tcPr>
            <w:tcW w:w="1447" w:type="dxa"/>
            <w:vAlign w:val="center"/>
          </w:tcPr>
          <w:p w14:paraId="5DD11100" w14:textId="77777777" w:rsidR="007D5C18" w:rsidRPr="00183362" w:rsidRDefault="007D5C18" w:rsidP="00CF7258">
            <w:pPr>
              <w:spacing w:after="0"/>
            </w:pPr>
            <w:r w:rsidRPr="00183362">
              <w:t>26-30 May</w:t>
            </w:r>
          </w:p>
          <w:p w14:paraId="38862377" w14:textId="77777777" w:rsidR="007D5C18" w:rsidRPr="00183362" w:rsidRDefault="007D5C18" w:rsidP="00CF7258">
            <w:pPr>
              <w:spacing w:after="0"/>
            </w:pPr>
            <w:r w:rsidRPr="00183362">
              <w:t>96</w:t>
            </w:r>
            <w:r w:rsidRPr="00183362">
              <w:rPr>
                <w:vertAlign w:val="superscript"/>
              </w:rPr>
              <w:t>th</w:t>
            </w:r>
            <w:r w:rsidRPr="00183362">
              <w:t xml:space="preserve"> ExCom</w:t>
            </w:r>
          </w:p>
        </w:tc>
        <w:tc>
          <w:tcPr>
            <w:tcW w:w="6829" w:type="dxa"/>
            <w:vAlign w:val="center"/>
          </w:tcPr>
          <w:p w14:paraId="064F7522" w14:textId="6E699C95" w:rsidR="007D5C18" w:rsidRPr="00183362" w:rsidRDefault="007D5C18" w:rsidP="00CF7258">
            <w:r w:rsidRPr="00183362">
              <w:t>ExCom Decision 96/56</w:t>
            </w:r>
          </w:p>
        </w:tc>
      </w:tr>
      <w:tr w:rsidR="007D5C18" w:rsidRPr="00183362" w14:paraId="785F0A78" w14:textId="77777777" w:rsidTr="002135B0">
        <w:tc>
          <w:tcPr>
            <w:tcW w:w="798" w:type="dxa"/>
            <w:vMerge w:val="restart"/>
            <w:vAlign w:val="center"/>
          </w:tcPr>
          <w:p w14:paraId="7D7DB334" w14:textId="77777777" w:rsidR="007D5C18" w:rsidRPr="00183362" w:rsidRDefault="007D5C18" w:rsidP="002749B7">
            <w:r w:rsidRPr="00183362">
              <w:t>2024</w:t>
            </w:r>
          </w:p>
          <w:p w14:paraId="5A50BBC3" w14:textId="77777777" w:rsidR="007D5C18" w:rsidRPr="00183362" w:rsidRDefault="007D5C18" w:rsidP="002749B7"/>
        </w:tc>
        <w:tc>
          <w:tcPr>
            <w:tcW w:w="1447" w:type="dxa"/>
            <w:vAlign w:val="center"/>
          </w:tcPr>
          <w:p w14:paraId="66401B01" w14:textId="77777777" w:rsidR="007D5C18" w:rsidRPr="00183362" w:rsidRDefault="007D5C18" w:rsidP="00CF7258">
            <w:pPr>
              <w:spacing w:after="0"/>
            </w:pPr>
            <w:r w:rsidRPr="00183362">
              <w:t>4-8 Dec</w:t>
            </w:r>
          </w:p>
          <w:p w14:paraId="4458D62C" w14:textId="77777777" w:rsidR="007D5C18" w:rsidRPr="00183362" w:rsidRDefault="007D5C18" w:rsidP="00CF7258">
            <w:pPr>
              <w:spacing w:after="0"/>
            </w:pPr>
            <w:r w:rsidRPr="00183362">
              <w:t>95</w:t>
            </w:r>
            <w:r w:rsidRPr="00183362">
              <w:rPr>
                <w:vertAlign w:val="superscript"/>
              </w:rPr>
              <w:t>th</w:t>
            </w:r>
            <w:r w:rsidRPr="00183362">
              <w:t xml:space="preserve"> ExCom</w:t>
            </w:r>
          </w:p>
        </w:tc>
        <w:tc>
          <w:tcPr>
            <w:tcW w:w="6829" w:type="dxa"/>
            <w:vAlign w:val="center"/>
          </w:tcPr>
          <w:p w14:paraId="3BE91889" w14:textId="5F5C971E" w:rsidR="007D5C18" w:rsidRPr="00183362" w:rsidRDefault="007D5C18" w:rsidP="00CF7258">
            <w:r w:rsidRPr="00183362">
              <w:t>ExCom Decision 95/97</w:t>
            </w:r>
          </w:p>
        </w:tc>
      </w:tr>
      <w:tr w:rsidR="007D5C18" w:rsidRPr="00183362" w14:paraId="75D2D937" w14:textId="77777777" w:rsidTr="002135B0">
        <w:tc>
          <w:tcPr>
            <w:tcW w:w="798" w:type="dxa"/>
            <w:vMerge/>
            <w:vAlign w:val="center"/>
          </w:tcPr>
          <w:p w14:paraId="7121A177" w14:textId="77777777" w:rsidR="007D5C18" w:rsidRPr="00183362" w:rsidRDefault="007D5C18" w:rsidP="002749B7"/>
        </w:tc>
        <w:tc>
          <w:tcPr>
            <w:tcW w:w="1447" w:type="dxa"/>
            <w:vAlign w:val="center"/>
          </w:tcPr>
          <w:p w14:paraId="323C4672" w14:textId="77777777" w:rsidR="007D5C18" w:rsidRPr="00183362" w:rsidRDefault="007D5C18" w:rsidP="00CF7258">
            <w:pPr>
              <w:spacing w:after="0"/>
            </w:pPr>
            <w:r w:rsidRPr="00183362">
              <w:t>28 Oct-1 Nov</w:t>
            </w:r>
          </w:p>
          <w:p w14:paraId="4D6752C3" w14:textId="77777777" w:rsidR="007D5C18" w:rsidRPr="00183362" w:rsidRDefault="007D5C18" w:rsidP="00CF7258">
            <w:pPr>
              <w:spacing w:after="0"/>
            </w:pPr>
            <w:r w:rsidRPr="00183362">
              <w:t>36</w:t>
            </w:r>
            <w:r w:rsidRPr="00183362">
              <w:rPr>
                <w:vertAlign w:val="superscript"/>
              </w:rPr>
              <w:t>th</w:t>
            </w:r>
            <w:r w:rsidRPr="00183362">
              <w:t xml:space="preserve"> MOP</w:t>
            </w:r>
          </w:p>
        </w:tc>
        <w:tc>
          <w:tcPr>
            <w:tcW w:w="6829" w:type="dxa"/>
            <w:vAlign w:val="center"/>
          </w:tcPr>
          <w:p w14:paraId="0FDEEA65" w14:textId="77777777" w:rsidR="007D5C18" w:rsidRPr="00183362" w:rsidRDefault="007D5C18" w:rsidP="00CF7258">
            <w:r w:rsidRPr="00183362">
              <w:t>Decision XXXVI/1: Enhancing regional atmospheric monitoring of substances controlled by the Montreal Protocol on Substances that Deplete the Ozone Layer</w:t>
            </w:r>
          </w:p>
        </w:tc>
      </w:tr>
      <w:tr w:rsidR="007D5C18" w:rsidRPr="00183362" w14:paraId="161F5182" w14:textId="77777777" w:rsidTr="002135B0">
        <w:tc>
          <w:tcPr>
            <w:tcW w:w="798" w:type="dxa"/>
            <w:vAlign w:val="center"/>
          </w:tcPr>
          <w:p w14:paraId="34E3F97C" w14:textId="77777777" w:rsidR="007D5C18" w:rsidRPr="00183362" w:rsidRDefault="007D5C18" w:rsidP="002749B7">
            <w:r w:rsidRPr="00183362">
              <w:t>2023</w:t>
            </w:r>
          </w:p>
        </w:tc>
        <w:tc>
          <w:tcPr>
            <w:tcW w:w="1447" w:type="dxa"/>
            <w:vAlign w:val="center"/>
          </w:tcPr>
          <w:p w14:paraId="28E6D01B" w14:textId="77777777" w:rsidR="007D5C18" w:rsidRPr="00183362" w:rsidRDefault="007D5C18" w:rsidP="00CF7258">
            <w:pPr>
              <w:spacing w:after="0"/>
            </w:pPr>
            <w:r w:rsidRPr="00183362">
              <w:t>23-27 Oct</w:t>
            </w:r>
          </w:p>
          <w:p w14:paraId="39CA6F48" w14:textId="77777777" w:rsidR="007D5C18" w:rsidRPr="00183362" w:rsidRDefault="007D5C18" w:rsidP="00CF7258">
            <w:pPr>
              <w:spacing w:after="0"/>
            </w:pPr>
            <w:r w:rsidRPr="00183362">
              <w:t>35</w:t>
            </w:r>
            <w:r w:rsidRPr="00183362">
              <w:rPr>
                <w:vertAlign w:val="superscript"/>
              </w:rPr>
              <w:t>th</w:t>
            </w:r>
            <w:r w:rsidRPr="00183362">
              <w:t xml:space="preserve"> MOP</w:t>
            </w:r>
          </w:p>
        </w:tc>
        <w:tc>
          <w:tcPr>
            <w:tcW w:w="6829" w:type="dxa"/>
            <w:vAlign w:val="center"/>
          </w:tcPr>
          <w:p w14:paraId="261BDDF9" w14:textId="77777777" w:rsidR="007D5C18" w:rsidRPr="00183362" w:rsidRDefault="007D5C18" w:rsidP="00CF7258">
            <w:r w:rsidRPr="00183362">
              <w:t>Decision XXXV/14: Enhancing the global and regional atmospheric monitoring of substances controlled by the Montreal Protocol on Substances that Deplete the Ozone Layer</w:t>
            </w:r>
          </w:p>
        </w:tc>
      </w:tr>
      <w:tr w:rsidR="007D5C18" w:rsidRPr="00183362" w14:paraId="747B7251" w14:textId="77777777" w:rsidTr="002135B0">
        <w:tc>
          <w:tcPr>
            <w:tcW w:w="798" w:type="dxa"/>
            <w:vAlign w:val="center"/>
          </w:tcPr>
          <w:p w14:paraId="4A86969B" w14:textId="77777777" w:rsidR="007D5C18" w:rsidRPr="00183362" w:rsidRDefault="007D5C18" w:rsidP="002749B7">
            <w:r w:rsidRPr="00183362">
              <w:t>2021</w:t>
            </w:r>
          </w:p>
        </w:tc>
        <w:tc>
          <w:tcPr>
            <w:tcW w:w="1447" w:type="dxa"/>
            <w:vAlign w:val="center"/>
          </w:tcPr>
          <w:p w14:paraId="284CA2DC" w14:textId="77777777" w:rsidR="007D5C18" w:rsidRPr="00183362" w:rsidRDefault="007D5C18" w:rsidP="00CF7258">
            <w:pPr>
              <w:spacing w:after="0"/>
            </w:pPr>
            <w:r w:rsidRPr="00183362">
              <w:t>23-29 Oct</w:t>
            </w:r>
          </w:p>
          <w:p w14:paraId="1F1090A4" w14:textId="77777777" w:rsidR="007D5C18" w:rsidRPr="00183362" w:rsidRDefault="007D5C18" w:rsidP="00CF7258">
            <w:pPr>
              <w:spacing w:after="0"/>
            </w:pPr>
            <w:r w:rsidRPr="00183362">
              <w:t>33</w:t>
            </w:r>
            <w:r w:rsidRPr="00183362">
              <w:rPr>
                <w:vertAlign w:val="superscript"/>
              </w:rPr>
              <w:t>rd</w:t>
            </w:r>
            <w:r w:rsidRPr="00183362">
              <w:t xml:space="preserve"> MOP</w:t>
            </w:r>
          </w:p>
        </w:tc>
        <w:tc>
          <w:tcPr>
            <w:tcW w:w="6829" w:type="dxa"/>
            <w:vAlign w:val="center"/>
          </w:tcPr>
          <w:p w14:paraId="59899854" w14:textId="77777777" w:rsidR="007D5C18" w:rsidRPr="00183362" w:rsidRDefault="007D5C18" w:rsidP="00CF7258">
            <w:r w:rsidRPr="00183362">
              <w:t>Decision XXXIII/4: Enhancing the global and regional atmospheric monitoring of substances controlled by the Montreal Protocol</w:t>
            </w:r>
          </w:p>
          <w:p w14:paraId="0EA5A390" w14:textId="77777777" w:rsidR="007D5C18" w:rsidRPr="00183362" w:rsidRDefault="007D5C18" w:rsidP="00CF7258">
            <w:pPr>
              <w:rPr>
                <w:i/>
                <w:iCs/>
              </w:rPr>
            </w:pPr>
            <w:r w:rsidRPr="00183362">
              <w:rPr>
                <w:i/>
                <w:iCs/>
              </w:rPr>
              <w:t>SAP Report on the Unexpected Emissions of CFC-11 (2021)</w:t>
            </w:r>
          </w:p>
          <w:p w14:paraId="03808503" w14:textId="77777777" w:rsidR="007D5C18" w:rsidRPr="00A51E59" w:rsidRDefault="007D5C18" w:rsidP="00CF7258">
            <w:pPr>
              <w:rPr>
                <w:i/>
                <w:iCs/>
              </w:rPr>
            </w:pPr>
            <w:r w:rsidRPr="00183362">
              <w:rPr>
                <w:i/>
                <w:iCs/>
              </w:rPr>
              <w:t>SAP White Paper: Closing the Gaps in Top-Down Regional Emissions Quantification: Needs and Action Plan (2020) (UNEP/OzL/Conv.ResMgr/11/4/Rev.1)</w:t>
            </w:r>
          </w:p>
        </w:tc>
      </w:tr>
      <w:tr w:rsidR="007D5C18" w:rsidRPr="00183362" w14:paraId="5FAFFA98" w14:textId="77777777" w:rsidTr="002135B0">
        <w:tc>
          <w:tcPr>
            <w:tcW w:w="798" w:type="dxa"/>
            <w:vAlign w:val="center"/>
          </w:tcPr>
          <w:p w14:paraId="3EDD9067" w14:textId="77777777" w:rsidR="007D5C18" w:rsidRPr="00183362" w:rsidRDefault="007D5C18" w:rsidP="002749B7">
            <w:r w:rsidRPr="00183362">
              <w:t>2019</w:t>
            </w:r>
          </w:p>
        </w:tc>
        <w:tc>
          <w:tcPr>
            <w:tcW w:w="1447" w:type="dxa"/>
            <w:vAlign w:val="center"/>
          </w:tcPr>
          <w:p w14:paraId="54F98660" w14:textId="77777777" w:rsidR="007D5C18" w:rsidRPr="00183362" w:rsidRDefault="007D5C18" w:rsidP="00CF7258">
            <w:pPr>
              <w:spacing w:after="0"/>
            </w:pPr>
            <w:r w:rsidRPr="00183362">
              <w:t>4-8 Nov</w:t>
            </w:r>
          </w:p>
          <w:p w14:paraId="03A4EB3E" w14:textId="77777777" w:rsidR="007D5C18" w:rsidRPr="00183362" w:rsidRDefault="007D5C18" w:rsidP="00CF7258">
            <w:pPr>
              <w:spacing w:after="0"/>
            </w:pPr>
            <w:r w:rsidRPr="00183362">
              <w:t>31</w:t>
            </w:r>
            <w:r w:rsidRPr="00183362">
              <w:rPr>
                <w:vertAlign w:val="superscript"/>
              </w:rPr>
              <w:t>st</w:t>
            </w:r>
            <w:r w:rsidRPr="00183362">
              <w:t xml:space="preserve"> MOP</w:t>
            </w:r>
          </w:p>
        </w:tc>
        <w:tc>
          <w:tcPr>
            <w:tcW w:w="6829" w:type="dxa"/>
            <w:vAlign w:val="center"/>
          </w:tcPr>
          <w:p w14:paraId="68E15F3F" w14:textId="77777777" w:rsidR="007D5C18" w:rsidRPr="00183362" w:rsidRDefault="007D5C18" w:rsidP="00CF7258">
            <w:r w:rsidRPr="00183362">
              <w:t>Decision XXXI/3: Unexpected emissions of CFC-11 and institutional processes to be enhanced to strengthen the effective implementation and enforcement of the Montreal Protocol</w:t>
            </w:r>
          </w:p>
          <w:p w14:paraId="290FD6CB" w14:textId="77777777" w:rsidR="007D5C18" w:rsidRPr="00A51E59" w:rsidRDefault="007D5C18" w:rsidP="00CF7258">
            <w:pPr>
              <w:rPr>
                <w:i/>
                <w:iCs/>
              </w:rPr>
            </w:pPr>
            <w:r w:rsidRPr="00183362">
              <w:rPr>
                <w:i/>
                <w:iCs/>
              </w:rPr>
              <w:t>Decision XXX/3 TEAP Task Force Report on Unexpected Emissions of CFC-11 – Final Report (September 2019)</w:t>
            </w:r>
          </w:p>
        </w:tc>
      </w:tr>
      <w:tr w:rsidR="007D5C18" w:rsidRPr="00183362" w14:paraId="3D6D7F90" w14:textId="77777777" w:rsidTr="002135B0">
        <w:tc>
          <w:tcPr>
            <w:tcW w:w="798" w:type="dxa"/>
            <w:vAlign w:val="center"/>
          </w:tcPr>
          <w:p w14:paraId="7D2D72AE" w14:textId="77777777" w:rsidR="007D5C18" w:rsidRPr="00183362" w:rsidRDefault="007D5C18" w:rsidP="002749B7">
            <w:r w:rsidRPr="00183362">
              <w:t>2018</w:t>
            </w:r>
          </w:p>
        </w:tc>
        <w:tc>
          <w:tcPr>
            <w:tcW w:w="1447" w:type="dxa"/>
            <w:vAlign w:val="center"/>
          </w:tcPr>
          <w:p w14:paraId="539578C4" w14:textId="77777777" w:rsidR="007D5C18" w:rsidRPr="00183362" w:rsidRDefault="007D5C18" w:rsidP="00CF7258">
            <w:pPr>
              <w:spacing w:after="0"/>
            </w:pPr>
            <w:r w:rsidRPr="00183362">
              <w:t>5-9 Nov</w:t>
            </w:r>
          </w:p>
          <w:p w14:paraId="2846E546" w14:textId="77777777" w:rsidR="007D5C18" w:rsidRPr="00183362" w:rsidRDefault="007D5C18" w:rsidP="00CF7258">
            <w:pPr>
              <w:spacing w:after="0"/>
            </w:pPr>
            <w:r w:rsidRPr="00183362">
              <w:t>30</w:t>
            </w:r>
            <w:r w:rsidRPr="00183362">
              <w:rPr>
                <w:vertAlign w:val="superscript"/>
              </w:rPr>
              <w:t>th</w:t>
            </w:r>
            <w:r w:rsidRPr="00183362">
              <w:t xml:space="preserve"> MOP</w:t>
            </w:r>
          </w:p>
        </w:tc>
        <w:tc>
          <w:tcPr>
            <w:tcW w:w="6829" w:type="dxa"/>
            <w:vAlign w:val="center"/>
          </w:tcPr>
          <w:p w14:paraId="3A3C7BFE" w14:textId="5CFB1CE4" w:rsidR="007D5C18" w:rsidRPr="00183362" w:rsidRDefault="007D5C18" w:rsidP="00CF7258">
            <w:r w:rsidRPr="00183362">
              <w:t>Decision XXX/3: Unexpected emissions of trichlorofluoromethane (CFC-11)</w:t>
            </w:r>
          </w:p>
        </w:tc>
      </w:tr>
    </w:tbl>
    <w:p w14:paraId="2CC38B4F" w14:textId="77777777" w:rsidR="007D5C18" w:rsidRPr="00183362" w:rsidRDefault="007D5C18" w:rsidP="007D5C18"/>
    <w:p w14:paraId="3F1DEC0F" w14:textId="66289F25" w:rsidR="004E2E2C" w:rsidRDefault="004E2E2C" w:rsidP="002D02B7">
      <w:pPr>
        <w:pStyle w:val="Heading2"/>
      </w:pPr>
      <w:bookmarkStart w:id="335" w:name="_Toc285914780"/>
      <w:bookmarkStart w:id="336" w:name="_Toc112428944"/>
      <w:bookmarkStart w:id="337" w:name="_Toc113319237"/>
      <w:bookmarkStart w:id="338" w:name="_Toc119436661"/>
      <w:bookmarkStart w:id="339" w:name="_Toc230099151"/>
      <w:bookmarkStart w:id="340" w:name="_Toc534305391"/>
      <w:bookmarkStart w:id="341" w:name="_Toc293834601"/>
      <w:bookmarkStart w:id="342" w:name="OLE_LINK34"/>
      <w:bookmarkStart w:id="343" w:name="OLE_LINK35"/>
      <w:r w:rsidRPr="00C3634A">
        <w:lastRenderedPageBreak/>
        <w:t>10.2</w:t>
      </w:r>
      <w:r w:rsidRPr="00C3634A">
        <w:tab/>
      </w:r>
      <w:bookmarkEnd w:id="335"/>
      <w:r w:rsidR="001D4103">
        <w:t>Background</w:t>
      </w:r>
      <w:bookmarkEnd w:id="336"/>
      <w:bookmarkEnd w:id="337"/>
      <w:bookmarkEnd w:id="338"/>
      <w:bookmarkEnd w:id="339"/>
    </w:p>
    <w:p w14:paraId="03399F3C" w14:textId="5923F7E9" w:rsidR="001D4103" w:rsidRDefault="0BF69FC6" w:rsidP="001D4103">
      <w:r w:rsidRPr="00183362">
        <w:t xml:space="preserve">In 2018, a study published in </w:t>
      </w:r>
      <w:r w:rsidRPr="6FA71381">
        <w:rPr>
          <w:i/>
          <w:iCs/>
        </w:rPr>
        <w:t>Nature</w:t>
      </w:r>
      <w:r w:rsidR="008F6C27" w:rsidRPr="00183362">
        <w:rPr>
          <w:rStyle w:val="FootnoteReference"/>
        </w:rPr>
        <w:footnoteReference w:id="95"/>
      </w:r>
      <w:r w:rsidRPr="00183362">
        <w:t xml:space="preserve"> reported an unexpected, global increase in global emissions of trichlorofluoromethane (CFC-11) after 2012. The study strongly suggested a concurrent increase in CFC-11 emissions from eastern Asia although the contribution of this region to the global increase was not quantified. The study also suggested that the CFC-11 emissions increase arises from new production that had not been reported to the </w:t>
      </w:r>
      <w:r w:rsidR="00185768">
        <w:t>OS</w:t>
      </w:r>
      <w:r w:rsidRPr="00183362">
        <w:t xml:space="preserve">, which is inconsistent with the agreed phase-out of CFC production by 2010. In response to these scientific findings of an unexpected increase in global emissions of CFC-11 after 2012, parties to the </w:t>
      </w:r>
      <w:r w:rsidR="00FB7C66">
        <w:t>MP</w:t>
      </w:r>
      <w:r w:rsidRPr="00183362">
        <w:t xml:space="preserve"> were compelled to act through decisions to identify and quantify the unexpected emissions, attribute them, and ensure that the recovery of the ozone layer was not jeopardized. Parties have adopted a number of decisions, realizing </w:t>
      </w:r>
      <w:r w:rsidRPr="00590558">
        <w:t xml:space="preserve">the importance of beginning to address the gaps in global coverage of atmospheric monitoring of controlled substances under the </w:t>
      </w:r>
      <w:r w:rsidR="00FB7C66">
        <w:t>MP</w:t>
      </w:r>
      <w:r w:rsidRPr="00590558">
        <w:t xml:space="preserve"> to ensure a sustained phaseout and phasedown is achieved. The</w:t>
      </w:r>
      <w:r w:rsidR="053293C9" w:rsidRPr="00590558">
        <w:t xml:space="preserve"> latest decision and </w:t>
      </w:r>
      <w:r w:rsidR="74A8B6C3" w:rsidRPr="00590558">
        <w:t xml:space="preserve">information </w:t>
      </w:r>
      <w:r w:rsidR="053293C9" w:rsidRPr="00590558">
        <w:t xml:space="preserve">are discussed below, and other decisions are summarised in Annex </w:t>
      </w:r>
      <w:r w:rsidR="00590558" w:rsidRPr="00590558">
        <w:t>8</w:t>
      </w:r>
      <w:r w:rsidRPr="00590558">
        <w:t>.</w:t>
      </w:r>
    </w:p>
    <w:p w14:paraId="039DA201" w14:textId="71ACFCAC" w:rsidR="00E93558" w:rsidRPr="00183362" w:rsidRDefault="00E93558" w:rsidP="007C77CF">
      <w:pPr>
        <w:pStyle w:val="Heading3"/>
      </w:pPr>
      <w:bookmarkStart w:id="344" w:name="_Toc230099152"/>
      <w:r w:rsidRPr="00183362">
        <w:t>10.2.</w:t>
      </w:r>
      <w:r w:rsidR="00D51621">
        <w:t>1</w:t>
      </w:r>
      <w:r w:rsidRPr="00183362">
        <w:tab/>
        <w:t>Decision XXXVI/1: Enhancing regional atmospheric monitoring of substances controlled by the Montreal Protocol on Substances that Deplete the Ozone Layer (2024)</w:t>
      </w:r>
      <w:bookmarkEnd w:id="344"/>
    </w:p>
    <w:p w14:paraId="515CBB7B" w14:textId="6A32D8BC" w:rsidR="00E93558" w:rsidRPr="00183362" w:rsidRDefault="00E93558" w:rsidP="00E93558">
      <w:r w:rsidRPr="00183362">
        <w:t xml:space="preserve">At </w:t>
      </w:r>
      <w:r w:rsidR="00642512">
        <w:t>MOP-36</w:t>
      </w:r>
      <w:r w:rsidRPr="00183362">
        <w:t xml:space="preserve"> in 2024, parties adopted “Decision XXXVI/1: Enhancing regional atmospheric monitoring of substances controlled by the Montreal Protocol on Substances that Deplete the Ozone Layer” which included the following:</w:t>
      </w:r>
    </w:p>
    <w:p w14:paraId="01561B79" w14:textId="475B0348" w:rsidR="0094762D" w:rsidRPr="0059385A" w:rsidRDefault="00E93558" w:rsidP="0059385A">
      <w:pPr>
        <w:numPr>
          <w:ilvl w:val="0"/>
          <w:numId w:val="19"/>
        </w:numPr>
        <w:tabs>
          <w:tab w:val="clear" w:pos="0"/>
        </w:tabs>
        <w:spacing w:after="120"/>
        <w:rPr>
          <w:i/>
          <w:iCs/>
        </w:rPr>
      </w:pPr>
      <w:r w:rsidRPr="00F57A1B">
        <w:rPr>
          <w:i/>
          <w:iCs/>
        </w:rPr>
        <w:t>To request the Ozone Secretariat, in consultation with the Advisory Committee of the General Trust Fund for Financing Activities on Research and Systematic Observations Relevant to the Vienna Convention for the Protection of the Ozone Layer, to organize activities for the specific purpose of evaluating the suitability of potential sites for monitoring regional emissions of controlled substances with a 2025 budget line item of 400,000 United States dollars from the cash balance of the Trust Fund for the Montreal Protocol on Substances that Deplete the Ozone Layer, on an exceptional basis, and to request the Ozone Secretariat to report to the Open-ended Working Group of the Parties to the Montreal Protocol at its forty-seventh meeting and the Thirty-Seventh Meeting of the Parties to the Montreal Protocol on progress and any outcomes of those activities for review by the parties;</w:t>
      </w:r>
    </w:p>
    <w:p w14:paraId="6BD549A4" w14:textId="495C939E" w:rsidR="0094762D" w:rsidRPr="00642512" w:rsidRDefault="00E93558" w:rsidP="0059385A">
      <w:pPr>
        <w:numPr>
          <w:ilvl w:val="0"/>
          <w:numId w:val="19"/>
        </w:numPr>
        <w:tabs>
          <w:tab w:val="clear" w:pos="0"/>
        </w:tabs>
        <w:spacing w:after="120"/>
        <w:rPr>
          <w:i/>
          <w:iCs/>
        </w:rPr>
      </w:pPr>
      <w:r w:rsidRPr="00F57A1B">
        <w:rPr>
          <w:i/>
          <w:iCs/>
        </w:rPr>
        <w:t>To also request the Ozone Secretariat to support the work of the Advisory Committee of the General Trust Fund in mapping possible locations for monitoring controlled substances using existing facilities that are currently being used to monitor other substances and reaching out to other organizations to determine possible interest in coordinating monitoring or sharing monitoring facilities;</w:t>
      </w:r>
    </w:p>
    <w:p w14:paraId="7819AB8E" w14:textId="77777777" w:rsidR="00E93558" w:rsidRPr="00F57A1B" w:rsidRDefault="00E93558" w:rsidP="000E79CB">
      <w:pPr>
        <w:numPr>
          <w:ilvl w:val="0"/>
          <w:numId w:val="19"/>
        </w:numPr>
        <w:tabs>
          <w:tab w:val="clear" w:pos="0"/>
        </w:tabs>
        <w:spacing w:after="0"/>
        <w:rPr>
          <w:i/>
          <w:iCs/>
        </w:rPr>
      </w:pPr>
      <w:r w:rsidRPr="00F57A1B">
        <w:rPr>
          <w:i/>
          <w:iCs/>
        </w:rPr>
        <w:t>To invite parties to the Vienna Convention to:</w:t>
      </w:r>
    </w:p>
    <w:p w14:paraId="0BD751D0" w14:textId="77777777" w:rsidR="00E93558" w:rsidRPr="00F57A1B" w:rsidRDefault="00E93558" w:rsidP="000E79CB">
      <w:pPr>
        <w:numPr>
          <w:ilvl w:val="1"/>
          <w:numId w:val="19"/>
        </w:numPr>
        <w:tabs>
          <w:tab w:val="clear" w:pos="0"/>
        </w:tabs>
        <w:spacing w:after="0"/>
        <w:rPr>
          <w:i/>
          <w:iCs/>
        </w:rPr>
      </w:pPr>
      <w:r w:rsidRPr="00F57A1B">
        <w:rPr>
          <w:i/>
          <w:iCs/>
        </w:rPr>
        <w:t>Request the Ozone Secretariat, in consultation with the Advisory Committee of the General Trust Fund, to carry out projects to evaluate the suitability of potential sites for monitoring regional emissions of controlled substances, taking into consideration the following aspects:</w:t>
      </w:r>
    </w:p>
    <w:p w14:paraId="5E6A4957" w14:textId="77777777" w:rsidR="00E93558" w:rsidRPr="00F57A1B" w:rsidRDefault="00E93558" w:rsidP="000E79CB">
      <w:pPr>
        <w:numPr>
          <w:ilvl w:val="2"/>
          <w:numId w:val="19"/>
        </w:numPr>
        <w:tabs>
          <w:tab w:val="clear" w:pos="0"/>
        </w:tabs>
        <w:spacing w:after="0"/>
        <w:rPr>
          <w:i/>
          <w:iCs/>
        </w:rPr>
      </w:pPr>
      <w:r w:rsidRPr="00F57A1B">
        <w:rPr>
          <w:i/>
          <w:iCs/>
        </w:rPr>
        <w:t>The suitability of potential sites, in consultation with the party concerned, for providing regionally representative data covering areas in which controlled substances are produced, used or emitted in substantial volumes at measurable concentration levels, while addressing existing gaps in atmospheric monitoring and avoiding duplication with the coverage of existing and planned monitoring sites;</w:t>
      </w:r>
    </w:p>
    <w:p w14:paraId="2E8C71F6" w14:textId="77777777" w:rsidR="00E93558" w:rsidRPr="00F57A1B" w:rsidRDefault="00E93558" w:rsidP="000E79CB">
      <w:pPr>
        <w:numPr>
          <w:ilvl w:val="2"/>
          <w:numId w:val="19"/>
        </w:numPr>
        <w:tabs>
          <w:tab w:val="clear" w:pos="0"/>
        </w:tabs>
        <w:spacing w:after="0"/>
        <w:rPr>
          <w:i/>
          <w:iCs/>
        </w:rPr>
      </w:pPr>
      <w:r w:rsidRPr="00F57A1B">
        <w:rPr>
          <w:i/>
          <w:iCs/>
        </w:rPr>
        <w:lastRenderedPageBreak/>
        <w:t>The potential for partnering with scientific institutions that can provide personnel for or technical expertise in the collection, management and analysis of data or other in-kind contributions;</w:t>
      </w:r>
    </w:p>
    <w:p w14:paraId="5CFCBEA9" w14:textId="77777777" w:rsidR="00E93558" w:rsidRPr="00F57A1B" w:rsidRDefault="00E93558" w:rsidP="000E79CB">
      <w:pPr>
        <w:numPr>
          <w:ilvl w:val="2"/>
          <w:numId w:val="19"/>
        </w:numPr>
        <w:tabs>
          <w:tab w:val="clear" w:pos="0"/>
        </w:tabs>
        <w:spacing w:after="0"/>
        <w:rPr>
          <w:i/>
          <w:iCs/>
        </w:rPr>
      </w:pPr>
      <w:r w:rsidRPr="00F57A1B">
        <w:rPr>
          <w:i/>
          <w:iCs/>
        </w:rPr>
        <w:t>The potential cost savings and other benefits of relying on existing infrastructure and/or monitoring networks;</w:t>
      </w:r>
    </w:p>
    <w:p w14:paraId="672B407E" w14:textId="77777777" w:rsidR="00E93558" w:rsidRPr="00F57A1B" w:rsidRDefault="00E93558" w:rsidP="000E79CB">
      <w:pPr>
        <w:numPr>
          <w:ilvl w:val="2"/>
          <w:numId w:val="19"/>
        </w:numPr>
        <w:tabs>
          <w:tab w:val="clear" w:pos="0"/>
        </w:tabs>
        <w:spacing w:after="0"/>
        <w:rPr>
          <w:i/>
          <w:iCs/>
        </w:rPr>
      </w:pPr>
      <w:r w:rsidRPr="00F57A1B">
        <w:rPr>
          <w:i/>
          <w:iCs/>
        </w:rPr>
        <w:t>The capacity to coordinate the calibration of equipment and validation of data with other controlled substance monitoring stations and networks;</w:t>
      </w:r>
    </w:p>
    <w:p w14:paraId="01561F95" w14:textId="77777777" w:rsidR="00E93558" w:rsidRPr="00F57A1B" w:rsidRDefault="00E93558" w:rsidP="000E79CB">
      <w:pPr>
        <w:numPr>
          <w:ilvl w:val="2"/>
          <w:numId w:val="19"/>
        </w:numPr>
        <w:tabs>
          <w:tab w:val="clear" w:pos="0"/>
        </w:tabs>
        <w:spacing w:after="0"/>
        <w:rPr>
          <w:i/>
          <w:iCs/>
        </w:rPr>
      </w:pPr>
      <w:r w:rsidRPr="00F57A1B">
        <w:rPr>
          <w:i/>
          <w:iCs/>
        </w:rPr>
        <w:t>The sharing of data between monitoring stations and the potential to integrate new monitoring capability and newly obtained data into existing monitoring and data networks;</w:t>
      </w:r>
    </w:p>
    <w:p w14:paraId="600649A1" w14:textId="77777777" w:rsidR="00E93558" w:rsidRPr="00F57A1B" w:rsidRDefault="00E93558" w:rsidP="000E79CB">
      <w:pPr>
        <w:numPr>
          <w:ilvl w:val="2"/>
          <w:numId w:val="19"/>
        </w:numPr>
        <w:tabs>
          <w:tab w:val="clear" w:pos="0"/>
        </w:tabs>
        <w:spacing w:after="0"/>
        <w:rPr>
          <w:i/>
          <w:iCs/>
        </w:rPr>
      </w:pPr>
      <w:r w:rsidRPr="00F57A1B">
        <w:rPr>
          <w:i/>
          <w:iCs/>
        </w:rPr>
        <w:t>The importance of consulting with the relevant party prior to undertaking exploratory measurements at potential monitoring locations;</w:t>
      </w:r>
    </w:p>
    <w:p w14:paraId="6C438FA9" w14:textId="77777777" w:rsidR="00E93558" w:rsidRPr="00F57A1B" w:rsidRDefault="00E93558" w:rsidP="000E79CB">
      <w:pPr>
        <w:numPr>
          <w:ilvl w:val="1"/>
          <w:numId w:val="19"/>
        </w:numPr>
        <w:tabs>
          <w:tab w:val="clear" w:pos="0"/>
        </w:tabs>
        <w:spacing w:after="0"/>
        <w:rPr>
          <w:i/>
          <w:iCs/>
        </w:rPr>
      </w:pPr>
      <w:r w:rsidRPr="00F57A1B">
        <w:rPr>
          <w:i/>
          <w:iCs/>
        </w:rPr>
        <w:t>Add the atmospheric monitoring of controlled substances as a purpose of the General Trust Fund;</w:t>
      </w:r>
    </w:p>
    <w:p w14:paraId="76EB3A75" w14:textId="77777777" w:rsidR="00E93558" w:rsidRPr="00F57A1B" w:rsidRDefault="00E93558" w:rsidP="000E79CB">
      <w:pPr>
        <w:numPr>
          <w:ilvl w:val="1"/>
          <w:numId w:val="19"/>
        </w:numPr>
        <w:tabs>
          <w:tab w:val="clear" w:pos="0"/>
        </w:tabs>
        <w:spacing w:after="0"/>
        <w:rPr>
          <w:i/>
          <w:iCs/>
        </w:rPr>
      </w:pPr>
      <w:r w:rsidRPr="00F57A1B">
        <w:rPr>
          <w:i/>
          <w:iCs/>
        </w:rPr>
        <w:t>Confirm that the Advisory Committee of the General Trust Fund can include additional experts on the monitoring of controlled substances;</w:t>
      </w:r>
    </w:p>
    <w:p w14:paraId="392E8248" w14:textId="77777777" w:rsidR="00E93558" w:rsidRPr="00F57A1B" w:rsidRDefault="00E93558" w:rsidP="000E79CB">
      <w:pPr>
        <w:numPr>
          <w:ilvl w:val="1"/>
          <w:numId w:val="19"/>
        </w:numPr>
        <w:tabs>
          <w:tab w:val="clear" w:pos="0"/>
        </w:tabs>
        <w:spacing w:after="0"/>
        <w:rPr>
          <w:i/>
          <w:iCs/>
        </w:rPr>
      </w:pPr>
      <w:r w:rsidRPr="00F57A1B">
        <w:rPr>
          <w:i/>
          <w:iCs/>
        </w:rPr>
        <w:t>Entrust the Ozone Secretariat to modify the terms of reference of the General Trust Fund and of its Advisory Committee, in accordance with the present decision;</w:t>
      </w:r>
    </w:p>
    <w:p w14:paraId="1D70B173" w14:textId="02CAF311" w:rsidR="00E961A3" w:rsidRPr="0059385A" w:rsidRDefault="00E93558" w:rsidP="0059385A">
      <w:pPr>
        <w:numPr>
          <w:ilvl w:val="1"/>
          <w:numId w:val="19"/>
        </w:numPr>
        <w:tabs>
          <w:tab w:val="clear" w:pos="0"/>
        </w:tabs>
        <w:spacing w:after="120"/>
        <w:rPr>
          <w:i/>
          <w:iCs/>
        </w:rPr>
      </w:pPr>
      <w:r w:rsidRPr="00F57A1B">
        <w:rPr>
          <w:i/>
          <w:iCs/>
        </w:rPr>
        <w:t>Request the Advisory Committee of the General Trust Fund to accept guidance and to report on its progress to the Thirty-Seventh Meeting of the Parties to the Montreal Protocol and to subsequent meetings of the parties;</w:t>
      </w:r>
    </w:p>
    <w:p w14:paraId="3D3823A9" w14:textId="4BD6B905" w:rsidR="00E961A3" w:rsidRPr="0059385A" w:rsidRDefault="00E93558" w:rsidP="0059385A">
      <w:pPr>
        <w:numPr>
          <w:ilvl w:val="0"/>
          <w:numId w:val="20"/>
        </w:numPr>
        <w:tabs>
          <w:tab w:val="clear" w:pos="0"/>
        </w:tabs>
        <w:spacing w:after="120"/>
        <w:rPr>
          <w:i/>
          <w:iCs/>
        </w:rPr>
      </w:pPr>
      <w:r w:rsidRPr="00F57A1B">
        <w:rPr>
          <w:i/>
          <w:iCs/>
        </w:rPr>
        <w:t>To request the Executive Committee of the Multilateral Fund for the Implementation of the Montreal Protocol to consider a funding modality to support a limited number of pilot projects to enhance regional atmospheric monitoring of substances controlled by the Montreal Protocol, guided by the scientific advice of the Advisory Committee of the General Trust Fund in relation to the location and establishment of new monitoring facilities, and to report to the Thirty-Seventh Meeting of the Parties on work carried out to develop such a funding modality for further consideration;</w:t>
      </w:r>
    </w:p>
    <w:p w14:paraId="173AF0ED" w14:textId="77777777" w:rsidR="00E93558" w:rsidRPr="00F57A1B" w:rsidRDefault="00E93558" w:rsidP="000E79CB">
      <w:pPr>
        <w:numPr>
          <w:ilvl w:val="0"/>
          <w:numId w:val="20"/>
        </w:numPr>
        <w:tabs>
          <w:tab w:val="clear" w:pos="0"/>
        </w:tabs>
        <w:spacing w:after="0"/>
        <w:rPr>
          <w:i/>
          <w:iCs/>
        </w:rPr>
      </w:pPr>
      <w:r w:rsidRPr="00F57A1B">
        <w:rPr>
          <w:i/>
          <w:iCs/>
        </w:rPr>
        <w:t>To also request the Ozone Secretariat to provide any updates with regard to its cost estimates and options for long-term financing associated with enhancing atmospheric monitoring, as provided for under </w:t>
      </w:r>
      <w:hyperlink r:id="rId50" w:history="1">
        <w:r w:rsidRPr="00F57A1B">
          <w:rPr>
            <w:rStyle w:val="Hyperlink"/>
            <w:i/>
            <w:iCs/>
          </w:rPr>
          <w:t>decision XXXV/14</w:t>
        </w:r>
      </w:hyperlink>
      <w:r w:rsidRPr="00F57A1B">
        <w:rPr>
          <w:i/>
          <w:iCs/>
        </w:rPr>
        <w:t>, for consideration by the Thirty-Seventh Meeting of the Parties.</w:t>
      </w:r>
    </w:p>
    <w:p w14:paraId="4B397D61" w14:textId="77777777" w:rsidR="00E93558" w:rsidRDefault="00E93558" w:rsidP="00E93558"/>
    <w:p w14:paraId="4D05C3DA" w14:textId="051B50C5" w:rsidR="00F57A1B" w:rsidRPr="000B645C" w:rsidRDefault="00F57A1B" w:rsidP="007C77CF">
      <w:pPr>
        <w:pStyle w:val="Heading3"/>
      </w:pPr>
      <w:bookmarkStart w:id="345" w:name="_Toc230099153"/>
      <w:r w:rsidRPr="00183362">
        <w:t>10.2.</w:t>
      </w:r>
      <w:r>
        <w:t>2</w:t>
      </w:r>
      <w:r w:rsidRPr="00183362">
        <w:tab/>
      </w:r>
      <w:r w:rsidR="004A6E99">
        <w:t>Progress in 2025</w:t>
      </w:r>
      <w:r w:rsidR="000B645C">
        <w:t xml:space="preserve">: </w:t>
      </w:r>
      <w:r w:rsidR="00200439">
        <w:t xml:space="preserve">10 </w:t>
      </w:r>
      <w:r w:rsidR="000B645C">
        <w:t>selected locations</w:t>
      </w:r>
      <w:bookmarkEnd w:id="345"/>
    </w:p>
    <w:p w14:paraId="778BBE70" w14:textId="6303BB78" w:rsidR="00E93558" w:rsidRPr="00183362" w:rsidRDefault="04AB0B78" w:rsidP="00E93558">
      <w:r w:rsidRPr="00183362">
        <w:t xml:space="preserve">At </w:t>
      </w:r>
      <w:r w:rsidR="0059385A">
        <w:t xml:space="preserve">OEWG-46 </w:t>
      </w:r>
      <w:r w:rsidRPr="00183362">
        <w:t xml:space="preserve">in 2025, the </w:t>
      </w:r>
      <w:r w:rsidR="00185768">
        <w:t>OS</w:t>
      </w:r>
      <w:r w:rsidRPr="00183362">
        <w:t xml:space="preserve"> provided updated information</w:t>
      </w:r>
      <w:r w:rsidR="00E93558" w:rsidRPr="00183362">
        <w:rPr>
          <w:rStyle w:val="FootnoteReference"/>
        </w:rPr>
        <w:footnoteReference w:id="96"/>
      </w:r>
      <w:r w:rsidRPr="00183362">
        <w:t xml:space="preserve"> on the EU-funded pilot project that established a flask-sampling site on Bhola Island, Bangladesh. The measurement programme on Bhola Island was started in February 2023 and has successfully monitored </w:t>
      </w:r>
      <w:r w:rsidR="4D6A7B70">
        <w:t xml:space="preserve">more than </w:t>
      </w:r>
      <w:r w:rsidRPr="00183362">
        <w:t xml:space="preserve">40 </w:t>
      </w:r>
      <w:r w:rsidR="4D6A7B70">
        <w:t xml:space="preserve">halogenated </w:t>
      </w:r>
      <w:r w:rsidRPr="00183362">
        <w:t xml:space="preserve">gases (controlled substances and related gases), with the flask sampling and analysis of data being managed by the University of Bristol in collaboration with the University of Dhaka. In late 2024, the steering committee decided to extend the measurement programme until the middle of 2025 to further assess issues related to the effectiveness of sampling frequency on the accuracy of quantified regional emissions and the suitability of regional locations for the establishment of potential sampling sites. The pilot project was completed in December 2025. </w:t>
      </w:r>
    </w:p>
    <w:p w14:paraId="4715C47A" w14:textId="275817A3" w:rsidR="00E93558" w:rsidRPr="00183362" w:rsidRDefault="00E93558" w:rsidP="00B37804">
      <w:r w:rsidRPr="00183362">
        <w:t xml:space="preserve">In 2025, the steering committee identified </w:t>
      </w:r>
      <w:r w:rsidR="00294ED0">
        <w:t>10</w:t>
      </w:r>
      <w:r w:rsidRPr="00183362">
        <w:t xml:space="preserve"> locations based on an analysis of estimates of potential regional emissions (derived from information on population distribution, locations of potential emissive industries/activities and regions of high economic activity or growth) and prevailing atmospheric winds in regions currently not sampled. The identified </w:t>
      </w:r>
      <w:r w:rsidR="00E409B2">
        <w:t xml:space="preserve">and selected </w:t>
      </w:r>
      <w:r w:rsidRPr="00183362">
        <w:t>locations are</w:t>
      </w:r>
      <w:r w:rsidR="00E409B2">
        <w:t>: Southern Asia (</w:t>
      </w:r>
      <w:r w:rsidRPr="00183362">
        <w:t>India</w:t>
      </w:r>
      <w:r w:rsidR="00294ED0">
        <w:t>/Bangladesh</w:t>
      </w:r>
      <w:r w:rsidRPr="00183362">
        <w:t xml:space="preserve">), </w:t>
      </w:r>
      <w:r w:rsidR="00E409B2">
        <w:t>S</w:t>
      </w:r>
      <w:r w:rsidRPr="00183362">
        <w:t>outh-</w:t>
      </w:r>
      <w:r w:rsidR="00E409B2">
        <w:t>E</w:t>
      </w:r>
      <w:r w:rsidRPr="00183362">
        <w:t xml:space="preserve">ast Asia </w:t>
      </w:r>
      <w:r w:rsidR="00D676BA">
        <w:t>(Viet Nam)</w:t>
      </w:r>
      <w:r w:rsidR="00894CAC">
        <w:t xml:space="preserve">, </w:t>
      </w:r>
      <w:r w:rsidR="00E409B2">
        <w:t xml:space="preserve">Southern Africa (Botswana/South </w:t>
      </w:r>
      <w:r w:rsidR="00E409B2">
        <w:lastRenderedPageBreak/>
        <w:t>Africa), Middle East (Saudi Arabia), and Central/Southern South America (Brazil/Argentina). Other po</w:t>
      </w:r>
      <w:r w:rsidR="002C1509">
        <w:t>tential regions examined are: North Africa (Algeria), North America</w:t>
      </w:r>
      <w:r w:rsidR="00193658">
        <w:t xml:space="preserve"> (Mexico), Northern South America (Ecuador), Easter Europe (Russian Federation), and West Africa (Nigeria)</w:t>
      </w:r>
      <w:r w:rsidR="00772BCC">
        <w:t>.</w:t>
      </w:r>
      <w:r w:rsidRPr="00183362">
        <w:t xml:space="preserve"> Work to conduct observing system simulation experiments at the </w:t>
      </w:r>
      <w:r w:rsidR="00772BCC">
        <w:t>ten</w:t>
      </w:r>
      <w:r w:rsidRPr="00183362">
        <w:t xml:space="preserve"> locations identified by the steering committee is currently ongoing, as is work on mapping existing stations and infrastructure in those locations by the </w:t>
      </w:r>
      <w:r w:rsidR="00185768">
        <w:t>OS</w:t>
      </w:r>
      <w:r w:rsidRPr="00183362">
        <w:t>, the WMO and other partners.</w:t>
      </w:r>
    </w:p>
    <w:p w14:paraId="291F447A" w14:textId="6623C9FA" w:rsidR="00E93558" w:rsidRPr="00183362" w:rsidRDefault="04AB0B78" w:rsidP="00E93558">
      <w:r w:rsidRPr="00183362">
        <w:t xml:space="preserve">The </w:t>
      </w:r>
      <w:r w:rsidR="00185768">
        <w:t>OS</w:t>
      </w:r>
      <w:r w:rsidRPr="00183362">
        <w:t xml:space="preserve"> also reported on progress in implementing Decision XXXVI/1.</w:t>
      </w:r>
      <w:r w:rsidR="00E93558" w:rsidRPr="00183362">
        <w:rPr>
          <w:rStyle w:val="FootnoteReference"/>
        </w:rPr>
        <w:footnoteReference w:id="97"/>
      </w:r>
      <w:r w:rsidRPr="00183362">
        <w:t xml:space="preserve"> Activities included a revised structure and new members endorsed by the General Trust Fund </w:t>
      </w:r>
      <w:r w:rsidR="16C9E978">
        <w:t xml:space="preserve">(GTF) </w:t>
      </w:r>
      <w:r w:rsidRPr="00183362">
        <w:t xml:space="preserve">Advisory Committee at its seventh meeting on 6 March 2025. Work on the terms of reference of the Advisory Committee was ongoing. The decision also provided the </w:t>
      </w:r>
      <w:r w:rsidR="00185768">
        <w:t>OS</w:t>
      </w:r>
      <w:r w:rsidRPr="00183362">
        <w:t xml:space="preserve"> with a 2025 budget line item of $400,000 from the cash balance of the Trust Fund for the </w:t>
      </w:r>
      <w:r w:rsidR="00FB7C66">
        <w:t>MP</w:t>
      </w:r>
      <w:r w:rsidRPr="00183362">
        <w:t>, on an exceptional basis, to organize activities for the specific purpose of evaluating the suitability of potential sites for monitoring regional emissions of controlled substances. Part of this funding also supported the development of the 2024 costing model and its further refinement in 2025. Based on various inputs, the model calculates the annual breakdown of estimated capital and operational costs with their low and high range of values reflecting costs of establishing and operating one monitoring site across different regions in the world.</w:t>
      </w:r>
    </w:p>
    <w:p w14:paraId="1AD06143" w14:textId="773BC2DB" w:rsidR="00200439" w:rsidRPr="000B645C" w:rsidRDefault="00200439" w:rsidP="007C77CF">
      <w:pPr>
        <w:pStyle w:val="Heading3"/>
      </w:pPr>
      <w:bookmarkStart w:id="346" w:name="_Toc230099154"/>
      <w:r w:rsidRPr="00183362">
        <w:t>10.2.</w:t>
      </w:r>
      <w:r>
        <w:t>3</w:t>
      </w:r>
      <w:r w:rsidRPr="00183362">
        <w:tab/>
      </w:r>
      <w:r>
        <w:t>Cost estimate</w:t>
      </w:r>
      <w:r w:rsidR="00CB3E5B">
        <w:t xml:space="preserve"> modelling</w:t>
      </w:r>
      <w:bookmarkEnd w:id="346"/>
    </w:p>
    <w:p w14:paraId="2F92D317" w14:textId="78926146" w:rsidR="00E93558" w:rsidRPr="00183362" w:rsidRDefault="04AB0B78" w:rsidP="00E93558">
      <w:r w:rsidRPr="00183362">
        <w:t xml:space="preserve">At </w:t>
      </w:r>
      <w:r w:rsidR="0059385A">
        <w:t xml:space="preserve">MOP-37 </w:t>
      </w:r>
      <w:r w:rsidRPr="00183362">
        <w:t xml:space="preserve">in 2025, the </w:t>
      </w:r>
      <w:r w:rsidR="00185768">
        <w:t>OS</w:t>
      </w:r>
      <w:r w:rsidRPr="00183362">
        <w:t xml:space="preserve"> reported on further progress in implementing Decision XXXVI/1 in an addendum</w:t>
      </w:r>
      <w:r w:rsidR="00E93558" w:rsidRPr="00183362">
        <w:rPr>
          <w:rStyle w:val="FootnoteReference"/>
        </w:rPr>
        <w:footnoteReference w:id="98"/>
      </w:r>
      <w:r w:rsidRPr="00183362">
        <w:t xml:space="preserve"> to its note and provided a document, “Updates to the cost estimates associated with enhancing regional atmospheric monitoring of substances controlled by the Montreal Protocol,”</w:t>
      </w:r>
      <w:r w:rsidR="00E93558" w:rsidRPr="00183362">
        <w:rPr>
          <w:rStyle w:val="FootnoteReference"/>
        </w:rPr>
        <w:footnoteReference w:id="99"/>
      </w:r>
      <w:r w:rsidRPr="00183362">
        <w:t xml:space="preserve"> which updated its cost model for 2025 to be more realistic using a phased monitoring approach with the following steps:</w:t>
      </w:r>
    </w:p>
    <w:p w14:paraId="2EB8D9DF" w14:textId="77777777" w:rsidR="00E93558" w:rsidRDefault="00E93558" w:rsidP="005B0009">
      <w:pPr>
        <w:spacing w:after="0"/>
        <w:ind w:left="360"/>
        <w:contextualSpacing/>
      </w:pPr>
      <w:r w:rsidRPr="00487BDD">
        <w:rPr>
          <w:b/>
          <w:bCs/>
        </w:rPr>
        <w:t>Step 1</w:t>
      </w:r>
      <w:r w:rsidRPr="00183362">
        <w:t xml:space="preserve">: Observing System Simulation Experiments analysis to assess site suitability on the basis of atmospheric transport patterns; </w:t>
      </w:r>
    </w:p>
    <w:p w14:paraId="07CE9A26" w14:textId="77777777" w:rsidR="00487BDD" w:rsidRPr="00183362" w:rsidRDefault="00487BDD" w:rsidP="005B0009">
      <w:pPr>
        <w:spacing w:after="160"/>
        <w:ind w:left="360"/>
        <w:contextualSpacing/>
      </w:pPr>
    </w:p>
    <w:p w14:paraId="048B028D" w14:textId="77777777" w:rsidR="00E93558" w:rsidRPr="00183362" w:rsidRDefault="00E93558" w:rsidP="005B0009">
      <w:pPr>
        <w:spacing w:after="160"/>
        <w:ind w:left="360"/>
        <w:contextualSpacing/>
      </w:pPr>
      <w:r w:rsidRPr="00487BDD">
        <w:rPr>
          <w:b/>
          <w:bCs/>
        </w:rPr>
        <w:t>Step 2</w:t>
      </w:r>
      <w:r w:rsidRPr="00183362">
        <w:t>: after the selection of a site based on the Observing System Simulation Experiments analysis, start of the measurement programme with a survey period for the collection of six months’ worth of data through flask sampling at a frequency of two samples per week (approximately 60 samples, including some duplicate samples to check reproducibility) to verify operability, site representativeness and basic logistics;</w:t>
      </w:r>
    </w:p>
    <w:p w14:paraId="3B8D6CBE" w14:textId="77777777" w:rsidR="00487BDD" w:rsidRDefault="00487BDD" w:rsidP="005B0009">
      <w:pPr>
        <w:spacing w:after="160"/>
        <w:ind w:left="360"/>
        <w:contextualSpacing/>
      </w:pPr>
    </w:p>
    <w:p w14:paraId="63ED9A16" w14:textId="1BFC5D21" w:rsidR="00E93558" w:rsidRDefault="00E93558" w:rsidP="005B0009">
      <w:pPr>
        <w:spacing w:after="160"/>
        <w:ind w:left="360"/>
        <w:contextualSpacing/>
      </w:pPr>
      <w:r w:rsidRPr="00487BDD">
        <w:rPr>
          <w:b/>
          <w:bCs/>
        </w:rPr>
        <w:t>Step 3</w:t>
      </w:r>
      <w:r w:rsidRPr="00183362">
        <w:t>: subject to satisfactory performance after the survey period, continue the measurement programme with flask sampling for two years at a frequency of every two days (approximately 200 samples per year), regarded by Advisory Committee experts as the default operational setting in view of the need for balance between data value and cost/logistics;</w:t>
      </w:r>
    </w:p>
    <w:p w14:paraId="57E39FD2" w14:textId="77777777" w:rsidR="00487BDD" w:rsidRPr="00183362" w:rsidRDefault="00487BDD" w:rsidP="00487BDD">
      <w:pPr>
        <w:spacing w:after="160" w:line="278" w:lineRule="auto"/>
        <w:ind w:left="360"/>
        <w:contextualSpacing/>
      </w:pPr>
    </w:p>
    <w:p w14:paraId="2D3D270B" w14:textId="77777777" w:rsidR="00E93558" w:rsidRDefault="00E93558" w:rsidP="00BD3805">
      <w:pPr>
        <w:spacing w:after="160"/>
        <w:ind w:left="360"/>
        <w:contextualSpacing/>
      </w:pPr>
      <w:r w:rsidRPr="00487BDD">
        <w:rPr>
          <w:b/>
          <w:bCs/>
        </w:rPr>
        <w:t>Step 4</w:t>
      </w:r>
      <w:r w:rsidRPr="00183362">
        <w:t>: transition to high-frequency in situ measurements (approximately 4,400 samples per year) or daily flask sampling (approximately 440 samples per year), provided that the programme objectives have been justified during the survey and the two-year flask sampling period (steps 2 and 3).</w:t>
      </w:r>
    </w:p>
    <w:p w14:paraId="5737FFEA" w14:textId="77777777" w:rsidR="00487BDD" w:rsidRPr="00183362" w:rsidRDefault="00487BDD" w:rsidP="00487BDD">
      <w:pPr>
        <w:spacing w:after="160" w:line="278" w:lineRule="auto"/>
        <w:ind w:left="360"/>
        <w:contextualSpacing/>
      </w:pPr>
    </w:p>
    <w:p w14:paraId="1E0F9DCD" w14:textId="52772743" w:rsidR="00E93558" w:rsidRPr="00183362" w:rsidRDefault="00E93558" w:rsidP="005B0009">
      <w:r w:rsidRPr="00183362">
        <w:t xml:space="preserve">The paper considers nine cost categories considered for the establishment and operation of a measurement programme at a site. A short description of all nine cost categories along with key revisions made per category are provided and are further disaggregated to a total of 36 cost items, with </w:t>
      </w:r>
      <w:r w:rsidRPr="00183362">
        <w:lastRenderedPageBreak/>
        <w:t>the corresponding low- and high-cost ranges of capital and operational costs. The revised 2025 capital and operating cost estimates for a measurement programme resulting in the establishment and operation of a high-frequency in situ station or a daily manual flask-sampling station at one monitoring site over a five-year period were presented:</w:t>
      </w:r>
    </w:p>
    <w:p w14:paraId="58257BEA" w14:textId="77777777" w:rsidR="00E93558" w:rsidRPr="00183362" w:rsidRDefault="00E93558" w:rsidP="000E79CB">
      <w:pPr>
        <w:pStyle w:val="ListParagraph"/>
        <w:numPr>
          <w:ilvl w:val="0"/>
          <w:numId w:val="26"/>
        </w:numPr>
        <w:spacing w:after="160"/>
        <w:contextualSpacing/>
      </w:pPr>
      <w:r w:rsidRPr="00183362">
        <w:t>High-frequency in situ station over a five-year period: US$ 1.082 million to US$ 2.437 million</w:t>
      </w:r>
    </w:p>
    <w:p w14:paraId="310FB3EC" w14:textId="77777777" w:rsidR="00E93558" w:rsidRPr="00183362" w:rsidRDefault="00E93558" w:rsidP="000E79CB">
      <w:pPr>
        <w:pStyle w:val="ListParagraph"/>
        <w:numPr>
          <w:ilvl w:val="0"/>
          <w:numId w:val="26"/>
        </w:numPr>
        <w:spacing w:after="160"/>
        <w:contextualSpacing/>
      </w:pPr>
      <w:r w:rsidRPr="00183362">
        <w:t xml:space="preserve">Daily manual flask sampling station over a five-year period: US$ 548,400 to US$ 1,432,800. </w:t>
      </w:r>
    </w:p>
    <w:p w14:paraId="42763E80" w14:textId="560F25A8" w:rsidR="00E93558" w:rsidRPr="00183362" w:rsidRDefault="04AB0B78" w:rsidP="00E93558">
      <w:r w:rsidRPr="00183362">
        <w:t xml:space="preserve">As reported by the </w:t>
      </w:r>
      <w:r w:rsidR="00185768">
        <w:t>OS</w:t>
      </w:r>
      <w:r w:rsidRPr="00183362">
        <w:t xml:space="preserve"> at </w:t>
      </w:r>
      <w:r w:rsidR="008A0F58">
        <w:t>MOP-37</w:t>
      </w:r>
      <w:r w:rsidRPr="00183362">
        <w:t>,</w:t>
      </w:r>
      <w:r w:rsidR="00E93558" w:rsidRPr="00183362">
        <w:rPr>
          <w:vertAlign w:val="superscript"/>
        </w:rPr>
        <w:footnoteReference w:id="100"/>
      </w:r>
      <w:r w:rsidRPr="00183362">
        <w:t xml:space="preserve"> the status of existing and potential financial options that are currently available to support work on atmospheric monitoring of controlled substances are the following:</w:t>
      </w:r>
    </w:p>
    <w:p w14:paraId="7144CB66" w14:textId="1BA779EE" w:rsidR="00E93558" w:rsidRPr="00183362" w:rsidRDefault="002B0672" w:rsidP="000E79CB">
      <w:pPr>
        <w:numPr>
          <w:ilvl w:val="0"/>
          <w:numId w:val="24"/>
        </w:numPr>
        <w:tabs>
          <w:tab w:val="clear" w:pos="0"/>
        </w:tabs>
        <w:spacing w:after="160"/>
      </w:pPr>
      <w:r>
        <w:rPr>
          <w:b/>
          <w:bCs/>
        </w:rPr>
        <w:t xml:space="preserve">Pending </w:t>
      </w:r>
      <w:r w:rsidR="00E93558" w:rsidRPr="00183362">
        <w:rPr>
          <w:b/>
          <w:bCs/>
        </w:rPr>
        <w:t>EU grant to the</w:t>
      </w:r>
      <w:r w:rsidR="00D315D5">
        <w:rPr>
          <w:b/>
          <w:bCs/>
        </w:rPr>
        <w:t xml:space="preserve"> GTF</w:t>
      </w:r>
      <w:r w:rsidR="00E93558" w:rsidRPr="00183362">
        <w:rPr>
          <w:b/>
          <w:bCs/>
        </w:rPr>
        <w:t xml:space="preserve"> (€ 4.5 million, or approximately US$ 5.2 million)</w:t>
      </w:r>
      <w:r w:rsidR="00E93558" w:rsidRPr="00183362">
        <w:t xml:space="preserve">. Assuming that the grant is approved in the first half of 2026, it is expected to support: </w:t>
      </w:r>
    </w:p>
    <w:p w14:paraId="773BFC44" w14:textId="77777777" w:rsidR="00E93558" w:rsidRPr="00183362" w:rsidRDefault="00E93558" w:rsidP="000E79CB">
      <w:pPr>
        <w:numPr>
          <w:ilvl w:val="1"/>
          <w:numId w:val="24"/>
        </w:numPr>
        <w:tabs>
          <w:tab w:val="clear" w:pos="0"/>
        </w:tabs>
        <w:spacing w:after="0"/>
      </w:pPr>
      <w:r w:rsidRPr="00183362">
        <w:t>Work regarding site selection for three selected locations (i.e. Observing System Simulation Experiments), in 2026, estimated to last about six months. Although experiments have already been carried out for 10 locations under the EU-funded pilot project, a decision on the exact location of a site, in consultation with the host country, may require additional experiments;</w:t>
      </w:r>
    </w:p>
    <w:p w14:paraId="5349B26A" w14:textId="77777777" w:rsidR="00E93558" w:rsidRPr="00183362" w:rsidRDefault="00E93558" w:rsidP="000E79CB">
      <w:pPr>
        <w:numPr>
          <w:ilvl w:val="1"/>
          <w:numId w:val="24"/>
        </w:numPr>
        <w:tabs>
          <w:tab w:val="clear" w:pos="0"/>
        </w:tabs>
        <w:spacing w:after="0"/>
      </w:pPr>
      <w:r w:rsidRPr="00183362">
        <w:t>Survey sampling for six months’ worth of data at the three selected sites to ensure their suitability;</w:t>
      </w:r>
    </w:p>
    <w:p w14:paraId="4D4E7422" w14:textId="77777777" w:rsidR="00E93558" w:rsidRPr="00183362" w:rsidRDefault="00E93558" w:rsidP="000E79CB">
      <w:pPr>
        <w:numPr>
          <w:ilvl w:val="1"/>
          <w:numId w:val="24"/>
        </w:numPr>
        <w:tabs>
          <w:tab w:val="clear" w:pos="0"/>
        </w:tabs>
        <w:spacing w:after="0"/>
      </w:pPr>
      <w:r w:rsidRPr="00183362">
        <w:t>Flask sampling every other day for two years at the three selected sites, or possible early transition to the establishment of a high-frequency in situ station if one of the sites is found to be exceptionally good;</w:t>
      </w:r>
    </w:p>
    <w:p w14:paraId="3EE904C9" w14:textId="21DF3F19" w:rsidR="00F815A8" w:rsidRPr="00183362" w:rsidRDefault="00E93558" w:rsidP="0094694A">
      <w:pPr>
        <w:numPr>
          <w:ilvl w:val="1"/>
          <w:numId w:val="24"/>
        </w:numPr>
        <w:tabs>
          <w:tab w:val="clear" w:pos="0"/>
        </w:tabs>
        <w:spacing w:after="120"/>
      </w:pPr>
      <w:r w:rsidRPr="00183362">
        <w:t>Continuation of the measurement programme (through high-frequency in situ or daily flask sampling) subject to the availability of the grant funds;</w:t>
      </w:r>
    </w:p>
    <w:p w14:paraId="45F5B9A2" w14:textId="50CFFCB5" w:rsidR="00E93558" w:rsidRPr="00183362" w:rsidRDefault="002B0672" w:rsidP="0094694A">
      <w:pPr>
        <w:numPr>
          <w:ilvl w:val="0"/>
          <w:numId w:val="24"/>
        </w:numPr>
        <w:tabs>
          <w:tab w:val="clear" w:pos="0"/>
        </w:tabs>
        <w:spacing w:after="200"/>
      </w:pPr>
      <w:r>
        <w:rPr>
          <w:b/>
          <w:bCs/>
        </w:rPr>
        <w:t>Possible f</w:t>
      </w:r>
      <w:r w:rsidR="00E93558" w:rsidRPr="00183362">
        <w:rPr>
          <w:b/>
          <w:bCs/>
        </w:rPr>
        <w:t>unding window under the MLF</w:t>
      </w:r>
      <w:r w:rsidR="00E93558" w:rsidRPr="00183362">
        <w:t>. In line with paragraph (c) of Decision 96/56, the ExCom</w:t>
      </w:r>
      <w:r w:rsidR="0094694A">
        <w:t xml:space="preserve"> </w:t>
      </w:r>
      <w:r w:rsidR="00E93558" w:rsidRPr="00183362">
        <w:t xml:space="preserve">will consider establishing a funding window for three pilot projects to enhance regional atmospheric monitoring of controlled substances at </w:t>
      </w:r>
      <w:r w:rsidR="008A0F58">
        <w:t>ExCom-98</w:t>
      </w:r>
      <w:r w:rsidR="00E93558" w:rsidRPr="00183362">
        <w:t xml:space="preserve"> in June 2026.</w:t>
      </w:r>
    </w:p>
    <w:p w14:paraId="7EDF68A5" w14:textId="48D9DF6B" w:rsidR="00E93558" w:rsidRPr="00183362" w:rsidRDefault="04AB0B78" w:rsidP="00E93558">
      <w:r w:rsidRPr="00183362">
        <w:t xml:space="preserve">A representative of the </w:t>
      </w:r>
      <w:r w:rsidR="00185768">
        <w:t>OS</w:t>
      </w:r>
      <w:r w:rsidRPr="00183362">
        <w:t xml:space="preserve"> and of the Advisory Committee of the </w:t>
      </w:r>
      <w:r w:rsidR="16C9E978">
        <w:t xml:space="preserve">GTF </w:t>
      </w:r>
      <w:r w:rsidRPr="00183362">
        <w:t xml:space="preserve">presented their progress relevant to Decision XXXVI/1 at the high-level segment of </w:t>
      </w:r>
      <w:r w:rsidR="003757FB">
        <w:t>MOP-37</w:t>
      </w:r>
      <w:r w:rsidRPr="00183362">
        <w:t>.</w:t>
      </w:r>
      <w:r w:rsidR="00E93558" w:rsidRPr="00183362">
        <w:rPr>
          <w:rStyle w:val="FootnoteReference"/>
        </w:rPr>
        <w:footnoteReference w:id="101"/>
      </w:r>
    </w:p>
    <w:p w14:paraId="5BBE7840" w14:textId="7C40165C" w:rsidR="00E93558" w:rsidRPr="00183362" w:rsidRDefault="00E93558" w:rsidP="007C77CF">
      <w:pPr>
        <w:pStyle w:val="Heading3"/>
      </w:pPr>
      <w:bookmarkStart w:id="347" w:name="_Toc230099155"/>
      <w:r w:rsidRPr="00183362">
        <w:t>10.2.</w:t>
      </w:r>
      <w:r w:rsidR="00B53EA7">
        <w:t>4</w:t>
      </w:r>
      <w:r w:rsidRPr="00183362">
        <w:tab/>
        <w:t>Relevant Executive Committee decisions</w:t>
      </w:r>
      <w:bookmarkEnd w:id="347"/>
    </w:p>
    <w:p w14:paraId="35182843" w14:textId="1FC7CA0C" w:rsidR="00E93558" w:rsidRPr="00183362" w:rsidRDefault="00E93558" w:rsidP="00E93558">
      <w:r w:rsidRPr="00183362">
        <w:t>In paragraph 4 of its decision XXXVI/1, the 36</w:t>
      </w:r>
      <w:r w:rsidRPr="00183362">
        <w:rPr>
          <w:vertAlign w:val="superscript"/>
        </w:rPr>
        <w:t>th</w:t>
      </w:r>
      <w:r w:rsidRPr="00183362">
        <w:t xml:space="preserve"> MOP requested the </w:t>
      </w:r>
      <w:r w:rsidR="00AF291D">
        <w:t>ExCom</w:t>
      </w:r>
      <w:r w:rsidRPr="00183362">
        <w:t xml:space="preserve"> “to consider a funding modality to support a limited number of pilot projects to enhance regional atmospheric monitoring of substances controlled by the Montreal Protocol, guided by the scientific advice of the Advisory Committee of the </w:t>
      </w:r>
      <w:r w:rsidR="00180FD2">
        <w:t>[</w:t>
      </w:r>
      <w:r w:rsidR="00D315D5">
        <w:t>GTF</w:t>
      </w:r>
      <w:r w:rsidR="00180FD2">
        <w:t>]</w:t>
      </w:r>
      <w:r w:rsidRPr="00183362">
        <w:t xml:space="preserve"> in relation to the location and establishment of new monitoring facilities, and to report to the </w:t>
      </w:r>
      <w:r w:rsidR="00180FD2">
        <w:t>[</w:t>
      </w:r>
      <w:r w:rsidR="00D315D5">
        <w:t>37</w:t>
      </w:r>
      <w:r w:rsidR="00D315D5" w:rsidRPr="00D315D5">
        <w:rPr>
          <w:vertAlign w:val="superscript"/>
        </w:rPr>
        <w:t>th</w:t>
      </w:r>
      <w:r w:rsidR="00D315D5">
        <w:t xml:space="preserve"> </w:t>
      </w:r>
      <w:r w:rsidR="00180FD2">
        <w:t>MOP]</w:t>
      </w:r>
      <w:r w:rsidRPr="00183362">
        <w:t xml:space="preserve"> on work carried out to develop such a funding modality for further consideration.” </w:t>
      </w:r>
    </w:p>
    <w:p w14:paraId="7ACD5339" w14:textId="379287DF" w:rsidR="00E93558" w:rsidRPr="00183362" w:rsidRDefault="00E93558" w:rsidP="00E93558">
      <w:pPr>
        <w:pStyle w:val="Heading4"/>
        <w:rPr>
          <w:b w:val="0"/>
          <w:bCs w:val="0"/>
        </w:rPr>
      </w:pPr>
      <w:r>
        <w:rPr>
          <w:bCs w:val="0"/>
        </w:rPr>
        <w:t>10.2.</w:t>
      </w:r>
      <w:r w:rsidR="00B53EA7">
        <w:rPr>
          <w:bCs w:val="0"/>
        </w:rPr>
        <w:t>4</w:t>
      </w:r>
      <w:r>
        <w:rPr>
          <w:bCs w:val="0"/>
        </w:rPr>
        <w:t xml:space="preserve">.1 </w:t>
      </w:r>
      <w:r w:rsidRPr="00183362">
        <w:rPr>
          <w:bCs w:val="0"/>
        </w:rPr>
        <w:t>Decision 95/97</w:t>
      </w:r>
    </w:p>
    <w:p w14:paraId="31FEBD73" w14:textId="3355591A" w:rsidR="00E93558" w:rsidRPr="00183362" w:rsidRDefault="04AB0B78" w:rsidP="00E93558">
      <w:r w:rsidRPr="00183362">
        <w:t xml:space="preserve">At </w:t>
      </w:r>
      <w:r w:rsidR="003757FB">
        <w:t xml:space="preserve">ExCom-95 </w:t>
      </w:r>
      <w:r w:rsidRPr="00183362">
        <w:t>in December 2024, the ExCom adopted Decision 95/97</w:t>
      </w:r>
      <w:r w:rsidR="00E93558" w:rsidRPr="00183362">
        <w:rPr>
          <w:rStyle w:val="FootnoteReference"/>
        </w:rPr>
        <w:footnoteReference w:id="102"/>
      </w:r>
      <w:r w:rsidRPr="00183362">
        <w:t xml:space="preserve"> requesting the MLFS “to prepare a paper for the 96th meeting on options for a funding modality as referred to in paragraph 4 of decision XXXVI/1 to support a limited number of pilot projects to enhance regional atmospheric monitoring of substances controlled by the Montreal Protocol, guided by the scientific advice of the </w:t>
      </w:r>
      <w:r w:rsidRPr="00183362">
        <w:lastRenderedPageBreak/>
        <w:t xml:space="preserve">Advisory Committee of the General Trust Fund for Financing Activities on Research and Systematic Observations Relevant to the Vienna Convention in relation to the location and establishment of new monitoring facilities.” </w:t>
      </w:r>
    </w:p>
    <w:p w14:paraId="378E93A4" w14:textId="72FE6E6F" w:rsidR="00E93558" w:rsidRPr="00183362" w:rsidRDefault="04AB0B78" w:rsidP="00E074DE">
      <w:r w:rsidRPr="00183362">
        <w:t>In response to ExCom Decision 95/97, the MLFS prepared a paper, “Options for a funding modality as referred to in paragraph 4 of Decision XXXVI/1 to support a limited number of pilot projects to enhance regional atmospheric monitoring of substances controlled by the Montreal Protocol.”</w:t>
      </w:r>
      <w:r w:rsidR="00E93558" w:rsidRPr="00183362">
        <w:rPr>
          <w:rStyle w:val="FootnoteReference"/>
        </w:rPr>
        <w:footnoteReference w:id="103"/>
      </w:r>
      <w:r w:rsidRPr="00183362">
        <w:t xml:space="preserve"> </w:t>
      </w:r>
    </w:p>
    <w:p w14:paraId="73C2C2BB" w14:textId="0CDA6D22" w:rsidR="00E93558" w:rsidRPr="00183362" w:rsidRDefault="00E93558" w:rsidP="00E93558">
      <w:r w:rsidRPr="00183362">
        <w:t xml:space="preserve">The paper considers establishing funding window for pilot projects to gain experience with these kinds of activities. Specifically, a funding window of US$10 million could support the establishment and operation of three pilot regional atmospheric monitoring stations for five years, with the possibility of augmenting the funding window at a future meeting. The indicative costs include the following and </w:t>
      </w:r>
      <w:r w:rsidR="009403E9">
        <w:t>summarised</w:t>
      </w:r>
      <w:r w:rsidRPr="00183362">
        <w:t xml:space="preserve"> in Table 10.</w:t>
      </w:r>
      <w:r w:rsidR="002874AB">
        <w:t>2</w:t>
      </w:r>
      <w:r w:rsidRPr="00183362">
        <w:t>:</w:t>
      </w:r>
    </w:p>
    <w:p w14:paraId="11B57D11" w14:textId="77777777" w:rsidR="00E93558" w:rsidRPr="00183362" w:rsidRDefault="00E93558" w:rsidP="000E79CB">
      <w:pPr>
        <w:pStyle w:val="ListParagraph"/>
        <w:numPr>
          <w:ilvl w:val="0"/>
          <w:numId w:val="22"/>
        </w:numPr>
        <w:spacing w:after="160"/>
        <w:contextualSpacing/>
      </w:pPr>
      <w:r w:rsidRPr="00183362">
        <w:rPr>
          <w:b/>
          <w:bCs/>
        </w:rPr>
        <w:t>Project preparation costs</w:t>
      </w:r>
      <w:r w:rsidRPr="00183362">
        <w:t xml:space="preserve">: for each of the three monitoring sites, a two-year flask sampling survey (US $250,000), possible travel of an Advisory Committee member (US $10,000), and preparation of a site-specific proposal based inter alia on the results of the survey (US $150,000), resulting in </w:t>
      </w:r>
      <w:r w:rsidRPr="00183362">
        <w:rPr>
          <w:b/>
          <w:bCs/>
        </w:rPr>
        <w:t>total preparation costs of US $1,230,000</w:t>
      </w:r>
      <w:r w:rsidRPr="00183362">
        <w:t xml:space="preserve">; </w:t>
      </w:r>
    </w:p>
    <w:p w14:paraId="7A8BB5D6" w14:textId="77777777" w:rsidR="00E93558" w:rsidRPr="00183362" w:rsidRDefault="00E93558" w:rsidP="000E79CB">
      <w:pPr>
        <w:pStyle w:val="ListParagraph"/>
        <w:numPr>
          <w:ilvl w:val="0"/>
          <w:numId w:val="22"/>
        </w:numPr>
        <w:spacing w:after="160"/>
        <w:contextualSpacing/>
      </w:pPr>
      <w:r w:rsidRPr="00183362">
        <w:rPr>
          <w:b/>
          <w:bCs/>
        </w:rPr>
        <w:t>Establishment and operation of three stations</w:t>
      </w:r>
      <w:r w:rsidRPr="00183362">
        <w:t xml:space="preserve">: The costs to establish three high-frequency monitoring stations and operate those stations for five years based on the estimates provided in table 1 of document UNEP/OzL.Pro.WG.1/46/2/Add.1, assuming two of those stations would be at sites where existing infrastructure already exists, and including annual personnel costs (including overhead) per station of US $100,000, and 10 per cent contingency, resulting in costs of </w:t>
      </w:r>
      <w:r w:rsidRPr="00183362">
        <w:rPr>
          <w:b/>
          <w:bCs/>
        </w:rPr>
        <w:t>US $4,675,000 for three stations</w:t>
      </w:r>
      <w:r w:rsidRPr="00183362">
        <w:t xml:space="preserve">; </w:t>
      </w:r>
    </w:p>
    <w:p w14:paraId="5CCBC994" w14:textId="77777777" w:rsidR="00E93558" w:rsidRPr="00183362" w:rsidRDefault="00E93558" w:rsidP="000E79CB">
      <w:pPr>
        <w:pStyle w:val="ListParagraph"/>
        <w:numPr>
          <w:ilvl w:val="0"/>
          <w:numId w:val="22"/>
        </w:numPr>
        <w:spacing w:after="160"/>
        <w:contextualSpacing/>
      </w:pPr>
      <w:r w:rsidRPr="00183362">
        <w:rPr>
          <w:b/>
          <w:bCs/>
        </w:rPr>
        <w:t>Training and technical assistance at three stations</w:t>
      </w:r>
      <w:r w:rsidRPr="00183362">
        <w:t xml:space="preserve">: annual trainings and technical assistance of US $30,000 per station, per year, resulting in costs of </w:t>
      </w:r>
      <w:r w:rsidRPr="00183362">
        <w:rPr>
          <w:b/>
          <w:bCs/>
        </w:rPr>
        <w:t>US $450,000 for three stations over five years</w:t>
      </w:r>
      <w:r w:rsidRPr="00183362">
        <w:t xml:space="preserve">; </w:t>
      </w:r>
    </w:p>
    <w:p w14:paraId="11010FE8" w14:textId="77777777" w:rsidR="00E93558" w:rsidRPr="00183362" w:rsidRDefault="00E93558" w:rsidP="000E79CB">
      <w:pPr>
        <w:pStyle w:val="ListParagraph"/>
        <w:numPr>
          <w:ilvl w:val="0"/>
          <w:numId w:val="22"/>
        </w:numPr>
        <w:spacing w:after="160"/>
        <w:contextualSpacing/>
      </w:pPr>
      <w:r w:rsidRPr="00183362">
        <w:rPr>
          <w:b/>
          <w:bCs/>
        </w:rPr>
        <w:t>Technical assistance for data storage and data management:</w:t>
      </w:r>
      <w:r w:rsidRPr="00183362">
        <w:t xml:space="preserve"> US $150,000 for each site to build capacity for data archiving and stewardship protocols, and to assist sites to make their data available according to FAIR data principle, resulting in costs of </w:t>
      </w:r>
      <w:r w:rsidRPr="00183362">
        <w:rPr>
          <w:b/>
          <w:bCs/>
        </w:rPr>
        <w:t>US $450,000 for three stations</w:t>
      </w:r>
      <w:r w:rsidRPr="00183362">
        <w:t xml:space="preserve">; </w:t>
      </w:r>
    </w:p>
    <w:p w14:paraId="70CBE24A" w14:textId="625C9283" w:rsidR="00E93558" w:rsidRPr="00183362" w:rsidRDefault="00E93558" w:rsidP="000E79CB">
      <w:pPr>
        <w:pStyle w:val="ListParagraph"/>
        <w:numPr>
          <w:ilvl w:val="0"/>
          <w:numId w:val="22"/>
        </w:numPr>
        <w:spacing w:after="160"/>
        <w:contextualSpacing/>
      </w:pPr>
      <w:r w:rsidRPr="00183362">
        <w:rPr>
          <w:b/>
          <w:bCs/>
        </w:rPr>
        <w:t>Flask sampling support to one region</w:t>
      </w:r>
      <w:r w:rsidRPr="00183362">
        <w:t xml:space="preserve">: to build capacity of </w:t>
      </w:r>
      <w:r w:rsidR="00F05ED5">
        <w:t>A5</w:t>
      </w:r>
      <w:r w:rsidRPr="00183362">
        <w:t xml:space="preserve"> countries in one region, US $175,000 per year to support to a regional laboratory to analyze samples from countries in the region, and US $500,000 to support periodic flask sampling in five countries in that region, resulting in costs of </w:t>
      </w:r>
      <w:r w:rsidRPr="00183362">
        <w:rPr>
          <w:b/>
          <w:bCs/>
        </w:rPr>
        <w:t>US $1,375,000 for periodic flask sampling in five countries over five years</w:t>
      </w:r>
      <w:r w:rsidRPr="00183362">
        <w:t>;</w:t>
      </w:r>
    </w:p>
    <w:p w14:paraId="58B514C3" w14:textId="77777777" w:rsidR="00E93558" w:rsidRPr="00183362" w:rsidRDefault="00E93558" w:rsidP="000E79CB">
      <w:pPr>
        <w:pStyle w:val="ListParagraph"/>
        <w:numPr>
          <w:ilvl w:val="0"/>
          <w:numId w:val="22"/>
        </w:numPr>
        <w:spacing w:after="160"/>
        <w:contextualSpacing/>
      </w:pPr>
      <w:r w:rsidRPr="00183362">
        <w:rPr>
          <w:b/>
          <w:bCs/>
        </w:rPr>
        <w:t>Support for calibration standards, measurement support software and an international conference on lessons learned</w:t>
      </w:r>
      <w:r w:rsidRPr="00183362">
        <w:t>: technical assistance to support common calibration standards and support for an international conference to share lessons learned and best practices (</w:t>
      </w:r>
      <w:r w:rsidRPr="00183362">
        <w:rPr>
          <w:b/>
          <w:bCs/>
        </w:rPr>
        <w:t>US $1,000,000</w:t>
      </w:r>
      <w:r w:rsidRPr="00183362">
        <w:t>); and</w:t>
      </w:r>
    </w:p>
    <w:p w14:paraId="35EA5BA0" w14:textId="77777777" w:rsidR="00E93558" w:rsidRPr="00183362" w:rsidRDefault="00E93558" w:rsidP="000E79CB">
      <w:pPr>
        <w:pStyle w:val="ListParagraph"/>
        <w:numPr>
          <w:ilvl w:val="0"/>
          <w:numId w:val="22"/>
        </w:numPr>
        <w:spacing w:after="160" w:line="278" w:lineRule="auto"/>
        <w:contextualSpacing/>
      </w:pPr>
      <w:r w:rsidRPr="00183362">
        <w:rPr>
          <w:b/>
          <w:bCs/>
        </w:rPr>
        <w:t>Agency support costs</w:t>
      </w:r>
      <w:r w:rsidRPr="00183362">
        <w:t xml:space="preserve">: calculated at </w:t>
      </w:r>
      <w:r w:rsidRPr="00183362">
        <w:rPr>
          <w:b/>
          <w:bCs/>
        </w:rPr>
        <w:t>9</w:t>
      </w:r>
      <w:r w:rsidRPr="2B178FE1">
        <w:rPr>
          <w:b/>
          <w:bCs/>
        </w:rPr>
        <w:t>.6</w:t>
      </w:r>
      <w:r w:rsidRPr="00183362">
        <w:rPr>
          <w:b/>
          <w:bCs/>
        </w:rPr>
        <w:t xml:space="preserve"> per cent of the project costs</w:t>
      </w:r>
      <w:r w:rsidRPr="00183362">
        <w:t>.</w:t>
      </w:r>
    </w:p>
    <w:p w14:paraId="01F7E3FF" w14:textId="77777777" w:rsidR="00EA6FBC" w:rsidRDefault="00EA6FBC" w:rsidP="003C4D76">
      <w:pPr>
        <w:ind w:left="1440" w:hanging="1440"/>
        <w:rPr>
          <w:b/>
          <w:bCs/>
        </w:rPr>
      </w:pPr>
      <w:r>
        <w:rPr>
          <w:b/>
          <w:bCs/>
        </w:rPr>
        <w:br w:type="page"/>
      </w:r>
    </w:p>
    <w:p w14:paraId="7AC9DA58" w14:textId="3B2FB5C3" w:rsidR="00E93558" w:rsidRPr="00183362" w:rsidRDefault="003C4D76" w:rsidP="002135B0">
      <w:pPr>
        <w:ind w:left="1276" w:hanging="1276"/>
        <w:rPr>
          <w:b/>
          <w:bCs/>
        </w:rPr>
      </w:pPr>
      <w:r w:rsidRPr="00183362">
        <w:rPr>
          <w:b/>
          <w:bCs/>
        </w:rPr>
        <w:lastRenderedPageBreak/>
        <w:t>Table 10.</w:t>
      </w:r>
      <w:r>
        <w:rPr>
          <w:b/>
          <w:bCs/>
        </w:rPr>
        <w:t>2</w:t>
      </w:r>
      <w:r w:rsidR="00CF7258">
        <w:rPr>
          <w:b/>
          <w:bCs/>
        </w:rPr>
        <w:t>:</w:t>
      </w:r>
      <w:r w:rsidRPr="00183362">
        <w:rPr>
          <w:b/>
          <w:bCs/>
        </w:rPr>
        <w:tab/>
      </w:r>
      <w:r>
        <w:rPr>
          <w:b/>
          <w:bCs/>
        </w:rPr>
        <w:t>Indicative costs for a funding window for pilot stations and support over five years (US$)</w:t>
      </w: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000"/>
        <w:gridCol w:w="2070"/>
      </w:tblGrid>
      <w:tr w:rsidR="00E93558" w:rsidRPr="00616D91" w14:paraId="0FDDA5CF" w14:textId="77777777" w:rsidTr="00616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none" w:sz="0" w:space="0" w:color="auto"/>
            </w:tcBorders>
            <w:shd w:val="clear" w:color="auto" w:fill="EAEDF1"/>
          </w:tcPr>
          <w:p w14:paraId="2CCA5E47" w14:textId="77777777" w:rsidR="00E93558" w:rsidRPr="00616D91" w:rsidRDefault="00E93558" w:rsidP="006233FA">
            <w:pPr>
              <w:jc w:val="right"/>
            </w:pPr>
          </w:p>
        </w:tc>
        <w:tc>
          <w:tcPr>
            <w:tcW w:w="2000" w:type="dxa"/>
            <w:tcBorders>
              <w:bottom w:val="none" w:sz="0" w:space="0" w:color="auto"/>
            </w:tcBorders>
            <w:shd w:val="clear" w:color="auto" w:fill="EAEDF1"/>
            <w:vAlign w:val="center"/>
          </w:tcPr>
          <w:p w14:paraId="6A8F8A74" w14:textId="77777777" w:rsidR="00E93558" w:rsidRPr="00616D91" w:rsidRDefault="00E93558" w:rsidP="00C77A43">
            <w:pPr>
              <w:spacing w:after="0"/>
              <w:jc w:val="right"/>
              <w:cnfStyle w:val="100000000000" w:firstRow="1" w:lastRow="0" w:firstColumn="0" w:lastColumn="0" w:oddVBand="0" w:evenVBand="0" w:oddHBand="0" w:evenHBand="0" w:firstRowFirstColumn="0" w:firstRowLastColumn="0" w:lastRowFirstColumn="0" w:lastRowLastColumn="0"/>
            </w:pPr>
            <w:r w:rsidRPr="00616D91">
              <w:t>One pilot station</w:t>
            </w:r>
          </w:p>
        </w:tc>
        <w:tc>
          <w:tcPr>
            <w:tcW w:w="2070" w:type="dxa"/>
            <w:tcBorders>
              <w:bottom w:val="none" w:sz="0" w:space="0" w:color="auto"/>
            </w:tcBorders>
            <w:shd w:val="clear" w:color="auto" w:fill="EAEDF1"/>
            <w:vAlign w:val="center"/>
          </w:tcPr>
          <w:p w14:paraId="1FBF7AFB" w14:textId="77777777" w:rsidR="00E93558" w:rsidRPr="00616D91" w:rsidRDefault="00E93558" w:rsidP="00C77A43">
            <w:pPr>
              <w:spacing w:after="0"/>
              <w:jc w:val="right"/>
              <w:cnfStyle w:val="100000000000" w:firstRow="1" w:lastRow="0" w:firstColumn="0" w:lastColumn="0" w:oddVBand="0" w:evenVBand="0" w:oddHBand="0" w:evenHBand="0" w:firstRowFirstColumn="0" w:firstRowLastColumn="0" w:lastRowFirstColumn="0" w:lastRowLastColumn="0"/>
            </w:pPr>
            <w:r w:rsidRPr="00616D91">
              <w:t>Three pilot stations</w:t>
            </w:r>
          </w:p>
        </w:tc>
      </w:tr>
      <w:tr w:rsidR="00E93558" w:rsidRPr="00183362" w14:paraId="58BB6F2B" w14:textId="77777777" w:rsidTr="0061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452EB9A2" w14:textId="77777777" w:rsidR="00E93558" w:rsidRPr="00183362" w:rsidRDefault="00E93558" w:rsidP="00C77A43">
            <w:pPr>
              <w:spacing w:before="120" w:after="120"/>
              <w:rPr>
                <w:b w:val="0"/>
                <w:bCs w:val="0"/>
              </w:rPr>
            </w:pPr>
            <w:r w:rsidRPr="00183362">
              <w:rPr>
                <w:b w:val="0"/>
                <w:bCs w:val="0"/>
              </w:rPr>
              <w:t>Project preparation</w:t>
            </w:r>
          </w:p>
        </w:tc>
        <w:tc>
          <w:tcPr>
            <w:tcW w:w="2000" w:type="dxa"/>
            <w:tcBorders>
              <w:top w:val="none" w:sz="0" w:space="0" w:color="auto"/>
              <w:bottom w:val="none" w:sz="0" w:space="0" w:color="auto"/>
            </w:tcBorders>
            <w:vAlign w:val="center"/>
          </w:tcPr>
          <w:p w14:paraId="2C9467F9"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pPr>
            <w:r w:rsidRPr="00183362">
              <w:t>410,000</w:t>
            </w:r>
          </w:p>
        </w:tc>
        <w:tc>
          <w:tcPr>
            <w:tcW w:w="2070" w:type="dxa"/>
            <w:tcBorders>
              <w:top w:val="none" w:sz="0" w:space="0" w:color="auto"/>
              <w:bottom w:val="none" w:sz="0" w:space="0" w:color="auto"/>
            </w:tcBorders>
            <w:vAlign w:val="center"/>
          </w:tcPr>
          <w:p w14:paraId="5465996B"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pPr>
            <w:r w:rsidRPr="00183362">
              <w:t>1,230,000</w:t>
            </w:r>
          </w:p>
        </w:tc>
      </w:tr>
      <w:tr w:rsidR="00E93558" w:rsidRPr="00183362" w14:paraId="6CAB5C37" w14:textId="77777777" w:rsidTr="00616D91">
        <w:tc>
          <w:tcPr>
            <w:cnfStyle w:val="001000000000" w:firstRow="0" w:lastRow="0" w:firstColumn="1" w:lastColumn="0" w:oddVBand="0" w:evenVBand="0" w:oddHBand="0" w:evenHBand="0" w:firstRowFirstColumn="0" w:firstRowLastColumn="0" w:lastRowFirstColumn="0" w:lastRowLastColumn="0"/>
            <w:tcW w:w="4390" w:type="dxa"/>
          </w:tcPr>
          <w:p w14:paraId="29A4A189" w14:textId="77777777" w:rsidR="00E93558" w:rsidRPr="00183362" w:rsidRDefault="00E93558" w:rsidP="00C77A43">
            <w:pPr>
              <w:spacing w:before="120" w:after="120"/>
              <w:rPr>
                <w:b w:val="0"/>
                <w:bCs w:val="0"/>
              </w:rPr>
            </w:pPr>
            <w:r w:rsidRPr="00183362">
              <w:rPr>
                <w:b w:val="0"/>
                <w:bCs w:val="0"/>
              </w:rPr>
              <w:t>Establishment and operation</w:t>
            </w:r>
          </w:p>
        </w:tc>
        <w:tc>
          <w:tcPr>
            <w:tcW w:w="2000" w:type="dxa"/>
            <w:vAlign w:val="center"/>
          </w:tcPr>
          <w:p w14:paraId="2BD5C13D" w14:textId="77777777" w:rsidR="00E93558" w:rsidRPr="00183362" w:rsidRDefault="00E93558" w:rsidP="00C77A43">
            <w:pPr>
              <w:spacing w:after="0"/>
              <w:jc w:val="right"/>
              <w:cnfStyle w:val="000000000000" w:firstRow="0" w:lastRow="0" w:firstColumn="0" w:lastColumn="0" w:oddVBand="0" w:evenVBand="0" w:oddHBand="0" w:evenHBand="0" w:firstRowFirstColumn="0" w:firstRowLastColumn="0" w:lastRowFirstColumn="0" w:lastRowLastColumn="0"/>
            </w:pPr>
            <w:r w:rsidRPr="00183362">
              <w:t>1,558,333</w:t>
            </w:r>
          </w:p>
        </w:tc>
        <w:tc>
          <w:tcPr>
            <w:tcW w:w="2070" w:type="dxa"/>
            <w:vAlign w:val="center"/>
          </w:tcPr>
          <w:p w14:paraId="42630B0A" w14:textId="77777777" w:rsidR="00E93558" w:rsidRPr="00183362" w:rsidRDefault="00E93558" w:rsidP="00C77A43">
            <w:pPr>
              <w:spacing w:after="0"/>
              <w:jc w:val="right"/>
              <w:cnfStyle w:val="000000000000" w:firstRow="0" w:lastRow="0" w:firstColumn="0" w:lastColumn="0" w:oddVBand="0" w:evenVBand="0" w:oddHBand="0" w:evenHBand="0" w:firstRowFirstColumn="0" w:firstRowLastColumn="0" w:lastRowFirstColumn="0" w:lastRowLastColumn="0"/>
            </w:pPr>
            <w:r w:rsidRPr="00183362">
              <w:t>4,675,000</w:t>
            </w:r>
          </w:p>
        </w:tc>
      </w:tr>
      <w:tr w:rsidR="00E93558" w:rsidRPr="00183362" w14:paraId="37DA48EF" w14:textId="77777777" w:rsidTr="0061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04FDA52B" w14:textId="77777777" w:rsidR="00E93558" w:rsidRPr="00183362" w:rsidRDefault="00E93558" w:rsidP="00C77A43">
            <w:pPr>
              <w:spacing w:before="120" w:after="120"/>
              <w:rPr>
                <w:b w:val="0"/>
                <w:bCs w:val="0"/>
              </w:rPr>
            </w:pPr>
            <w:r w:rsidRPr="00183362">
              <w:rPr>
                <w:b w:val="0"/>
                <w:bCs w:val="0"/>
              </w:rPr>
              <w:t>Training and technical assistance</w:t>
            </w:r>
          </w:p>
        </w:tc>
        <w:tc>
          <w:tcPr>
            <w:tcW w:w="2000" w:type="dxa"/>
            <w:tcBorders>
              <w:top w:val="none" w:sz="0" w:space="0" w:color="auto"/>
              <w:bottom w:val="none" w:sz="0" w:space="0" w:color="auto"/>
            </w:tcBorders>
            <w:vAlign w:val="center"/>
          </w:tcPr>
          <w:p w14:paraId="11B6076A"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pPr>
            <w:r w:rsidRPr="00183362">
              <w:t>150,000</w:t>
            </w:r>
          </w:p>
        </w:tc>
        <w:tc>
          <w:tcPr>
            <w:tcW w:w="2070" w:type="dxa"/>
            <w:tcBorders>
              <w:top w:val="none" w:sz="0" w:space="0" w:color="auto"/>
              <w:bottom w:val="none" w:sz="0" w:space="0" w:color="auto"/>
            </w:tcBorders>
            <w:vAlign w:val="center"/>
          </w:tcPr>
          <w:p w14:paraId="0F47281B"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pPr>
            <w:r w:rsidRPr="00183362">
              <w:t>450,000</w:t>
            </w:r>
          </w:p>
        </w:tc>
      </w:tr>
      <w:tr w:rsidR="00E93558" w:rsidRPr="00183362" w14:paraId="03A96291" w14:textId="77777777" w:rsidTr="00616D91">
        <w:tc>
          <w:tcPr>
            <w:cnfStyle w:val="001000000000" w:firstRow="0" w:lastRow="0" w:firstColumn="1" w:lastColumn="0" w:oddVBand="0" w:evenVBand="0" w:oddHBand="0" w:evenHBand="0" w:firstRowFirstColumn="0" w:firstRowLastColumn="0" w:lastRowFirstColumn="0" w:lastRowLastColumn="0"/>
            <w:tcW w:w="4390" w:type="dxa"/>
          </w:tcPr>
          <w:p w14:paraId="4C2CCA59" w14:textId="77777777" w:rsidR="00E93558" w:rsidRPr="00183362" w:rsidRDefault="00E93558" w:rsidP="00C77A43">
            <w:pPr>
              <w:spacing w:before="120" w:after="120"/>
              <w:rPr>
                <w:b w:val="0"/>
                <w:bCs w:val="0"/>
              </w:rPr>
            </w:pPr>
            <w:r w:rsidRPr="00183362">
              <w:rPr>
                <w:b w:val="0"/>
                <w:bCs w:val="0"/>
              </w:rPr>
              <w:t>Data storage and management</w:t>
            </w:r>
          </w:p>
        </w:tc>
        <w:tc>
          <w:tcPr>
            <w:tcW w:w="2000" w:type="dxa"/>
            <w:vAlign w:val="center"/>
          </w:tcPr>
          <w:p w14:paraId="6D5B83C8" w14:textId="77777777" w:rsidR="00E93558" w:rsidRPr="00183362" w:rsidRDefault="00E93558" w:rsidP="00C77A43">
            <w:pPr>
              <w:spacing w:after="0"/>
              <w:jc w:val="right"/>
              <w:cnfStyle w:val="000000000000" w:firstRow="0" w:lastRow="0" w:firstColumn="0" w:lastColumn="0" w:oddVBand="0" w:evenVBand="0" w:oddHBand="0" w:evenHBand="0" w:firstRowFirstColumn="0" w:firstRowLastColumn="0" w:lastRowFirstColumn="0" w:lastRowLastColumn="0"/>
            </w:pPr>
            <w:r w:rsidRPr="00183362">
              <w:t>150,000</w:t>
            </w:r>
          </w:p>
        </w:tc>
        <w:tc>
          <w:tcPr>
            <w:tcW w:w="2070" w:type="dxa"/>
            <w:vAlign w:val="center"/>
          </w:tcPr>
          <w:p w14:paraId="6ADB8C7C" w14:textId="77777777" w:rsidR="00E93558" w:rsidRPr="00183362" w:rsidRDefault="00E93558" w:rsidP="00C77A43">
            <w:pPr>
              <w:spacing w:after="0"/>
              <w:jc w:val="right"/>
              <w:cnfStyle w:val="000000000000" w:firstRow="0" w:lastRow="0" w:firstColumn="0" w:lastColumn="0" w:oddVBand="0" w:evenVBand="0" w:oddHBand="0" w:evenHBand="0" w:firstRowFirstColumn="0" w:firstRowLastColumn="0" w:lastRowFirstColumn="0" w:lastRowLastColumn="0"/>
            </w:pPr>
            <w:r w:rsidRPr="00183362">
              <w:t>450,000</w:t>
            </w:r>
          </w:p>
        </w:tc>
      </w:tr>
      <w:tr w:rsidR="00E93558" w:rsidRPr="00183362" w14:paraId="0261EFD5" w14:textId="77777777" w:rsidTr="0061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14370F59" w14:textId="77777777" w:rsidR="00E93558" w:rsidRPr="00183362" w:rsidRDefault="00E93558" w:rsidP="00C77A43">
            <w:pPr>
              <w:spacing w:before="120" w:after="120"/>
              <w:rPr>
                <w:b w:val="0"/>
              </w:rPr>
            </w:pPr>
            <w:r>
              <w:t>Agency support costs (9.6%)</w:t>
            </w:r>
          </w:p>
        </w:tc>
        <w:tc>
          <w:tcPr>
            <w:tcW w:w="2000" w:type="dxa"/>
            <w:tcBorders>
              <w:top w:val="none" w:sz="0" w:space="0" w:color="auto"/>
              <w:bottom w:val="none" w:sz="0" w:space="0" w:color="auto"/>
            </w:tcBorders>
            <w:vAlign w:val="center"/>
          </w:tcPr>
          <w:p w14:paraId="1F54856D"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pPr>
            <w:r>
              <w:t>217,760</w:t>
            </w:r>
          </w:p>
        </w:tc>
        <w:tc>
          <w:tcPr>
            <w:tcW w:w="2070" w:type="dxa"/>
            <w:tcBorders>
              <w:top w:val="none" w:sz="0" w:space="0" w:color="auto"/>
              <w:bottom w:val="none" w:sz="0" w:space="0" w:color="auto"/>
            </w:tcBorders>
            <w:vAlign w:val="center"/>
          </w:tcPr>
          <w:p w14:paraId="088F7401" w14:textId="77777777" w:rsidR="00E93558" w:rsidRPr="00C05A12" w:rsidRDefault="00E93558" w:rsidP="00C77A43">
            <w:pPr>
              <w:spacing w:after="0" w:line="259" w:lineRule="auto"/>
              <w:jc w:val="right"/>
              <w:cnfStyle w:val="000000100000" w:firstRow="0" w:lastRow="0" w:firstColumn="0" w:lastColumn="0" w:oddVBand="0" w:evenVBand="0" w:oddHBand="1" w:evenHBand="0" w:firstRowFirstColumn="0" w:firstRowLastColumn="0" w:lastRowFirstColumn="0" w:lastRowLastColumn="0"/>
            </w:pPr>
            <w:r>
              <w:t>653,280</w:t>
            </w:r>
          </w:p>
        </w:tc>
      </w:tr>
      <w:tr w:rsidR="00E93558" w:rsidRPr="00183362" w14:paraId="79CB0488" w14:textId="77777777" w:rsidTr="00616D91">
        <w:tc>
          <w:tcPr>
            <w:cnfStyle w:val="001000000000" w:firstRow="0" w:lastRow="0" w:firstColumn="1" w:lastColumn="0" w:oddVBand="0" w:evenVBand="0" w:oddHBand="0" w:evenHBand="0" w:firstRowFirstColumn="0" w:firstRowLastColumn="0" w:lastRowFirstColumn="0" w:lastRowLastColumn="0"/>
            <w:tcW w:w="4390" w:type="dxa"/>
            <w:shd w:val="clear" w:color="auto" w:fill="EAEDF1"/>
          </w:tcPr>
          <w:p w14:paraId="023A6AF7" w14:textId="77777777" w:rsidR="00E93558" w:rsidRPr="00183362" w:rsidRDefault="00E93558" w:rsidP="00C77A43">
            <w:pPr>
              <w:spacing w:before="120" w:after="120"/>
            </w:pPr>
            <w:r w:rsidRPr="00183362">
              <w:t>SUBTOTAL FOR PILOT STATIONS</w:t>
            </w:r>
          </w:p>
        </w:tc>
        <w:tc>
          <w:tcPr>
            <w:tcW w:w="2000" w:type="dxa"/>
            <w:shd w:val="clear" w:color="auto" w:fill="EAEDF1"/>
            <w:vAlign w:val="center"/>
          </w:tcPr>
          <w:p w14:paraId="16263C22" w14:textId="77777777" w:rsidR="00E93558" w:rsidRPr="00183362" w:rsidRDefault="00E93558" w:rsidP="00C77A43">
            <w:pPr>
              <w:spacing w:after="0"/>
              <w:jc w:val="right"/>
              <w:cnfStyle w:val="000000000000" w:firstRow="0" w:lastRow="0" w:firstColumn="0" w:lastColumn="0" w:oddVBand="0" w:evenVBand="0" w:oddHBand="0" w:evenHBand="0" w:firstRowFirstColumn="0" w:firstRowLastColumn="0" w:lastRowFirstColumn="0" w:lastRowLastColumn="0"/>
              <w:rPr>
                <w:b/>
                <w:bCs/>
              </w:rPr>
            </w:pPr>
            <w:r w:rsidRPr="2B178FE1">
              <w:rPr>
                <w:b/>
                <w:bCs/>
              </w:rPr>
              <w:t>2,486,093</w:t>
            </w:r>
          </w:p>
        </w:tc>
        <w:tc>
          <w:tcPr>
            <w:tcW w:w="2070" w:type="dxa"/>
            <w:shd w:val="clear" w:color="auto" w:fill="EAEDF1"/>
            <w:vAlign w:val="center"/>
          </w:tcPr>
          <w:p w14:paraId="53DDA9E1" w14:textId="77777777" w:rsidR="00E93558" w:rsidRPr="00183362" w:rsidRDefault="00E93558" w:rsidP="00C77A43">
            <w:pPr>
              <w:spacing w:after="0" w:line="259" w:lineRule="auto"/>
              <w:jc w:val="right"/>
              <w:cnfStyle w:val="000000000000" w:firstRow="0" w:lastRow="0" w:firstColumn="0" w:lastColumn="0" w:oddVBand="0" w:evenVBand="0" w:oddHBand="0" w:evenHBand="0" w:firstRowFirstColumn="0" w:firstRowLastColumn="0" w:lastRowFirstColumn="0" w:lastRowLastColumn="0"/>
              <w:rPr>
                <w:b/>
                <w:bCs/>
              </w:rPr>
            </w:pPr>
            <w:r w:rsidRPr="2B178FE1">
              <w:rPr>
                <w:b/>
                <w:bCs/>
              </w:rPr>
              <w:t>7,458,280</w:t>
            </w:r>
          </w:p>
        </w:tc>
      </w:tr>
      <w:tr w:rsidR="00E93558" w:rsidRPr="00183362" w14:paraId="14B80FB7" w14:textId="77777777" w:rsidTr="0061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7C79BD54" w14:textId="77777777" w:rsidR="00E93558" w:rsidRPr="00183362" w:rsidRDefault="00E93558" w:rsidP="00C77A43">
            <w:pPr>
              <w:spacing w:before="120" w:after="120"/>
              <w:rPr>
                <w:b w:val="0"/>
                <w:bCs w:val="0"/>
              </w:rPr>
            </w:pPr>
            <w:r w:rsidRPr="00183362">
              <w:rPr>
                <w:b w:val="0"/>
                <w:bCs w:val="0"/>
              </w:rPr>
              <w:t xml:space="preserve">Flask sampling support (one region) </w:t>
            </w:r>
          </w:p>
        </w:tc>
        <w:tc>
          <w:tcPr>
            <w:tcW w:w="2000" w:type="dxa"/>
            <w:tcBorders>
              <w:top w:val="none" w:sz="0" w:space="0" w:color="auto"/>
              <w:bottom w:val="none" w:sz="0" w:space="0" w:color="auto"/>
            </w:tcBorders>
            <w:vAlign w:val="center"/>
          </w:tcPr>
          <w:p w14:paraId="65613D51"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pPr>
            <w:r w:rsidRPr="00183362">
              <w:t>-</w:t>
            </w:r>
          </w:p>
        </w:tc>
        <w:tc>
          <w:tcPr>
            <w:tcW w:w="2070" w:type="dxa"/>
            <w:tcBorders>
              <w:top w:val="none" w:sz="0" w:space="0" w:color="auto"/>
              <w:bottom w:val="none" w:sz="0" w:space="0" w:color="auto"/>
            </w:tcBorders>
            <w:vAlign w:val="center"/>
          </w:tcPr>
          <w:p w14:paraId="5E7A4BBA"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pPr>
            <w:r w:rsidRPr="00183362">
              <w:t>1,375,000</w:t>
            </w:r>
          </w:p>
        </w:tc>
      </w:tr>
      <w:tr w:rsidR="00E93558" w:rsidRPr="00183362" w14:paraId="367DFF2E" w14:textId="77777777" w:rsidTr="00616D91">
        <w:tc>
          <w:tcPr>
            <w:cnfStyle w:val="001000000000" w:firstRow="0" w:lastRow="0" w:firstColumn="1" w:lastColumn="0" w:oddVBand="0" w:evenVBand="0" w:oddHBand="0" w:evenHBand="0" w:firstRowFirstColumn="0" w:firstRowLastColumn="0" w:lastRowFirstColumn="0" w:lastRowLastColumn="0"/>
            <w:tcW w:w="4390" w:type="dxa"/>
          </w:tcPr>
          <w:p w14:paraId="743F9D98" w14:textId="77777777" w:rsidR="00E93558" w:rsidRPr="00183362" w:rsidRDefault="00E93558" w:rsidP="00C77A43">
            <w:pPr>
              <w:spacing w:before="120" w:after="120"/>
              <w:rPr>
                <w:b w:val="0"/>
                <w:bCs w:val="0"/>
              </w:rPr>
            </w:pPr>
            <w:r w:rsidRPr="00183362">
              <w:rPr>
                <w:b w:val="0"/>
                <w:bCs w:val="0"/>
              </w:rPr>
              <w:t>Support for calibration standards (global)</w:t>
            </w:r>
          </w:p>
        </w:tc>
        <w:tc>
          <w:tcPr>
            <w:tcW w:w="2000" w:type="dxa"/>
            <w:vAlign w:val="center"/>
          </w:tcPr>
          <w:p w14:paraId="478DC050" w14:textId="77777777" w:rsidR="00E93558" w:rsidRPr="00183362" w:rsidRDefault="00E93558" w:rsidP="00C77A43">
            <w:pPr>
              <w:spacing w:after="0"/>
              <w:jc w:val="right"/>
              <w:cnfStyle w:val="000000000000" w:firstRow="0" w:lastRow="0" w:firstColumn="0" w:lastColumn="0" w:oddVBand="0" w:evenVBand="0" w:oddHBand="0" w:evenHBand="0" w:firstRowFirstColumn="0" w:firstRowLastColumn="0" w:lastRowFirstColumn="0" w:lastRowLastColumn="0"/>
            </w:pPr>
            <w:r w:rsidRPr="00183362">
              <w:t>-</w:t>
            </w:r>
          </w:p>
        </w:tc>
        <w:tc>
          <w:tcPr>
            <w:tcW w:w="2070" w:type="dxa"/>
            <w:vAlign w:val="center"/>
          </w:tcPr>
          <w:p w14:paraId="24178CB7" w14:textId="77777777" w:rsidR="00E93558" w:rsidRPr="00183362" w:rsidRDefault="00E93558" w:rsidP="00C77A43">
            <w:pPr>
              <w:spacing w:after="0"/>
              <w:jc w:val="right"/>
              <w:cnfStyle w:val="000000000000" w:firstRow="0" w:lastRow="0" w:firstColumn="0" w:lastColumn="0" w:oddVBand="0" w:evenVBand="0" w:oddHBand="0" w:evenHBand="0" w:firstRowFirstColumn="0" w:firstRowLastColumn="0" w:lastRowFirstColumn="0" w:lastRowLastColumn="0"/>
            </w:pPr>
            <w:r w:rsidRPr="00183362">
              <w:t>1,000,000</w:t>
            </w:r>
          </w:p>
        </w:tc>
      </w:tr>
      <w:tr w:rsidR="00E93558" w:rsidRPr="00183362" w14:paraId="5BB2C1A8" w14:textId="77777777" w:rsidTr="0061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1AB3521E" w14:textId="77777777" w:rsidR="00E93558" w:rsidRPr="00183362" w:rsidRDefault="00E93558" w:rsidP="00C77A43">
            <w:pPr>
              <w:spacing w:before="120" w:after="120"/>
              <w:rPr>
                <w:b w:val="0"/>
              </w:rPr>
            </w:pPr>
            <w:r>
              <w:t>Agency support costs (9.6%)</w:t>
            </w:r>
          </w:p>
        </w:tc>
        <w:tc>
          <w:tcPr>
            <w:tcW w:w="2000" w:type="dxa"/>
            <w:tcBorders>
              <w:top w:val="none" w:sz="0" w:space="0" w:color="auto"/>
              <w:bottom w:val="none" w:sz="0" w:space="0" w:color="auto"/>
            </w:tcBorders>
            <w:vAlign w:val="center"/>
          </w:tcPr>
          <w:p w14:paraId="6C620A89"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vAlign w:val="center"/>
          </w:tcPr>
          <w:p w14:paraId="083B081C"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pPr>
            <w:r>
              <w:t>228,000</w:t>
            </w:r>
          </w:p>
        </w:tc>
      </w:tr>
      <w:tr w:rsidR="00E93558" w:rsidRPr="00183362" w14:paraId="6148420D" w14:textId="77777777" w:rsidTr="00616D91">
        <w:trPr>
          <w:trHeight w:val="541"/>
        </w:trPr>
        <w:tc>
          <w:tcPr>
            <w:cnfStyle w:val="001000000000" w:firstRow="0" w:lastRow="0" w:firstColumn="1" w:lastColumn="0" w:oddVBand="0" w:evenVBand="0" w:oddHBand="0" w:evenHBand="0" w:firstRowFirstColumn="0" w:firstRowLastColumn="0" w:lastRowFirstColumn="0" w:lastRowLastColumn="0"/>
            <w:tcW w:w="4390" w:type="dxa"/>
            <w:shd w:val="clear" w:color="auto" w:fill="EAEDF1"/>
          </w:tcPr>
          <w:p w14:paraId="73BC3FAA" w14:textId="77777777" w:rsidR="00E93558" w:rsidRPr="00183362" w:rsidRDefault="00E93558" w:rsidP="00C77A43">
            <w:pPr>
              <w:spacing w:before="120" w:after="120"/>
            </w:pPr>
            <w:r w:rsidRPr="00183362">
              <w:t>SUBTOTAL FOR REGIONAL/GLOBAL PROJECTS</w:t>
            </w:r>
          </w:p>
        </w:tc>
        <w:tc>
          <w:tcPr>
            <w:tcW w:w="2000" w:type="dxa"/>
            <w:shd w:val="clear" w:color="auto" w:fill="EAEDF1"/>
            <w:vAlign w:val="center"/>
          </w:tcPr>
          <w:p w14:paraId="17E363B5" w14:textId="77777777" w:rsidR="00E93558" w:rsidRPr="00183362" w:rsidRDefault="00E93558" w:rsidP="00C77A43">
            <w:pPr>
              <w:spacing w:after="0"/>
              <w:jc w:val="right"/>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EAEDF1"/>
            <w:vAlign w:val="center"/>
          </w:tcPr>
          <w:p w14:paraId="0974CF7A" w14:textId="77777777" w:rsidR="00E93558" w:rsidRPr="00183362" w:rsidRDefault="00E93558" w:rsidP="00C77A43">
            <w:pPr>
              <w:spacing w:after="0"/>
              <w:jc w:val="right"/>
              <w:cnfStyle w:val="000000000000" w:firstRow="0" w:lastRow="0" w:firstColumn="0" w:lastColumn="0" w:oddVBand="0" w:evenVBand="0" w:oddHBand="0" w:evenHBand="0" w:firstRowFirstColumn="0" w:firstRowLastColumn="0" w:lastRowFirstColumn="0" w:lastRowLastColumn="0"/>
              <w:rPr>
                <w:b/>
                <w:bCs/>
              </w:rPr>
            </w:pPr>
            <w:r w:rsidRPr="2B178FE1">
              <w:rPr>
                <w:b/>
                <w:bCs/>
              </w:rPr>
              <w:t>2,603,000</w:t>
            </w:r>
          </w:p>
        </w:tc>
      </w:tr>
      <w:tr w:rsidR="00E93558" w:rsidRPr="00183362" w14:paraId="12E609B3" w14:textId="77777777" w:rsidTr="0061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shd w:val="clear" w:color="auto" w:fill="CBD3DE"/>
          </w:tcPr>
          <w:p w14:paraId="2C1AD88C" w14:textId="77777777" w:rsidR="00E93558" w:rsidRPr="00C77A43" w:rsidRDefault="00E93558" w:rsidP="00C77A43">
            <w:pPr>
              <w:spacing w:before="120" w:after="120"/>
            </w:pPr>
            <w:r w:rsidRPr="00C77A43">
              <w:t>TOTAL</w:t>
            </w:r>
          </w:p>
        </w:tc>
        <w:tc>
          <w:tcPr>
            <w:tcW w:w="4070" w:type="dxa"/>
            <w:gridSpan w:val="2"/>
            <w:tcBorders>
              <w:top w:val="none" w:sz="0" w:space="0" w:color="auto"/>
              <w:bottom w:val="none" w:sz="0" w:space="0" w:color="auto"/>
            </w:tcBorders>
            <w:shd w:val="clear" w:color="auto" w:fill="CBD3DE"/>
            <w:vAlign w:val="center"/>
          </w:tcPr>
          <w:p w14:paraId="1CF234F3" w14:textId="77777777" w:rsidR="00E93558" w:rsidRPr="00183362" w:rsidRDefault="00E93558" w:rsidP="00C77A43">
            <w:pPr>
              <w:spacing w:after="0"/>
              <w:jc w:val="right"/>
              <w:cnfStyle w:val="000000100000" w:firstRow="0" w:lastRow="0" w:firstColumn="0" w:lastColumn="0" w:oddVBand="0" w:evenVBand="0" w:oddHBand="1" w:evenHBand="0" w:firstRowFirstColumn="0" w:firstRowLastColumn="0" w:lastRowFirstColumn="0" w:lastRowLastColumn="0"/>
              <w:rPr>
                <w:b/>
                <w:bCs/>
              </w:rPr>
            </w:pPr>
            <w:r w:rsidRPr="2B178FE1">
              <w:rPr>
                <w:b/>
                <w:bCs/>
              </w:rPr>
              <w:t>10,061,280</w:t>
            </w:r>
          </w:p>
        </w:tc>
      </w:tr>
    </w:tbl>
    <w:p w14:paraId="1E0ECD14" w14:textId="77777777" w:rsidR="00E93558" w:rsidRPr="00183362" w:rsidRDefault="00E93558" w:rsidP="00E93558">
      <w:pPr>
        <w:rPr>
          <w:b/>
          <w:bCs/>
        </w:rPr>
      </w:pPr>
    </w:p>
    <w:p w14:paraId="38DE42D2" w14:textId="601EE323" w:rsidR="00E93558" w:rsidRPr="00183362" w:rsidRDefault="00E93558" w:rsidP="00E93558">
      <w:pPr>
        <w:pStyle w:val="Heading4"/>
        <w:rPr>
          <w:b w:val="0"/>
          <w:bCs w:val="0"/>
        </w:rPr>
      </w:pPr>
      <w:r>
        <w:rPr>
          <w:bCs w:val="0"/>
        </w:rPr>
        <w:t>10.2.</w:t>
      </w:r>
      <w:r w:rsidR="00B53EA7">
        <w:rPr>
          <w:bCs w:val="0"/>
        </w:rPr>
        <w:t>4</w:t>
      </w:r>
      <w:r>
        <w:rPr>
          <w:bCs w:val="0"/>
        </w:rPr>
        <w:t xml:space="preserve">.2 </w:t>
      </w:r>
      <w:r w:rsidRPr="00183362">
        <w:rPr>
          <w:bCs w:val="0"/>
        </w:rPr>
        <w:t>Decision 96/56</w:t>
      </w:r>
    </w:p>
    <w:p w14:paraId="41B641DD" w14:textId="67B26D9D" w:rsidR="00E93558" w:rsidRPr="00183362" w:rsidRDefault="04AB0B78" w:rsidP="00E93558">
      <w:r w:rsidRPr="00183362">
        <w:t xml:space="preserve">At </w:t>
      </w:r>
      <w:r w:rsidR="003757FB">
        <w:t xml:space="preserve">ExCom-96 </w:t>
      </w:r>
      <w:r w:rsidRPr="00183362">
        <w:t>in May 2025, the Ex</w:t>
      </w:r>
      <w:r w:rsidR="003757FB">
        <w:t>Com</w:t>
      </w:r>
      <w:r w:rsidRPr="00183362">
        <w:t xml:space="preserve"> adopted Decision 96/56</w:t>
      </w:r>
      <w:r w:rsidR="00E93558" w:rsidRPr="00183362">
        <w:rPr>
          <w:rStyle w:val="FootnoteReference"/>
        </w:rPr>
        <w:footnoteReference w:id="104"/>
      </w:r>
      <w:r w:rsidRPr="00183362">
        <w:t xml:space="preserve"> noting the above options paper and requesting the MLFS prepare for </w:t>
      </w:r>
      <w:r w:rsidR="003757FB">
        <w:t>ExCom-98</w:t>
      </w:r>
      <w:r w:rsidR="00D224E9">
        <w:t xml:space="preserve"> t</w:t>
      </w:r>
      <w:r w:rsidRPr="00183362">
        <w:t>he following:</w:t>
      </w:r>
    </w:p>
    <w:p w14:paraId="08099162" w14:textId="548E84FD" w:rsidR="00E93558" w:rsidRPr="00183362" w:rsidRDefault="00E93558" w:rsidP="000E79CB">
      <w:pPr>
        <w:pStyle w:val="ListParagraph"/>
        <w:numPr>
          <w:ilvl w:val="0"/>
          <w:numId w:val="23"/>
        </w:numPr>
        <w:spacing w:after="0"/>
        <w:ind w:left="763"/>
        <w:contextualSpacing/>
      </w:pPr>
      <w:r w:rsidRPr="00183362">
        <w:t xml:space="preserve">Draft guidelines for the preparation of pilot projects to enhance regional atmospheric monitoring of substances controlled by the </w:t>
      </w:r>
      <w:r w:rsidR="00FB7C66">
        <w:t>MP</w:t>
      </w:r>
      <w:r w:rsidRPr="00183362">
        <w:t xml:space="preserve"> in regions that the parties to the </w:t>
      </w:r>
      <w:r w:rsidR="00FB7C66">
        <w:t>MP</w:t>
      </w:r>
      <w:r w:rsidRPr="00183362">
        <w:t xml:space="preserve"> had identified as being able to enhance understanding of regional emissions of controlled substances;</w:t>
      </w:r>
    </w:p>
    <w:p w14:paraId="721B04C3" w14:textId="4EF25B03" w:rsidR="00E93558" w:rsidRPr="00183362" w:rsidRDefault="00E93558" w:rsidP="000E79CB">
      <w:pPr>
        <w:numPr>
          <w:ilvl w:val="1"/>
          <w:numId w:val="21"/>
        </w:numPr>
        <w:tabs>
          <w:tab w:val="clear" w:pos="0"/>
        </w:tabs>
        <w:spacing w:after="0"/>
        <w:ind w:left="763"/>
      </w:pPr>
      <w:r w:rsidRPr="00183362">
        <w:t xml:space="preserve">Draft guidelines for the implementation of pilot projects to enhance regional atmospheric monitoring of substances controlled by the </w:t>
      </w:r>
      <w:r w:rsidR="00FB7C66">
        <w:t>MP</w:t>
      </w:r>
      <w:r w:rsidRPr="00183362">
        <w:t xml:space="preserve"> in regions that the parties to the </w:t>
      </w:r>
      <w:r w:rsidR="00FB7C66">
        <w:t>MP</w:t>
      </w:r>
      <w:r w:rsidRPr="00183362">
        <w:t xml:space="preserve"> had determined as being able to enhance understanding of regional emissions of controlled substances;</w:t>
      </w:r>
    </w:p>
    <w:p w14:paraId="11929478" w14:textId="4363FCB8" w:rsidR="00E93558" w:rsidRPr="00183362" w:rsidRDefault="00E93558" w:rsidP="000E79CB">
      <w:pPr>
        <w:numPr>
          <w:ilvl w:val="1"/>
          <w:numId w:val="21"/>
        </w:numPr>
        <w:tabs>
          <w:tab w:val="clear" w:pos="0"/>
        </w:tabs>
        <w:spacing w:after="0"/>
        <w:ind w:left="763"/>
      </w:pPr>
      <w:r w:rsidRPr="00183362">
        <w:t xml:space="preserve">A draft template Agreement between the </w:t>
      </w:r>
      <w:r w:rsidR="00AF291D">
        <w:t>ExCom</w:t>
      </w:r>
      <w:r w:rsidRPr="00183362">
        <w:t xml:space="preserve"> and the </w:t>
      </w:r>
      <w:r w:rsidR="00F05ED5">
        <w:t>A5</w:t>
      </w:r>
      <w:r w:rsidRPr="00183362">
        <w:t xml:space="preserve"> country concerned for pilot projects to establish a regional atmospheric monitoring station;</w:t>
      </w:r>
    </w:p>
    <w:p w14:paraId="3F567B2A" w14:textId="38F3320B" w:rsidR="00E93558" w:rsidRPr="00183362" w:rsidRDefault="00E93558" w:rsidP="000E79CB">
      <w:pPr>
        <w:numPr>
          <w:ilvl w:val="1"/>
          <w:numId w:val="21"/>
        </w:numPr>
        <w:tabs>
          <w:tab w:val="clear" w:pos="0"/>
        </w:tabs>
        <w:spacing w:after="0"/>
        <w:ind w:left="763"/>
      </w:pPr>
      <w:r w:rsidRPr="00183362">
        <w:t xml:space="preserve">Information regarding the potential for the World Meteorological Organization to take on a role as implementing agency for pilot projects to enhance regional atmospheric monitoring of substances controlled by the </w:t>
      </w:r>
      <w:r w:rsidR="00FB7C66">
        <w:t>MP</w:t>
      </w:r>
      <w:r w:rsidRPr="00183362">
        <w:t xml:space="preserve">; and </w:t>
      </w:r>
    </w:p>
    <w:p w14:paraId="73BFBD3E" w14:textId="355619FA" w:rsidR="00E93558" w:rsidRPr="00183362" w:rsidRDefault="00E93558" w:rsidP="000E79CB">
      <w:pPr>
        <w:pStyle w:val="ListParagraph"/>
        <w:numPr>
          <w:ilvl w:val="1"/>
          <w:numId w:val="21"/>
        </w:numPr>
        <w:spacing w:after="200"/>
        <w:contextualSpacing/>
      </w:pPr>
      <w:r w:rsidRPr="00183362">
        <w:lastRenderedPageBreak/>
        <w:t>At the 98</w:t>
      </w:r>
      <w:r w:rsidRPr="00A51E59">
        <w:rPr>
          <w:vertAlign w:val="superscript"/>
        </w:rPr>
        <w:t>th</w:t>
      </w:r>
      <w:r w:rsidRPr="00183362">
        <w:t xml:space="preserve"> meeting in June 2026, the ExCom would consider establishing a funding window for three pilot projects to enhance regional atmospheric monitoring of substances controlled by the </w:t>
      </w:r>
      <w:r w:rsidR="00FB7C66">
        <w:t>MP</w:t>
      </w:r>
      <w:r w:rsidRPr="00183362">
        <w:t>.</w:t>
      </w:r>
    </w:p>
    <w:p w14:paraId="1DCBDC33" w14:textId="77777777" w:rsidR="00E93558" w:rsidRPr="00183362" w:rsidRDefault="00E93558" w:rsidP="002D02B7">
      <w:pPr>
        <w:pStyle w:val="Heading2"/>
      </w:pPr>
      <w:bookmarkStart w:id="348" w:name="_Toc227477960"/>
      <w:bookmarkStart w:id="349" w:name="_Toc230099156"/>
      <w:r w:rsidRPr="00183362">
        <w:t>10.3</w:t>
      </w:r>
      <w:r w:rsidRPr="00183362">
        <w:tab/>
        <w:t>RTF approach on funding scenario</w:t>
      </w:r>
      <w:bookmarkEnd w:id="348"/>
      <w:bookmarkEnd w:id="349"/>
    </w:p>
    <w:p w14:paraId="30CB60ED" w14:textId="395F4CBE" w:rsidR="00E93558" w:rsidRPr="00183362" w:rsidRDefault="00E93558" w:rsidP="00E93558">
      <w:r w:rsidRPr="00183362">
        <w:t xml:space="preserve">Decision XXXVII/6 requests TEAP to provide “a scenario to allocate resources for a funding modality to support a limited number of pilot projects to enhance regional atmospheric monitoring of substances controlled by the Montreal Protocol.” The RTF considered the above, relevant decisions of the MOP and </w:t>
      </w:r>
      <w:r w:rsidR="00AF291D">
        <w:t>ExCom</w:t>
      </w:r>
      <w:r w:rsidRPr="00183362">
        <w:t xml:space="preserve"> along with relevant documents and discussions related to support for enhancing regional atmospheric monitoring. </w:t>
      </w:r>
    </w:p>
    <w:p w14:paraId="05523A1F" w14:textId="156D8F19" w:rsidR="00E93558" w:rsidRPr="00183362" w:rsidRDefault="00E93558" w:rsidP="00720E1D">
      <w:r w:rsidRPr="00183362">
        <w:t xml:space="preserve">The RTF considered a funding timeline based on the </w:t>
      </w:r>
      <w:r w:rsidR="00185768">
        <w:t>OS</w:t>
      </w:r>
      <w:r w:rsidRPr="00183362">
        <w:t>’s report on Decision XXXVI/1 to the 37</w:t>
      </w:r>
      <w:r w:rsidRPr="00183362">
        <w:rPr>
          <w:vertAlign w:val="superscript"/>
        </w:rPr>
        <w:t>th</w:t>
      </w:r>
      <w:r w:rsidRPr="00183362">
        <w:t xml:space="preserve"> MOP which outlined the potential timeline of supported activities as below, assuming the Ex</w:t>
      </w:r>
      <w:r w:rsidR="002874AB">
        <w:t>Com</w:t>
      </w:r>
      <w:r w:rsidRPr="00183362">
        <w:t xml:space="preserve"> established a funding window at its 98</w:t>
      </w:r>
      <w:r w:rsidRPr="00183362">
        <w:rPr>
          <w:vertAlign w:val="superscript"/>
        </w:rPr>
        <w:t>th</w:t>
      </w:r>
      <w:r w:rsidRPr="00183362">
        <w:t xml:space="preserve"> meeting in June 2026:</w:t>
      </w:r>
    </w:p>
    <w:p w14:paraId="3E8C5875" w14:textId="214A9633" w:rsidR="00E93558" w:rsidRPr="00183362" w:rsidRDefault="00E93558" w:rsidP="000E79CB">
      <w:pPr>
        <w:pStyle w:val="ListParagraph"/>
        <w:numPr>
          <w:ilvl w:val="0"/>
          <w:numId w:val="25"/>
        </w:numPr>
        <w:spacing w:after="0"/>
        <w:contextualSpacing/>
      </w:pPr>
      <w:r w:rsidRPr="00183362">
        <w:t xml:space="preserve">Preparation of preparatory funding requests for three proposals by the MLF bilateral and </w:t>
      </w:r>
      <w:r w:rsidR="00044716">
        <w:t>Ias on</w:t>
      </w:r>
      <w:r w:rsidRPr="00183362">
        <w:t xml:space="preserve"> behalf of A5 parties based on possible sites suggested by the Advisory Committee in 2027;</w:t>
      </w:r>
    </w:p>
    <w:p w14:paraId="292A45E4" w14:textId="5C2C153F" w:rsidR="00E93558" w:rsidRPr="00183362" w:rsidRDefault="00E93558" w:rsidP="000E79CB">
      <w:pPr>
        <w:pStyle w:val="ListParagraph"/>
        <w:numPr>
          <w:ilvl w:val="0"/>
          <w:numId w:val="25"/>
        </w:numPr>
        <w:spacing w:after="0"/>
        <w:contextualSpacing/>
      </w:pPr>
      <w:r w:rsidRPr="00183362">
        <w:t xml:space="preserve">Sampling survey of candidate sites </w:t>
      </w:r>
      <w:r w:rsidR="00CB1206">
        <w:t xml:space="preserve">for approximately six months using a twice-weekly </w:t>
      </w:r>
      <w:r w:rsidRPr="00183362">
        <w:t xml:space="preserve">flask sampling </w:t>
      </w:r>
      <w:r w:rsidR="00AB6992">
        <w:t>and a two-year, ever</w:t>
      </w:r>
      <w:r w:rsidR="00956577">
        <w:t xml:space="preserve">y-other-day flask sampling </w:t>
      </w:r>
      <w:r w:rsidRPr="00183362">
        <w:t>to confirm the suitability of the site and determine whether regular flask sampling or high-frequency in situ measurements would be more appropriate</w:t>
      </w:r>
      <w:r w:rsidR="002355FB">
        <w:t xml:space="preserve"> in the long-term</w:t>
      </w:r>
      <w:r w:rsidRPr="00183362">
        <w:t>;</w:t>
      </w:r>
    </w:p>
    <w:p w14:paraId="55C7F6F2" w14:textId="6F215293" w:rsidR="00E93558" w:rsidRPr="00183362" w:rsidRDefault="00E93558" w:rsidP="000E79CB">
      <w:pPr>
        <w:pStyle w:val="ListParagraph"/>
        <w:numPr>
          <w:ilvl w:val="0"/>
          <w:numId w:val="25"/>
        </w:numPr>
        <w:spacing w:after="0"/>
        <w:contextualSpacing/>
      </w:pPr>
      <w:r w:rsidRPr="00183362">
        <w:t>Submission of proposals in 2030 by the bilateral and</w:t>
      </w:r>
      <w:r w:rsidR="005728CA">
        <w:t>/or</w:t>
      </w:r>
      <w:r w:rsidRPr="00183362">
        <w:t xml:space="preserve"> </w:t>
      </w:r>
      <w:r w:rsidR="002427E7">
        <w:t>IAs</w:t>
      </w:r>
      <w:r w:rsidRPr="00183362">
        <w:t xml:space="preserve"> on behalf of three A5 parties to establish atmospheric monitoring stations on the basis of the sampling survey results;</w:t>
      </w:r>
    </w:p>
    <w:p w14:paraId="735987D0" w14:textId="5D094A01" w:rsidR="00E93558" w:rsidRPr="00183362" w:rsidRDefault="00E93558" w:rsidP="000E79CB">
      <w:pPr>
        <w:pStyle w:val="ListParagraph"/>
        <w:numPr>
          <w:ilvl w:val="0"/>
          <w:numId w:val="25"/>
        </w:numPr>
        <w:spacing w:after="0"/>
        <w:contextualSpacing/>
      </w:pPr>
      <w:r w:rsidRPr="00183362">
        <w:t>Upon approval by the ExCom establishment in late 2030 or 2031 of three atmospheric monitoring stations (with a high-frequency in situ instrument or flask sampling) and support for their operation. Support would also be provided for capacity-building (e.g., related to calibration, data archiving and stewardship, support for participation in meetings led by the Advanced Global Atmospheric Gases Experiment (AGAGE) or other international halocarbon scientific research meetings, etc.);</w:t>
      </w:r>
    </w:p>
    <w:p w14:paraId="6BBBCCE1" w14:textId="03D09745" w:rsidR="00E93558" w:rsidRPr="00183362" w:rsidRDefault="00E93558" w:rsidP="000E79CB">
      <w:pPr>
        <w:pStyle w:val="ListParagraph"/>
        <w:numPr>
          <w:ilvl w:val="0"/>
          <w:numId w:val="25"/>
        </w:numPr>
        <w:spacing w:after="0"/>
        <w:contextualSpacing/>
      </w:pPr>
      <w:r w:rsidRPr="00183362">
        <w:t>Upon completion of the EU grant and if necessary, support could be provided by the MLF</w:t>
      </w:r>
      <w:r w:rsidR="00720E1D">
        <w:t xml:space="preserve"> </w:t>
      </w:r>
      <w:r w:rsidRPr="00183362">
        <w:t xml:space="preserve">for the continued operation of the three stations established under the </w:t>
      </w:r>
      <w:r w:rsidR="005728CA">
        <w:t>GTF</w:t>
      </w:r>
      <w:r w:rsidRPr="00183362">
        <w:t>.</w:t>
      </w:r>
    </w:p>
    <w:p w14:paraId="293CFD4D" w14:textId="77777777" w:rsidR="00720E1D" w:rsidRDefault="00720E1D" w:rsidP="00E93558"/>
    <w:p w14:paraId="573ADAB6" w14:textId="017965A4" w:rsidR="00E93558" w:rsidRDefault="00E93558" w:rsidP="00E93558">
      <w:r w:rsidRPr="00183362">
        <w:t>A schematic of these activities and estimated timeline of the three funding streams is presented in Figure 10-</w:t>
      </w:r>
      <w:r>
        <w:t>1</w:t>
      </w:r>
      <w:r w:rsidRPr="00183362">
        <w:t>.</w:t>
      </w:r>
    </w:p>
    <w:p w14:paraId="6DFBC115" w14:textId="77777777" w:rsidR="002E60EC" w:rsidRDefault="002E60EC">
      <w:pPr>
        <w:tabs>
          <w:tab w:val="clear" w:pos="0"/>
        </w:tabs>
        <w:spacing w:after="0"/>
        <w:rPr>
          <w:b/>
          <w:bCs/>
        </w:rPr>
      </w:pPr>
      <w:r>
        <w:rPr>
          <w:b/>
          <w:bCs/>
        </w:rPr>
        <w:br w:type="page"/>
      </w:r>
    </w:p>
    <w:p w14:paraId="6E2B29E1" w14:textId="77777777" w:rsidR="002E60EC" w:rsidRDefault="002E60EC" w:rsidP="002427E7">
      <w:pPr>
        <w:ind w:left="1440" w:hanging="1440"/>
        <w:rPr>
          <w:b/>
          <w:bCs/>
        </w:rPr>
        <w:sectPr w:rsidR="002E60EC" w:rsidSect="00690D6E">
          <w:type w:val="oddPage"/>
          <w:pgSz w:w="11906" w:h="16838"/>
          <w:pgMar w:top="1411" w:right="1411" w:bottom="1411" w:left="1411" w:header="708" w:footer="708" w:gutter="0"/>
          <w:cols w:space="708"/>
          <w:docGrid w:linePitch="360"/>
        </w:sectPr>
      </w:pPr>
    </w:p>
    <w:p w14:paraId="4DF70550" w14:textId="02F0E131" w:rsidR="002427E7" w:rsidRPr="002427E7" w:rsidRDefault="002427E7" w:rsidP="002135B0">
      <w:pPr>
        <w:ind w:left="1276" w:hanging="1276"/>
        <w:rPr>
          <w:b/>
          <w:bCs/>
        </w:rPr>
      </w:pPr>
      <w:r>
        <w:rPr>
          <w:b/>
          <w:bCs/>
        </w:rPr>
        <w:lastRenderedPageBreak/>
        <w:t xml:space="preserve">Figure </w:t>
      </w:r>
      <w:r w:rsidRPr="00183362">
        <w:rPr>
          <w:b/>
          <w:bCs/>
        </w:rPr>
        <w:t>10.1</w:t>
      </w:r>
      <w:r w:rsidRPr="00183362">
        <w:rPr>
          <w:b/>
          <w:bCs/>
        </w:rPr>
        <w:tab/>
      </w:r>
      <w:r w:rsidRPr="002427E7">
        <w:rPr>
          <w:b/>
          <w:bCs/>
        </w:rPr>
        <w:t>Action areas and estimated timeline of the three existing and potential funding streams to support the establishment and operation of stations for the atmospheric monitoring of controlled substances</w:t>
      </w:r>
    </w:p>
    <w:p w14:paraId="3AD2872C" w14:textId="7605E553" w:rsidR="00E93558" w:rsidRPr="00183362" w:rsidRDefault="00974112" w:rsidP="00E93558">
      <w:pPr>
        <w:rPr>
          <w:b/>
          <w:bCs/>
        </w:rPr>
      </w:pPr>
      <w:r>
        <w:rPr>
          <w:noProof/>
        </w:rPr>
        <w:drawing>
          <wp:inline distT="0" distB="0" distL="0" distR="0" wp14:anchorId="5B3B9EBB" wp14:editId="5120B35D">
            <wp:extent cx="8595360" cy="4583778"/>
            <wp:effectExtent l="0" t="0" r="0" b="7620"/>
            <wp:docPr id="188234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49600" name=""/>
                    <pic:cNvPicPr/>
                  </pic:nvPicPr>
                  <pic:blipFill>
                    <a:blip r:embed="rId51"/>
                    <a:stretch>
                      <a:fillRect/>
                    </a:stretch>
                  </pic:blipFill>
                  <pic:spPr>
                    <a:xfrm>
                      <a:off x="0" y="0"/>
                      <a:ext cx="8618680" cy="4596214"/>
                    </a:xfrm>
                    <a:prstGeom prst="rect">
                      <a:avLst/>
                    </a:prstGeom>
                  </pic:spPr>
                </pic:pic>
              </a:graphicData>
            </a:graphic>
          </wp:inline>
        </w:drawing>
      </w:r>
    </w:p>
    <w:p w14:paraId="59730F92" w14:textId="30305E83" w:rsidR="00177FAB" w:rsidRDefault="00177FAB" w:rsidP="00177FAB">
      <w:pPr>
        <w:tabs>
          <w:tab w:val="clear" w:pos="0"/>
        </w:tabs>
        <w:spacing w:after="0"/>
        <w:sectPr w:rsidR="00177FAB" w:rsidSect="00590558">
          <w:pgSz w:w="16838" w:h="11906" w:orient="landscape"/>
          <w:pgMar w:top="1411" w:right="1411" w:bottom="1411" w:left="1411" w:header="706" w:footer="706" w:gutter="0"/>
          <w:cols w:space="708"/>
          <w:docGrid w:linePitch="360"/>
        </w:sectPr>
      </w:pPr>
    </w:p>
    <w:p w14:paraId="39986526" w14:textId="20A5EFF8" w:rsidR="00E93558" w:rsidRPr="00183362" w:rsidRDefault="04AB0B78" w:rsidP="00E93558">
      <w:r w:rsidRPr="00183362">
        <w:lastRenderedPageBreak/>
        <w:t>The RTF considered the paper prepared by the MLFS in response to ExCom Decision 95/97, “Options for a funding modality as referred to in paragraph 4 of Decision XXXVI/1 to support a limited number of pilot projects to enhance regional atmospheric monitoring of substances controlled by the Montreal Protocol.”</w:t>
      </w:r>
      <w:r w:rsidR="00E93558" w:rsidRPr="00183362">
        <w:rPr>
          <w:vertAlign w:val="superscript"/>
        </w:rPr>
        <w:footnoteReference w:id="105"/>
      </w:r>
      <w:r w:rsidRPr="00183362">
        <w:t xml:space="preserve"> The paper considers establishing a funding window for pilot projects to gain experience with these kinds of activities. Specifically, a funding window of US$10 million could support the establishment and operation of three pilot regional atmospheric monitoring stations for five years, with the possibility of augmenting the funding window at a future meeting.</w:t>
      </w:r>
    </w:p>
    <w:p w14:paraId="266D2531" w14:textId="6D5C425E" w:rsidR="00E93558" w:rsidRPr="00183362" w:rsidRDefault="00E93558" w:rsidP="00E93558">
      <w:r w:rsidRPr="00183362">
        <w:t xml:space="preserve">Assuming the establishment of a funding window </w:t>
      </w:r>
      <w:r w:rsidR="0005231E">
        <w:t>at ExCom-98</w:t>
      </w:r>
      <w:r w:rsidRPr="00183362">
        <w:t xml:space="preserve"> in the amount of US$ 10 million, the RTF estimated funding for the 2027-2029 triennium would need to initially cover project preparation activities, specifically the costs for two-year sampling surveys for three sites at a total cost of US$ 850,200 (including 9</w:t>
      </w:r>
      <w:r w:rsidR="007F2D56">
        <w:t>.6 %</w:t>
      </w:r>
      <w:r w:rsidRPr="00183362">
        <w:t xml:space="preserve"> agency support costs). The two-year flask sampling surveys will be used to select and confirm the viability of the sites. </w:t>
      </w:r>
    </w:p>
    <w:p w14:paraId="4438A018" w14:textId="6ACC6294" w:rsidR="00E93558" w:rsidRPr="00183362" w:rsidRDefault="00E93558" w:rsidP="00E93558">
      <w:r w:rsidRPr="00183362">
        <w:t>The RTF considered that funding in the next triennia 2030-2032 will be based on selection of the sites and preparation of proposals for their establishment and operation, training and technical assistance support, support for data management and storage, regional flask sampling training, and support for calibration standards. The RTF considered a funding scenario, based on the revised 2025 estimated costs for establishment and operation of the one high-frequency in situ monitoring site over a five-year period presented in table 1 of document UNEP/OzL.Pro.37/2/Add.1. Including annual personnel costs (including overhead) per station of US $100,000, and 10</w:t>
      </w:r>
      <w:r w:rsidR="004B519C">
        <w:t>%</w:t>
      </w:r>
      <w:r w:rsidRPr="00183362">
        <w:t xml:space="preserve"> contingency, the resulting range of costs for three stations over a five-year period would be </w:t>
      </w:r>
      <w:r w:rsidRPr="00183362">
        <w:rPr>
          <w:b/>
          <w:bCs/>
        </w:rPr>
        <w:t>US$ 4,252,000 to US$ 9,126,300</w:t>
      </w:r>
      <w:r w:rsidRPr="00183362">
        <w:t>.</w:t>
      </w:r>
    </w:p>
    <w:p w14:paraId="4B6283A6" w14:textId="77777777" w:rsidR="00E93558" w:rsidRPr="00183362" w:rsidRDefault="00E93558" w:rsidP="00E93558">
      <w:r w:rsidRPr="00183362">
        <w:t>Allocation of the funding window for the 2027-2029 and 2030-2032 periods is shown in Table 10.</w:t>
      </w:r>
      <w:r>
        <w:t>3</w:t>
      </w:r>
      <w:r w:rsidRPr="00183362">
        <w:t>.</w:t>
      </w:r>
    </w:p>
    <w:p w14:paraId="7BE93C53" w14:textId="1060A5BA" w:rsidR="00331BFF" w:rsidRPr="002427E7" w:rsidRDefault="00331BFF" w:rsidP="002135B0">
      <w:pPr>
        <w:ind w:left="1276" w:hanging="1276"/>
        <w:rPr>
          <w:b/>
          <w:bCs/>
        </w:rPr>
      </w:pPr>
      <w:r>
        <w:rPr>
          <w:b/>
          <w:bCs/>
        </w:rPr>
        <w:t>Table 10.3</w:t>
      </w:r>
      <w:r w:rsidR="00CF7258">
        <w:rPr>
          <w:b/>
          <w:bCs/>
        </w:rPr>
        <w:t>:</w:t>
      </w:r>
      <w:r w:rsidRPr="00183362">
        <w:rPr>
          <w:b/>
          <w:bCs/>
        </w:rPr>
        <w:tab/>
      </w:r>
      <w:r w:rsidRPr="00331BFF">
        <w:rPr>
          <w:b/>
          <w:bCs/>
        </w:rPr>
        <w:t>Indicative Costs</w:t>
      </w:r>
      <w:r w:rsidR="00AC6E3F">
        <w:rPr>
          <w:b/>
          <w:bCs/>
        </w:rPr>
        <w:t xml:space="preserve"> (US$)</w:t>
      </w:r>
      <w:r w:rsidRPr="00331BFF">
        <w:rPr>
          <w:b/>
          <w:bCs/>
        </w:rPr>
        <w:t xml:space="preserve"> for 2027-2029 and Future Triennia for a Funding Window for Pilot Stations Over Five Years</w:t>
      </w: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329"/>
        <w:gridCol w:w="2375"/>
        <w:gridCol w:w="1124"/>
      </w:tblGrid>
      <w:tr w:rsidR="00E93558" w:rsidRPr="004B519C" w14:paraId="2FF2A503" w14:textId="77777777" w:rsidTr="00C77A43">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D9E2F3" w:themeFill="accent1" w:themeFillTint="33"/>
          </w:tcPr>
          <w:p w14:paraId="3761E1E9" w14:textId="77777777" w:rsidR="00E93558" w:rsidRPr="004B519C" w:rsidRDefault="00E93558" w:rsidP="002135B0">
            <w:pPr>
              <w:spacing w:before="60" w:after="60"/>
              <w:rPr>
                <w:b w:val="0"/>
                <w:bCs w:val="0"/>
                <w:sz w:val="20"/>
                <w:szCs w:val="20"/>
              </w:rPr>
            </w:pPr>
          </w:p>
        </w:tc>
        <w:tc>
          <w:tcPr>
            <w:tcW w:w="0" w:type="auto"/>
            <w:gridSpan w:val="2"/>
            <w:tcBorders>
              <w:bottom w:val="none" w:sz="0" w:space="0" w:color="auto"/>
            </w:tcBorders>
            <w:shd w:val="clear" w:color="auto" w:fill="D9E2F3" w:themeFill="accent1" w:themeFillTint="33"/>
            <w:vAlign w:val="center"/>
          </w:tcPr>
          <w:p w14:paraId="4124780B" w14:textId="77777777" w:rsidR="00E93558" w:rsidRPr="004B519C" w:rsidRDefault="00E93558" w:rsidP="00C77A43">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4B519C">
              <w:rPr>
                <w:sz w:val="20"/>
                <w:szCs w:val="20"/>
              </w:rPr>
              <w:t>Pilot Station Cost for Five Years (US$)</w:t>
            </w:r>
          </w:p>
        </w:tc>
        <w:tc>
          <w:tcPr>
            <w:tcW w:w="0" w:type="auto"/>
            <w:vMerge w:val="restart"/>
            <w:tcBorders>
              <w:bottom w:val="none" w:sz="0" w:space="0" w:color="auto"/>
            </w:tcBorders>
            <w:shd w:val="clear" w:color="auto" w:fill="D9E2F3" w:themeFill="accent1" w:themeFillTint="33"/>
            <w:vAlign w:val="center"/>
          </w:tcPr>
          <w:p w14:paraId="2F1E1404" w14:textId="77777777" w:rsidR="00E93558" w:rsidRPr="004B519C" w:rsidRDefault="00E93558" w:rsidP="00C77A43">
            <w:pPr>
              <w:spacing w:before="60" w:after="60"/>
              <w:jc w:val="right"/>
              <w:cnfStyle w:val="100000000000" w:firstRow="1" w:lastRow="0" w:firstColumn="0" w:lastColumn="0" w:oddVBand="0" w:evenVBand="0" w:oddHBand="0" w:evenHBand="0" w:firstRowFirstColumn="0" w:firstRowLastColumn="0" w:lastRowFirstColumn="0" w:lastRowLastColumn="0"/>
              <w:rPr>
                <w:sz w:val="20"/>
                <w:szCs w:val="20"/>
              </w:rPr>
            </w:pPr>
            <w:r w:rsidRPr="004B519C">
              <w:rPr>
                <w:sz w:val="20"/>
                <w:szCs w:val="20"/>
              </w:rPr>
              <w:t>Triennium</w:t>
            </w:r>
          </w:p>
        </w:tc>
      </w:tr>
      <w:tr w:rsidR="00E93558" w:rsidRPr="004B519C" w14:paraId="1E2CF445" w14:textId="77777777" w:rsidTr="00C77A43">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D9E2F3" w:themeFill="accent1" w:themeFillTint="33"/>
          </w:tcPr>
          <w:p w14:paraId="0AB1297A" w14:textId="77777777" w:rsidR="00E93558" w:rsidRPr="004B519C" w:rsidRDefault="00E93558" w:rsidP="002135B0">
            <w:pPr>
              <w:spacing w:before="60" w:after="60"/>
              <w:rPr>
                <w:b w:val="0"/>
                <w:bCs w:val="0"/>
                <w:sz w:val="20"/>
                <w:szCs w:val="20"/>
              </w:rPr>
            </w:pPr>
          </w:p>
        </w:tc>
        <w:tc>
          <w:tcPr>
            <w:tcW w:w="2329" w:type="dxa"/>
            <w:tcBorders>
              <w:top w:val="none" w:sz="0" w:space="0" w:color="auto"/>
              <w:bottom w:val="none" w:sz="0" w:space="0" w:color="auto"/>
            </w:tcBorders>
            <w:shd w:val="clear" w:color="auto" w:fill="D9E2F3" w:themeFill="accent1" w:themeFillTint="33"/>
            <w:vAlign w:val="center"/>
          </w:tcPr>
          <w:p w14:paraId="4990E870" w14:textId="650E4D0F" w:rsidR="00E93558" w:rsidRPr="004B519C" w:rsidRDefault="00E93558" w:rsidP="00C77A43">
            <w:pPr>
              <w:spacing w:before="60" w:after="60"/>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4B519C">
              <w:rPr>
                <w:b/>
                <w:bCs/>
                <w:sz w:val="20"/>
                <w:szCs w:val="20"/>
              </w:rPr>
              <w:t>Three pilot stations</w:t>
            </w:r>
            <w:r w:rsidR="00AC6E3F" w:rsidRPr="004B519C">
              <w:rPr>
                <w:b/>
                <w:bCs/>
                <w:sz w:val="20"/>
                <w:szCs w:val="20"/>
              </w:rPr>
              <w:t xml:space="preserve"> US$</w:t>
            </w:r>
          </w:p>
        </w:tc>
        <w:tc>
          <w:tcPr>
            <w:tcW w:w="2375" w:type="dxa"/>
            <w:tcBorders>
              <w:top w:val="none" w:sz="0" w:space="0" w:color="auto"/>
              <w:bottom w:val="none" w:sz="0" w:space="0" w:color="auto"/>
            </w:tcBorders>
            <w:shd w:val="clear" w:color="auto" w:fill="D9E2F3" w:themeFill="accent1" w:themeFillTint="33"/>
            <w:vAlign w:val="center"/>
          </w:tcPr>
          <w:p w14:paraId="5731F697" w14:textId="3E811853" w:rsidR="00E93558" w:rsidRPr="004B519C" w:rsidRDefault="00E93558" w:rsidP="00C77A43">
            <w:pPr>
              <w:spacing w:before="60" w:after="60"/>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4B519C">
              <w:rPr>
                <w:b/>
                <w:bCs/>
                <w:sz w:val="20"/>
                <w:szCs w:val="20"/>
              </w:rPr>
              <w:t>With 9.6% agency support costs</w:t>
            </w:r>
            <w:r w:rsidR="009B488D" w:rsidRPr="004B519C">
              <w:rPr>
                <w:b/>
                <w:bCs/>
                <w:sz w:val="20"/>
                <w:szCs w:val="20"/>
              </w:rPr>
              <w:t xml:space="preserve"> US$</w:t>
            </w:r>
          </w:p>
        </w:tc>
        <w:tc>
          <w:tcPr>
            <w:tcW w:w="0" w:type="auto"/>
            <w:vMerge/>
            <w:tcBorders>
              <w:top w:val="none" w:sz="0" w:space="0" w:color="auto"/>
              <w:bottom w:val="none" w:sz="0" w:space="0" w:color="auto"/>
            </w:tcBorders>
          </w:tcPr>
          <w:p w14:paraId="32CDD9E5" w14:textId="77777777" w:rsidR="00E93558" w:rsidRPr="004B519C" w:rsidRDefault="00E93558" w:rsidP="002135B0">
            <w:pPr>
              <w:spacing w:before="60" w:after="60"/>
              <w:cnfStyle w:val="000000100000" w:firstRow="0" w:lastRow="0" w:firstColumn="0" w:lastColumn="0" w:oddVBand="0" w:evenVBand="0" w:oddHBand="1" w:evenHBand="0" w:firstRowFirstColumn="0" w:firstRowLastColumn="0" w:lastRowFirstColumn="0" w:lastRowLastColumn="0"/>
              <w:rPr>
                <w:b/>
                <w:bCs/>
                <w:sz w:val="20"/>
                <w:szCs w:val="20"/>
              </w:rPr>
            </w:pPr>
          </w:p>
        </w:tc>
      </w:tr>
      <w:tr w:rsidR="00E93558" w:rsidRPr="004B519C" w14:paraId="7FC3D43F" w14:textId="77777777" w:rsidTr="002135B0">
        <w:trPr>
          <w:trHeight w:val="316"/>
        </w:trPr>
        <w:tc>
          <w:tcPr>
            <w:cnfStyle w:val="001000000000" w:firstRow="0" w:lastRow="0" w:firstColumn="1" w:lastColumn="0" w:oddVBand="0" w:evenVBand="0" w:oddHBand="0" w:evenHBand="0" w:firstRowFirstColumn="0" w:firstRowLastColumn="0" w:lastRowFirstColumn="0" w:lastRowLastColumn="0"/>
            <w:tcW w:w="0" w:type="auto"/>
          </w:tcPr>
          <w:p w14:paraId="3DA3B8E2" w14:textId="77777777" w:rsidR="00E93558" w:rsidRPr="004B519C" w:rsidRDefault="00E93558" w:rsidP="002135B0">
            <w:pPr>
              <w:spacing w:before="60" w:after="60"/>
              <w:rPr>
                <w:sz w:val="20"/>
                <w:szCs w:val="20"/>
              </w:rPr>
            </w:pPr>
            <w:r w:rsidRPr="004B519C">
              <w:rPr>
                <w:sz w:val="20"/>
                <w:szCs w:val="20"/>
              </w:rPr>
              <w:t>Project preparation – sampling surveys</w:t>
            </w:r>
          </w:p>
        </w:tc>
        <w:tc>
          <w:tcPr>
            <w:tcW w:w="2329" w:type="dxa"/>
            <w:vAlign w:val="center"/>
          </w:tcPr>
          <w:p w14:paraId="4CF88A52"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780,000</w:t>
            </w:r>
          </w:p>
        </w:tc>
        <w:tc>
          <w:tcPr>
            <w:tcW w:w="2375" w:type="dxa"/>
            <w:vAlign w:val="center"/>
          </w:tcPr>
          <w:p w14:paraId="75DF4BEB"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854,880</w:t>
            </w:r>
          </w:p>
        </w:tc>
        <w:tc>
          <w:tcPr>
            <w:tcW w:w="0" w:type="auto"/>
            <w:vAlign w:val="center"/>
          </w:tcPr>
          <w:p w14:paraId="1270784D"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2027-2029</w:t>
            </w:r>
          </w:p>
        </w:tc>
      </w:tr>
      <w:tr w:rsidR="00E93558" w:rsidRPr="004B519C" w14:paraId="3DC77673" w14:textId="77777777" w:rsidTr="002135B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16B27085" w14:textId="77777777" w:rsidR="00E93558" w:rsidRPr="004B519C" w:rsidRDefault="00E93558" w:rsidP="002135B0">
            <w:pPr>
              <w:spacing w:before="60" w:after="60"/>
              <w:rPr>
                <w:sz w:val="20"/>
                <w:szCs w:val="20"/>
              </w:rPr>
            </w:pPr>
            <w:r w:rsidRPr="004B519C">
              <w:rPr>
                <w:sz w:val="20"/>
                <w:szCs w:val="20"/>
              </w:rPr>
              <w:t>Project preparation – site-specific proposal</w:t>
            </w:r>
          </w:p>
        </w:tc>
        <w:tc>
          <w:tcPr>
            <w:tcW w:w="2329" w:type="dxa"/>
            <w:tcBorders>
              <w:top w:val="none" w:sz="0" w:space="0" w:color="auto"/>
              <w:bottom w:val="none" w:sz="0" w:space="0" w:color="auto"/>
            </w:tcBorders>
            <w:vAlign w:val="center"/>
          </w:tcPr>
          <w:p w14:paraId="56936D11" w14:textId="77777777" w:rsidR="00E93558" w:rsidRPr="004B519C" w:rsidRDefault="00E93558" w:rsidP="002135B0">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rPr>
            </w:pPr>
            <w:r w:rsidRPr="004B519C">
              <w:rPr>
                <w:sz w:val="20"/>
                <w:szCs w:val="20"/>
              </w:rPr>
              <w:t>450,000</w:t>
            </w:r>
          </w:p>
        </w:tc>
        <w:tc>
          <w:tcPr>
            <w:tcW w:w="2375" w:type="dxa"/>
            <w:tcBorders>
              <w:top w:val="none" w:sz="0" w:space="0" w:color="auto"/>
              <w:bottom w:val="none" w:sz="0" w:space="0" w:color="auto"/>
            </w:tcBorders>
            <w:vAlign w:val="center"/>
          </w:tcPr>
          <w:p w14:paraId="70CBFB57" w14:textId="77777777" w:rsidR="00E93558" w:rsidRPr="004B519C" w:rsidRDefault="00E93558" w:rsidP="002135B0">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rPr>
            </w:pPr>
            <w:r w:rsidRPr="004B519C">
              <w:rPr>
                <w:sz w:val="20"/>
                <w:szCs w:val="20"/>
              </w:rPr>
              <w:t>493,200</w:t>
            </w:r>
          </w:p>
        </w:tc>
        <w:tc>
          <w:tcPr>
            <w:tcW w:w="0" w:type="auto"/>
            <w:tcBorders>
              <w:top w:val="none" w:sz="0" w:space="0" w:color="auto"/>
              <w:bottom w:val="none" w:sz="0" w:space="0" w:color="auto"/>
            </w:tcBorders>
            <w:vAlign w:val="center"/>
          </w:tcPr>
          <w:p w14:paraId="5C763476" w14:textId="77777777" w:rsidR="00E93558" w:rsidRPr="004B519C" w:rsidRDefault="00E93558" w:rsidP="002135B0">
            <w:pPr>
              <w:spacing w:before="60" w:after="60" w:line="259"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4B519C">
              <w:rPr>
                <w:sz w:val="20"/>
                <w:szCs w:val="20"/>
              </w:rPr>
              <w:t>2030-2032</w:t>
            </w:r>
          </w:p>
        </w:tc>
      </w:tr>
      <w:tr w:rsidR="00E93558" w:rsidRPr="004B519C" w14:paraId="1EC47E69" w14:textId="77777777" w:rsidTr="002135B0">
        <w:trPr>
          <w:trHeight w:val="532"/>
        </w:trPr>
        <w:tc>
          <w:tcPr>
            <w:cnfStyle w:val="001000000000" w:firstRow="0" w:lastRow="0" w:firstColumn="1" w:lastColumn="0" w:oddVBand="0" w:evenVBand="0" w:oddHBand="0" w:evenHBand="0" w:firstRowFirstColumn="0" w:firstRowLastColumn="0" w:lastRowFirstColumn="0" w:lastRowLastColumn="0"/>
            <w:tcW w:w="0" w:type="auto"/>
          </w:tcPr>
          <w:p w14:paraId="2817DC9D" w14:textId="77777777" w:rsidR="00E93558" w:rsidRPr="004B519C" w:rsidRDefault="00E93558" w:rsidP="002135B0">
            <w:pPr>
              <w:spacing w:before="60" w:after="60"/>
              <w:rPr>
                <w:sz w:val="20"/>
                <w:szCs w:val="20"/>
              </w:rPr>
            </w:pPr>
            <w:r w:rsidRPr="004B519C">
              <w:rPr>
                <w:sz w:val="20"/>
                <w:szCs w:val="20"/>
              </w:rPr>
              <w:t>Establishment and operation</w:t>
            </w:r>
          </w:p>
        </w:tc>
        <w:tc>
          <w:tcPr>
            <w:tcW w:w="2329" w:type="dxa"/>
            <w:vAlign w:val="center"/>
          </w:tcPr>
          <w:p w14:paraId="36774DC6"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3,869,320 - 8,304,900</w:t>
            </w:r>
          </w:p>
        </w:tc>
        <w:tc>
          <w:tcPr>
            <w:tcW w:w="2375" w:type="dxa"/>
            <w:vAlign w:val="center"/>
          </w:tcPr>
          <w:p w14:paraId="19EF7D7F"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4,240,775 - 9,102,170</w:t>
            </w:r>
          </w:p>
        </w:tc>
        <w:tc>
          <w:tcPr>
            <w:tcW w:w="0" w:type="auto"/>
            <w:vAlign w:val="center"/>
          </w:tcPr>
          <w:p w14:paraId="13AE3F71"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2030-2032</w:t>
            </w:r>
          </w:p>
        </w:tc>
      </w:tr>
      <w:tr w:rsidR="00E93558" w:rsidRPr="004B519C" w14:paraId="32B99687" w14:textId="77777777" w:rsidTr="002135B0">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733249FF" w14:textId="77777777" w:rsidR="00E93558" w:rsidRPr="004B519C" w:rsidRDefault="00E93558" w:rsidP="002135B0">
            <w:pPr>
              <w:spacing w:before="60" w:after="60"/>
              <w:rPr>
                <w:sz w:val="20"/>
                <w:szCs w:val="20"/>
              </w:rPr>
            </w:pPr>
            <w:r w:rsidRPr="004B519C">
              <w:rPr>
                <w:sz w:val="20"/>
                <w:szCs w:val="20"/>
              </w:rPr>
              <w:t>Training and technical assistance</w:t>
            </w:r>
          </w:p>
        </w:tc>
        <w:tc>
          <w:tcPr>
            <w:tcW w:w="2329" w:type="dxa"/>
            <w:tcBorders>
              <w:top w:val="none" w:sz="0" w:space="0" w:color="auto"/>
              <w:bottom w:val="none" w:sz="0" w:space="0" w:color="auto"/>
            </w:tcBorders>
            <w:vAlign w:val="center"/>
          </w:tcPr>
          <w:p w14:paraId="6B4DC341" w14:textId="77777777" w:rsidR="00E93558" w:rsidRPr="004B519C" w:rsidRDefault="00E93558" w:rsidP="002135B0">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rPr>
            </w:pPr>
            <w:r w:rsidRPr="004B519C">
              <w:rPr>
                <w:sz w:val="20"/>
                <w:szCs w:val="20"/>
              </w:rPr>
              <w:t>450,000</w:t>
            </w:r>
          </w:p>
        </w:tc>
        <w:tc>
          <w:tcPr>
            <w:tcW w:w="2375" w:type="dxa"/>
            <w:tcBorders>
              <w:top w:val="none" w:sz="0" w:space="0" w:color="auto"/>
              <w:bottom w:val="none" w:sz="0" w:space="0" w:color="auto"/>
            </w:tcBorders>
            <w:vAlign w:val="center"/>
          </w:tcPr>
          <w:p w14:paraId="21488C20" w14:textId="77777777" w:rsidR="00E93558" w:rsidRPr="004B519C" w:rsidRDefault="00E93558" w:rsidP="002135B0">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rPr>
            </w:pPr>
            <w:r w:rsidRPr="004B519C">
              <w:rPr>
                <w:sz w:val="20"/>
                <w:szCs w:val="20"/>
              </w:rPr>
              <w:t>493,200</w:t>
            </w:r>
          </w:p>
        </w:tc>
        <w:tc>
          <w:tcPr>
            <w:tcW w:w="0" w:type="auto"/>
            <w:tcBorders>
              <w:top w:val="none" w:sz="0" w:space="0" w:color="auto"/>
              <w:bottom w:val="none" w:sz="0" w:space="0" w:color="auto"/>
            </w:tcBorders>
            <w:vAlign w:val="center"/>
          </w:tcPr>
          <w:p w14:paraId="773476AC" w14:textId="77777777" w:rsidR="00E93558" w:rsidRPr="004B519C" w:rsidRDefault="00E93558" w:rsidP="002135B0">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rPr>
            </w:pPr>
            <w:r w:rsidRPr="004B519C">
              <w:rPr>
                <w:sz w:val="20"/>
                <w:szCs w:val="20"/>
              </w:rPr>
              <w:t>2030-2032</w:t>
            </w:r>
          </w:p>
        </w:tc>
      </w:tr>
      <w:tr w:rsidR="00E93558" w:rsidRPr="004B519C" w14:paraId="618CF55C" w14:textId="77777777" w:rsidTr="002135B0">
        <w:trPr>
          <w:trHeight w:val="532"/>
        </w:trPr>
        <w:tc>
          <w:tcPr>
            <w:cnfStyle w:val="001000000000" w:firstRow="0" w:lastRow="0" w:firstColumn="1" w:lastColumn="0" w:oddVBand="0" w:evenVBand="0" w:oddHBand="0" w:evenHBand="0" w:firstRowFirstColumn="0" w:firstRowLastColumn="0" w:lastRowFirstColumn="0" w:lastRowLastColumn="0"/>
            <w:tcW w:w="0" w:type="auto"/>
          </w:tcPr>
          <w:p w14:paraId="14D07E34" w14:textId="77777777" w:rsidR="00E93558" w:rsidRPr="004B519C" w:rsidRDefault="00E93558" w:rsidP="002135B0">
            <w:pPr>
              <w:spacing w:before="60" w:after="60"/>
              <w:rPr>
                <w:sz w:val="20"/>
                <w:szCs w:val="20"/>
              </w:rPr>
            </w:pPr>
            <w:r w:rsidRPr="004B519C">
              <w:rPr>
                <w:sz w:val="20"/>
                <w:szCs w:val="20"/>
              </w:rPr>
              <w:t>Data storage and management</w:t>
            </w:r>
          </w:p>
        </w:tc>
        <w:tc>
          <w:tcPr>
            <w:tcW w:w="2329" w:type="dxa"/>
            <w:vAlign w:val="center"/>
          </w:tcPr>
          <w:p w14:paraId="1D865D78"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450,000</w:t>
            </w:r>
          </w:p>
        </w:tc>
        <w:tc>
          <w:tcPr>
            <w:tcW w:w="2375" w:type="dxa"/>
            <w:vAlign w:val="center"/>
          </w:tcPr>
          <w:p w14:paraId="46BC907F"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493,200</w:t>
            </w:r>
          </w:p>
        </w:tc>
        <w:tc>
          <w:tcPr>
            <w:tcW w:w="0" w:type="auto"/>
            <w:vAlign w:val="center"/>
          </w:tcPr>
          <w:p w14:paraId="4B00320D"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2030-2032</w:t>
            </w:r>
          </w:p>
        </w:tc>
      </w:tr>
      <w:tr w:rsidR="00E93558" w:rsidRPr="004B519C" w14:paraId="3FB033B5" w14:textId="77777777" w:rsidTr="002135B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77ADC60D" w14:textId="77777777" w:rsidR="00E93558" w:rsidRPr="004B519C" w:rsidRDefault="00E93558" w:rsidP="002135B0">
            <w:pPr>
              <w:spacing w:before="60" w:after="60"/>
              <w:rPr>
                <w:sz w:val="20"/>
                <w:szCs w:val="20"/>
              </w:rPr>
            </w:pPr>
            <w:r w:rsidRPr="004B519C">
              <w:rPr>
                <w:sz w:val="20"/>
                <w:szCs w:val="20"/>
              </w:rPr>
              <w:t xml:space="preserve">Flask sampling support (one region) </w:t>
            </w:r>
          </w:p>
        </w:tc>
        <w:tc>
          <w:tcPr>
            <w:tcW w:w="2329" w:type="dxa"/>
            <w:tcBorders>
              <w:top w:val="none" w:sz="0" w:space="0" w:color="auto"/>
              <w:bottom w:val="none" w:sz="0" w:space="0" w:color="auto"/>
            </w:tcBorders>
            <w:vAlign w:val="center"/>
          </w:tcPr>
          <w:p w14:paraId="6093D5AF" w14:textId="77777777" w:rsidR="00E93558" w:rsidRPr="004B519C" w:rsidRDefault="00E93558" w:rsidP="002135B0">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rPr>
            </w:pPr>
            <w:r w:rsidRPr="004B519C">
              <w:rPr>
                <w:sz w:val="20"/>
                <w:szCs w:val="20"/>
              </w:rPr>
              <w:t>1,375,000</w:t>
            </w:r>
          </w:p>
        </w:tc>
        <w:tc>
          <w:tcPr>
            <w:tcW w:w="2375" w:type="dxa"/>
            <w:tcBorders>
              <w:top w:val="none" w:sz="0" w:space="0" w:color="auto"/>
              <w:bottom w:val="none" w:sz="0" w:space="0" w:color="auto"/>
            </w:tcBorders>
            <w:vAlign w:val="center"/>
          </w:tcPr>
          <w:p w14:paraId="2279893F" w14:textId="77777777" w:rsidR="00E93558" w:rsidRPr="004B519C" w:rsidRDefault="00E93558" w:rsidP="002135B0">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rPr>
            </w:pPr>
            <w:r w:rsidRPr="004B519C">
              <w:rPr>
                <w:sz w:val="20"/>
                <w:szCs w:val="20"/>
              </w:rPr>
              <w:t>1,642,630</w:t>
            </w:r>
          </w:p>
        </w:tc>
        <w:tc>
          <w:tcPr>
            <w:tcW w:w="0" w:type="auto"/>
            <w:tcBorders>
              <w:top w:val="none" w:sz="0" w:space="0" w:color="auto"/>
              <w:bottom w:val="none" w:sz="0" w:space="0" w:color="auto"/>
            </w:tcBorders>
            <w:vAlign w:val="center"/>
          </w:tcPr>
          <w:p w14:paraId="2B92F43B" w14:textId="77777777" w:rsidR="00E93558" w:rsidRPr="004B519C" w:rsidRDefault="00E93558" w:rsidP="002135B0">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rPr>
            </w:pPr>
            <w:r w:rsidRPr="004B519C">
              <w:rPr>
                <w:sz w:val="20"/>
                <w:szCs w:val="20"/>
              </w:rPr>
              <w:t>2030-2032</w:t>
            </w:r>
          </w:p>
        </w:tc>
      </w:tr>
      <w:tr w:rsidR="00E93558" w:rsidRPr="004B519C" w14:paraId="5AD938B9" w14:textId="77777777" w:rsidTr="002135B0">
        <w:trPr>
          <w:trHeight w:val="532"/>
        </w:trPr>
        <w:tc>
          <w:tcPr>
            <w:cnfStyle w:val="001000000000" w:firstRow="0" w:lastRow="0" w:firstColumn="1" w:lastColumn="0" w:oddVBand="0" w:evenVBand="0" w:oddHBand="0" w:evenHBand="0" w:firstRowFirstColumn="0" w:firstRowLastColumn="0" w:lastRowFirstColumn="0" w:lastRowLastColumn="0"/>
            <w:tcW w:w="0" w:type="auto"/>
          </w:tcPr>
          <w:p w14:paraId="65BC6A0A" w14:textId="77777777" w:rsidR="00E93558" w:rsidRPr="004B519C" w:rsidRDefault="00E93558" w:rsidP="002135B0">
            <w:pPr>
              <w:spacing w:before="60" w:after="60"/>
              <w:rPr>
                <w:sz w:val="20"/>
                <w:szCs w:val="20"/>
              </w:rPr>
            </w:pPr>
            <w:r w:rsidRPr="004B519C">
              <w:rPr>
                <w:sz w:val="20"/>
                <w:szCs w:val="20"/>
              </w:rPr>
              <w:t>Support for calibration standards (global)</w:t>
            </w:r>
          </w:p>
        </w:tc>
        <w:tc>
          <w:tcPr>
            <w:tcW w:w="2329" w:type="dxa"/>
            <w:vAlign w:val="center"/>
          </w:tcPr>
          <w:p w14:paraId="083CDFD2"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1,000,000</w:t>
            </w:r>
          </w:p>
        </w:tc>
        <w:tc>
          <w:tcPr>
            <w:tcW w:w="2375" w:type="dxa"/>
            <w:vAlign w:val="center"/>
          </w:tcPr>
          <w:p w14:paraId="22633B21"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1,507,000</w:t>
            </w:r>
          </w:p>
        </w:tc>
        <w:tc>
          <w:tcPr>
            <w:tcW w:w="0" w:type="auto"/>
            <w:vAlign w:val="center"/>
          </w:tcPr>
          <w:p w14:paraId="53E03189" w14:textId="77777777" w:rsidR="00E93558" w:rsidRPr="004B519C" w:rsidRDefault="00E93558" w:rsidP="002135B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B519C">
              <w:rPr>
                <w:sz w:val="20"/>
                <w:szCs w:val="20"/>
              </w:rPr>
              <w:t>2030-2032</w:t>
            </w:r>
          </w:p>
        </w:tc>
      </w:tr>
      <w:tr w:rsidR="00E93558" w:rsidRPr="004B519C" w14:paraId="6DB5B2F2" w14:textId="77777777" w:rsidTr="00CF6B6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B4C6E7" w:themeFill="accent1" w:themeFillTint="66"/>
          </w:tcPr>
          <w:p w14:paraId="5A61F6E2" w14:textId="77777777" w:rsidR="00E93558" w:rsidRPr="004B519C" w:rsidRDefault="00E93558" w:rsidP="002135B0">
            <w:pPr>
              <w:spacing w:before="60" w:after="60"/>
              <w:rPr>
                <w:sz w:val="20"/>
                <w:szCs w:val="20"/>
              </w:rPr>
            </w:pPr>
            <w:r w:rsidRPr="004B519C">
              <w:rPr>
                <w:sz w:val="20"/>
                <w:szCs w:val="20"/>
              </w:rPr>
              <w:t>TOTAL</w:t>
            </w:r>
          </w:p>
        </w:tc>
        <w:tc>
          <w:tcPr>
            <w:tcW w:w="0" w:type="auto"/>
            <w:gridSpan w:val="2"/>
            <w:tcBorders>
              <w:top w:val="none" w:sz="0" w:space="0" w:color="auto"/>
              <w:bottom w:val="none" w:sz="0" w:space="0" w:color="auto"/>
            </w:tcBorders>
            <w:shd w:val="clear" w:color="auto" w:fill="B4C6E7" w:themeFill="accent1" w:themeFillTint="66"/>
          </w:tcPr>
          <w:p w14:paraId="7B492898" w14:textId="77777777" w:rsidR="00E93558" w:rsidRPr="004B519C" w:rsidRDefault="00E93558" w:rsidP="002135B0">
            <w:pPr>
              <w:spacing w:before="60" w:after="6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B519C">
              <w:rPr>
                <w:b/>
                <w:bCs/>
                <w:sz w:val="20"/>
                <w:szCs w:val="20"/>
              </w:rPr>
              <w:t>9,724,885 – 14,586,280</w:t>
            </w:r>
          </w:p>
        </w:tc>
        <w:tc>
          <w:tcPr>
            <w:tcW w:w="0" w:type="auto"/>
            <w:tcBorders>
              <w:top w:val="none" w:sz="0" w:space="0" w:color="auto"/>
              <w:bottom w:val="none" w:sz="0" w:space="0" w:color="auto"/>
            </w:tcBorders>
            <w:shd w:val="clear" w:color="auto" w:fill="B4C6E7" w:themeFill="accent1" w:themeFillTint="66"/>
          </w:tcPr>
          <w:p w14:paraId="40A75005" w14:textId="77777777" w:rsidR="00E93558" w:rsidRPr="004B519C" w:rsidRDefault="00E93558" w:rsidP="002135B0">
            <w:pPr>
              <w:spacing w:before="60" w:after="60"/>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bl>
    <w:p w14:paraId="35B964D7" w14:textId="7B5A80FC" w:rsidR="00E93558" w:rsidRDefault="00E93558" w:rsidP="002D02B7">
      <w:pPr>
        <w:pStyle w:val="Heading2"/>
      </w:pPr>
      <w:bookmarkStart w:id="350" w:name="_Toc227477961"/>
      <w:bookmarkStart w:id="351" w:name="_Toc230099157"/>
      <w:r w:rsidRPr="00183362">
        <w:lastRenderedPageBreak/>
        <w:t>10.</w:t>
      </w:r>
      <w:r>
        <w:t>4</w:t>
      </w:r>
      <w:r w:rsidRPr="00183362">
        <w:tab/>
        <w:t xml:space="preserve">Estimated funding for regional atmospheric monitoring for 2027-2029 and </w:t>
      </w:r>
      <w:r w:rsidR="00F63716">
        <w:t>2030-2032</w:t>
      </w:r>
      <w:bookmarkEnd w:id="350"/>
      <w:bookmarkEnd w:id="351"/>
    </w:p>
    <w:p w14:paraId="4A94D5D7" w14:textId="3C73CD10" w:rsidR="00387E70" w:rsidRPr="00387E70" w:rsidRDefault="00387E70" w:rsidP="00387E70">
      <w:r>
        <w:t>Table 10.4 provides the estimated fundin</w:t>
      </w:r>
      <w:r w:rsidR="00153FEA">
        <w:t xml:space="preserve">g for a funding window for pilot stations </w:t>
      </w:r>
      <w:r w:rsidR="00854057">
        <w:t>for the 2027-2029 and future triennia.</w:t>
      </w:r>
      <w:r w:rsidR="00153FEA">
        <w:t xml:space="preserve"> </w:t>
      </w:r>
    </w:p>
    <w:p w14:paraId="245E6E43" w14:textId="235C6387" w:rsidR="00E93558" w:rsidRPr="00183362" w:rsidRDefault="00E93558" w:rsidP="00387E70">
      <w:pPr>
        <w:ind w:left="1440" w:hanging="1440"/>
        <w:rPr>
          <w:b/>
          <w:bCs/>
        </w:rPr>
      </w:pPr>
      <w:r w:rsidRPr="26C4EEEA">
        <w:rPr>
          <w:b/>
          <w:bCs/>
        </w:rPr>
        <w:t xml:space="preserve">  </w:t>
      </w:r>
      <w:r w:rsidR="0057430F">
        <w:rPr>
          <w:b/>
          <w:bCs/>
        </w:rPr>
        <w:t>Table 10.4</w:t>
      </w:r>
      <w:r w:rsidR="00607378">
        <w:rPr>
          <w:b/>
          <w:bCs/>
        </w:rPr>
        <w:t>:</w:t>
      </w:r>
      <w:r w:rsidR="0057430F" w:rsidRPr="00183362">
        <w:rPr>
          <w:b/>
          <w:bCs/>
        </w:rPr>
        <w:tab/>
      </w:r>
      <w:r w:rsidR="0057430F" w:rsidRPr="00331BFF">
        <w:rPr>
          <w:b/>
          <w:bCs/>
        </w:rPr>
        <w:t>Indicative Costs for 2027-2029 and Future Triennia for a Funding Window for Pilot Stations Over Five Years</w:t>
      </w:r>
      <w:r w:rsidR="00387E70">
        <w:rPr>
          <w:b/>
          <w:bCs/>
        </w:rPr>
        <w:t xml:space="preserve"> (US$)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2270"/>
        <w:gridCol w:w="3508"/>
      </w:tblGrid>
      <w:tr w:rsidR="00642186" w:rsidRPr="00183362" w14:paraId="7C7110A8" w14:textId="77777777" w:rsidTr="004B519C">
        <w:trPr>
          <w:trHeight w:val="63"/>
          <w:jc w:val="center"/>
        </w:trPr>
        <w:tc>
          <w:tcPr>
            <w:tcW w:w="1816" w:type="pct"/>
            <w:shd w:val="clear" w:color="auto" w:fill="E2EFD9" w:themeFill="accent6" w:themeFillTint="33"/>
            <w:vAlign w:val="center"/>
          </w:tcPr>
          <w:p w14:paraId="55B8D83B" w14:textId="77777777" w:rsidR="00642186" w:rsidRPr="00183362" w:rsidRDefault="00642186" w:rsidP="002135B0">
            <w:pPr>
              <w:spacing w:before="120" w:after="120"/>
              <w:rPr>
                <w:b/>
                <w:bCs/>
              </w:rPr>
            </w:pPr>
          </w:p>
        </w:tc>
        <w:tc>
          <w:tcPr>
            <w:tcW w:w="1251" w:type="pct"/>
            <w:shd w:val="clear" w:color="auto" w:fill="E2EFD9" w:themeFill="accent6" w:themeFillTint="33"/>
          </w:tcPr>
          <w:p w14:paraId="2F4C2BBF" w14:textId="77777777" w:rsidR="00642186" w:rsidRPr="00183362" w:rsidRDefault="00642186" w:rsidP="002135B0">
            <w:pPr>
              <w:spacing w:before="120" w:after="120"/>
              <w:jc w:val="center"/>
              <w:rPr>
                <w:b/>
                <w:bCs/>
              </w:rPr>
            </w:pPr>
            <w:r w:rsidRPr="00183362">
              <w:rPr>
                <w:b/>
                <w:bCs/>
              </w:rPr>
              <w:t>2027-2029</w:t>
            </w:r>
          </w:p>
        </w:tc>
        <w:tc>
          <w:tcPr>
            <w:tcW w:w="1933" w:type="pct"/>
            <w:shd w:val="clear" w:color="auto" w:fill="E2EFD9" w:themeFill="accent6" w:themeFillTint="33"/>
          </w:tcPr>
          <w:p w14:paraId="18370FD6" w14:textId="77777777" w:rsidR="00642186" w:rsidRPr="00183362" w:rsidRDefault="00642186" w:rsidP="002135B0">
            <w:pPr>
              <w:spacing w:before="120" w:after="120"/>
              <w:jc w:val="center"/>
              <w:rPr>
                <w:b/>
                <w:bCs/>
              </w:rPr>
            </w:pPr>
            <w:r w:rsidRPr="00183362">
              <w:rPr>
                <w:b/>
                <w:bCs/>
              </w:rPr>
              <w:t>2030-2032</w:t>
            </w:r>
          </w:p>
        </w:tc>
      </w:tr>
      <w:tr w:rsidR="00642186" w:rsidRPr="00183362" w14:paraId="671368C6" w14:textId="77777777" w:rsidTr="004B519C">
        <w:trPr>
          <w:trHeight w:val="163"/>
          <w:jc w:val="center"/>
        </w:trPr>
        <w:tc>
          <w:tcPr>
            <w:tcW w:w="1816" w:type="pct"/>
            <w:shd w:val="clear" w:color="auto" w:fill="E2EFD9" w:themeFill="accent6" w:themeFillTint="33"/>
            <w:vAlign w:val="center"/>
          </w:tcPr>
          <w:p w14:paraId="1898EE07" w14:textId="77777777" w:rsidR="00642186" w:rsidRPr="00183362" w:rsidRDefault="00642186" w:rsidP="002135B0">
            <w:pPr>
              <w:spacing w:before="120" w:after="120"/>
              <w:rPr>
                <w:b/>
                <w:bCs/>
              </w:rPr>
            </w:pPr>
            <w:r w:rsidRPr="26C4EEEA">
              <w:rPr>
                <w:b/>
                <w:bCs/>
              </w:rPr>
              <w:t>Regional Atmospheric Monitoring (</w:t>
            </w:r>
            <w:r w:rsidRPr="2B178FE1">
              <w:rPr>
                <w:b/>
              </w:rPr>
              <w:t xml:space="preserve">including 9.6% agency support costs) </w:t>
            </w:r>
          </w:p>
        </w:tc>
        <w:tc>
          <w:tcPr>
            <w:tcW w:w="1251" w:type="pct"/>
            <w:shd w:val="clear" w:color="auto" w:fill="FFFFFF" w:themeFill="background1"/>
          </w:tcPr>
          <w:p w14:paraId="3DF032B9" w14:textId="77777777" w:rsidR="00642186" w:rsidRPr="00183362" w:rsidRDefault="00642186" w:rsidP="002135B0">
            <w:pPr>
              <w:spacing w:before="120" w:after="120" w:line="259" w:lineRule="auto"/>
              <w:jc w:val="right"/>
              <w:rPr>
                <w:b/>
                <w:bCs/>
              </w:rPr>
            </w:pPr>
            <w:r w:rsidRPr="00183362">
              <w:rPr>
                <w:b/>
                <w:bCs/>
              </w:rPr>
              <w:t xml:space="preserve">$     </w:t>
            </w:r>
            <w:r w:rsidRPr="2B178FE1">
              <w:rPr>
                <w:b/>
                <w:bCs/>
              </w:rPr>
              <w:t>854,880</w:t>
            </w:r>
            <w:r w:rsidRPr="00183362">
              <w:rPr>
                <w:b/>
                <w:bCs/>
              </w:rPr>
              <w:t xml:space="preserve">  </w:t>
            </w:r>
          </w:p>
        </w:tc>
        <w:tc>
          <w:tcPr>
            <w:tcW w:w="1933" w:type="pct"/>
            <w:shd w:val="clear" w:color="auto" w:fill="FFFFFF" w:themeFill="background1"/>
          </w:tcPr>
          <w:p w14:paraId="42D6B52E" w14:textId="77777777" w:rsidR="00642186" w:rsidRPr="00183362" w:rsidRDefault="00642186" w:rsidP="002135B0">
            <w:pPr>
              <w:spacing w:before="120" w:after="120" w:line="259" w:lineRule="auto"/>
              <w:jc w:val="right"/>
            </w:pPr>
            <w:r w:rsidRPr="00183362">
              <w:rPr>
                <w:b/>
                <w:bCs/>
              </w:rPr>
              <w:t>$    8,</w:t>
            </w:r>
            <w:r w:rsidRPr="2B178FE1">
              <w:rPr>
                <w:b/>
                <w:bCs/>
              </w:rPr>
              <w:t>870,005 –</w:t>
            </w:r>
            <w:r w:rsidRPr="00183362">
              <w:rPr>
                <w:b/>
                <w:bCs/>
              </w:rPr>
              <w:t xml:space="preserve"> 13,</w:t>
            </w:r>
            <w:r w:rsidRPr="2B178FE1">
              <w:rPr>
                <w:b/>
                <w:bCs/>
              </w:rPr>
              <w:t>731,400</w:t>
            </w:r>
          </w:p>
        </w:tc>
      </w:tr>
      <w:tr w:rsidR="00642186" w:rsidRPr="00183362" w14:paraId="1F034A3F" w14:textId="77777777" w:rsidTr="004B519C">
        <w:trPr>
          <w:trHeight w:val="25"/>
          <w:jc w:val="center"/>
        </w:trPr>
        <w:tc>
          <w:tcPr>
            <w:tcW w:w="1816" w:type="pct"/>
            <w:shd w:val="clear" w:color="auto" w:fill="FFFF00"/>
            <w:vAlign w:val="center"/>
          </w:tcPr>
          <w:p w14:paraId="6EA7678B" w14:textId="77777777" w:rsidR="00642186" w:rsidRPr="00183362" w:rsidRDefault="00642186" w:rsidP="002135B0">
            <w:pPr>
              <w:spacing w:before="120" w:after="120"/>
              <w:rPr>
                <w:b/>
                <w:bCs/>
              </w:rPr>
            </w:pPr>
            <w:r w:rsidRPr="00183362">
              <w:rPr>
                <w:b/>
                <w:bCs/>
              </w:rPr>
              <w:t>Subtotal – Regional Atmospheric Monitoring</w:t>
            </w:r>
          </w:p>
        </w:tc>
        <w:tc>
          <w:tcPr>
            <w:tcW w:w="1251" w:type="pct"/>
            <w:shd w:val="clear" w:color="auto" w:fill="FFFF00"/>
          </w:tcPr>
          <w:p w14:paraId="273C23C1" w14:textId="77777777" w:rsidR="00642186" w:rsidRPr="00183362" w:rsidRDefault="00642186" w:rsidP="002135B0">
            <w:pPr>
              <w:spacing w:before="120" w:after="120" w:line="259" w:lineRule="auto"/>
              <w:jc w:val="right"/>
            </w:pPr>
            <w:r w:rsidRPr="00183362">
              <w:rPr>
                <w:b/>
                <w:bCs/>
              </w:rPr>
              <w:t xml:space="preserve"> $     </w:t>
            </w:r>
            <w:r w:rsidRPr="2B178FE1">
              <w:rPr>
                <w:b/>
                <w:bCs/>
              </w:rPr>
              <w:t>854,880</w:t>
            </w:r>
          </w:p>
        </w:tc>
        <w:tc>
          <w:tcPr>
            <w:tcW w:w="1933" w:type="pct"/>
            <w:shd w:val="clear" w:color="auto" w:fill="FFFF00"/>
          </w:tcPr>
          <w:p w14:paraId="49345816" w14:textId="77777777" w:rsidR="00642186" w:rsidRPr="00183362" w:rsidRDefault="00642186" w:rsidP="002135B0">
            <w:pPr>
              <w:spacing w:before="120" w:after="120"/>
              <w:jc w:val="right"/>
            </w:pPr>
            <w:r w:rsidRPr="00183362">
              <w:rPr>
                <w:b/>
                <w:bCs/>
              </w:rPr>
              <w:t>$    8,</w:t>
            </w:r>
            <w:r w:rsidRPr="2B178FE1">
              <w:rPr>
                <w:b/>
                <w:bCs/>
              </w:rPr>
              <w:t>870,005 –</w:t>
            </w:r>
            <w:r w:rsidRPr="00183362">
              <w:rPr>
                <w:b/>
                <w:bCs/>
              </w:rPr>
              <w:t xml:space="preserve"> 13,</w:t>
            </w:r>
            <w:r w:rsidRPr="2B178FE1">
              <w:rPr>
                <w:b/>
                <w:bCs/>
              </w:rPr>
              <w:t>731,400</w:t>
            </w:r>
          </w:p>
        </w:tc>
      </w:tr>
    </w:tbl>
    <w:p w14:paraId="3DD9743A" w14:textId="77777777" w:rsidR="00E93558" w:rsidRDefault="00E93558" w:rsidP="00E93558">
      <w:pPr>
        <w:spacing w:after="0"/>
        <w:rPr>
          <w:b/>
          <w:bCs/>
        </w:rPr>
      </w:pPr>
    </w:p>
    <w:p w14:paraId="5F56E34E" w14:textId="77777777" w:rsidR="00A80F64" w:rsidRDefault="00A80F64" w:rsidP="00E93558">
      <w:pPr>
        <w:spacing w:after="0"/>
        <w:rPr>
          <w:b/>
          <w:caps/>
          <w:lang w:val="en-US" w:eastAsia="nl-NL"/>
        </w:rPr>
        <w:sectPr w:rsidR="00A80F64" w:rsidSect="009D3A67">
          <w:pgSz w:w="11906" w:h="16838"/>
          <w:pgMar w:top="1411" w:right="1411" w:bottom="1411" w:left="1411" w:header="708" w:footer="708" w:gutter="0"/>
          <w:cols w:space="708"/>
          <w:docGrid w:linePitch="360"/>
        </w:sectPr>
      </w:pPr>
    </w:p>
    <w:p w14:paraId="10FB5D41" w14:textId="13FE97D2" w:rsidR="004124EA" w:rsidRPr="00C3634A" w:rsidRDefault="004124EA" w:rsidP="005D31A7">
      <w:pPr>
        <w:pStyle w:val="Heading1"/>
      </w:pPr>
      <w:bookmarkStart w:id="352" w:name="_Toc119436684"/>
      <w:bookmarkStart w:id="353" w:name="_Toc230099158"/>
      <w:bookmarkEnd w:id="340"/>
      <w:bookmarkEnd w:id="341"/>
      <w:bookmarkEnd w:id="342"/>
      <w:bookmarkEnd w:id="343"/>
      <w:r w:rsidRPr="00C3634A">
        <w:lastRenderedPageBreak/>
        <w:t>1</w:t>
      </w:r>
      <w:r w:rsidR="00544D09" w:rsidRPr="00C3634A">
        <w:t>1</w:t>
      </w:r>
      <w:r w:rsidRPr="00C3634A">
        <w:tab/>
      </w:r>
      <w:r w:rsidR="00156F5A">
        <w:t>Estimated Total Funding Requirements for the 2027-2029</w:t>
      </w:r>
      <w:r w:rsidR="00FA1946">
        <w:t xml:space="preserve"> Triennium</w:t>
      </w:r>
      <w:bookmarkEnd w:id="352"/>
      <w:r w:rsidR="00C5253C">
        <w:t xml:space="preserve"> and Indicat</w:t>
      </w:r>
      <w:r w:rsidR="00947D58">
        <w:t>ive</w:t>
      </w:r>
      <w:r w:rsidR="00C5253C">
        <w:t xml:space="preserve"> Funding Estimates for Future Triennia 2030-2032 and 2033-2035</w:t>
      </w:r>
      <w:bookmarkEnd w:id="353"/>
    </w:p>
    <w:p w14:paraId="78411B50" w14:textId="0E4B28E5" w:rsidR="00CD520D" w:rsidRDefault="5A587C39" w:rsidP="00CD520D">
      <w:bookmarkStart w:id="354" w:name="_Toc230592156"/>
      <w:bookmarkStart w:id="355" w:name="_Toc413659851"/>
      <w:bookmarkStart w:id="356" w:name="_Toc414934269"/>
      <w:bookmarkStart w:id="357" w:name="_Toc418842503"/>
      <w:bookmarkStart w:id="358" w:name="_Toc295406125"/>
      <w:bookmarkStart w:id="359" w:name="_Toc442363536"/>
      <w:bookmarkStart w:id="360" w:name="_Toc442692021"/>
      <w:r>
        <w:t>In this chapter, RTF summarizes the ranges</w:t>
      </w:r>
      <w:r w:rsidR="00CD520D" w:rsidRPr="00CD3630">
        <w:t xml:space="preserve"> of total estimated funding requirement for the replenishment of the MLF in the 2027-2029 triennium, including support costs, </w:t>
      </w:r>
      <w:r w:rsidR="009F6FB6">
        <w:t>as</w:t>
      </w:r>
      <w:r w:rsidR="00CD520D" w:rsidRPr="00CD3630">
        <w:t xml:space="preserve"> presented in Table </w:t>
      </w:r>
      <w:r w:rsidR="00C5253C">
        <w:t>11.1</w:t>
      </w:r>
      <w:r w:rsidR="0016523F">
        <w:t xml:space="preserve"> and based on the estimated </w:t>
      </w:r>
      <w:r w:rsidR="00740142">
        <w:t>HCFC and HFC funding as in Tables 11.2 and 11.3 and estimated IS and SA funding</w:t>
      </w:r>
      <w:r w:rsidR="004B0660">
        <w:t xml:space="preserve"> as in Table 11.4.</w:t>
      </w:r>
    </w:p>
    <w:p w14:paraId="74C1C25F" w14:textId="33416741" w:rsidR="00CD520D" w:rsidRDefault="00CD520D" w:rsidP="002135B0">
      <w:pPr>
        <w:tabs>
          <w:tab w:val="left" w:pos="1276"/>
        </w:tabs>
        <w:spacing w:after="120"/>
        <w:ind w:left="1276" w:hanging="1276"/>
        <w:rPr>
          <w:rFonts w:eastAsiaTheme="minorEastAsia"/>
          <w:b/>
          <w:bCs/>
          <w:highlight w:val="yellow"/>
        </w:rPr>
      </w:pPr>
      <w:r w:rsidRPr="222ABFFA">
        <w:rPr>
          <w:rFonts w:eastAsiaTheme="minorEastAsia"/>
          <w:b/>
          <w:bCs/>
        </w:rPr>
        <w:t xml:space="preserve">Table </w:t>
      </w:r>
      <w:r w:rsidR="008B4281">
        <w:rPr>
          <w:rFonts w:eastAsiaTheme="minorEastAsia"/>
          <w:b/>
          <w:bCs/>
        </w:rPr>
        <w:t>11.1</w:t>
      </w:r>
      <w:r w:rsidR="003151B0">
        <w:rPr>
          <w:rFonts w:eastAsiaTheme="minorEastAsia"/>
          <w:b/>
          <w:bCs/>
        </w:rPr>
        <w:t>:</w:t>
      </w:r>
      <w:r>
        <w:tab/>
      </w:r>
      <w:r w:rsidRPr="004B4EEA">
        <w:rPr>
          <w:b/>
          <w:bCs/>
        </w:rPr>
        <w:t xml:space="preserve">Range of </w:t>
      </w:r>
      <w:r w:rsidR="000C0BEE">
        <w:rPr>
          <w:b/>
          <w:bCs/>
        </w:rPr>
        <w:t>t</w:t>
      </w:r>
      <w:r w:rsidRPr="004B4EEA">
        <w:rPr>
          <w:b/>
          <w:bCs/>
        </w:rPr>
        <w:t xml:space="preserve">otal </w:t>
      </w:r>
      <w:r w:rsidR="000C0BEE">
        <w:rPr>
          <w:b/>
          <w:bCs/>
        </w:rPr>
        <w:t>f</w:t>
      </w:r>
      <w:r w:rsidRPr="004B4EEA">
        <w:rPr>
          <w:b/>
          <w:bCs/>
        </w:rPr>
        <w:t xml:space="preserve">unding </w:t>
      </w:r>
      <w:r w:rsidR="000C0BEE">
        <w:rPr>
          <w:b/>
          <w:bCs/>
        </w:rPr>
        <w:t>r</w:t>
      </w:r>
      <w:r w:rsidRPr="004B4EEA">
        <w:rPr>
          <w:b/>
          <w:bCs/>
        </w:rPr>
        <w:t xml:space="preserve">equirement for the </w:t>
      </w:r>
      <w:r w:rsidR="000C0BEE">
        <w:rPr>
          <w:b/>
          <w:bCs/>
        </w:rPr>
        <w:t>r</w:t>
      </w:r>
      <w:r w:rsidRPr="004B4EEA">
        <w:rPr>
          <w:b/>
          <w:bCs/>
        </w:rPr>
        <w:t xml:space="preserve">eplenishment of the MLF 2027-2029 </w:t>
      </w:r>
      <w:r w:rsidR="000C0BEE">
        <w:rPr>
          <w:b/>
          <w:bCs/>
        </w:rPr>
        <w:t>b</w:t>
      </w:r>
      <w:r w:rsidRPr="004B4EEA">
        <w:rPr>
          <w:b/>
          <w:bCs/>
        </w:rPr>
        <w:t xml:space="preserve">ased on </w:t>
      </w:r>
      <w:r w:rsidR="000C0BEE">
        <w:rPr>
          <w:b/>
          <w:bCs/>
        </w:rPr>
        <w:t>d</w:t>
      </w:r>
      <w:r w:rsidRPr="004B4EEA">
        <w:rPr>
          <w:b/>
          <w:bCs/>
        </w:rPr>
        <w:t xml:space="preserve">ifferent </w:t>
      </w:r>
      <w:r w:rsidR="000C0BEE">
        <w:rPr>
          <w:b/>
          <w:bCs/>
        </w:rPr>
        <w:t>s</w:t>
      </w:r>
      <w:r w:rsidRPr="004B4EEA">
        <w:rPr>
          <w:b/>
          <w:bCs/>
        </w:rPr>
        <w:t xml:space="preserve">cenarios and </w:t>
      </w:r>
      <w:r w:rsidR="000C0BEE">
        <w:rPr>
          <w:b/>
          <w:bCs/>
        </w:rPr>
        <w:t>r</w:t>
      </w:r>
      <w:r w:rsidRPr="004B4EEA">
        <w:rPr>
          <w:b/>
          <w:bCs/>
        </w:rPr>
        <w:t xml:space="preserve">esource </w:t>
      </w:r>
      <w:r w:rsidR="000C0BEE">
        <w:rPr>
          <w:b/>
          <w:bCs/>
        </w:rPr>
        <w:t>a</w:t>
      </w:r>
      <w:r w:rsidRPr="004B4EEA">
        <w:rPr>
          <w:b/>
          <w:bCs/>
        </w:rPr>
        <w:t xml:space="preserve">llocation </w:t>
      </w:r>
      <w:r w:rsidR="000C0BEE">
        <w:rPr>
          <w:b/>
          <w:bCs/>
        </w:rPr>
        <w:t>s</w:t>
      </w:r>
      <w:r w:rsidRPr="004B4EEA">
        <w:rPr>
          <w:b/>
          <w:bCs/>
        </w:rPr>
        <w:t>chedules</w:t>
      </w:r>
      <w:r w:rsidR="625649F6" w:rsidRPr="625649F6">
        <w:rPr>
          <w:b/>
          <w:bCs/>
        </w:rPr>
        <w:t xml:space="preserve">, and IS and SA </w:t>
      </w:r>
      <w:r w:rsidRPr="004B4EEA">
        <w:rPr>
          <w:rFonts w:eastAsiaTheme="minorEastAsia"/>
          <w:b/>
          <w:bCs/>
        </w:rPr>
        <w:t>(US$ million)</w:t>
      </w:r>
      <w:r w:rsidRPr="222ABFFA">
        <w:rPr>
          <w:rFonts w:eastAsiaTheme="minorEastAsia"/>
          <w:b/>
          <w:bCs/>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38"/>
        <w:gridCol w:w="3049"/>
        <w:gridCol w:w="2977"/>
      </w:tblGrid>
      <w:tr w:rsidR="00CD520D" w:rsidRPr="005B7137" w14:paraId="7CDF1BBF" w14:textId="77777777" w:rsidTr="4BCEE662">
        <w:trPr>
          <w:trHeight w:val="60"/>
        </w:trPr>
        <w:tc>
          <w:tcPr>
            <w:tcW w:w="1676" w:type="pct"/>
            <w:shd w:val="clear" w:color="auto" w:fill="D9E2F3" w:themeFill="accent1" w:themeFillTint="33"/>
            <w:vAlign w:val="center"/>
            <w:hideMark/>
          </w:tcPr>
          <w:p w14:paraId="484AAF85" w14:textId="6F1F89E1" w:rsidR="00CD520D" w:rsidRPr="005B7137" w:rsidRDefault="005B7137" w:rsidP="005B7137">
            <w:pPr>
              <w:tabs>
                <w:tab w:val="clear" w:pos="0"/>
              </w:tabs>
              <w:spacing w:after="0"/>
              <w:jc w:val="center"/>
              <w:rPr>
                <w:b/>
                <w:bCs/>
                <w:color w:val="000000"/>
                <w:lang w:val="en-US"/>
              </w:rPr>
            </w:pPr>
            <w:r w:rsidRPr="005B7137">
              <w:rPr>
                <w:b/>
                <w:bCs/>
                <w:color w:val="000000"/>
                <w:lang w:val="en-US"/>
              </w:rPr>
              <w:t>2027-2029 Triennium</w:t>
            </w:r>
          </w:p>
        </w:tc>
        <w:tc>
          <w:tcPr>
            <w:tcW w:w="1682" w:type="pct"/>
            <w:shd w:val="clear" w:color="auto" w:fill="D9E2F3" w:themeFill="accent1" w:themeFillTint="33"/>
            <w:vAlign w:val="center"/>
            <w:hideMark/>
          </w:tcPr>
          <w:p w14:paraId="743C68A4" w14:textId="7993520A" w:rsidR="00CD520D" w:rsidRPr="005B7137" w:rsidRDefault="5A587C39">
            <w:pPr>
              <w:tabs>
                <w:tab w:val="clear" w:pos="0"/>
              </w:tabs>
              <w:spacing w:after="0"/>
              <w:jc w:val="center"/>
              <w:textAlignment w:val="baseline"/>
              <w:rPr>
                <w:b/>
                <w:lang w:val="en-US"/>
              </w:rPr>
            </w:pPr>
            <w:r w:rsidRPr="5A587C39">
              <w:rPr>
                <w:b/>
                <w:bCs/>
                <w:lang w:val="en-US"/>
              </w:rPr>
              <w:t>Low-end Range</w:t>
            </w:r>
          </w:p>
        </w:tc>
        <w:tc>
          <w:tcPr>
            <w:tcW w:w="1642" w:type="pct"/>
            <w:shd w:val="clear" w:color="auto" w:fill="D9E2F3" w:themeFill="accent1" w:themeFillTint="33"/>
            <w:vAlign w:val="center"/>
            <w:hideMark/>
          </w:tcPr>
          <w:p w14:paraId="4C8747ED" w14:textId="3A259DEC" w:rsidR="00CD520D" w:rsidRPr="005B7137" w:rsidRDefault="5A587C39" w:rsidP="009F6FB6">
            <w:pPr>
              <w:tabs>
                <w:tab w:val="clear" w:pos="0"/>
              </w:tabs>
              <w:spacing w:after="0" w:line="259" w:lineRule="auto"/>
              <w:jc w:val="center"/>
              <w:rPr>
                <w:b/>
                <w:lang w:val="en-US"/>
              </w:rPr>
            </w:pPr>
            <w:r w:rsidRPr="5A587C39">
              <w:rPr>
                <w:b/>
                <w:bCs/>
                <w:lang w:val="en-US"/>
              </w:rPr>
              <w:t>High-end Range</w:t>
            </w:r>
          </w:p>
        </w:tc>
      </w:tr>
      <w:tr w:rsidR="00CD520D" w:rsidRPr="005B7137" w14:paraId="3FF60D79" w14:textId="77777777" w:rsidTr="4BCEE662">
        <w:trPr>
          <w:trHeight w:val="285"/>
        </w:trPr>
        <w:tc>
          <w:tcPr>
            <w:tcW w:w="1676" w:type="pct"/>
            <w:shd w:val="clear" w:color="auto" w:fill="E2EFD9" w:themeFill="accent6" w:themeFillTint="33"/>
            <w:vAlign w:val="bottom"/>
          </w:tcPr>
          <w:p w14:paraId="163867A0" w14:textId="60907FEF" w:rsidR="00CD520D" w:rsidRPr="005B7137" w:rsidRDefault="00CD520D" w:rsidP="5A587C39">
            <w:pPr>
              <w:tabs>
                <w:tab w:val="clear" w:pos="0"/>
              </w:tabs>
              <w:spacing w:after="0" w:line="259" w:lineRule="auto"/>
              <w:rPr>
                <w:b/>
                <w:lang w:val="en-US"/>
              </w:rPr>
            </w:pPr>
            <w:r w:rsidRPr="5A587C39">
              <w:rPr>
                <w:b/>
                <w:lang w:val="en-US"/>
              </w:rPr>
              <w:t>SUBTOTAL – HCFC ACTIVITIES</w:t>
            </w:r>
          </w:p>
        </w:tc>
        <w:tc>
          <w:tcPr>
            <w:tcW w:w="1682" w:type="pct"/>
            <w:shd w:val="clear" w:color="auto" w:fill="FFFFFF" w:themeFill="background1"/>
            <w:vAlign w:val="center"/>
          </w:tcPr>
          <w:p w14:paraId="0CEC14B5" w14:textId="72EBFA30" w:rsidR="00CD520D" w:rsidRPr="005B7137" w:rsidRDefault="00CD520D">
            <w:pPr>
              <w:tabs>
                <w:tab w:val="clear" w:pos="0"/>
              </w:tabs>
              <w:spacing w:after="0"/>
              <w:jc w:val="center"/>
              <w:textAlignment w:val="baseline"/>
              <w:rPr>
                <w:b/>
                <w:bCs/>
                <w:color w:val="000000"/>
                <w:lang w:val="en-US"/>
              </w:rPr>
            </w:pPr>
            <w:r w:rsidRPr="7630C527">
              <w:rPr>
                <w:b/>
                <w:lang w:val="en-US"/>
              </w:rPr>
              <w:t>451</w:t>
            </w:r>
          </w:p>
        </w:tc>
        <w:tc>
          <w:tcPr>
            <w:tcW w:w="1642" w:type="pct"/>
            <w:shd w:val="clear" w:color="auto" w:fill="FFFFFF" w:themeFill="background1"/>
            <w:vAlign w:val="center"/>
          </w:tcPr>
          <w:p w14:paraId="57E32457" w14:textId="01B70D78" w:rsidR="00CD520D" w:rsidRPr="005B7137" w:rsidRDefault="7630C527">
            <w:pPr>
              <w:tabs>
                <w:tab w:val="clear" w:pos="0"/>
              </w:tabs>
              <w:spacing w:after="0"/>
              <w:jc w:val="center"/>
              <w:textAlignment w:val="baseline"/>
              <w:rPr>
                <w:b/>
                <w:bCs/>
                <w:color w:val="000000"/>
                <w:lang w:val="en-US"/>
              </w:rPr>
            </w:pPr>
            <w:r w:rsidRPr="7630C527">
              <w:rPr>
                <w:b/>
                <w:bCs/>
                <w:lang w:val="en-US"/>
              </w:rPr>
              <w:t>57</w:t>
            </w:r>
            <w:r w:rsidR="003E505B">
              <w:rPr>
                <w:b/>
                <w:bCs/>
                <w:lang w:val="en-US"/>
              </w:rPr>
              <w:t>3</w:t>
            </w:r>
          </w:p>
        </w:tc>
      </w:tr>
      <w:tr w:rsidR="00CD520D" w:rsidRPr="005B7137" w14:paraId="42A98741" w14:textId="77777777" w:rsidTr="4BCEE662">
        <w:trPr>
          <w:trHeight w:val="285"/>
        </w:trPr>
        <w:tc>
          <w:tcPr>
            <w:tcW w:w="1676" w:type="pct"/>
            <w:shd w:val="clear" w:color="auto" w:fill="E2EFD9" w:themeFill="accent6" w:themeFillTint="33"/>
            <w:vAlign w:val="bottom"/>
          </w:tcPr>
          <w:p w14:paraId="5D6FBC10" w14:textId="77777777" w:rsidR="00CD520D" w:rsidRPr="005B7137" w:rsidRDefault="00CD520D">
            <w:pPr>
              <w:tabs>
                <w:tab w:val="clear" w:pos="0"/>
              </w:tabs>
              <w:spacing w:after="0"/>
              <w:textAlignment w:val="baseline"/>
              <w:rPr>
                <w:b/>
                <w:bCs/>
                <w:color w:val="000000"/>
                <w:lang w:val="en-US"/>
              </w:rPr>
            </w:pPr>
            <w:r w:rsidRPr="005B7137">
              <w:rPr>
                <w:b/>
                <w:bCs/>
                <w:color w:val="000000"/>
                <w:lang w:val="en-US"/>
              </w:rPr>
              <w:t>SUBTOTAL – HFC ACTIVITES</w:t>
            </w:r>
          </w:p>
        </w:tc>
        <w:tc>
          <w:tcPr>
            <w:tcW w:w="1682" w:type="pct"/>
            <w:shd w:val="clear" w:color="auto" w:fill="FFFFFF" w:themeFill="background1"/>
            <w:vAlign w:val="center"/>
          </w:tcPr>
          <w:p w14:paraId="228E9B3D" w14:textId="4F392536" w:rsidR="00CD520D" w:rsidRPr="005B7137" w:rsidRDefault="5E53E144">
            <w:pPr>
              <w:tabs>
                <w:tab w:val="clear" w:pos="0"/>
              </w:tabs>
              <w:spacing w:after="0"/>
              <w:jc w:val="center"/>
              <w:textAlignment w:val="baseline"/>
              <w:rPr>
                <w:b/>
                <w:bCs/>
                <w:color w:val="000000"/>
                <w:lang w:val="en-US"/>
              </w:rPr>
            </w:pPr>
            <w:r w:rsidRPr="5E53E144">
              <w:rPr>
                <w:b/>
                <w:bCs/>
                <w:lang w:val="en-US"/>
              </w:rPr>
              <w:t>702 – 781</w:t>
            </w:r>
          </w:p>
        </w:tc>
        <w:tc>
          <w:tcPr>
            <w:tcW w:w="1642" w:type="pct"/>
            <w:shd w:val="clear" w:color="auto" w:fill="FFFFFF" w:themeFill="background1"/>
            <w:vAlign w:val="center"/>
          </w:tcPr>
          <w:p w14:paraId="53E63C70" w14:textId="5CBE2708" w:rsidR="00CD520D" w:rsidRPr="005B7137" w:rsidRDefault="5E53E144">
            <w:pPr>
              <w:tabs>
                <w:tab w:val="clear" w:pos="0"/>
              </w:tabs>
              <w:spacing w:after="0"/>
              <w:jc w:val="center"/>
              <w:textAlignment w:val="baseline"/>
              <w:rPr>
                <w:b/>
                <w:bCs/>
                <w:color w:val="000000"/>
                <w:lang w:val="en-US"/>
              </w:rPr>
            </w:pPr>
            <w:r w:rsidRPr="5E53E144">
              <w:rPr>
                <w:b/>
                <w:bCs/>
                <w:lang w:val="en-US"/>
              </w:rPr>
              <w:t>970 – 1,053</w:t>
            </w:r>
          </w:p>
        </w:tc>
      </w:tr>
      <w:tr w:rsidR="00CD520D" w:rsidRPr="005B7137" w14:paraId="7FD85B8C" w14:textId="77777777" w:rsidTr="4BCEE662">
        <w:trPr>
          <w:trHeight w:val="285"/>
        </w:trPr>
        <w:tc>
          <w:tcPr>
            <w:tcW w:w="1676" w:type="pct"/>
            <w:shd w:val="clear" w:color="auto" w:fill="E2EFD9" w:themeFill="accent6" w:themeFillTint="33"/>
            <w:vAlign w:val="bottom"/>
          </w:tcPr>
          <w:p w14:paraId="7CB69809" w14:textId="77777777" w:rsidR="00CD520D" w:rsidRPr="005B7137" w:rsidRDefault="00CD520D">
            <w:pPr>
              <w:tabs>
                <w:tab w:val="clear" w:pos="0"/>
              </w:tabs>
              <w:spacing w:after="0"/>
              <w:textAlignment w:val="baseline"/>
              <w:rPr>
                <w:b/>
                <w:bCs/>
                <w:color w:val="000000"/>
                <w:lang w:val="en-US"/>
              </w:rPr>
            </w:pPr>
            <w:r w:rsidRPr="005B7137">
              <w:rPr>
                <w:b/>
                <w:bCs/>
                <w:color w:val="000000"/>
                <w:lang w:val="en-US"/>
              </w:rPr>
              <w:t>SUBTOTAL – IS &amp; SA</w:t>
            </w:r>
          </w:p>
        </w:tc>
        <w:tc>
          <w:tcPr>
            <w:tcW w:w="1682" w:type="pct"/>
            <w:shd w:val="clear" w:color="auto" w:fill="FFFFFF" w:themeFill="background1"/>
            <w:vAlign w:val="center"/>
          </w:tcPr>
          <w:p w14:paraId="03F37FCB" w14:textId="1B13D562" w:rsidR="00CD520D" w:rsidRPr="005B7137" w:rsidRDefault="00CD520D">
            <w:pPr>
              <w:tabs>
                <w:tab w:val="clear" w:pos="0"/>
              </w:tabs>
              <w:spacing w:after="0"/>
              <w:jc w:val="center"/>
              <w:textAlignment w:val="baseline"/>
              <w:rPr>
                <w:b/>
                <w:bCs/>
                <w:color w:val="000000"/>
                <w:lang w:val="en-US"/>
              </w:rPr>
            </w:pPr>
            <w:r w:rsidRPr="7630C527">
              <w:rPr>
                <w:b/>
                <w:lang w:val="en-US"/>
              </w:rPr>
              <w:t>129</w:t>
            </w:r>
          </w:p>
        </w:tc>
        <w:tc>
          <w:tcPr>
            <w:tcW w:w="1642" w:type="pct"/>
            <w:shd w:val="clear" w:color="auto" w:fill="FFFFFF" w:themeFill="background1"/>
            <w:vAlign w:val="center"/>
          </w:tcPr>
          <w:p w14:paraId="2F7A3F3A" w14:textId="40DA56EA" w:rsidR="00CD520D" w:rsidRPr="005B7137" w:rsidRDefault="00CD520D">
            <w:pPr>
              <w:tabs>
                <w:tab w:val="clear" w:pos="0"/>
              </w:tabs>
              <w:spacing w:after="0"/>
              <w:jc w:val="center"/>
              <w:textAlignment w:val="baseline"/>
              <w:rPr>
                <w:b/>
                <w:bCs/>
                <w:color w:val="000000"/>
                <w:lang w:val="en-US"/>
              </w:rPr>
            </w:pPr>
            <w:r w:rsidRPr="7630C527">
              <w:rPr>
                <w:b/>
                <w:lang w:val="en-US"/>
              </w:rPr>
              <w:t>129</w:t>
            </w:r>
          </w:p>
        </w:tc>
      </w:tr>
      <w:tr w:rsidR="00CD520D" w:rsidRPr="005B7137" w14:paraId="34371569" w14:textId="77777777" w:rsidTr="4BCEE662">
        <w:trPr>
          <w:trHeight w:val="285"/>
        </w:trPr>
        <w:tc>
          <w:tcPr>
            <w:tcW w:w="1676" w:type="pct"/>
            <w:shd w:val="clear" w:color="auto" w:fill="FFFF00"/>
            <w:vAlign w:val="bottom"/>
          </w:tcPr>
          <w:p w14:paraId="2A3D1501" w14:textId="1B02E5EE" w:rsidR="00CD520D" w:rsidRPr="005B7137" w:rsidRDefault="4BCEE662">
            <w:pPr>
              <w:tabs>
                <w:tab w:val="clear" w:pos="0"/>
              </w:tabs>
              <w:spacing w:after="0"/>
              <w:textAlignment w:val="baseline"/>
              <w:rPr>
                <w:b/>
                <w:bCs/>
                <w:color w:val="000000"/>
                <w:lang w:val="en-US"/>
              </w:rPr>
            </w:pPr>
            <w:r w:rsidRPr="4BCEE662">
              <w:rPr>
                <w:b/>
                <w:bCs/>
                <w:lang w:val="en-US"/>
              </w:rPr>
              <w:t>GRAND TOTAL</w:t>
            </w:r>
          </w:p>
        </w:tc>
        <w:tc>
          <w:tcPr>
            <w:tcW w:w="1682" w:type="pct"/>
            <w:shd w:val="clear" w:color="auto" w:fill="FFFF00"/>
            <w:vAlign w:val="center"/>
          </w:tcPr>
          <w:p w14:paraId="045B86AF" w14:textId="54A524C5" w:rsidR="00CD520D" w:rsidRPr="005B7137" w:rsidRDefault="7630C527">
            <w:pPr>
              <w:tabs>
                <w:tab w:val="clear" w:pos="0"/>
              </w:tabs>
              <w:spacing w:after="0"/>
              <w:jc w:val="center"/>
              <w:textAlignment w:val="baseline"/>
              <w:rPr>
                <w:b/>
                <w:bCs/>
                <w:color w:val="000000"/>
                <w:lang w:val="en-US"/>
              </w:rPr>
            </w:pPr>
            <w:r w:rsidRPr="7630C527">
              <w:rPr>
                <w:b/>
                <w:bCs/>
                <w:lang w:val="en-US"/>
              </w:rPr>
              <w:t>1,282 – 1,361</w:t>
            </w:r>
          </w:p>
        </w:tc>
        <w:tc>
          <w:tcPr>
            <w:tcW w:w="1642" w:type="pct"/>
            <w:shd w:val="clear" w:color="auto" w:fill="FFFF00"/>
            <w:vAlign w:val="center"/>
          </w:tcPr>
          <w:p w14:paraId="464A8758" w14:textId="27A8D39E" w:rsidR="00CD520D" w:rsidRPr="005B7137" w:rsidRDefault="7630C527">
            <w:pPr>
              <w:tabs>
                <w:tab w:val="clear" w:pos="0"/>
              </w:tabs>
              <w:spacing w:after="0"/>
              <w:jc w:val="center"/>
              <w:textAlignment w:val="baseline"/>
              <w:rPr>
                <w:b/>
                <w:bCs/>
                <w:color w:val="000000"/>
                <w:lang w:val="en-US"/>
              </w:rPr>
            </w:pPr>
            <w:r w:rsidRPr="7630C527">
              <w:rPr>
                <w:b/>
                <w:bCs/>
                <w:lang w:val="en-US"/>
              </w:rPr>
              <w:t>1,672 – 1,755</w:t>
            </w:r>
          </w:p>
        </w:tc>
      </w:tr>
    </w:tbl>
    <w:p w14:paraId="403D19D6" w14:textId="0E07B118" w:rsidR="00CD520D" w:rsidRDefault="00CD520D" w:rsidP="009F6FB6">
      <w:pPr>
        <w:spacing w:after="0" w:line="259" w:lineRule="auto"/>
        <w:jc w:val="both"/>
        <w:rPr>
          <w:sz w:val="24"/>
          <w:szCs w:val="24"/>
        </w:rPr>
      </w:pPr>
    </w:p>
    <w:p w14:paraId="791E5D23" w14:textId="7F9707E0" w:rsidR="007D5464" w:rsidRDefault="007D5464" w:rsidP="00F54AD0">
      <w:pPr>
        <w:tabs>
          <w:tab w:val="left" w:pos="1276"/>
        </w:tabs>
        <w:spacing w:after="120"/>
        <w:ind w:left="1282" w:hanging="1282"/>
        <w:rPr>
          <w:rFonts w:eastAsiaTheme="minorEastAsia"/>
          <w:b/>
          <w:bCs/>
          <w:highlight w:val="yellow"/>
        </w:rPr>
      </w:pPr>
      <w:r w:rsidRPr="222ABFFA">
        <w:rPr>
          <w:rFonts w:eastAsiaTheme="minorEastAsia"/>
          <w:b/>
          <w:bCs/>
        </w:rPr>
        <w:t xml:space="preserve">Table </w:t>
      </w:r>
      <w:r>
        <w:rPr>
          <w:rFonts w:eastAsiaTheme="minorEastAsia"/>
          <w:b/>
          <w:bCs/>
        </w:rPr>
        <w:t>11.2:</w:t>
      </w:r>
      <w:r>
        <w:tab/>
      </w:r>
      <w:r w:rsidRPr="004B4EEA">
        <w:rPr>
          <w:b/>
          <w:bCs/>
        </w:rPr>
        <w:t>Range of</w:t>
      </w:r>
      <w:r>
        <w:rPr>
          <w:b/>
          <w:bCs/>
        </w:rPr>
        <w:t xml:space="preserve"> indicative f</w:t>
      </w:r>
      <w:r w:rsidRPr="004B4EEA">
        <w:rPr>
          <w:b/>
          <w:bCs/>
        </w:rPr>
        <w:t xml:space="preserve">unding </w:t>
      </w:r>
      <w:r>
        <w:rPr>
          <w:b/>
          <w:bCs/>
        </w:rPr>
        <w:t>r</w:t>
      </w:r>
      <w:r w:rsidRPr="004B4EEA">
        <w:rPr>
          <w:b/>
          <w:bCs/>
        </w:rPr>
        <w:t xml:space="preserve">equirement for the </w:t>
      </w:r>
      <w:r>
        <w:rPr>
          <w:b/>
          <w:bCs/>
        </w:rPr>
        <w:t>r</w:t>
      </w:r>
      <w:r w:rsidRPr="004B4EEA">
        <w:rPr>
          <w:b/>
          <w:bCs/>
        </w:rPr>
        <w:t xml:space="preserve">eplenishment of the MLF </w:t>
      </w:r>
      <w:r>
        <w:rPr>
          <w:b/>
          <w:bCs/>
        </w:rPr>
        <w:t xml:space="preserve">in future triennia 2030-2032 and 2032-2035 </w:t>
      </w:r>
      <w:r w:rsidRPr="004B4EEA">
        <w:rPr>
          <w:rFonts w:eastAsiaTheme="minorEastAsia"/>
          <w:b/>
          <w:bCs/>
        </w:rPr>
        <w:t>(US$ million)</w:t>
      </w:r>
      <w:r w:rsidRPr="222ABFFA">
        <w:rPr>
          <w:rFonts w:eastAsiaTheme="minorEastAsia"/>
          <w:b/>
          <w:bCs/>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38"/>
        <w:gridCol w:w="3049"/>
        <w:gridCol w:w="2977"/>
      </w:tblGrid>
      <w:tr w:rsidR="007D5464" w:rsidRPr="005B7137" w14:paraId="5FF998EA" w14:textId="77777777">
        <w:trPr>
          <w:trHeight w:val="60"/>
        </w:trPr>
        <w:tc>
          <w:tcPr>
            <w:tcW w:w="1676" w:type="pct"/>
            <w:shd w:val="clear" w:color="auto" w:fill="D9E2F3" w:themeFill="accent1" w:themeFillTint="33"/>
            <w:vAlign w:val="center"/>
            <w:hideMark/>
          </w:tcPr>
          <w:p w14:paraId="1CE8036D" w14:textId="1A836D19" w:rsidR="007D5464" w:rsidRPr="005B7137" w:rsidRDefault="007D5464">
            <w:pPr>
              <w:tabs>
                <w:tab w:val="clear" w:pos="0"/>
              </w:tabs>
              <w:spacing w:after="0"/>
              <w:jc w:val="center"/>
              <w:rPr>
                <w:b/>
                <w:bCs/>
                <w:color w:val="000000"/>
                <w:lang w:val="en-US"/>
              </w:rPr>
            </w:pPr>
            <w:r w:rsidRPr="005B7137">
              <w:rPr>
                <w:b/>
                <w:bCs/>
                <w:color w:val="000000"/>
                <w:lang w:val="en-US"/>
              </w:rPr>
              <w:t>20</w:t>
            </w:r>
            <w:r>
              <w:rPr>
                <w:b/>
                <w:bCs/>
                <w:color w:val="000000"/>
                <w:lang w:val="en-US"/>
              </w:rPr>
              <w:t>30-2032</w:t>
            </w:r>
            <w:r w:rsidRPr="005B7137">
              <w:rPr>
                <w:b/>
                <w:bCs/>
                <w:color w:val="000000"/>
                <w:lang w:val="en-US"/>
              </w:rPr>
              <w:t xml:space="preserve"> Triennium</w:t>
            </w:r>
          </w:p>
        </w:tc>
        <w:tc>
          <w:tcPr>
            <w:tcW w:w="1682" w:type="pct"/>
            <w:shd w:val="clear" w:color="auto" w:fill="D9E2F3" w:themeFill="accent1" w:themeFillTint="33"/>
            <w:vAlign w:val="center"/>
            <w:hideMark/>
          </w:tcPr>
          <w:p w14:paraId="0BD81BE2" w14:textId="77777777" w:rsidR="007D5464" w:rsidRPr="005B7137" w:rsidRDefault="007D5464">
            <w:pPr>
              <w:tabs>
                <w:tab w:val="clear" w:pos="0"/>
              </w:tabs>
              <w:spacing w:after="0"/>
              <w:jc w:val="center"/>
              <w:textAlignment w:val="baseline"/>
              <w:rPr>
                <w:b/>
                <w:lang w:val="en-US"/>
              </w:rPr>
            </w:pPr>
            <w:r w:rsidRPr="5A587C39">
              <w:rPr>
                <w:b/>
                <w:bCs/>
                <w:lang w:val="en-US"/>
              </w:rPr>
              <w:t>Low-end Range</w:t>
            </w:r>
          </w:p>
        </w:tc>
        <w:tc>
          <w:tcPr>
            <w:tcW w:w="1642" w:type="pct"/>
            <w:shd w:val="clear" w:color="auto" w:fill="D9E2F3" w:themeFill="accent1" w:themeFillTint="33"/>
            <w:vAlign w:val="center"/>
            <w:hideMark/>
          </w:tcPr>
          <w:p w14:paraId="7CB251D0" w14:textId="77777777" w:rsidR="007D5464" w:rsidRPr="005B7137" w:rsidRDefault="007D5464">
            <w:pPr>
              <w:tabs>
                <w:tab w:val="clear" w:pos="0"/>
              </w:tabs>
              <w:spacing w:after="0" w:line="259" w:lineRule="auto"/>
              <w:jc w:val="center"/>
              <w:rPr>
                <w:b/>
                <w:lang w:val="en-US"/>
              </w:rPr>
            </w:pPr>
            <w:r w:rsidRPr="5A587C39">
              <w:rPr>
                <w:b/>
                <w:bCs/>
                <w:lang w:val="en-US"/>
              </w:rPr>
              <w:t>High-end Range</w:t>
            </w:r>
          </w:p>
        </w:tc>
      </w:tr>
      <w:tr w:rsidR="007D5464" w:rsidRPr="005B7137" w14:paraId="529EE1A7" w14:textId="77777777">
        <w:trPr>
          <w:trHeight w:val="285"/>
        </w:trPr>
        <w:tc>
          <w:tcPr>
            <w:tcW w:w="1676" w:type="pct"/>
            <w:shd w:val="clear" w:color="auto" w:fill="E2EFD9" w:themeFill="accent6" w:themeFillTint="33"/>
            <w:vAlign w:val="bottom"/>
          </w:tcPr>
          <w:p w14:paraId="056C28B2" w14:textId="77777777" w:rsidR="007D5464" w:rsidRPr="005B7137" w:rsidRDefault="007D5464">
            <w:pPr>
              <w:tabs>
                <w:tab w:val="clear" w:pos="0"/>
              </w:tabs>
              <w:spacing w:after="0" w:line="259" w:lineRule="auto"/>
              <w:rPr>
                <w:b/>
                <w:lang w:val="en-US"/>
              </w:rPr>
            </w:pPr>
            <w:r w:rsidRPr="5A587C39">
              <w:rPr>
                <w:b/>
                <w:lang w:val="en-US"/>
              </w:rPr>
              <w:t>SUBTOTAL – HCFC ACTIVITIES</w:t>
            </w:r>
          </w:p>
        </w:tc>
        <w:tc>
          <w:tcPr>
            <w:tcW w:w="1682" w:type="pct"/>
            <w:shd w:val="clear" w:color="auto" w:fill="FFFFFF" w:themeFill="background1"/>
            <w:vAlign w:val="center"/>
          </w:tcPr>
          <w:p w14:paraId="2161E66B" w14:textId="4D0FE883" w:rsidR="007D5464" w:rsidRPr="005B7137" w:rsidRDefault="00EC2C0C">
            <w:pPr>
              <w:tabs>
                <w:tab w:val="clear" w:pos="0"/>
              </w:tabs>
              <w:spacing w:after="0"/>
              <w:jc w:val="center"/>
              <w:textAlignment w:val="baseline"/>
              <w:rPr>
                <w:b/>
                <w:bCs/>
                <w:color w:val="000000"/>
                <w:lang w:val="en-US"/>
              </w:rPr>
            </w:pPr>
            <w:r>
              <w:rPr>
                <w:b/>
                <w:lang w:val="en-US"/>
              </w:rPr>
              <w:t>83</w:t>
            </w:r>
          </w:p>
        </w:tc>
        <w:tc>
          <w:tcPr>
            <w:tcW w:w="1642" w:type="pct"/>
            <w:shd w:val="clear" w:color="auto" w:fill="FFFFFF" w:themeFill="background1"/>
            <w:vAlign w:val="center"/>
          </w:tcPr>
          <w:p w14:paraId="43D161B9" w14:textId="07063527" w:rsidR="007D5464" w:rsidRPr="005B7137" w:rsidRDefault="00EC2C0C">
            <w:pPr>
              <w:tabs>
                <w:tab w:val="clear" w:pos="0"/>
              </w:tabs>
              <w:spacing w:after="0"/>
              <w:jc w:val="center"/>
              <w:textAlignment w:val="baseline"/>
              <w:rPr>
                <w:b/>
                <w:bCs/>
                <w:color w:val="000000"/>
                <w:lang w:val="en-US"/>
              </w:rPr>
            </w:pPr>
            <w:r>
              <w:rPr>
                <w:b/>
                <w:bCs/>
                <w:lang w:val="en-US"/>
              </w:rPr>
              <w:t>96</w:t>
            </w:r>
          </w:p>
        </w:tc>
      </w:tr>
      <w:tr w:rsidR="007D5464" w:rsidRPr="005B7137" w14:paraId="36D6B036" w14:textId="77777777">
        <w:trPr>
          <w:trHeight w:val="285"/>
        </w:trPr>
        <w:tc>
          <w:tcPr>
            <w:tcW w:w="1676" w:type="pct"/>
            <w:shd w:val="clear" w:color="auto" w:fill="E2EFD9" w:themeFill="accent6" w:themeFillTint="33"/>
            <w:vAlign w:val="bottom"/>
          </w:tcPr>
          <w:p w14:paraId="3443AFA4" w14:textId="77777777" w:rsidR="007D5464" w:rsidRPr="005B7137" w:rsidRDefault="007D5464">
            <w:pPr>
              <w:tabs>
                <w:tab w:val="clear" w:pos="0"/>
              </w:tabs>
              <w:spacing w:after="0"/>
              <w:textAlignment w:val="baseline"/>
              <w:rPr>
                <w:b/>
                <w:bCs/>
                <w:color w:val="000000"/>
                <w:lang w:val="en-US"/>
              </w:rPr>
            </w:pPr>
            <w:r w:rsidRPr="005B7137">
              <w:rPr>
                <w:b/>
                <w:bCs/>
                <w:color w:val="000000"/>
                <w:lang w:val="en-US"/>
              </w:rPr>
              <w:t>SUBTOTAL – HFC ACTIVITES</w:t>
            </w:r>
          </w:p>
        </w:tc>
        <w:tc>
          <w:tcPr>
            <w:tcW w:w="1682" w:type="pct"/>
            <w:shd w:val="clear" w:color="auto" w:fill="FFFFFF" w:themeFill="background1"/>
            <w:vAlign w:val="center"/>
          </w:tcPr>
          <w:p w14:paraId="23B5F69B" w14:textId="142F915D" w:rsidR="007D5464" w:rsidRPr="005B7137" w:rsidRDefault="002C09A7">
            <w:pPr>
              <w:tabs>
                <w:tab w:val="clear" w:pos="0"/>
              </w:tabs>
              <w:spacing w:after="0"/>
              <w:jc w:val="center"/>
              <w:textAlignment w:val="baseline"/>
              <w:rPr>
                <w:b/>
                <w:bCs/>
                <w:color w:val="000000"/>
                <w:lang w:val="en-US"/>
              </w:rPr>
            </w:pPr>
            <w:r>
              <w:rPr>
                <w:b/>
                <w:bCs/>
                <w:lang w:val="en-US"/>
              </w:rPr>
              <w:t>8</w:t>
            </w:r>
            <w:r w:rsidR="00FE2978">
              <w:rPr>
                <w:b/>
                <w:bCs/>
                <w:lang w:val="en-US"/>
              </w:rPr>
              <w:t xml:space="preserve">77 </w:t>
            </w:r>
            <w:r w:rsidR="002F4B1F" w:rsidRPr="5E53E144">
              <w:rPr>
                <w:b/>
                <w:bCs/>
                <w:lang w:val="en-US"/>
              </w:rPr>
              <w:t>–</w:t>
            </w:r>
            <w:r w:rsidR="00FE2978">
              <w:rPr>
                <w:b/>
                <w:bCs/>
                <w:lang w:val="en-US"/>
              </w:rPr>
              <w:t xml:space="preserve"> 908</w:t>
            </w:r>
          </w:p>
        </w:tc>
        <w:tc>
          <w:tcPr>
            <w:tcW w:w="1642" w:type="pct"/>
            <w:shd w:val="clear" w:color="auto" w:fill="FFFFFF" w:themeFill="background1"/>
            <w:vAlign w:val="center"/>
          </w:tcPr>
          <w:p w14:paraId="16C24B7D" w14:textId="64D795C7" w:rsidR="007D5464" w:rsidRPr="005B7137" w:rsidRDefault="00EC2C0C">
            <w:pPr>
              <w:tabs>
                <w:tab w:val="clear" w:pos="0"/>
              </w:tabs>
              <w:spacing w:after="0"/>
              <w:jc w:val="center"/>
              <w:textAlignment w:val="baseline"/>
              <w:rPr>
                <w:b/>
                <w:bCs/>
                <w:color w:val="000000"/>
                <w:lang w:val="en-US"/>
              </w:rPr>
            </w:pPr>
            <w:r>
              <w:rPr>
                <w:b/>
                <w:bCs/>
                <w:lang w:val="en-US"/>
              </w:rPr>
              <w:t>1,050</w:t>
            </w:r>
            <w:r w:rsidR="002F4B1F">
              <w:rPr>
                <w:b/>
                <w:bCs/>
                <w:lang w:val="en-US"/>
              </w:rPr>
              <w:t xml:space="preserve"> </w:t>
            </w:r>
            <w:r w:rsidR="002F4B1F" w:rsidRPr="5E53E144">
              <w:rPr>
                <w:b/>
                <w:bCs/>
                <w:lang w:val="en-US"/>
              </w:rPr>
              <w:t>–</w:t>
            </w:r>
            <w:r w:rsidR="002F4B1F">
              <w:rPr>
                <w:b/>
                <w:bCs/>
                <w:lang w:val="en-US"/>
              </w:rPr>
              <w:t xml:space="preserve"> </w:t>
            </w:r>
            <w:r>
              <w:rPr>
                <w:b/>
                <w:bCs/>
                <w:lang w:val="en-US"/>
              </w:rPr>
              <w:t>1,085</w:t>
            </w:r>
          </w:p>
        </w:tc>
      </w:tr>
      <w:tr w:rsidR="007D5464" w:rsidRPr="005B7137" w14:paraId="08E8AE77" w14:textId="77777777">
        <w:trPr>
          <w:trHeight w:val="285"/>
        </w:trPr>
        <w:tc>
          <w:tcPr>
            <w:tcW w:w="1676" w:type="pct"/>
            <w:shd w:val="clear" w:color="auto" w:fill="E2EFD9" w:themeFill="accent6" w:themeFillTint="33"/>
            <w:vAlign w:val="bottom"/>
          </w:tcPr>
          <w:p w14:paraId="6532CB20" w14:textId="77777777" w:rsidR="007D5464" w:rsidRPr="005B7137" w:rsidRDefault="007D5464">
            <w:pPr>
              <w:tabs>
                <w:tab w:val="clear" w:pos="0"/>
              </w:tabs>
              <w:spacing w:after="0"/>
              <w:textAlignment w:val="baseline"/>
              <w:rPr>
                <w:b/>
                <w:bCs/>
                <w:color w:val="000000"/>
                <w:lang w:val="en-US"/>
              </w:rPr>
            </w:pPr>
            <w:r w:rsidRPr="005B7137">
              <w:rPr>
                <w:b/>
                <w:bCs/>
                <w:color w:val="000000"/>
                <w:lang w:val="en-US"/>
              </w:rPr>
              <w:t>SUBTOTAL – IS &amp; SA</w:t>
            </w:r>
          </w:p>
        </w:tc>
        <w:tc>
          <w:tcPr>
            <w:tcW w:w="1682" w:type="pct"/>
            <w:shd w:val="clear" w:color="auto" w:fill="FFFFFF" w:themeFill="background1"/>
            <w:vAlign w:val="center"/>
          </w:tcPr>
          <w:p w14:paraId="68A77DB6" w14:textId="458EF695" w:rsidR="007D5464" w:rsidRPr="005B7137" w:rsidRDefault="00EC2C0C">
            <w:pPr>
              <w:tabs>
                <w:tab w:val="clear" w:pos="0"/>
              </w:tabs>
              <w:spacing w:after="0"/>
              <w:jc w:val="center"/>
              <w:textAlignment w:val="baseline"/>
              <w:rPr>
                <w:b/>
                <w:bCs/>
                <w:color w:val="000000"/>
                <w:lang w:val="en-US"/>
              </w:rPr>
            </w:pPr>
            <w:r>
              <w:rPr>
                <w:b/>
                <w:lang w:val="en-US"/>
              </w:rPr>
              <w:t>137</w:t>
            </w:r>
          </w:p>
        </w:tc>
        <w:tc>
          <w:tcPr>
            <w:tcW w:w="1642" w:type="pct"/>
            <w:shd w:val="clear" w:color="auto" w:fill="FFFFFF" w:themeFill="background1"/>
            <w:vAlign w:val="center"/>
          </w:tcPr>
          <w:p w14:paraId="7C8EAF51" w14:textId="6219405C" w:rsidR="007D5464" w:rsidRPr="005B7137" w:rsidRDefault="00EC2C0C">
            <w:pPr>
              <w:tabs>
                <w:tab w:val="clear" w:pos="0"/>
              </w:tabs>
              <w:spacing w:after="0"/>
              <w:jc w:val="center"/>
              <w:textAlignment w:val="baseline"/>
              <w:rPr>
                <w:b/>
                <w:bCs/>
                <w:color w:val="000000"/>
                <w:lang w:val="en-US"/>
              </w:rPr>
            </w:pPr>
            <w:r>
              <w:rPr>
                <w:b/>
                <w:lang w:val="en-US"/>
              </w:rPr>
              <w:t>137</w:t>
            </w:r>
          </w:p>
        </w:tc>
      </w:tr>
      <w:tr w:rsidR="007D5464" w:rsidRPr="005B7137" w14:paraId="78891C52" w14:textId="77777777">
        <w:trPr>
          <w:trHeight w:val="285"/>
        </w:trPr>
        <w:tc>
          <w:tcPr>
            <w:tcW w:w="1676" w:type="pct"/>
            <w:shd w:val="clear" w:color="auto" w:fill="FFFF00"/>
            <w:vAlign w:val="bottom"/>
          </w:tcPr>
          <w:p w14:paraId="6179BE68" w14:textId="77777777" w:rsidR="007D5464" w:rsidRPr="005B7137" w:rsidRDefault="007D5464">
            <w:pPr>
              <w:tabs>
                <w:tab w:val="clear" w:pos="0"/>
              </w:tabs>
              <w:spacing w:after="0"/>
              <w:textAlignment w:val="baseline"/>
              <w:rPr>
                <w:b/>
                <w:bCs/>
                <w:color w:val="000000"/>
                <w:lang w:val="en-US"/>
              </w:rPr>
            </w:pPr>
            <w:r w:rsidRPr="4BCEE662">
              <w:rPr>
                <w:b/>
                <w:bCs/>
                <w:lang w:val="en-US"/>
              </w:rPr>
              <w:t>GRAND TOTAL</w:t>
            </w:r>
          </w:p>
        </w:tc>
        <w:tc>
          <w:tcPr>
            <w:tcW w:w="1682" w:type="pct"/>
            <w:shd w:val="clear" w:color="auto" w:fill="FFFF00"/>
            <w:vAlign w:val="center"/>
          </w:tcPr>
          <w:p w14:paraId="168A77F2" w14:textId="6A9D8C4E" w:rsidR="007D5464" w:rsidRPr="005B7137" w:rsidRDefault="007D5464">
            <w:pPr>
              <w:tabs>
                <w:tab w:val="clear" w:pos="0"/>
              </w:tabs>
              <w:spacing w:after="0"/>
              <w:jc w:val="center"/>
              <w:textAlignment w:val="baseline"/>
              <w:rPr>
                <w:b/>
                <w:bCs/>
                <w:color w:val="000000"/>
                <w:lang w:val="en-US"/>
              </w:rPr>
            </w:pPr>
            <w:r w:rsidRPr="7630C527">
              <w:rPr>
                <w:b/>
                <w:bCs/>
                <w:lang w:val="en-US"/>
              </w:rPr>
              <w:t>1,</w:t>
            </w:r>
            <w:r w:rsidR="00FE2978">
              <w:rPr>
                <w:b/>
                <w:bCs/>
                <w:lang w:val="en-US"/>
              </w:rPr>
              <w:t>097</w:t>
            </w:r>
            <w:r w:rsidRPr="7630C527">
              <w:rPr>
                <w:b/>
                <w:bCs/>
                <w:lang w:val="en-US"/>
              </w:rPr>
              <w:t xml:space="preserve"> – 1,</w:t>
            </w:r>
            <w:r w:rsidR="00FE2978">
              <w:rPr>
                <w:b/>
                <w:bCs/>
                <w:lang w:val="en-US"/>
              </w:rPr>
              <w:t>128</w:t>
            </w:r>
          </w:p>
        </w:tc>
        <w:tc>
          <w:tcPr>
            <w:tcW w:w="1642" w:type="pct"/>
            <w:shd w:val="clear" w:color="auto" w:fill="FFFF00"/>
            <w:vAlign w:val="center"/>
          </w:tcPr>
          <w:p w14:paraId="5928426C" w14:textId="6FD88154" w:rsidR="007D5464" w:rsidRPr="005B7137" w:rsidRDefault="007D5464">
            <w:pPr>
              <w:tabs>
                <w:tab w:val="clear" w:pos="0"/>
              </w:tabs>
              <w:spacing w:after="0"/>
              <w:jc w:val="center"/>
              <w:textAlignment w:val="baseline"/>
              <w:rPr>
                <w:b/>
                <w:bCs/>
                <w:color w:val="000000"/>
                <w:lang w:val="en-US"/>
              </w:rPr>
            </w:pPr>
            <w:r w:rsidRPr="7630C527">
              <w:rPr>
                <w:b/>
                <w:bCs/>
                <w:lang w:val="en-US"/>
              </w:rPr>
              <w:t>1</w:t>
            </w:r>
            <w:r w:rsidR="00FE2978">
              <w:rPr>
                <w:b/>
                <w:bCs/>
                <w:lang w:val="en-US"/>
              </w:rPr>
              <w:t>,283</w:t>
            </w:r>
            <w:r w:rsidRPr="7630C527">
              <w:rPr>
                <w:b/>
                <w:bCs/>
                <w:lang w:val="en-US"/>
              </w:rPr>
              <w:t xml:space="preserve"> – 1,</w:t>
            </w:r>
            <w:r w:rsidR="00FE2978">
              <w:rPr>
                <w:b/>
                <w:bCs/>
                <w:lang w:val="en-US"/>
              </w:rPr>
              <w:t>318</w:t>
            </w:r>
          </w:p>
        </w:tc>
      </w:tr>
    </w:tbl>
    <w:p w14:paraId="3F1075FE" w14:textId="77777777" w:rsidR="007D5464" w:rsidRDefault="007D5464" w:rsidP="007D5464">
      <w:pPr>
        <w:spacing w:after="0" w:line="259" w:lineRule="auto"/>
        <w:jc w:val="both"/>
        <w:rPr>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38"/>
        <w:gridCol w:w="3049"/>
        <w:gridCol w:w="2977"/>
      </w:tblGrid>
      <w:tr w:rsidR="007D5464" w:rsidRPr="005B7137" w14:paraId="7B101959" w14:textId="77777777">
        <w:trPr>
          <w:trHeight w:val="60"/>
        </w:trPr>
        <w:tc>
          <w:tcPr>
            <w:tcW w:w="1676" w:type="pct"/>
            <w:shd w:val="clear" w:color="auto" w:fill="D9E2F3" w:themeFill="accent1" w:themeFillTint="33"/>
            <w:vAlign w:val="center"/>
            <w:hideMark/>
          </w:tcPr>
          <w:p w14:paraId="32980110" w14:textId="06C18559" w:rsidR="007D5464" w:rsidRPr="005B7137" w:rsidRDefault="007D5464">
            <w:pPr>
              <w:tabs>
                <w:tab w:val="clear" w:pos="0"/>
              </w:tabs>
              <w:spacing w:after="0"/>
              <w:jc w:val="center"/>
              <w:rPr>
                <w:b/>
                <w:bCs/>
                <w:color w:val="000000"/>
                <w:lang w:val="en-US"/>
              </w:rPr>
            </w:pPr>
            <w:r w:rsidRPr="005B7137">
              <w:rPr>
                <w:b/>
                <w:bCs/>
                <w:color w:val="000000"/>
                <w:lang w:val="en-US"/>
              </w:rPr>
              <w:t>20</w:t>
            </w:r>
            <w:r>
              <w:rPr>
                <w:b/>
                <w:bCs/>
                <w:color w:val="000000"/>
                <w:lang w:val="en-US"/>
              </w:rPr>
              <w:t>32-2035</w:t>
            </w:r>
            <w:r w:rsidRPr="005B7137">
              <w:rPr>
                <w:b/>
                <w:bCs/>
                <w:color w:val="000000"/>
                <w:lang w:val="en-US"/>
              </w:rPr>
              <w:t xml:space="preserve"> Triennium</w:t>
            </w:r>
          </w:p>
        </w:tc>
        <w:tc>
          <w:tcPr>
            <w:tcW w:w="1682" w:type="pct"/>
            <w:shd w:val="clear" w:color="auto" w:fill="D9E2F3" w:themeFill="accent1" w:themeFillTint="33"/>
            <w:vAlign w:val="center"/>
            <w:hideMark/>
          </w:tcPr>
          <w:p w14:paraId="0C6D9430" w14:textId="77777777" w:rsidR="007D5464" w:rsidRPr="005B7137" w:rsidRDefault="007D5464">
            <w:pPr>
              <w:tabs>
                <w:tab w:val="clear" w:pos="0"/>
              </w:tabs>
              <w:spacing w:after="0"/>
              <w:jc w:val="center"/>
              <w:textAlignment w:val="baseline"/>
              <w:rPr>
                <w:b/>
                <w:lang w:val="en-US"/>
              </w:rPr>
            </w:pPr>
            <w:r w:rsidRPr="5A587C39">
              <w:rPr>
                <w:b/>
                <w:bCs/>
                <w:lang w:val="en-US"/>
              </w:rPr>
              <w:t>Low-end Range</w:t>
            </w:r>
          </w:p>
        </w:tc>
        <w:tc>
          <w:tcPr>
            <w:tcW w:w="1642" w:type="pct"/>
            <w:shd w:val="clear" w:color="auto" w:fill="D9E2F3" w:themeFill="accent1" w:themeFillTint="33"/>
            <w:vAlign w:val="center"/>
            <w:hideMark/>
          </w:tcPr>
          <w:p w14:paraId="62DAB2F4" w14:textId="77777777" w:rsidR="007D5464" w:rsidRPr="005B7137" w:rsidRDefault="007D5464">
            <w:pPr>
              <w:tabs>
                <w:tab w:val="clear" w:pos="0"/>
              </w:tabs>
              <w:spacing w:after="0" w:line="259" w:lineRule="auto"/>
              <w:jc w:val="center"/>
              <w:rPr>
                <w:b/>
                <w:lang w:val="en-US"/>
              </w:rPr>
            </w:pPr>
            <w:r w:rsidRPr="5A587C39">
              <w:rPr>
                <w:b/>
                <w:bCs/>
                <w:lang w:val="en-US"/>
              </w:rPr>
              <w:t>High-end Range</w:t>
            </w:r>
          </w:p>
        </w:tc>
      </w:tr>
      <w:tr w:rsidR="007D5464" w:rsidRPr="005B7137" w14:paraId="02AF9CFF" w14:textId="77777777">
        <w:trPr>
          <w:trHeight w:val="285"/>
        </w:trPr>
        <w:tc>
          <w:tcPr>
            <w:tcW w:w="1676" w:type="pct"/>
            <w:shd w:val="clear" w:color="auto" w:fill="E2EFD9" w:themeFill="accent6" w:themeFillTint="33"/>
            <w:vAlign w:val="bottom"/>
          </w:tcPr>
          <w:p w14:paraId="33A95BF3" w14:textId="77777777" w:rsidR="007D5464" w:rsidRPr="005B7137" w:rsidRDefault="007D5464">
            <w:pPr>
              <w:tabs>
                <w:tab w:val="clear" w:pos="0"/>
              </w:tabs>
              <w:spacing w:after="0" w:line="259" w:lineRule="auto"/>
              <w:rPr>
                <w:b/>
                <w:lang w:val="en-US"/>
              </w:rPr>
            </w:pPr>
            <w:r w:rsidRPr="5A587C39">
              <w:rPr>
                <w:b/>
                <w:lang w:val="en-US"/>
              </w:rPr>
              <w:t>SUBTOTAL – HCFC ACTIVITIES</w:t>
            </w:r>
          </w:p>
        </w:tc>
        <w:tc>
          <w:tcPr>
            <w:tcW w:w="1682" w:type="pct"/>
            <w:shd w:val="clear" w:color="auto" w:fill="FFFFFF" w:themeFill="background1"/>
            <w:vAlign w:val="center"/>
          </w:tcPr>
          <w:p w14:paraId="0339536C" w14:textId="42D597F9" w:rsidR="007D5464" w:rsidRPr="005B7137" w:rsidRDefault="00EC2C0C">
            <w:pPr>
              <w:tabs>
                <w:tab w:val="clear" w:pos="0"/>
              </w:tabs>
              <w:spacing w:after="0"/>
              <w:jc w:val="center"/>
              <w:textAlignment w:val="baseline"/>
              <w:rPr>
                <w:b/>
                <w:bCs/>
                <w:color w:val="000000"/>
                <w:lang w:val="en-US"/>
              </w:rPr>
            </w:pPr>
            <w:r>
              <w:rPr>
                <w:b/>
                <w:lang w:val="en-US"/>
              </w:rPr>
              <w:t>-</w:t>
            </w:r>
          </w:p>
        </w:tc>
        <w:tc>
          <w:tcPr>
            <w:tcW w:w="1642" w:type="pct"/>
            <w:shd w:val="clear" w:color="auto" w:fill="FFFFFF" w:themeFill="background1"/>
            <w:vAlign w:val="center"/>
          </w:tcPr>
          <w:p w14:paraId="4941F70D" w14:textId="2A867235" w:rsidR="007D5464" w:rsidRPr="005B7137" w:rsidRDefault="00EC2C0C">
            <w:pPr>
              <w:tabs>
                <w:tab w:val="clear" w:pos="0"/>
              </w:tabs>
              <w:spacing w:after="0"/>
              <w:jc w:val="center"/>
              <w:textAlignment w:val="baseline"/>
              <w:rPr>
                <w:b/>
                <w:bCs/>
                <w:color w:val="000000"/>
                <w:lang w:val="en-US"/>
              </w:rPr>
            </w:pPr>
            <w:r>
              <w:rPr>
                <w:b/>
                <w:bCs/>
                <w:lang w:val="en-US"/>
              </w:rPr>
              <w:t>-</w:t>
            </w:r>
          </w:p>
        </w:tc>
      </w:tr>
      <w:tr w:rsidR="007D5464" w:rsidRPr="005B7137" w14:paraId="0AD42D58" w14:textId="77777777">
        <w:trPr>
          <w:trHeight w:val="285"/>
        </w:trPr>
        <w:tc>
          <w:tcPr>
            <w:tcW w:w="1676" w:type="pct"/>
            <w:shd w:val="clear" w:color="auto" w:fill="E2EFD9" w:themeFill="accent6" w:themeFillTint="33"/>
            <w:vAlign w:val="bottom"/>
          </w:tcPr>
          <w:p w14:paraId="2626A301" w14:textId="77777777" w:rsidR="007D5464" w:rsidRPr="005B7137" w:rsidRDefault="007D5464">
            <w:pPr>
              <w:tabs>
                <w:tab w:val="clear" w:pos="0"/>
              </w:tabs>
              <w:spacing w:after="0"/>
              <w:textAlignment w:val="baseline"/>
              <w:rPr>
                <w:b/>
                <w:bCs/>
                <w:color w:val="000000"/>
                <w:lang w:val="en-US"/>
              </w:rPr>
            </w:pPr>
            <w:r w:rsidRPr="005B7137">
              <w:rPr>
                <w:b/>
                <w:bCs/>
                <w:color w:val="000000"/>
                <w:lang w:val="en-US"/>
              </w:rPr>
              <w:t>SUBTOTAL – HFC ACTIVITES</w:t>
            </w:r>
          </w:p>
        </w:tc>
        <w:tc>
          <w:tcPr>
            <w:tcW w:w="1682" w:type="pct"/>
            <w:shd w:val="clear" w:color="auto" w:fill="FFFFFF" w:themeFill="background1"/>
            <w:vAlign w:val="center"/>
          </w:tcPr>
          <w:p w14:paraId="334811F7" w14:textId="7F34A997" w:rsidR="007D5464" w:rsidRPr="005B7137" w:rsidRDefault="00EC2C0C">
            <w:pPr>
              <w:tabs>
                <w:tab w:val="clear" w:pos="0"/>
              </w:tabs>
              <w:spacing w:after="0"/>
              <w:jc w:val="center"/>
              <w:textAlignment w:val="baseline"/>
              <w:rPr>
                <w:b/>
                <w:bCs/>
                <w:color w:val="000000"/>
                <w:lang w:val="en-US"/>
              </w:rPr>
            </w:pPr>
            <w:r>
              <w:rPr>
                <w:b/>
                <w:bCs/>
                <w:lang w:val="en-US"/>
              </w:rPr>
              <w:t>488</w:t>
            </w:r>
            <w:r w:rsidR="007D5464" w:rsidRPr="5E53E144">
              <w:rPr>
                <w:b/>
                <w:bCs/>
                <w:lang w:val="en-US"/>
              </w:rPr>
              <w:t xml:space="preserve"> – </w:t>
            </w:r>
            <w:r>
              <w:rPr>
                <w:b/>
                <w:bCs/>
                <w:lang w:val="en-US"/>
              </w:rPr>
              <w:t>503</w:t>
            </w:r>
          </w:p>
        </w:tc>
        <w:tc>
          <w:tcPr>
            <w:tcW w:w="1642" w:type="pct"/>
            <w:shd w:val="clear" w:color="auto" w:fill="FFFFFF" w:themeFill="background1"/>
            <w:vAlign w:val="center"/>
          </w:tcPr>
          <w:p w14:paraId="6EE60ED6" w14:textId="17E1670F" w:rsidR="007D5464" w:rsidRPr="005B7137" w:rsidRDefault="00EC2C0C">
            <w:pPr>
              <w:tabs>
                <w:tab w:val="clear" w:pos="0"/>
              </w:tabs>
              <w:spacing w:after="0"/>
              <w:jc w:val="center"/>
              <w:textAlignment w:val="baseline"/>
              <w:rPr>
                <w:b/>
                <w:bCs/>
                <w:color w:val="000000"/>
                <w:lang w:val="en-US"/>
              </w:rPr>
            </w:pPr>
            <w:r>
              <w:rPr>
                <w:b/>
                <w:bCs/>
                <w:lang w:val="en-US"/>
              </w:rPr>
              <w:t>583</w:t>
            </w:r>
            <w:r w:rsidR="007D5464" w:rsidRPr="5E53E144">
              <w:rPr>
                <w:b/>
                <w:bCs/>
                <w:lang w:val="en-US"/>
              </w:rPr>
              <w:t xml:space="preserve"> – </w:t>
            </w:r>
            <w:r>
              <w:rPr>
                <w:b/>
                <w:bCs/>
                <w:lang w:val="en-US"/>
              </w:rPr>
              <w:t>600</w:t>
            </w:r>
          </w:p>
        </w:tc>
      </w:tr>
      <w:tr w:rsidR="007D5464" w:rsidRPr="005B7137" w14:paraId="5B642C0A" w14:textId="77777777">
        <w:trPr>
          <w:trHeight w:val="285"/>
        </w:trPr>
        <w:tc>
          <w:tcPr>
            <w:tcW w:w="1676" w:type="pct"/>
            <w:shd w:val="clear" w:color="auto" w:fill="E2EFD9" w:themeFill="accent6" w:themeFillTint="33"/>
            <w:vAlign w:val="bottom"/>
          </w:tcPr>
          <w:p w14:paraId="08DC375A" w14:textId="77777777" w:rsidR="007D5464" w:rsidRPr="005B7137" w:rsidRDefault="007D5464">
            <w:pPr>
              <w:tabs>
                <w:tab w:val="clear" w:pos="0"/>
              </w:tabs>
              <w:spacing w:after="0"/>
              <w:textAlignment w:val="baseline"/>
              <w:rPr>
                <w:b/>
                <w:bCs/>
                <w:color w:val="000000"/>
                <w:lang w:val="en-US"/>
              </w:rPr>
            </w:pPr>
            <w:r w:rsidRPr="005B7137">
              <w:rPr>
                <w:b/>
                <w:bCs/>
                <w:color w:val="000000"/>
                <w:lang w:val="en-US"/>
              </w:rPr>
              <w:t>SUBTOTAL – IS &amp; SA</w:t>
            </w:r>
          </w:p>
        </w:tc>
        <w:tc>
          <w:tcPr>
            <w:tcW w:w="1682" w:type="pct"/>
            <w:shd w:val="clear" w:color="auto" w:fill="FFFFFF" w:themeFill="background1"/>
            <w:vAlign w:val="center"/>
          </w:tcPr>
          <w:p w14:paraId="03443BE2" w14:textId="4F6351EE" w:rsidR="007D5464" w:rsidRPr="005B7137" w:rsidRDefault="00EC2C0C">
            <w:pPr>
              <w:tabs>
                <w:tab w:val="clear" w:pos="0"/>
              </w:tabs>
              <w:spacing w:after="0"/>
              <w:jc w:val="center"/>
              <w:textAlignment w:val="baseline"/>
              <w:rPr>
                <w:b/>
                <w:bCs/>
                <w:color w:val="000000"/>
                <w:lang w:val="en-US"/>
              </w:rPr>
            </w:pPr>
            <w:r>
              <w:rPr>
                <w:b/>
                <w:lang w:val="en-US"/>
              </w:rPr>
              <w:t>145</w:t>
            </w:r>
          </w:p>
        </w:tc>
        <w:tc>
          <w:tcPr>
            <w:tcW w:w="1642" w:type="pct"/>
            <w:shd w:val="clear" w:color="auto" w:fill="FFFFFF" w:themeFill="background1"/>
            <w:vAlign w:val="center"/>
          </w:tcPr>
          <w:p w14:paraId="6BBA0BD0" w14:textId="5B79CCE6" w:rsidR="007D5464" w:rsidRPr="005B7137" w:rsidRDefault="00EC2C0C">
            <w:pPr>
              <w:tabs>
                <w:tab w:val="clear" w:pos="0"/>
              </w:tabs>
              <w:spacing w:after="0"/>
              <w:jc w:val="center"/>
              <w:textAlignment w:val="baseline"/>
              <w:rPr>
                <w:b/>
                <w:bCs/>
                <w:color w:val="000000"/>
                <w:lang w:val="en-US"/>
              </w:rPr>
            </w:pPr>
            <w:r>
              <w:rPr>
                <w:b/>
                <w:lang w:val="en-US"/>
              </w:rPr>
              <w:t>145</w:t>
            </w:r>
          </w:p>
        </w:tc>
      </w:tr>
      <w:tr w:rsidR="007D5464" w:rsidRPr="005B7137" w14:paraId="0D4EE071" w14:textId="77777777">
        <w:trPr>
          <w:trHeight w:val="285"/>
        </w:trPr>
        <w:tc>
          <w:tcPr>
            <w:tcW w:w="1676" w:type="pct"/>
            <w:shd w:val="clear" w:color="auto" w:fill="FFFF00"/>
            <w:vAlign w:val="bottom"/>
          </w:tcPr>
          <w:p w14:paraId="2CFA67C1" w14:textId="77777777" w:rsidR="007D5464" w:rsidRPr="005B7137" w:rsidRDefault="007D5464">
            <w:pPr>
              <w:tabs>
                <w:tab w:val="clear" w:pos="0"/>
              </w:tabs>
              <w:spacing w:after="0"/>
              <w:textAlignment w:val="baseline"/>
              <w:rPr>
                <w:b/>
                <w:bCs/>
                <w:color w:val="000000"/>
                <w:lang w:val="en-US"/>
              </w:rPr>
            </w:pPr>
            <w:r w:rsidRPr="4BCEE662">
              <w:rPr>
                <w:b/>
                <w:bCs/>
                <w:lang w:val="en-US"/>
              </w:rPr>
              <w:t>GRAND TOTAL</w:t>
            </w:r>
          </w:p>
        </w:tc>
        <w:tc>
          <w:tcPr>
            <w:tcW w:w="1682" w:type="pct"/>
            <w:shd w:val="clear" w:color="auto" w:fill="FFFF00"/>
            <w:vAlign w:val="center"/>
          </w:tcPr>
          <w:p w14:paraId="1D6B3513" w14:textId="3EE9F431" w:rsidR="007D5464" w:rsidRPr="005B7137" w:rsidRDefault="00FE2978">
            <w:pPr>
              <w:tabs>
                <w:tab w:val="clear" w:pos="0"/>
              </w:tabs>
              <w:spacing w:after="0"/>
              <w:jc w:val="center"/>
              <w:textAlignment w:val="baseline"/>
              <w:rPr>
                <w:b/>
                <w:bCs/>
                <w:color w:val="000000"/>
                <w:lang w:val="en-US"/>
              </w:rPr>
            </w:pPr>
            <w:r>
              <w:rPr>
                <w:b/>
                <w:bCs/>
                <w:lang w:val="en-US"/>
              </w:rPr>
              <w:t>633</w:t>
            </w:r>
            <w:r w:rsidR="007D5464" w:rsidRPr="7630C527">
              <w:rPr>
                <w:b/>
                <w:bCs/>
                <w:lang w:val="en-US"/>
              </w:rPr>
              <w:t xml:space="preserve"> – </w:t>
            </w:r>
            <w:r>
              <w:rPr>
                <w:b/>
                <w:bCs/>
                <w:lang w:val="en-US"/>
              </w:rPr>
              <w:t>648</w:t>
            </w:r>
          </w:p>
        </w:tc>
        <w:tc>
          <w:tcPr>
            <w:tcW w:w="1642" w:type="pct"/>
            <w:shd w:val="clear" w:color="auto" w:fill="FFFF00"/>
            <w:vAlign w:val="center"/>
          </w:tcPr>
          <w:p w14:paraId="34DFEB33" w14:textId="3BAD3B43" w:rsidR="007D5464" w:rsidRPr="005B7137" w:rsidRDefault="00FE2978">
            <w:pPr>
              <w:tabs>
                <w:tab w:val="clear" w:pos="0"/>
              </w:tabs>
              <w:spacing w:after="0"/>
              <w:jc w:val="center"/>
              <w:textAlignment w:val="baseline"/>
              <w:rPr>
                <w:b/>
                <w:bCs/>
                <w:color w:val="000000"/>
                <w:lang w:val="en-US"/>
              </w:rPr>
            </w:pPr>
            <w:r>
              <w:rPr>
                <w:b/>
                <w:bCs/>
                <w:lang w:val="en-US"/>
              </w:rPr>
              <w:t>728</w:t>
            </w:r>
            <w:r w:rsidR="007D5464" w:rsidRPr="7630C527">
              <w:rPr>
                <w:b/>
                <w:bCs/>
                <w:lang w:val="en-US"/>
              </w:rPr>
              <w:t xml:space="preserve"> – </w:t>
            </w:r>
            <w:r>
              <w:rPr>
                <w:b/>
                <w:bCs/>
                <w:lang w:val="en-US"/>
              </w:rPr>
              <w:t>745</w:t>
            </w:r>
          </w:p>
        </w:tc>
      </w:tr>
    </w:tbl>
    <w:p w14:paraId="276E156A" w14:textId="77777777" w:rsidR="007D5464" w:rsidRDefault="007D5464" w:rsidP="007D5464">
      <w:pPr>
        <w:spacing w:after="0" w:line="259" w:lineRule="auto"/>
        <w:jc w:val="both"/>
        <w:rPr>
          <w:sz w:val="24"/>
          <w:szCs w:val="24"/>
        </w:rPr>
      </w:pPr>
    </w:p>
    <w:p w14:paraId="49817C9D" w14:textId="77777777" w:rsidR="007D5464" w:rsidRDefault="007D5464">
      <w:pPr>
        <w:tabs>
          <w:tab w:val="clear" w:pos="0"/>
        </w:tabs>
        <w:spacing w:after="0"/>
        <w:rPr>
          <w:rFonts w:eastAsiaTheme="minorEastAsia"/>
          <w:b/>
          <w:bCs/>
        </w:rPr>
      </w:pPr>
      <w:r>
        <w:rPr>
          <w:rFonts w:eastAsiaTheme="minorEastAsia"/>
          <w:b/>
          <w:bCs/>
        </w:rPr>
        <w:br w:type="page"/>
      </w:r>
    </w:p>
    <w:p w14:paraId="5D99D826" w14:textId="6F23012D" w:rsidR="004B0660" w:rsidRDefault="004B0660" w:rsidP="002135B0">
      <w:pPr>
        <w:tabs>
          <w:tab w:val="left" w:pos="1276"/>
        </w:tabs>
        <w:spacing w:after="120"/>
        <w:ind w:left="1276" w:hanging="1276"/>
        <w:rPr>
          <w:rFonts w:eastAsiaTheme="minorEastAsia"/>
          <w:b/>
          <w:highlight w:val="yellow"/>
        </w:rPr>
      </w:pPr>
      <w:r w:rsidRPr="222ABFFA">
        <w:rPr>
          <w:rFonts w:eastAsiaTheme="minorEastAsia"/>
          <w:b/>
          <w:bCs/>
        </w:rPr>
        <w:lastRenderedPageBreak/>
        <w:t xml:space="preserve">Table </w:t>
      </w:r>
      <w:r>
        <w:rPr>
          <w:rFonts w:eastAsiaTheme="minorEastAsia"/>
          <w:b/>
          <w:bCs/>
        </w:rPr>
        <w:t>11.2</w:t>
      </w:r>
      <w:r w:rsidR="00D73193">
        <w:rPr>
          <w:rFonts w:eastAsiaTheme="minorEastAsia"/>
          <w:b/>
          <w:bCs/>
        </w:rPr>
        <w:t>:</w:t>
      </w:r>
      <w:r>
        <w:tab/>
      </w:r>
      <w:r w:rsidRPr="222ABFFA">
        <w:rPr>
          <w:rFonts w:eastAsiaTheme="minorEastAsia"/>
          <w:b/>
          <w:bCs/>
        </w:rPr>
        <w:t xml:space="preserve">Estimated funding requirement for HCFC </w:t>
      </w:r>
      <w:r>
        <w:rPr>
          <w:rFonts w:eastAsiaTheme="minorEastAsia"/>
          <w:b/>
          <w:bCs/>
        </w:rPr>
        <w:t xml:space="preserve">phase-out for 2027-2029 and future triennia </w:t>
      </w:r>
      <w:r w:rsidRPr="00E537F3">
        <w:rPr>
          <w:b/>
          <w:bCs/>
          <w:color w:val="000000"/>
          <w:sz w:val="21"/>
          <w:szCs w:val="21"/>
          <w:lang w:val="en-US"/>
        </w:rPr>
        <w:t>(US$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8"/>
        <w:gridCol w:w="2590"/>
        <w:gridCol w:w="2599"/>
        <w:gridCol w:w="2537"/>
      </w:tblGrid>
      <w:tr w:rsidR="004B0660" w:rsidRPr="00E537F3" w14:paraId="2080FFE4" w14:textId="77777777" w:rsidTr="4BCEE662">
        <w:trPr>
          <w:trHeight w:val="300"/>
        </w:trPr>
        <w:tc>
          <w:tcPr>
            <w:tcW w:w="743" w:type="pct"/>
            <w:vMerge w:val="restart"/>
            <w:shd w:val="clear" w:color="auto" w:fill="DEEAF6" w:themeFill="accent5" w:themeFillTint="33"/>
            <w:vAlign w:val="center"/>
          </w:tcPr>
          <w:p w14:paraId="72060178" w14:textId="77777777" w:rsidR="004B0660" w:rsidRPr="00E537F3" w:rsidRDefault="004B0660">
            <w:pPr>
              <w:tabs>
                <w:tab w:val="clear" w:pos="0"/>
              </w:tabs>
              <w:spacing w:after="0"/>
              <w:jc w:val="center"/>
              <w:textAlignment w:val="baseline"/>
              <w:rPr>
                <w:b/>
                <w:bCs/>
                <w:color w:val="000000"/>
                <w:sz w:val="21"/>
                <w:szCs w:val="21"/>
                <w:lang w:val="en-US"/>
              </w:rPr>
            </w:pPr>
            <w:r>
              <w:rPr>
                <w:b/>
                <w:bCs/>
                <w:color w:val="000000"/>
                <w:sz w:val="21"/>
                <w:szCs w:val="21"/>
                <w:lang w:val="en-US"/>
              </w:rPr>
              <w:t>Triennium</w:t>
            </w:r>
          </w:p>
        </w:tc>
        <w:tc>
          <w:tcPr>
            <w:tcW w:w="1427" w:type="pct"/>
            <w:vMerge w:val="restart"/>
            <w:shd w:val="clear" w:color="auto" w:fill="DEEAF6" w:themeFill="accent5" w:themeFillTint="33"/>
            <w:vAlign w:val="center"/>
            <w:hideMark/>
          </w:tcPr>
          <w:p w14:paraId="6B73465D" w14:textId="77777777" w:rsidR="004B0660" w:rsidRPr="00E537F3" w:rsidRDefault="004B0660">
            <w:pPr>
              <w:tabs>
                <w:tab w:val="clear" w:pos="0"/>
              </w:tabs>
              <w:spacing w:after="0"/>
              <w:jc w:val="center"/>
              <w:textAlignment w:val="baseline"/>
              <w:rPr>
                <w:rFonts w:ascii="Segoe UI" w:hAnsi="Segoe UI" w:cs="Segoe UI"/>
                <w:color w:val="000000"/>
                <w:sz w:val="18"/>
                <w:szCs w:val="18"/>
                <w:lang w:val="en-US"/>
              </w:rPr>
            </w:pPr>
            <w:r>
              <w:rPr>
                <w:b/>
                <w:bCs/>
                <w:color w:val="000000"/>
                <w:sz w:val="21"/>
                <w:szCs w:val="21"/>
                <w:lang w:val="en-US"/>
              </w:rPr>
              <w:t>Sector</w:t>
            </w:r>
            <w:r w:rsidRPr="00E537F3">
              <w:rPr>
                <w:color w:val="000000"/>
                <w:sz w:val="21"/>
                <w:szCs w:val="21"/>
                <w:lang w:val="en-US"/>
              </w:rPr>
              <w:t> </w:t>
            </w:r>
          </w:p>
        </w:tc>
        <w:tc>
          <w:tcPr>
            <w:tcW w:w="2830" w:type="pct"/>
            <w:gridSpan w:val="2"/>
            <w:shd w:val="clear" w:color="auto" w:fill="DEEAF6" w:themeFill="accent5" w:themeFillTint="33"/>
            <w:vAlign w:val="center"/>
            <w:hideMark/>
          </w:tcPr>
          <w:p w14:paraId="405F3BAC" w14:textId="77777777" w:rsidR="004B0660" w:rsidRPr="00E537F3" w:rsidRDefault="004B0660">
            <w:pPr>
              <w:tabs>
                <w:tab w:val="clear" w:pos="0"/>
              </w:tabs>
              <w:spacing w:after="0"/>
              <w:jc w:val="center"/>
              <w:textAlignment w:val="baseline"/>
              <w:rPr>
                <w:rFonts w:ascii="Segoe UI" w:hAnsi="Segoe UI" w:cs="Segoe UI"/>
                <w:b/>
                <w:bCs/>
                <w:color w:val="000000"/>
                <w:sz w:val="18"/>
                <w:szCs w:val="18"/>
                <w:lang w:val="en-US"/>
              </w:rPr>
            </w:pPr>
            <w:r w:rsidRPr="00E537F3">
              <w:rPr>
                <w:b/>
                <w:bCs/>
                <w:color w:val="000000"/>
                <w:sz w:val="21"/>
                <w:szCs w:val="21"/>
                <w:lang w:val="en-US"/>
              </w:rPr>
              <w:t>HCFC ESTIMATED FUNDING RANGE </w:t>
            </w:r>
          </w:p>
        </w:tc>
      </w:tr>
      <w:tr w:rsidR="004B0660" w:rsidRPr="00E537F3" w14:paraId="773E01DB" w14:textId="77777777" w:rsidTr="4BCEE662">
        <w:trPr>
          <w:trHeight w:val="60"/>
        </w:trPr>
        <w:tc>
          <w:tcPr>
            <w:tcW w:w="743" w:type="pct"/>
            <w:vMerge/>
          </w:tcPr>
          <w:p w14:paraId="0FE58F78" w14:textId="77777777" w:rsidR="004B0660" w:rsidRPr="00E537F3" w:rsidRDefault="004B0660">
            <w:pPr>
              <w:tabs>
                <w:tab w:val="clear" w:pos="0"/>
              </w:tabs>
              <w:spacing w:after="0"/>
              <w:rPr>
                <w:rFonts w:ascii="Segoe UI" w:hAnsi="Segoe UI" w:cs="Segoe UI"/>
                <w:color w:val="000000"/>
                <w:sz w:val="18"/>
                <w:szCs w:val="18"/>
                <w:lang w:val="en-US"/>
              </w:rPr>
            </w:pPr>
          </w:p>
        </w:tc>
        <w:tc>
          <w:tcPr>
            <w:tcW w:w="1427" w:type="pct"/>
            <w:vMerge/>
            <w:vAlign w:val="center"/>
            <w:hideMark/>
          </w:tcPr>
          <w:p w14:paraId="74BDA690" w14:textId="77777777" w:rsidR="004B0660" w:rsidRPr="00E537F3" w:rsidRDefault="004B0660">
            <w:pPr>
              <w:tabs>
                <w:tab w:val="clear" w:pos="0"/>
              </w:tabs>
              <w:spacing w:after="0"/>
              <w:rPr>
                <w:rFonts w:ascii="Segoe UI" w:hAnsi="Segoe UI" w:cs="Segoe UI"/>
                <w:color w:val="000000"/>
                <w:sz w:val="18"/>
                <w:szCs w:val="18"/>
                <w:lang w:val="en-US"/>
              </w:rPr>
            </w:pPr>
          </w:p>
        </w:tc>
        <w:tc>
          <w:tcPr>
            <w:tcW w:w="1432" w:type="pct"/>
            <w:shd w:val="clear" w:color="auto" w:fill="DEEAF6" w:themeFill="accent5" w:themeFillTint="33"/>
            <w:vAlign w:val="center"/>
            <w:hideMark/>
          </w:tcPr>
          <w:p w14:paraId="2AABD674" w14:textId="30734BCD" w:rsidR="004B0660" w:rsidRPr="00E537F3" w:rsidRDefault="009F6FB6">
            <w:pPr>
              <w:tabs>
                <w:tab w:val="clear" w:pos="0"/>
              </w:tabs>
              <w:spacing w:after="0"/>
              <w:jc w:val="center"/>
              <w:textAlignment w:val="baseline"/>
              <w:rPr>
                <w:b/>
                <w:sz w:val="21"/>
                <w:szCs w:val="21"/>
                <w:lang w:val="en-US"/>
              </w:rPr>
            </w:pPr>
            <w:r>
              <w:rPr>
                <w:b/>
                <w:bCs/>
                <w:sz w:val="21"/>
                <w:szCs w:val="21"/>
                <w:lang w:val="en-US"/>
              </w:rPr>
              <w:t xml:space="preserve">HCFC </w:t>
            </w:r>
            <w:r w:rsidR="004B0660" w:rsidRPr="625649F6">
              <w:rPr>
                <w:b/>
                <w:bCs/>
                <w:sz w:val="21"/>
                <w:szCs w:val="21"/>
                <w:lang w:val="en-US"/>
              </w:rPr>
              <w:t xml:space="preserve">Scenario </w:t>
            </w:r>
            <w:r w:rsidR="5A587C39" w:rsidRPr="5A587C39">
              <w:rPr>
                <w:b/>
                <w:bCs/>
                <w:sz w:val="21"/>
                <w:szCs w:val="21"/>
                <w:lang w:val="en-US"/>
              </w:rPr>
              <w:t>1</w:t>
            </w:r>
          </w:p>
        </w:tc>
        <w:tc>
          <w:tcPr>
            <w:tcW w:w="1398" w:type="pct"/>
            <w:shd w:val="clear" w:color="auto" w:fill="DEEAF6" w:themeFill="accent5" w:themeFillTint="33"/>
            <w:vAlign w:val="center"/>
            <w:hideMark/>
          </w:tcPr>
          <w:p w14:paraId="1D4EE899" w14:textId="67AB0F67" w:rsidR="004B0660" w:rsidRPr="00E537F3" w:rsidRDefault="009F6FB6" w:rsidP="009F6FB6">
            <w:pPr>
              <w:tabs>
                <w:tab w:val="clear" w:pos="0"/>
              </w:tabs>
              <w:spacing w:after="0" w:line="259" w:lineRule="auto"/>
              <w:jc w:val="center"/>
              <w:rPr>
                <w:b/>
                <w:sz w:val="21"/>
                <w:szCs w:val="21"/>
                <w:lang w:val="en-US"/>
              </w:rPr>
            </w:pPr>
            <w:r>
              <w:rPr>
                <w:b/>
                <w:bCs/>
                <w:sz w:val="21"/>
                <w:szCs w:val="21"/>
                <w:lang w:val="en-US"/>
              </w:rPr>
              <w:t xml:space="preserve">HCFC </w:t>
            </w:r>
            <w:r w:rsidR="5A587C39" w:rsidRPr="5A587C39">
              <w:rPr>
                <w:b/>
                <w:bCs/>
                <w:sz w:val="21"/>
                <w:szCs w:val="21"/>
                <w:lang w:val="en-US"/>
              </w:rPr>
              <w:t>Scenario 2</w:t>
            </w:r>
          </w:p>
        </w:tc>
      </w:tr>
      <w:tr w:rsidR="004B0660" w:rsidRPr="00E537F3" w14:paraId="0F8A8E21" w14:textId="77777777" w:rsidTr="4BCEE662">
        <w:trPr>
          <w:trHeight w:val="285"/>
        </w:trPr>
        <w:tc>
          <w:tcPr>
            <w:tcW w:w="743" w:type="pct"/>
            <w:vMerge w:val="restart"/>
            <w:shd w:val="clear" w:color="auto" w:fill="E2EFD9" w:themeFill="accent6" w:themeFillTint="33"/>
          </w:tcPr>
          <w:p w14:paraId="20DA2B51" w14:textId="77777777" w:rsidR="004B0660" w:rsidRPr="00E537F3" w:rsidRDefault="004B0660">
            <w:pPr>
              <w:tabs>
                <w:tab w:val="clear" w:pos="0"/>
              </w:tabs>
              <w:spacing w:after="0"/>
              <w:jc w:val="center"/>
              <w:textAlignment w:val="baseline"/>
              <w:rPr>
                <w:b/>
                <w:bCs/>
                <w:color w:val="000000"/>
                <w:lang w:val="en-US"/>
              </w:rPr>
            </w:pPr>
            <w:r>
              <w:rPr>
                <w:b/>
                <w:bCs/>
                <w:color w:val="000000"/>
                <w:lang w:val="en-US"/>
              </w:rPr>
              <w:t>2027-2029</w:t>
            </w:r>
          </w:p>
        </w:tc>
        <w:tc>
          <w:tcPr>
            <w:tcW w:w="1427" w:type="pct"/>
            <w:shd w:val="clear" w:color="auto" w:fill="FFFFFF" w:themeFill="background1"/>
            <w:vAlign w:val="bottom"/>
            <w:hideMark/>
          </w:tcPr>
          <w:p w14:paraId="6CBC8688" w14:textId="77777777" w:rsidR="004B0660" w:rsidRPr="00553674" w:rsidRDefault="004B0660">
            <w:pPr>
              <w:tabs>
                <w:tab w:val="clear" w:pos="0"/>
              </w:tabs>
              <w:spacing w:after="0"/>
              <w:textAlignment w:val="baseline"/>
              <w:rPr>
                <w:rFonts w:ascii="Segoe UI" w:hAnsi="Segoe UI" w:cs="Segoe UI"/>
                <w:color w:val="000000"/>
                <w:sz w:val="18"/>
                <w:szCs w:val="18"/>
                <w:lang w:val="en-US"/>
              </w:rPr>
            </w:pPr>
            <w:r w:rsidRPr="00553674">
              <w:rPr>
                <w:color w:val="000000"/>
                <w:lang w:val="en-US"/>
              </w:rPr>
              <w:t>HCFC Consumption sector with scenarios and resource allocations</w:t>
            </w:r>
          </w:p>
        </w:tc>
        <w:tc>
          <w:tcPr>
            <w:tcW w:w="1432" w:type="pct"/>
            <w:shd w:val="clear" w:color="auto" w:fill="FFFFFF" w:themeFill="background1"/>
            <w:vAlign w:val="center"/>
            <w:hideMark/>
          </w:tcPr>
          <w:p w14:paraId="178213E2" w14:textId="77777777" w:rsidR="004B0660" w:rsidRPr="00553674" w:rsidRDefault="004B0660">
            <w:pPr>
              <w:tabs>
                <w:tab w:val="clear" w:pos="0"/>
              </w:tabs>
              <w:spacing w:after="0"/>
              <w:jc w:val="center"/>
              <w:textAlignment w:val="baseline"/>
              <w:rPr>
                <w:rFonts w:ascii="Segoe UI" w:hAnsi="Segoe UI" w:cs="Segoe UI"/>
                <w:color w:val="000000"/>
                <w:sz w:val="18"/>
                <w:szCs w:val="18"/>
                <w:lang w:val="en-US"/>
              </w:rPr>
            </w:pPr>
            <w:r w:rsidRPr="00553674">
              <w:rPr>
                <w:color w:val="000000"/>
                <w:lang w:val="en-US"/>
              </w:rPr>
              <w:t>427.56</w:t>
            </w:r>
          </w:p>
        </w:tc>
        <w:tc>
          <w:tcPr>
            <w:tcW w:w="1398" w:type="pct"/>
            <w:shd w:val="clear" w:color="auto" w:fill="FFFFFF" w:themeFill="background1"/>
            <w:vAlign w:val="center"/>
            <w:hideMark/>
          </w:tcPr>
          <w:p w14:paraId="74417DF8" w14:textId="77777777" w:rsidR="004B0660" w:rsidRPr="00553674" w:rsidRDefault="004B0660">
            <w:pPr>
              <w:tabs>
                <w:tab w:val="clear" w:pos="0"/>
              </w:tabs>
              <w:spacing w:after="0"/>
              <w:jc w:val="center"/>
              <w:textAlignment w:val="baseline"/>
              <w:rPr>
                <w:rFonts w:ascii="Segoe UI" w:hAnsi="Segoe UI" w:cs="Segoe UI"/>
                <w:color w:val="000000"/>
                <w:sz w:val="18"/>
                <w:szCs w:val="18"/>
                <w:lang w:val="en-US"/>
              </w:rPr>
            </w:pPr>
            <w:r w:rsidRPr="00553674">
              <w:rPr>
                <w:color w:val="000000"/>
                <w:lang w:val="en-US"/>
              </w:rPr>
              <w:t>549.44</w:t>
            </w:r>
          </w:p>
        </w:tc>
      </w:tr>
      <w:tr w:rsidR="004B0660" w:rsidRPr="00E537F3" w14:paraId="782BD405" w14:textId="77777777" w:rsidTr="4BCEE662">
        <w:trPr>
          <w:trHeight w:val="285"/>
        </w:trPr>
        <w:tc>
          <w:tcPr>
            <w:tcW w:w="743" w:type="pct"/>
            <w:vMerge/>
          </w:tcPr>
          <w:p w14:paraId="517B455B" w14:textId="77777777" w:rsidR="004B0660" w:rsidRPr="00E537F3" w:rsidRDefault="004B0660">
            <w:pPr>
              <w:tabs>
                <w:tab w:val="clear" w:pos="0"/>
              </w:tabs>
              <w:spacing w:after="0"/>
              <w:jc w:val="center"/>
              <w:textAlignment w:val="baseline"/>
              <w:rPr>
                <w:b/>
                <w:bCs/>
                <w:color w:val="000000"/>
                <w:lang w:val="en-US"/>
              </w:rPr>
            </w:pPr>
          </w:p>
        </w:tc>
        <w:tc>
          <w:tcPr>
            <w:tcW w:w="1427" w:type="pct"/>
            <w:shd w:val="clear" w:color="auto" w:fill="FFFFFF" w:themeFill="background1"/>
            <w:vAlign w:val="bottom"/>
          </w:tcPr>
          <w:p w14:paraId="012084D6" w14:textId="77777777" w:rsidR="004B0660" w:rsidRPr="00553674" w:rsidRDefault="004B0660">
            <w:pPr>
              <w:tabs>
                <w:tab w:val="clear" w:pos="0"/>
              </w:tabs>
              <w:spacing w:after="0"/>
              <w:textAlignment w:val="baseline"/>
              <w:rPr>
                <w:color w:val="000000"/>
                <w:lang w:val="en-US"/>
              </w:rPr>
            </w:pPr>
            <w:r w:rsidRPr="00553674">
              <w:rPr>
                <w:color w:val="000000"/>
                <w:lang w:val="en-US"/>
              </w:rPr>
              <w:t>HCFC Production sector</w:t>
            </w:r>
          </w:p>
        </w:tc>
        <w:tc>
          <w:tcPr>
            <w:tcW w:w="1432" w:type="pct"/>
            <w:shd w:val="clear" w:color="auto" w:fill="FFFFFF" w:themeFill="background1"/>
            <w:vAlign w:val="center"/>
          </w:tcPr>
          <w:p w14:paraId="5794B1E0" w14:textId="77777777" w:rsidR="004B0660" w:rsidRPr="00553674" w:rsidRDefault="004B0660">
            <w:pPr>
              <w:tabs>
                <w:tab w:val="clear" w:pos="0"/>
              </w:tabs>
              <w:spacing w:after="0"/>
              <w:jc w:val="center"/>
              <w:textAlignment w:val="baseline"/>
              <w:rPr>
                <w:color w:val="000000"/>
                <w:lang w:val="en-US"/>
              </w:rPr>
            </w:pPr>
            <w:r w:rsidRPr="00553674">
              <w:rPr>
                <w:color w:val="000000"/>
                <w:lang w:val="en-US"/>
              </w:rPr>
              <w:t>23.54</w:t>
            </w:r>
          </w:p>
        </w:tc>
        <w:tc>
          <w:tcPr>
            <w:tcW w:w="1398" w:type="pct"/>
            <w:shd w:val="clear" w:color="auto" w:fill="FFFFFF" w:themeFill="background1"/>
            <w:vAlign w:val="center"/>
          </w:tcPr>
          <w:p w14:paraId="7E78B7B0" w14:textId="77777777" w:rsidR="004B0660" w:rsidRPr="00553674" w:rsidRDefault="004B0660">
            <w:pPr>
              <w:tabs>
                <w:tab w:val="clear" w:pos="0"/>
              </w:tabs>
              <w:spacing w:after="0"/>
              <w:jc w:val="center"/>
              <w:textAlignment w:val="baseline"/>
              <w:rPr>
                <w:color w:val="000000"/>
                <w:lang w:val="en-US"/>
              </w:rPr>
            </w:pPr>
            <w:r w:rsidRPr="00553674">
              <w:rPr>
                <w:color w:val="000000"/>
                <w:lang w:val="en-US"/>
              </w:rPr>
              <w:t>23.54</w:t>
            </w:r>
          </w:p>
        </w:tc>
      </w:tr>
      <w:tr w:rsidR="004B0660" w:rsidRPr="00E537F3" w14:paraId="0EB5C16D" w14:textId="77777777" w:rsidTr="4BCEE662">
        <w:trPr>
          <w:trHeight w:val="285"/>
        </w:trPr>
        <w:tc>
          <w:tcPr>
            <w:tcW w:w="743" w:type="pct"/>
            <w:vMerge/>
          </w:tcPr>
          <w:p w14:paraId="4471B209" w14:textId="77777777" w:rsidR="004B0660" w:rsidRPr="00E537F3" w:rsidRDefault="004B0660">
            <w:pPr>
              <w:tabs>
                <w:tab w:val="clear" w:pos="0"/>
              </w:tabs>
              <w:spacing w:after="0"/>
              <w:jc w:val="center"/>
              <w:textAlignment w:val="baseline"/>
              <w:rPr>
                <w:b/>
                <w:bCs/>
                <w:color w:val="000000"/>
                <w:lang w:val="en-US"/>
              </w:rPr>
            </w:pPr>
          </w:p>
        </w:tc>
        <w:tc>
          <w:tcPr>
            <w:tcW w:w="1427" w:type="pct"/>
            <w:shd w:val="clear" w:color="auto" w:fill="FFFF00"/>
            <w:vAlign w:val="bottom"/>
          </w:tcPr>
          <w:p w14:paraId="58C7E49A" w14:textId="34C723D3" w:rsidR="004B0660" w:rsidRDefault="4BCEE662">
            <w:pPr>
              <w:tabs>
                <w:tab w:val="clear" w:pos="0"/>
              </w:tabs>
              <w:spacing w:after="0"/>
              <w:textAlignment w:val="baseline"/>
              <w:rPr>
                <w:b/>
                <w:bCs/>
                <w:color w:val="000000"/>
                <w:lang w:val="en-US"/>
              </w:rPr>
            </w:pPr>
            <w:r w:rsidRPr="4BCEE662">
              <w:rPr>
                <w:b/>
                <w:bCs/>
                <w:lang w:val="en-US"/>
              </w:rPr>
              <w:t>TOTAL HCFC RANGE</w:t>
            </w:r>
          </w:p>
        </w:tc>
        <w:tc>
          <w:tcPr>
            <w:tcW w:w="1432" w:type="pct"/>
            <w:shd w:val="clear" w:color="auto" w:fill="FFFF00"/>
            <w:vAlign w:val="center"/>
          </w:tcPr>
          <w:p w14:paraId="0799BFEA" w14:textId="13501DE8" w:rsidR="004B0660" w:rsidRDefault="004B0660">
            <w:pPr>
              <w:tabs>
                <w:tab w:val="clear" w:pos="0"/>
              </w:tabs>
              <w:spacing w:after="0"/>
              <w:jc w:val="center"/>
              <w:textAlignment w:val="baseline"/>
              <w:rPr>
                <w:b/>
                <w:bCs/>
                <w:color w:val="000000"/>
                <w:lang w:val="en-US"/>
              </w:rPr>
            </w:pPr>
            <w:r w:rsidRPr="7630C527">
              <w:rPr>
                <w:b/>
                <w:lang w:val="en-US"/>
              </w:rPr>
              <w:t>451</w:t>
            </w:r>
            <w:r w:rsidRPr="7630C527" w:rsidDel="00E349D1">
              <w:rPr>
                <w:b/>
                <w:lang w:val="en-US"/>
              </w:rPr>
              <w:t>.10</w:t>
            </w:r>
          </w:p>
        </w:tc>
        <w:tc>
          <w:tcPr>
            <w:tcW w:w="1398" w:type="pct"/>
            <w:shd w:val="clear" w:color="auto" w:fill="FFFF00"/>
            <w:vAlign w:val="center"/>
          </w:tcPr>
          <w:p w14:paraId="306430ED" w14:textId="0126B1ED" w:rsidR="004B0660" w:rsidRDefault="004B0660">
            <w:pPr>
              <w:tabs>
                <w:tab w:val="clear" w:pos="0"/>
              </w:tabs>
              <w:spacing w:after="0"/>
              <w:jc w:val="center"/>
              <w:textAlignment w:val="baseline"/>
              <w:rPr>
                <w:b/>
                <w:bCs/>
                <w:color w:val="000000"/>
                <w:lang w:val="en-US"/>
              </w:rPr>
            </w:pPr>
            <w:r w:rsidRPr="7630C527">
              <w:rPr>
                <w:b/>
                <w:bCs/>
                <w:lang w:val="en-US"/>
              </w:rPr>
              <w:t>572</w:t>
            </w:r>
            <w:r w:rsidRPr="7630C527" w:rsidDel="00E349D1">
              <w:rPr>
                <w:b/>
                <w:lang w:val="en-US"/>
              </w:rPr>
              <w:t>.98</w:t>
            </w:r>
          </w:p>
        </w:tc>
      </w:tr>
      <w:tr w:rsidR="004B0660" w:rsidRPr="00E537F3" w14:paraId="09DF21AE" w14:textId="77777777" w:rsidTr="4BCEE662">
        <w:trPr>
          <w:trHeight w:val="285"/>
        </w:trPr>
        <w:tc>
          <w:tcPr>
            <w:tcW w:w="743" w:type="pct"/>
            <w:vMerge w:val="restart"/>
            <w:shd w:val="clear" w:color="auto" w:fill="E2EFD9" w:themeFill="accent6" w:themeFillTint="33"/>
          </w:tcPr>
          <w:p w14:paraId="6DCA3774" w14:textId="77777777" w:rsidR="004B0660" w:rsidRPr="00E537F3" w:rsidRDefault="004B0660">
            <w:pPr>
              <w:tabs>
                <w:tab w:val="clear" w:pos="0"/>
              </w:tabs>
              <w:spacing w:after="0"/>
              <w:jc w:val="center"/>
              <w:textAlignment w:val="baseline"/>
              <w:rPr>
                <w:b/>
                <w:bCs/>
                <w:color w:val="000000"/>
                <w:lang w:val="en-US"/>
              </w:rPr>
            </w:pPr>
            <w:r>
              <w:rPr>
                <w:b/>
                <w:bCs/>
                <w:color w:val="000000"/>
                <w:lang w:val="en-US"/>
              </w:rPr>
              <w:t>2030-2032</w:t>
            </w:r>
          </w:p>
        </w:tc>
        <w:tc>
          <w:tcPr>
            <w:tcW w:w="1427" w:type="pct"/>
            <w:shd w:val="clear" w:color="auto" w:fill="FFFFFF" w:themeFill="background1"/>
            <w:vAlign w:val="bottom"/>
          </w:tcPr>
          <w:p w14:paraId="01BE5A93" w14:textId="77777777" w:rsidR="004B0660" w:rsidRPr="00553674" w:rsidRDefault="004B0660">
            <w:pPr>
              <w:tabs>
                <w:tab w:val="clear" w:pos="0"/>
              </w:tabs>
              <w:spacing w:after="0"/>
              <w:textAlignment w:val="baseline"/>
              <w:rPr>
                <w:color w:val="000000"/>
                <w:lang w:val="en-US"/>
              </w:rPr>
            </w:pPr>
            <w:r w:rsidRPr="00553674">
              <w:rPr>
                <w:color w:val="000000"/>
                <w:lang w:val="en-US"/>
              </w:rPr>
              <w:t>HCFC Consumption sector with scenarios and resource allocations </w:t>
            </w:r>
          </w:p>
        </w:tc>
        <w:tc>
          <w:tcPr>
            <w:tcW w:w="1432" w:type="pct"/>
            <w:shd w:val="clear" w:color="auto" w:fill="FFFFFF" w:themeFill="background1"/>
            <w:vAlign w:val="center"/>
          </w:tcPr>
          <w:p w14:paraId="7EA56F92" w14:textId="77777777" w:rsidR="004B0660" w:rsidRPr="00553674" w:rsidRDefault="004B0660">
            <w:pPr>
              <w:tabs>
                <w:tab w:val="clear" w:pos="0"/>
              </w:tabs>
              <w:spacing w:after="0"/>
              <w:jc w:val="center"/>
              <w:textAlignment w:val="baseline"/>
              <w:rPr>
                <w:color w:val="000000"/>
                <w:lang w:val="en-US"/>
              </w:rPr>
            </w:pPr>
            <w:r w:rsidRPr="00553674">
              <w:rPr>
                <w:color w:val="000000"/>
                <w:lang w:val="en-US"/>
              </w:rPr>
              <w:t>58.96</w:t>
            </w:r>
          </w:p>
        </w:tc>
        <w:tc>
          <w:tcPr>
            <w:tcW w:w="1398" w:type="pct"/>
            <w:shd w:val="clear" w:color="auto" w:fill="FFFFFF" w:themeFill="background1"/>
            <w:vAlign w:val="center"/>
          </w:tcPr>
          <w:p w14:paraId="2BB640C2" w14:textId="77777777" w:rsidR="004B0660" w:rsidRPr="00553674" w:rsidRDefault="004B0660">
            <w:pPr>
              <w:tabs>
                <w:tab w:val="clear" w:pos="0"/>
              </w:tabs>
              <w:spacing w:after="0"/>
              <w:jc w:val="center"/>
              <w:textAlignment w:val="baseline"/>
              <w:rPr>
                <w:color w:val="000000"/>
                <w:lang w:val="en-US"/>
              </w:rPr>
            </w:pPr>
            <w:r w:rsidRPr="00553674">
              <w:rPr>
                <w:color w:val="000000"/>
                <w:lang w:val="en-US"/>
              </w:rPr>
              <w:t>72.50</w:t>
            </w:r>
          </w:p>
        </w:tc>
      </w:tr>
      <w:tr w:rsidR="004B0660" w:rsidRPr="00E537F3" w14:paraId="6CD85B47" w14:textId="77777777" w:rsidTr="4BCEE662">
        <w:trPr>
          <w:trHeight w:val="285"/>
        </w:trPr>
        <w:tc>
          <w:tcPr>
            <w:tcW w:w="743" w:type="pct"/>
            <w:vMerge/>
          </w:tcPr>
          <w:p w14:paraId="501BC376" w14:textId="77777777" w:rsidR="004B0660" w:rsidRDefault="004B0660">
            <w:pPr>
              <w:tabs>
                <w:tab w:val="clear" w:pos="0"/>
              </w:tabs>
              <w:spacing w:after="0"/>
              <w:jc w:val="center"/>
              <w:textAlignment w:val="baseline"/>
              <w:rPr>
                <w:b/>
                <w:bCs/>
                <w:color w:val="000000"/>
                <w:lang w:val="en-US"/>
              </w:rPr>
            </w:pPr>
          </w:p>
        </w:tc>
        <w:tc>
          <w:tcPr>
            <w:tcW w:w="1427" w:type="pct"/>
            <w:shd w:val="clear" w:color="auto" w:fill="FFFFFF" w:themeFill="background1"/>
            <w:vAlign w:val="bottom"/>
          </w:tcPr>
          <w:p w14:paraId="542668FF" w14:textId="77777777" w:rsidR="004B0660" w:rsidRPr="00553674" w:rsidRDefault="004B0660">
            <w:pPr>
              <w:tabs>
                <w:tab w:val="clear" w:pos="0"/>
              </w:tabs>
              <w:spacing w:after="0"/>
              <w:textAlignment w:val="baseline"/>
              <w:rPr>
                <w:color w:val="000000"/>
                <w:lang w:val="en-US"/>
              </w:rPr>
            </w:pPr>
            <w:r w:rsidRPr="00553674">
              <w:rPr>
                <w:color w:val="000000"/>
                <w:lang w:val="en-US"/>
              </w:rPr>
              <w:t>HCFC Production sector</w:t>
            </w:r>
          </w:p>
        </w:tc>
        <w:tc>
          <w:tcPr>
            <w:tcW w:w="1432" w:type="pct"/>
            <w:shd w:val="clear" w:color="auto" w:fill="FFFFFF" w:themeFill="background1"/>
            <w:vAlign w:val="center"/>
          </w:tcPr>
          <w:p w14:paraId="6096E463" w14:textId="6D22181E" w:rsidR="004B0660" w:rsidRPr="00553674" w:rsidRDefault="00AE1155">
            <w:pPr>
              <w:tabs>
                <w:tab w:val="clear" w:pos="0"/>
              </w:tabs>
              <w:spacing w:after="0"/>
              <w:jc w:val="center"/>
              <w:textAlignment w:val="baseline"/>
              <w:rPr>
                <w:color w:val="000000"/>
                <w:lang w:val="en-US"/>
              </w:rPr>
            </w:pPr>
            <w:r>
              <w:rPr>
                <w:color w:val="000000"/>
                <w:lang w:val="en-US"/>
              </w:rPr>
              <w:t>23.54</w:t>
            </w:r>
          </w:p>
        </w:tc>
        <w:tc>
          <w:tcPr>
            <w:tcW w:w="1398" w:type="pct"/>
            <w:shd w:val="clear" w:color="auto" w:fill="FFFFFF" w:themeFill="background1"/>
            <w:vAlign w:val="center"/>
          </w:tcPr>
          <w:p w14:paraId="17C49D6F" w14:textId="413D0C1C" w:rsidR="004B0660" w:rsidRPr="00553674" w:rsidRDefault="00AE1155">
            <w:pPr>
              <w:tabs>
                <w:tab w:val="clear" w:pos="0"/>
              </w:tabs>
              <w:spacing w:after="0"/>
              <w:jc w:val="center"/>
              <w:textAlignment w:val="baseline"/>
              <w:rPr>
                <w:color w:val="000000"/>
                <w:lang w:val="en-US"/>
              </w:rPr>
            </w:pPr>
            <w:r>
              <w:rPr>
                <w:color w:val="000000"/>
                <w:lang w:val="en-US"/>
              </w:rPr>
              <w:t>23.54</w:t>
            </w:r>
          </w:p>
        </w:tc>
      </w:tr>
      <w:tr w:rsidR="004B0660" w:rsidRPr="00E537F3" w14:paraId="3C264C64" w14:textId="77777777" w:rsidTr="4BCEE662">
        <w:trPr>
          <w:trHeight w:val="285"/>
        </w:trPr>
        <w:tc>
          <w:tcPr>
            <w:tcW w:w="743" w:type="pct"/>
            <w:vMerge/>
          </w:tcPr>
          <w:p w14:paraId="43329639" w14:textId="77777777" w:rsidR="004B0660" w:rsidRDefault="004B0660">
            <w:pPr>
              <w:tabs>
                <w:tab w:val="clear" w:pos="0"/>
              </w:tabs>
              <w:spacing w:after="0"/>
              <w:jc w:val="center"/>
              <w:textAlignment w:val="baseline"/>
              <w:rPr>
                <w:b/>
                <w:bCs/>
                <w:color w:val="000000"/>
                <w:lang w:val="en-US"/>
              </w:rPr>
            </w:pPr>
          </w:p>
        </w:tc>
        <w:tc>
          <w:tcPr>
            <w:tcW w:w="1427" w:type="pct"/>
            <w:shd w:val="clear" w:color="auto" w:fill="FFFF00"/>
            <w:vAlign w:val="bottom"/>
          </w:tcPr>
          <w:p w14:paraId="06B9E40C" w14:textId="27453D4E" w:rsidR="004B0660" w:rsidRDefault="4BCEE662">
            <w:pPr>
              <w:tabs>
                <w:tab w:val="clear" w:pos="0"/>
              </w:tabs>
              <w:spacing w:after="0"/>
              <w:textAlignment w:val="baseline"/>
              <w:rPr>
                <w:b/>
                <w:bCs/>
                <w:color w:val="000000"/>
                <w:lang w:val="en-US"/>
              </w:rPr>
            </w:pPr>
            <w:r w:rsidRPr="4BCEE662">
              <w:rPr>
                <w:b/>
                <w:bCs/>
                <w:lang w:val="en-US"/>
              </w:rPr>
              <w:t>TOTAL HCFC RANGE</w:t>
            </w:r>
          </w:p>
        </w:tc>
        <w:tc>
          <w:tcPr>
            <w:tcW w:w="1432" w:type="pct"/>
            <w:shd w:val="clear" w:color="auto" w:fill="FFFF00"/>
            <w:vAlign w:val="center"/>
          </w:tcPr>
          <w:p w14:paraId="246E63F2" w14:textId="54977081" w:rsidR="004B0660" w:rsidRDefault="7630C527">
            <w:pPr>
              <w:tabs>
                <w:tab w:val="clear" w:pos="0"/>
              </w:tabs>
              <w:spacing w:after="0"/>
              <w:jc w:val="center"/>
              <w:textAlignment w:val="baseline"/>
              <w:rPr>
                <w:b/>
                <w:bCs/>
                <w:color w:val="000000"/>
                <w:lang w:val="en-US"/>
              </w:rPr>
            </w:pPr>
            <w:r w:rsidRPr="7630C527">
              <w:rPr>
                <w:b/>
                <w:bCs/>
                <w:lang w:val="en-US"/>
              </w:rPr>
              <w:t>82.5</w:t>
            </w:r>
          </w:p>
        </w:tc>
        <w:tc>
          <w:tcPr>
            <w:tcW w:w="1398" w:type="pct"/>
            <w:shd w:val="clear" w:color="auto" w:fill="FFFF00"/>
            <w:vAlign w:val="center"/>
          </w:tcPr>
          <w:p w14:paraId="39FD0E9C" w14:textId="1CF8AA84" w:rsidR="004B0660" w:rsidRDefault="7630C527">
            <w:pPr>
              <w:tabs>
                <w:tab w:val="clear" w:pos="0"/>
              </w:tabs>
              <w:spacing w:after="0"/>
              <w:jc w:val="center"/>
              <w:textAlignment w:val="baseline"/>
              <w:rPr>
                <w:b/>
                <w:bCs/>
                <w:color w:val="000000"/>
                <w:lang w:val="en-US"/>
              </w:rPr>
            </w:pPr>
            <w:r w:rsidRPr="7630C527">
              <w:rPr>
                <w:b/>
                <w:bCs/>
                <w:lang w:val="en-US"/>
              </w:rPr>
              <w:t>96.04</w:t>
            </w:r>
          </w:p>
        </w:tc>
      </w:tr>
    </w:tbl>
    <w:p w14:paraId="244D6A60" w14:textId="77777777" w:rsidR="004B0660" w:rsidRPr="000929D6" w:rsidRDefault="004B0660" w:rsidP="004B0660">
      <w:pPr>
        <w:spacing w:after="160" w:line="259" w:lineRule="auto"/>
        <w:contextualSpacing/>
        <w:rPr>
          <w:b/>
          <w:color w:val="auto"/>
        </w:rPr>
      </w:pPr>
    </w:p>
    <w:p w14:paraId="474EB63A" w14:textId="2CF11003" w:rsidR="004B0660" w:rsidRDefault="004B0660" w:rsidP="007D5464">
      <w:pPr>
        <w:tabs>
          <w:tab w:val="clear" w:pos="0"/>
        </w:tabs>
        <w:spacing w:after="0"/>
        <w:rPr>
          <w:rFonts w:eastAsiaTheme="minorEastAsia"/>
          <w:b/>
          <w:highlight w:val="yellow"/>
        </w:rPr>
      </w:pPr>
      <w:r w:rsidRPr="222ABFFA">
        <w:rPr>
          <w:rFonts w:eastAsiaTheme="minorEastAsia"/>
          <w:b/>
          <w:bCs/>
        </w:rPr>
        <w:t xml:space="preserve">Table </w:t>
      </w:r>
      <w:r>
        <w:rPr>
          <w:rFonts w:eastAsiaTheme="minorEastAsia"/>
          <w:b/>
          <w:bCs/>
        </w:rPr>
        <w:t>11.3</w:t>
      </w:r>
      <w:r w:rsidR="006301EB">
        <w:rPr>
          <w:rFonts w:eastAsiaTheme="minorEastAsia"/>
          <w:b/>
          <w:bCs/>
        </w:rPr>
        <w:t>:</w:t>
      </w:r>
      <w:r>
        <w:tab/>
      </w:r>
      <w:r w:rsidRPr="222ABFFA">
        <w:rPr>
          <w:rFonts w:eastAsiaTheme="minorEastAsia"/>
          <w:b/>
          <w:bCs/>
        </w:rPr>
        <w:t>Estimated</w:t>
      </w:r>
      <w:r>
        <w:rPr>
          <w:rFonts w:eastAsiaTheme="minorEastAsia"/>
          <w:b/>
          <w:bCs/>
        </w:rPr>
        <w:t xml:space="preserve"> total</w:t>
      </w:r>
      <w:r w:rsidRPr="222ABFFA">
        <w:rPr>
          <w:rFonts w:eastAsiaTheme="minorEastAsia"/>
          <w:b/>
          <w:bCs/>
        </w:rPr>
        <w:t xml:space="preserve"> funding requirement for HFC </w:t>
      </w:r>
      <w:r>
        <w:rPr>
          <w:rFonts w:eastAsiaTheme="minorEastAsia"/>
          <w:b/>
          <w:bCs/>
        </w:rPr>
        <w:t>phase-down for 2027-2029 and future triennia</w:t>
      </w:r>
      <w:r w:rsidRPr="222ABFFA">
        <w:rPr>
          <w:rFonts w:eastAsiaTheme="minorEastAsia"/>
          <w:b/>
          <w:bCs/>
        </w:rPr>
        <w:t xml:space="preserve"> (US</w:t>
      </w:r>
      <w:r w:rsidRPr="531ECB33">
        <w:rPr>
          <w:rFonts w:eastAsiaTheme="minorEastAsia"/>
          <w:b/>
          <w:bCs/>
        </w:rPr>
        <w:t>$ million)</w:t>
      </w:r>
      <w:r w:rsidRPr="222ABFFA">
        <w:rPr>
          <w:rFonts w:eastAsiaTheme="minorEastAsia"/>
          <w:b/>
          <w:bCs/>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347"/>
        <w:gridCol w:w="2587"/>
        <w:gridCol w:w="2596"/>
        <w:gridCol w:w="2534"/>
      </w:tblGrid>
      <w:tr w:rsidR="004B0660" w:rsidRPr="00E537F3" w14:paraId="15D25DE8" w14:textId="77777777" w:rsidTr="4BCEE662">
        <w:trPr>
          <w:trHeight w:val="300"/>
        </w:trPr>
        <w:tc>
          <w:tcPr>
            <w:tcW w:w="743" w:type="pct"/>
            <w:vMerge w:val="restart"/>
            <w:shd w:val="clear" w:color="auto" w:fill="DEEAF6" w:themeFill="accent5" w:themeFillTint="33"/>
            <w:vAlign w:val="center"/>
          </w:tcPr>
          <w:p w14:paraId="31B1A22B" w14:textId="77777777" w:rsidR="004B0660" w:rsidRPr="00E537F3" w:rsidRDefault="004B0660">
            <w:pPr>
              <w:tabs>
                <w:tab w:val="clear" w:pos="0"/>
              </w:tabs>
              <w:spacing w:after="0"/>
              <w:jc w:val="center"/>
              <w:textAlignment w:val="baseline"/>
              <w:rPr>
                <w:b/>
                <w:bCs/>
                <w:color w:val="000000"/>
                <w:sz w:val="21"/>
                <w:szCs w:val="21"/>
                <w:lang w:val="en-US"/>
              </w:rPr>
            </w:pPr>
            <w:r>
              <w:rPr>
                <w:b/>
                <w:bCs/>
                <w:color w:val="000000"/>
                <w:sz w:val="21"/>
                <w:szCs w:val="21"/>
                <w:lang w:val="en-US"/>
              </w:rPr>
              <w:t>Triennium</w:t>
            </w:r>
          </w:p>
        </w:tc>
        <w:tc>
          <w:tcPr>
            <w:tcW w:w="1427" w:type="pct"/>
            <w:vMerge w:val="restart"/>
            <w:shd w:val="clear" w:color="auto" w:fill="DEEAF6" w:themeFill="accent5" w:themeFillTint="33"/>
            <w:vAlign w:val="center"/>
            <w:hideMark/>
          </w:tcPr>
          <w:p w14:paraId="06A70FF6" w14:textId="77777777" w:rsidR="004B0660" w:rsidRPr="00E537F3" w:rsidRDefault="004B0660">
            <w:pPr>
              <w:tabs>
                <w:tab w:val="clear" w:pos="0"/>
              </w:tabs>
              <w:spacing w:after="0"/>
              <w:jc w:val="center"/>
              <w:textAlignment w:val="baseline"/>
              <w:rPr>
                <w:rFonts w:ascii="Segoe UI" w:hAnsi="Segoe UI" w:cs="Segoe UI"/>
                <w:color w:val="000000"/>
                <w:sz w:val="18"/>
                <w:szCs w:val="18"/>
                <w:lang w:val="en-US"/>
              </w:rPr>
            </w:pPr>
            <w:r>
              <w:rPr>
                <w:b/>
                <w:bCs/>
                <w:color w:val="000000"/>
                <w:sz w:val="21"/>
                <w:szCs w:val="21"/>
                <w:lang w:val="en-US"/>
              </w:rPr>
              <w:t>Sector</w:t>
            </w:r>
            <w:r w:rsidRPr="00E537F3">
              <w:rPr>
                <w:color w:val="000000"/>
                <w:sz w:val="21"/>
                <w:szCs w:val="21"/>
                <w:lang w:val="en-US"/>
              </w:rPr>
              <w:t> </w:t>
            </w:r>
          </w:p>
        </w:tc>
        <w:tc>
          <w:tcPr>
            <w:tcW w:w="2830" w:type="pct"/>
            <w:gridSpan w:val="2"/>
            <w:shd w:val="clear" w:color="auto" w:fill="DEEAF6" w:themeFill="accent5" w:themeFillTint="33"/>
            <w:vAlign w:val="center"/>
            <w:hideMark/>
          </w:tcPr>
          <w:p w14:paraId="521BF6A8" w14:textId="77777777" w:rsidR="004B0660" w:rsidRPr="00E537F3" w:rsidRDefault="004B0660">
            <w:pPr>
              <w:tabs>
                <w:tab w:val="clear" w:pos="0"/>
              </w:tabs>
              <w:spacing w:after="0"/>
              <w:jc w:val="center"/>
              <w:textAlignment w:val="baseline"/>
              <w:rPr>
                <w:rFonts w:ascii="Segoe UI" w:hAnsi="Segoe UI" w:cs="Segoe UI"/>
                <w:b/>
                <w:bCs/>
                <w:color w:val="000000"/>
                <w:sz w:val="18"/>
                <w:szCs w:val="18"/>
                <w:lang w:val="en-US"/>
              </w:rPr>
            </w:pPr>
            <w:r w:rsidRPr="00E537F3">
              <w:rPr>
                <w:b/>
                <w:bCs/>
                <w:color w:val="000000"/>
                <w:sz w:val="21"/>
                <w:szCs w:val="21"/>
                <w:lang w:val="en-US"/>
              </w:rPr>
              <w:t xml:space="preserve">HFC ESTIMATED </w:t>
            </w:r>
            <w:r w:rsidRPr="00E537F3">
              <w:rPr>
                <w:b/>
                <w:bCs/>
                <w:color w:val="000000"/>
                <w:sz w:val="21"/>
                <w:szCs w:val="21"/>
                <w:lang w:val="en-US"/>
              </w:rPr>
              <w:br/>
              <w:t>FUNDING RANGE (US$ million)</w:t>
            </w:r>
          </w:p>
        </w:tc>
      </w:tr>
      <w:tr w:rsidR="004B0660" w:rsidRPr="00E537F3" w14:paraId="74A2CD27" w14:textId="77777777" w:rsidTr="4BCEE662">
        <w:trPr>
          <w:trHeight w:val="60"/>
        </w:trPr>
        <w:tc>
          <w:tcPr>
            <w:tcW w:w="743" w:type="pct"/>
            <w:vMerge/>
          </w:tcPr>
          <w:p w14:paraId="42693CB6" w14:textId="77777777" w:rsidR="004B0660" w:rsidRPr="00E537F3" w:rsidRDefault="004B0660">
            <w:pPr>
              <w:tabs>
                <w:tab w:val="clear" w:pos="0"/>
              </w:tabs>
              <w:spacing w:after="0"/>
              <w:rPr>
                <w:rFonts w:ascii="Segoe UI" w:hAnsi="Segoe UI" w:cs="Segoe UI"/>
                <w:color w:val="000000"/>
                <w:sz w:val="18"/>
                <w:szCs w:val="18"/>
                <w:lang w:val="en-US"/>
              </w:rPr>
            </w:pPr>
          </w:p>
        </w:tc>
        <w:tc>
          <w:tcPr>
            <w:tcW w:w="1427" w:type="pct"/>
            <w:vMerge/>
            <w:vAlign w:val="center"/>
            <w:hideMark/>
          </w:tcPr>
          <w:p w14:paraId="5A4AEB21" w14:textId="77777777" w:rsidR="004B0660" w:rsidRPr="00E537F3" w:rsidRDefault="004B0660">
            <w:pPr>
              <w:tabs>
                <w:tab w:val="clear" w:pos="0"/>
              </w:tabs>
              <w:spacing w:after="0"/>
              <w:rPr>
                <w:rFonts w:ascii="Segoe UI" w:hAnsi="Segoe UI" w:cs="Segoe UI"/>
                <w:color w:val="000000"/>
                <w:sz w:val="18"/>
                <w:szCs w:val="18"/>
                <w:lang w:val="en-US"/>
              </w:rPr>
            </w:pPr>
          </w:p>
        </w:tc>
        <w:tc>
          <w:tcPr>
            <w:tcW w:w="1432" w:type="pct"/>
            <w:shd w:val="clear" w:color="auto" w:fill="DEEAF6" w:themeFill="accent5" w:themeFillTint="33"/>
            <w:vAlign w:val="center"/>
            <w:hideMark/>
          </w:tcPr>
          <w:p w14:paraId="072B491A" w14:textId="453860CF" w:rsidR="004B0660" w:rsidRPr="00E537F3" w:rsidRDefault="004B0660">
            <w:pPr>
              <w:tabs>
                <w:tab w:val="clear" w:pos="0"/>
              </w:tabs>
              <w:spacing w:after="0"/>
              <w:jc w:val="center"/>
              <w:textAlignment w:val="baseline"/>
              <w:rPr>
                <w:rFonts w:ascii="Segoe UI" w:hAnsi="Segoe UI" w:cs="Segoe UI"/>
                <w:color w:val="000000"/>
                <w:sz w:val="18"/>
                <w:szCs w:val="18"/>
                <w:lang w:val="en-US"/>
              </w:rPr>
            </w:pPr>
            <w:r w:rsidRPr="548BBB9B">
              <w:rPr>
                <w:b/>
                <w:sz w:val="21"/>
                <w:szCs w:val="21"/>
                <w:lang w:val="en-US"/>
              </w:rPr>
              <w:t>Resource Allocation A</w:t>
            </w:r>
          </w:p>
        </w:tc>
        <w:tc>
          <w:tcPr>
            <w:tcW w:w="1398" w:type="pct"/>
            <w:shd w:val="clear" w:color="auto" w:fill="DEEAF6" w:themeFill="accent5" w:themeFillTint="33"/>
            <w:vAlign w:val="center"/>
            <w:hideMark/>
          </w:tcPr>
          <w:p w14:paraId="22A02471" w14:textId="0B5B2A77" w:rsidR="004B0660" w:rsidRPr="00E537F3" w:rsidRDefault="004B0660">
            <w:pPr>
              <w:tabs>
                <w:tab w:val="clear" w:pos="0"/>
              </w:tabs>
              <w:spacing w:after="0"/>
              <w:jc w:val="center"/>
              <w:textAlignment w:val="baseline"/>
              <w:rPr>
                <w:rFonts w:ascii="Segoe UI" w:hAnsi="Segoe UI" w:cs="Segoe UI"/>
                <w:color w:val="000000"/>
                <w:sz w:val="18"/>
                <w:szCs w:val="18"/>
                <w:lang w:val="en-US"/>
              </w:rPr>
            </w:pPr>
            <w:r w:rsidRPr="548BBB9B">
              <w:rPr>
                <w:b/>
                <w:sz w:val="21"/>
                <w:szCs w:val="21"/>
                <w:lang w:val="en-US"/>
              </w:rPr>
              <w:t>Resource Allocation B</w:t>
            </w:r>
          </w:p>
        </w:tc>
      </w:tr>
      <w:tr w:rsidR="004B0660" w:rsidRPr="00E537F3" w14:paraId="1574C179" w14:textId="77777777" w:rsidTr="4BCEE662">
        <w:trPr>
          <w:trHeight w:val="285"/>
        </w:trPr>
        <w:tc>
          <w:tcPr>
            <w:tcW w:w="743" w:type="pct"/>
            <w:vMerge w:val="restart"/>
            <w:shd w:val="clear" w:color="auto" w:fill="E2EFD9" w:themeFill="accent6" w:themeFillTint="33"/>
          </w:tcPr>
          <w:p w14:paraId="24A543A9" w14:textId="77777777" w:rsidR="004B0660" w:rsidRPr="00E537F3" w:rsidRDefault="004B0660">
            <w:pPr>
              <w:tabs>
                <w:tab w:val="clear" w:pos="0"/>
              </w:tabs>
              <w:spacing w:after="0"/>
              <w:jc w:val="center"/>
              <w:textAlignment w:val="baseline"/>
              <w:rPr>
                <w:b/>
                <w:bCs/>
                <w:color w:val="000000"/>
                <w:lang w:val="en-US"/>
              </w:rPr>
            </w:pPr>
            <w:r>
              <w:rPr>
                <w:b/>
                <w:bCs/>
                <w:color w:val="000000"/>
                <w:lang w:val="en-US"/>
              </w:rPr>
              <w:t>2027-2029</w:t>
            </w:r>
          </w:p>
        </w:tc>
        <w:tc>
          <w:tcPr>
            <w:tcW w:w="1427" w:type="pct"/>
            <w:shd w:val="clear" w:color="auto" w:fill="FFFFFF" w:themeFill="background1"/>
            <w:vAlign w:val="bottom"/>
            <w:hideMark/>
          </w:tcPr>
          <w:p w14:paraId="732172D9" w14:textId="77777777" w:rsidR="004B0660" w:rsidRPr="00A11B07" w:rsidRDefault="004B0660">
            <w:pPr>
              <w:tabs>
                <w:tab w:val="clear" w:pos="0"/>
              </w:tabs>
              <w:spacing w:after="0"/>
              <w:textAlignment w:val="baseline"/>
              <w:rPr>
                <w:rFonts w:ascii="Segoe UI" w:hAnsi="Segoe UI" w:cs="Segoe UI"/>
                <w:color w:val="000000"/>
                <w:sz w:val="18"/>
                <w:szCs w:val="18"/>
                <w:lang w:val="en-US"/>
              </w:rPr>
            </w:pPr>
            <w:r w:rsidRPr="00A11B07">
              <w:rPr>
                <w:color w:val="000000"/>
                <w:lang w:val="en-US"/>
              </w:rPr>
              <w:t>HFC Consumption sector with scenarios and resource allocations</w:t>
            </w:r>
          </w:p>
        </w:tc>
        <w:tc>
          <w:tcPr>
            <w:tcW w:w="1432" w:type="pct"/>
            <w:shd w:val="clear" w:color="auto" w:fill="FFFFFF" w:themeFill="background1"/>
            <w:vAlign w:val="center"/>
            <w:hideMark/>
          </w:tcPr>
          <w:p w14:paraId="653FE178" w14:textId="77777777" w:rsidR="004B0660" w:rsidRPr="00A11B07" w:rsidRDefault="004B0660">
            <w:pPr>
              <w:tabs>
                <w:tab w:val="clear" w:pos="0"/>
              </w:tabs>
              <w:spacing w:after="0"/>
              <w:jc w:val="center"/>
              <w:textAlignment w:val="baseline"/>
              <w:rPr>
                <w:rFonts w:ascii="Segoe UI" w:hAnsi="Segoe UI" w:cs="Segoe UI"/>
                <w:color w:val="000000"/>
                <w:sz w:val="18"/>
                <w:szCs w:val="18"/>
                <w:lang w:val="en-US"/>
              </w:rPr>
            </w:pPr>
            <w:r w:rsidRPr="00A11B07">
              <w:t>958 – 1,042</w:t>
            </w:r>
          </w:p>
        </w:tc>
        <w:tc>
          <w:tcPr>
            <w:tcW w:w="1398" w:type="pct"/>
            <w:shd w:val="clear" w:color="auto" w:fill="FFFFFF" w:themeFill="background1"/>
            <w:vAlign w:val="center"/>
            <w:hideMark/>
          </w:tcPr>
          <w:p w14:paraId="5EB9B57F" w14:textId="77777777" w:rsidR="004B0660" w:rsidRPr="00A11B07" w:rsidRDefault="004B0660">
            <w:pPr>
              <w:tabs>
                <w:tab w:val="clear" w:pos="0"/>
              </w:tabs>
              <w:spacing w:after="0"/>
              <w:jc w:val="center"/>
              <w:textAlignment w:val="baseline"/>
              <w:rPr>
                <w:rFonts w:ascii="Segoe UI" w:hAnsi="Segoe UI" w:cs="Segoe UI"/>
                <w:color w:val="000000"/>
                <w:sz w:val="18"/>
                <w:szCs w:val="18"/>
                <w:lang w:val="en-US"/>
              </w:rPr>
            </w:pPr>
            <w:r w:rsidRPr="00A11B07">
              <w:t>690 – 769</w:t>
            </w:r>
          </w:p>
        </w:tc>
      </w:tr>
      <w:tr w:rsidR="004B0660" w:rsidRPr="00E537F3" w14:paraId="3C86CD5F" w14:textId="77777777" w:rsidTr="4BCEE662">
        <w:trPr>
          <w:trHeight w:val="285"/>
        </w:trPr>
        <w:tc>
          <w:tcPr>
            <w:tcW w:w="743" w:type="pct"/>
            <w:vMerge/>
          </w:tcPr>
          <w:p w14:paraId="3B2F0DDB" w14:textId="77777777" w:rsidR="004B0660" w:rsidRPr="00E537F3" w:rsidRDefault="004B0660">
            <w:pPr>
              <w:tabs>
                <w:tab w:val="clear" w:pos="0"/>
              </w:tabs>
              <w:spacing w:after="0"/>
              <w:jc w:val="center"/>
              <w:textAlignment w:val="baseline"/>
              <w:rPr>
                <w:b/>
                <w:bCs/>
                <w:color w:val="000000"/>
                <w:lang w:val="en-US"/>
              </w:rPr>
            </w:pPr>
          </w:p>
        </w:tc>
        <w:tc>
          <w:tcPr>
            <w:tcW w:w="1427" w:type="pct"/>
            <w:shd w:val="clear" w:color="auto" w:fill="FFFFFF" w:themeFill="background1"/>
            <w:vAlign w:val="bottom"/>
          </w:tcPr>
          <w:p w14:paraId="17336EAA" w14:textId="77777777" w:rsidR="004B0660" w:rsidRPr="00A11B07" w:rsidRDefault="004B0660">
            <w:pPr>
              <w:tabs>
                <w:tab w:val="clear" w:pos="0"/>
              </w:tabs>
              <w:spacing w:after="0"/>
              <w:textAlignment w:val="baseline"/>
              <w:rPr>
                <w:color w:val="000000"/>
                <w:lang w:val="en-US"/>
              </w:rPr>
            </w:pPr>
            <w:r w:rsidRPr="00A11B07">
              <w:rPr>
                <w:color w:val="000000"/>
                <w:lang w:val="en-US"/>
              </w:rPr>
              <w:t>HFC Production sector and HFC-23 mitigation</w:t>
            </w:r>
          </w:p>
        </w:tc>
        <w:tc>
          <w:tcPr>
            <w:tcW w:w="1432" w:type="pct"/>
            <w:shd w:val="clear" w:color="auto" w:fill="FFFFFF" w:themeFill="background1"/>
            <w:vAlign w:val="center"/>
          </w:tcPr>
          <w:p w14:paraId="2B293D03" w14:textId="77777777" w:rsidR="004B0660" w:rsidRPr="00A11B07" w:rsidRDefault="004B0660">
            <w:pPr>
              <w:tabs>
                <w:tab w:val="clear" w:pos="0"/>
              </w:tabs>
              <w:spacing w:after="0"/>
              <w:jc w:val="center"/>
              <w:textAlignment w:val="baseline"/>
              <w:rPr>
                <w:color w:val="000000"/>
                <w:lang w:val="en-US"/>
              </w:rPr>
            </w:pPr>
            <w:r w:rsidRPr="00A11B07">
              <w:rPr>
                <w:color w:val="000000"/>
                <w:lang w:val="en-US"/>
              </w:rPr>
              <w:t>11.76</w:t>
            </w:r>
          </w:p>
        </w:tc>
        <w:tc>
          <w:tcPr>
            <w:tcW w:w="1398" w:type="pct"/>
            <w:shd w:val="clear" w:color="auto" w:fill="FFFFFF" w:themeFill="background1"/>
            <w:vAlign w:val="center"/>
          </w:tcPr>
          <w:p w14:paraId="681659FA" w14:textId="77777777" w:rsidR="004B0660" w:rsidRPr="00A11B07" w:rsidRDefault="004B0660">
            <w:pPr>
              <w:tabs>
                <w:tab w:val="clear" w:pos="0"/>
              </w:tabs>
              <w:spacing w:after="0"/>
              <w:jc w:val="center"/>
              <w:textAlignment w:val="baseline"/>
              <w:rPr>
                <w:color w:val="000000"/>
                <w:lang w:val="en-US"/>
              </w:rPr>
            </w:pPr>
            <w:r w:rsidRPr="00A11B07">
              <w:rPr>
                <w:color w:val="000000"/>
                <w:lang w:val="en-US"/>
              </w:rPr>
              <w:t>11.76</w:t>
            </w:r>
          </w:p>
        </w:tc>
      </w:tr>
      <w:tr w:rsidR="004B0660" w:rsidRPr="00E537F3" w14:paraId="2D45B29F" w14:textId="77777777" w:rsidTr="4BCEE662">
        <w:trPr>
          <w:trHeight w:val="285"/>
        </w:trPr>
        <w:tc>
          <w:tcPr>
            <w:tcW w:w="743" w:type="pct"/>
            <w:vMerge/>
          </w:tcPr>
          <w:p w14:paraId="1A819187" w14:textId="77777777" w:rsidR="004B0660" w:rsidRPr="00E537F3" w:rsidRDefault="004B0660">
            <w:pPr>
              <w:tabs>
                <w:tab w:val="clear" w:pos="0"/>
              </w:tabs>
              <w:spacing w:after="0"/>
              <w:jc w:val="center"/>
              <w:textAlignment w:val="baseline"/>
              <w:rPr>
                <w:b/>
                <w:bCs/>
                <w:color w:val="000000"/>
                <w:lang w:val="en-US"/>
              </w:rPr>
            </w:pPr>
          </w:p>
        </w:tc>
        <w:tc>
          <w:tcPr>
            <w:tcW w:w="1427" w:type="pct"/>
            <w:shd w:val="clear" w:color="auto" w:fill="FFFF00"/>
            <w:vAlign w:val="bottom"/>
          </w:tcPr>
          <w:p w14:paraId="77B89D9D" w14:textId="6C06C74F" w:rsidR="004B0660" w:rsidRDefault="4BCEE662">
            <w:pPr>
              <w:tabs>
                <w:tab w:val="clear" w:pos="0"/>
              </w:tabs>
              <w:spacing w:after="0"/>
              <w:textAlignment w:val="baseline"/>
              <w:rPr>
                <w:b/>
                <w:bCs/>
                <w:color w:val="000000"/>
                <w:lang w:val="en-US"/>
              </w:rPr>
            </w:pPr>
            <w:r w:rsidRPr="4BCEE662">
              <w:rPr>
                <w:b/>
                <w:bCs/>
                <w:lang w:val="en-US"/>
              </w:rPr>
              <w:t>TOTAL HFC RANGE</w:t>
            </w:r>
          </w:p>
        </w:tc>
        <w:tc>
          <w:tcPr>
            <w:tcW w:w="1432" w:type="pct"/>
            <w:shd w:val="clear" w:color="auto" w:fill="FFFF00"/>
            <w:vAlign w:val="center"/>
          </w:tcPr>
          <w:p w14:paraId="00838B5F" w14:textId="77777777" w:rsidR="004B0660" w:rsidRDefault="004B0660">
            <w:pPr>
              <w:tabs>
                <w:tab w:val="clear" w:pos="0"/>
              </w:tabs>
              <w:spacing w:after="0"/>
              <w:jc w:val="center"/>
              <w:textAlignment w:val="baseline"/>
              <w:rPr>
                <w:b/>
                <w:bCs/>
                <w:color w:val="000000"/>
                <w:lang w:val="en-US"/>
              </w:rPr>
            </w:pPr>
            <w:r>
              <w:rPr>
                <w:b/>
                <w:bCs/>
                <w:color w:val="000000"/>
                <w:lang w:val="en-US"/>
              </w:rPr>
              <w:t>970 – 1,053</w:t>
            </w:r>
          </w:p>
        </w:tc>
        <w:tc>
          <w:tcPr>
            <w:tcW w:w="1398" w:type="pct"/>
            <w:shd w:val="clear" w:color="auto" w:fill="FFFF00"/>
            <w:vAlign w:val="center"/>
          </w:tcPr>
          <w:p w14:paraId="51866E63" w14:textId="77777777" w:rsidR="004B0660" w:rsidRDefault="004B0660">
            <w:pPr>
              <w:tabs>
                <w:tab w:val="clear" w:pos="0"/>
              </w:tabs>
              <w:spacing w:after="0"/>
              <w:jc w:val="center"/>
              <w:textAlignment w:val="baseline"/>
              <w:rPr>
                <w:b/>
                <w:bCs/>
                <w:color w:val="000000"/>
                <w:lang w:val="en-US"/>
              </w:rPr>
            </w:pPr>
            <w:r>
              <w:rPr>
                <w:b/>
                <w:bCs/>
                <w:color w:val="000000"/>
                <w:lang w:val="en-US"/>
              </w:rPr>
              <w:t>702 – 781</w:t>
            </w:r>
          </w:p>
        </w:tc>
      </w:tr>
      <w:tr w:rsidR="004B0660" w:rsidRPr="00E537F3" w14:paraId="3F0D252C" w14:textId="77777777" w:rsidTr="4BCEE662">
        <w:trPr>
          <w:trHeight w:val="285"/>
        </w:trPr>
        <w:tc>
          <w:tcPr>
            <w:tcW w:w="743" w:type="pct"/>
            <w:vMerge w:val="restart"/>
            <w:shd w:val="clear" w:color="auto" w:fill="E2EFD9" w:themeFill="accent6" w:themeFillTint="33"/>
          </w:tcPr>
          <w:p w14:paraId="65E236DB" w14:textId="77777777" w:rsidR="004B0660" w:rsidRPr="00E537F3" w:rsidRDefault="004B0660">
            <w:pPr>
              <w:tabs>
                <w:tab w:val="clear" w:pos="0"/>
              </w:tabs>
              <w:spacing w:after="0"/>
              <w:jc w:val="center"/>
              <w:textAlignment w:val="baseline"/>
              <w:rPr>
                <w:b/>
                <w:bCs/>
                <w:color w:val="000000"/>
                <w:lang w:val="en-US"/>
              </w:rPr>
            </w:pPr>
            <w:r>
              <w:rPr>
                <w:b/>
                <w:bCs/>
                <w:color w:val="000000"/>
                <w:lang w:val="en-US"/>
              </w:rPr>
              <w:t>2030-2032</w:t>
            </w:r>
          </w:p>
        </w:tc>
        <w:tc>
          <w:tcPr>
            <w:tcW w:w="1427" w:type="pct"/>
            <w:shd w:val="clear" w:color="auto" w:fill="FFFFFF" w:themeFill="background1"/>
            <w:vAlign w:val="bottom"/>
          </w:tcPr>
          <w:p w14:paraId="325F5922" w14:textId="77777777" w:rsidR="004B0660" w:rsidRPr="00A11B07" w:rsidRDefault="004B0660">
            <w:pPr>
              <w:tabs>
                <w:tab w:val="clear" w:pos="0"/>
              </w:tabs>
              <w:spacing w:after="0"/>
              <w:textAlignment w:val="baseline"/>
              <w:rPr>
                <w:color w:val="000000"/>
                <w:lang w:val="en-US"/>
              </w:rPr>
            </w:pPr>
            <w:r w:rsidRPr="00A11B07">
              <w:rPr>
                <w:color w:val="000000"/>
                <w:lang w:val="en-US"/>
              </w:rPr>
              <w:t>HFC Consumption sector with scenarios and resource allocations </w:t>
            </w:r>
          </w:p>
        </w:tc>
        <w:tc>
          <w:tcPr>
            <w:tcW w:w="1432" w:type="pct"/>
            <w:shd w:val="clear" w:color="auto" w:fill="FFFFFF" w:themeFill="background1"/>
          </w:tcPr>
          <w:p w14:paraId="0EEB4492" w14:textId="77777777" w:rsidR="004B0660" w:rsidRPr="00A11B07" w:rsidRDefault="004B0660">
            <w:pPr>
              <w:tabs>
                <w:tab w:val="clear" w:pos="0"/>
              </w:tabs>
              <w:spacing w:after="0"/>
              <w:jc w:val="center"/>
              <w:textAlignment w:val="baseline"/>
              <w:rPr>
                <w:color w:val="000000"/>
                <w:lang w:val="en-US"/>
              </w:rPr>
            </w:pPr>
            <w:r w:rsidRPr="00A11B07">
              <w:t>876 – 907</w:t>
            </w:r>
          </w:p>
        </w:tc>
        <w:tc>
          <w:tcPr>
            <w:tcW w:w="1398" w:type="pct"/>
            <w:shd w:val="clear" w:color="auto" w:fill="FFFFFF" w:themeFill="background1"/>
          </w:tcPr>
          <w:p w14:paraId="72B258FF" w14:textId="77777777" w:rsidR="004B0660" w:rsidRPr="00A11B07" w:rsidRDefault="004B0660">
            <w:pPr>
              <w:tabs>
                <w:tab w:val="clear" w:pos="0"/>
              </w:tabs>
              <w:spacing w:after="0"/>
              <w:jc w:val="center"/>
              <w:textAlignment w:val="baseline"/>
              <w:rPr>
                <w:color w:val="000000"/>
                <w:lang w:val="en-US"/>
              </w:rPr>
            </w:pPr>
            <w:r w:rsidRPr="00A11B07">
              <w:t>1,049 – 1,084</w:t>
            </w:r>
          </w:p>
        </w:tc>
      </w:tr>
      <w:tr w:rsidR="004B0660" w:rsidRPr="00E537F3" w14:paraId="465F01A3" w14:textId="77777777" w:rsidTr="4BCEE662">
        <w:trPr>
          <w:trHeight w:val="285"/>
        </w:trPr>
        <w:tc>
          <w:tcPr>
            <w:tcW w:w="743" w:type="pct"/>
            <w:vMerge/>
          </w:tcPr>
          <w:p w14:paraId="7657F09B" w14:textId="77777777" w:rsidR="004B0660" w:rsidRDefault="004B0660">
            <w:pPr>
              <w:tabs>
                <w:tab w:val="clear" w:pos="0"/>
              </w:tabs>
              <w:spacing w:after="0"/>
              <w:jc w:val="center"/>
              <w:textAlignment w:val="baseline"/>
              <w:rPr>
                <w:b/>
                <w:bCs/>
                <w:color w:val="000000"/>
                <w:lang w:val="en-US"/>
              </w:rPr>
            </w:pPr>
          </w:p>
        </w:tc>
        <w:tc>
          <w:tcPr>
            <w:tcW w:w="1427" w:type="pct"/>
            <w:shd w:val="clear" w:color="auto" w:fill="FFFFFF" w:themeFill="background1"/>
            <w:vAlign w:val="bottom"/>
          </w:tcPr>
          <w:p w14:paraId="26B67288" w14:textId="77777777" w:rsidR="004B0660" w:rsidRPr="00A11B07" w:rsidRDefault="004B0660">
            <w:pPr>
              <w:tabs>
                <w:tab w:val="clear" w:pos="0"/>
              </w:tabs>
              <w:spacing w:after="0"/>
              <w:textAlignment w:val="baseline"/>
              <w:rPr>
                <w:color w:val="000000"/>
                <w:lang w:val="en-US"/>
              </w:rPr>
            </w:pPr>
            <w:r w:rsidRPr="00A11B07">
              <w:rPr>
                <w:color w:val="000000"/>
                <w:lang w:val="en-US"/>
              </w:rPr>
              <w:t>HFC Production sector and HFC-23 mitigation</w:t>
            </w:r>
          </w:p>
        </w:tc>
        <w:tc>
          <w:tcPr>
            <w:tcW w:w="1432" w:type="pct"/>
            <w:shd w:val="clear" w:color="auto" w:fill="FFFFFF" w:themeFill="background1"/>
            <w:vAlign w:val="center"/>
          </w:tcPr>
          <w:p w14:paraId="40548793" w14:textId="77777777" w:rsidR="004B0660" w:rsidRPr="00A11B07" w:rsidRDefault="004B0660">
            <w:pPr>
              <w:tabs>
                <w:tab w:val="clear" w:pos="0"/>
              </w:tabs>
              <w:spacing w:after="0"/>
              <w:jc w:val="center"/>
              <w:textAlignment w:val="baseline"/>
              <w:rPr>
                <w:color w:val="000000"/>
                <w:lang w:val="en-US"/>
              </w:rPr>
            </w:pPr>
            <w:r w:rsidRPr="00A11B07">
              <w:rPr>
                <w:color w:val="000000"/>
                <w:lang w:val="en-US"/>
              </w:rPr>
              <w:t>0.51</w:t>
            </w:r>
          </w:p>
        </w:tc>
        <w:tc>
          <w:tcPr>
            <w:tcW w:w="1398" w:type="pct"/>
            <w:shd w:val="clear" w:color="auto" w:fill="FFFFFF" w:themeFill="background1"/>
            <w:vAlign w:val="center"/>
          </w:tcPr>
          <w:p w14:paraId="05E1E6C7" w14:textId="77777777" w:rsidR="004B0660" w:rsidRPr="00A11B07" w:rsidRDefault="004B0660">
            <w:pPr>
              <w:tabs>
                <w:tab w:val="clear" w:pos="0"/>
              </w:tabs>
              <w:spacing w:after="0"/>
              <w:jc w:val="center"/>
              <w:textAlignment w:val="baseline"/>
              <w:rPr>
                <w:color w:val="000000"/>
                <w:lang w:val="en-US"/>
              </w:rPr>
            </w:pPr>
            <w:r w:rsidRPr="00A11B07">
              <w:rPr>
                <w:color w:val="000000"/>
                <w:lang w:val="en-US"/>
              </w:rPr>
              <w:t>0.51</w:t>
            </w:r>
          </w:p>
        </w:tc>
      </w:tr>
      <w:tr w:rsidR="004B0660" w:rsidRPr="00E537F3" w14:paraId="5A20AF06" w14:textId="77777777" w:rsidTr="4BCEE662">
        <w:trPr>
          <w:trHeight w:val="285"/>
        </w:trPr>
        <w:tc>
          <w:tcPr>
            <w:tcW w:w="743" w:type="pct"/>
            <w:vMerge/>
          </w:tcPr>
          <w:p w14:paraId="45CE9D89" w14:textId="77777777" w:rsidR="004B0660" w:rsidRDefault="004B0660">
            <w:pPr>
              <w:tabs>
                <w:tab w:val="clear" w:pos="0"/>
              </w:tabs>
              <w:spacing w:after="0"/>
              <w:jc w:val="center"/>
              <w:textAlignment w:val="baseline"/>
              <w:rPr>
                <w:b/>
                <w:bCs/>
                <w:color w:val="000000"/>
                <w:lang w:val="en-US"/>
              </w:rPr>
            </w:pPr>
          </w:p>
        </w:tc>
        <w:tc>
          <w:tcPr>
            <w:tcW w:w="1427" w:type="pct"/>
            <w:shd w:val="clear" w:color="auto" w:fill="FFFF00"/>
            <w:vAlign w:val="bottom"/>
          </w:tcPr>
          <w:p w14:paraId="227E6A03" w14:textId="44CDC3D4" w:rsidR="004B0660" w:rsidRDefault="4BCEE662">
            <w:pPr>
              <w:tabs>
                <w:tab w:val="clear" w:pos="0"/>
              </w:tabs>
              <w:spacing w:after="0"/>
              <w:textAlignment w:val="baseline"/>
              <w:rPr>
                <w:b/>
                <w:bCs/>
                <w:color w:val="000000"/>
                <w:lang w:val="en-US"/>
              </w:rPr>
            </w:pPr>
            <w:r w:rsidRPr="4BCEE662">
              <w:rPr>
                <w:b/>
                <w:bCs/>
                <w:lang w:val="en-US"/>
              </w:rPr>
              <w:t>TOTAL HFC RANGE</w:t>
            </w:r>
          </w:p>
        </w:tc>
        <w:tc>
          <w:tcPr>
            <w:tcW w:w="1432" w:type="pct"/>
            <w:shd w:val="clear" w:color="auto" w:fill="FFFF00"/>
            <w:vAlign w:val="center"/>
          </w:tcPr>
          <w:p w14:paraId="66B5B560" w14:textId="77777777" w:rsidR="004B0660" w:rsidRDefault="004B0660">
            <w:pPr>
              <w:tabs>
                <w:tab w:val="clear" w:pos="0"/>
              </w:tabs>
              <w:spacing w:after="0"/>
              <w:jc w:val="center"/>
              <w:textAlignment w:val="baseline"/>
              <w:rPr>
                <w:b/>
                <w:bCs/>
                <w:color w:val="000000"/>
                <w:lang w:val="en-US"/>
              </w:rPr>
            </w:pPr>
            <w:r>
              <w:rPr>
                <w:b/>
                <w:bCs/>
                <w:color w:val="000000"/>
                <w:lang w:val="en-US"/>
              </w:rPr>
              <w:t>877 – 908</w:t>
            </w:r>
          </w:p>
        </w:tc>
        <w:tc>
          <w:tcPr>
            <w:tcW w:w="1398" w:type="pct"/>
            <w:shd w:val="clear" w:color="auto" w:fill="FFFF00"/>
            <w:vAlign w:val="center"/>
          </w:tcPr>
          <w:p w14:paraId="63FC1E3B" w14:textId="77777777" w:rsidR="004B0660" w:rsidRDefault="004B0660">
            <w:pPr>
              <w:tabs>
                <w:tab w:val="clear" w:pos="0"/>
              </w:tabs>
              <w:spacing w:after="0"/>
              <w:jc w:val="center"/>
              <w:textAlignment w:val="baseline"/>
              <w:rPr>
                <w:b/>
                <w:bCs/>
                <w:color w:val="000000"/>
                <w:lang w:val="en-US"/>
              </w:rPr>
            </w:pPr>
            <w:r>
              <w:rPr>
                <w:b/>
                <w:bCs/>
                <w:color w:val="000000"/>
                <w:lang w:val="en-US"/>
              </w:rPr>
              <w:t>1,050 – 1,085</w:t>
            </w:r>
          </w:p>
        </w:tc>
      </w:tr>
      <w:tr w:rsidR="004B0660" w:rsidRPr="00E537F3" w14:paraId="7AD72205" w14:textId="77777777" w:rsidTr="4BCEE662">
        <w:trPr>
          <w:trHeight w:val="285"/>
        </w:trPr>
        <w:tc>
          <w:tcPr>
            <w:tcW w:w="743" w:type="pct"/>
            <w:vMerge w:val="restart"/>
            <w:shd w:val="clear" w:color="auto" w:fill="E2EFD9" w:themeFill="accent6" w:themeFillTint="33"/>
          </w:tcPr>
          <w:p w14:paraId="32E7611B" w14:textId="77777777" w:rsidR="004B0660" w:rsidRDefault="004B0660">
            <w:pPr>
              <w:tabs>
                <w:tab w:val="clear" w:pos="0"/>
              </w:tabs>
              <w:spacing w:after="0"/>
              <w:jc w:val="center"/>
              <w:textAlignment w:val="baseline"/>
              <w:rPr>
                <w:b/>
                <w:bCs/>
                <w:color w:val="000000"/>
                <w:lang w:val="en-US"/>
              </w:rPr>
            </w:pPr>
            <w:r>
              <w:rPr>
                <w:b/>
                <w:bCs/>
                <w:color w:val="000000"/>
                <w:lang w:val="en-US"/>
              </w:rPr>
              <w:t>2033-2035</w:t>
            </w:r>
          </w:p>
        </w:tc>
        <w:tc>
          <w:tcPr>
            <w:tcW w:w="1427" w:type="pct"/>
            <w:shd w:val="clear" w:color="auto" w:fill="FFFFFF" w:themeFill="background1"/>
            <w:vAlign w:val="bottom"/>
          </w:tcPr>
          <w:p w14:paraId="7185202C" w14:textId="77777777" w:rsidR="004B0660" w:rsidRPr="00A11B07" w:rsidRDefault="004B0660">
            <w:pPr>
              <w:tabs>
                <w:tab w:val="clear" w:pos="0"/>
              </w:tabs>
              <w:spacing w:after="0"/>
              <w:textAlignment w:val="baseline"/>
              <w:rPr>
                <w:color w:val="000000"/>
                <w:lang w:val="en-US"/>
              </w:rPr>
            </w:pPr>
            <w:r w:rsidRPr="00A11B07">
              <w:rPr>
                <w:color w:val="000000"/>
                <w:lang w:val="en-US"/>
              </w:rPr>
              <w:t>HFC Consumption sector with scenarios and resource allocations</w:t>
            </w:r>
          </w:p>
        </w:tc>
        <w:tc>
          <w:tcPr>
            <w:tcW w:w="1432" w:type="pct"/>
            <w:shd w:val="clear" w:color="auto" w:fill="FFFFFF" w:themeFill="background1"/>
            <w:vAlign w:val="center"/>
          </w:tcPr>
          <w:p w14:paraId="1B30303F" w14:textId="3CC2119F" w:rsidR="004B0660" w:rsidRPr="00A11B07" w:rsidRDefault="004B0660">
            <w:pPr>
              <w:tabs>
                <w:tab w:val="clear" w:pos="0"/>
              </w:tabs>
              <w:spacing w:after="0"/>
              <w:jc w:val="center"/>
              <w:textAlignment w:val="baseline"/>
              <w:rPr>
                <w:color w:val="000000"/>
                <w:lang w:val="en-US"/>
              </w:rPr>
            </w:pPr>
            <w:r w:rsidRPr="00A11B07">
              <w:t>48</w:t>
            </w:r>
            <w:r w:rsidR="004F504F">
              <w:t>8</w:t>
            </w:r>
            <w:r w:rsidRPr="00A11B07">
              <w:t xml:space="preserve"> – 503</w:t>
            </w:r>
          </w:p>
        </w:tc>
        <w:tc>
          <w:tcPr>
            <w:tcW w:w="1398" w:type="pct"/>
            <w:shd w:val="clear" w:color="auto" w:fill="FFFFFF" w:themeFill="background1"/>
            <w:vAlign w:val="center"/>
          </w:tcPr>
          <w:p w14:paraId="22B7A8E5" w14:textId="77777777" w:rsidR="004B0660" w:rsidRPr="00A11B07" w:rsidRDefault="004B0660">
            <w:pPr>
              <w:tabs>
                <w:tab w:val="clear" w:pos="0"/>
              </w:tabs>
              <w:spacing w:after="0"/>
              <w:jc w:val="center"/>
              <w:textAlignment w:val="baseline"/>
              <w:rPr>
                <w:color w:val="000000"/>
                <w:lang w:val="en-US"/>
              </w:rPr>
            </w:pPr>
            <w:r w:rsidRPr="00A11B07">
              <w:t>583 – 600</w:t>
            </w:r>
          </w:p>
        </w:tc>
      </w:tr>
      <w:tr w:rsidR="004B0660" w:rsidRPr="00E537F3" w14:paraId="281F0FDA" w14:textId="77777777" w:rsidTr="4BCEE662">
        <w:trPr>
          <w:trHeight w:val="285"/>
        </w:trPr>
        <w:tc>
          <w:tcPr>
            <w:tcW w:w="743" w:type="pct"/>
            <w:vMerge/>
          </w:tcPr>
          <w:p w14:paraId="2A4108F0" w14:textId="77777777" w:rsidR="004B0660" w:rsidRDefault="004B0660">
            <w:pPr>
              <w:tabs>
                <w:tab w:val="clear" w:pos="0"/>
              </w:tabs>
              <w:spacing w:after="0"/>
              <w:jc w:val="center"/>
              <w:textAlignment w:val="baseline"/>
              <w:rPr>
                <w:b/>
                <w:bCs/>
                <w:color w:val="000000"/>
                <w:lang w:val="en-US"/>
              </w:rPr>
            </w:pPr>
          </w:p>
        </w:tc>
        <w:tc>
          <w:tcPr>
            <w:tcW w:w="1427" w:type="pct"/>
            <w:shd w:val="clear" w:color="auto" w:fill="FFFFFF" w:themeFill="background1"/>
            <w:vAlign w:val="bottom"/>
          </w:tcPr>
          <w:p w14:paraId="1C00A10D" w14:textId="77777777" w:rsidR="004B0660" w:rsidRPr="00A11B07" w:rsidRDefault="004B0660">
            <w:pPr>
              <w:tabs>
                <w:tab w:val="clear" w:pos="0"/>
              </w:tabs>
              <w:spacing w:after="0"/>
              <w:textAlignment w:val="baseline"/>
              <w:rPr>
                <w:color w:val="000000"/>
                <w:lang w:val="en-US"/>
              </w:rPr>
            </w:pPr>
            <w:r w:rsidRPr="00A11B07">
              <w:rPr>
                <w:color w:val="000000"/>
                <w:lang w:val="en-US"/>
              </w:rPr>
              <w:t>HFC Production sector and HFC-23 mitigation</w:t>
            </w:r>
          </w:p>
        </w:tc>
        <w:tc>
          <w:tcPr>
            <w:tcW w:w="1432" w:type="pct"/>
            <w:shd w:val="clear" w:color="auto" w:fill="FFFFFF" w:themeFill="background1"/>
            <w:vAlign w:val="center"/>
          </w:tcPr>
          <w:p w14:paraId="5F2F3C99" w14:textId="77777777" w:rsidR="004B0660" w:rsidRPr="00A11B07" w:rsidRDefault="004B0660">
            <w:pPr>
              <w:tabs>
                <w:tab w:val="clear" w:pos="0"/>
              </w:tabs>
              <w:spacing w:after="0"/>
              <w:jc w:val="center"/>
              <w:textAlignment w:val="baseline"/>
              <w:rPr>
                <w:color w:val="000000"/>
                <w:lang w:val="en-US"/>
              </w:rPr>
            </w:pPr>
            <w:r w:rsidRPr="00A11B07">
              <w:rPr>
                <w:color w:val="000000"/>
                <w:lang w:val="en-US"/>
              </w:rPr>
              <w:t>-</w:t>
            </w:r>
          </w:p>
        </w:tc>
        <w:tc>
          <w:tcPr>
            <w:tcW w:w="1398" w:type="pct"/>
            <w:shd w:val="clear" w:color="auto" w:fill="FFFFFF" w:themeFill="background1"/>
            <w:vAlign w:val="center"/>
          </w:tcPr>
          <w:p w14:paraId="3234A15C" w14:textId="77777777" w:rsidR="004B0660" w:rsidRPr="00A11B07" w:rsidRDefault="004B0660">
            <w:pPr>
              <w:tabs>
                <w:tab w:val="clear" w:pos="0"/>
              </w:tabs>
              <w:spacing w:after="0"/>
              <w:jc w:val="center"/>
              <w:textAlignment w:val="baseline"/>
              <w:rPr>
                <w:color w:val="000000"/>
                <w:lang w:val="en-US"/>
              </w:rPr>
            </w:pPr>
            <w:r w:rsidRPr="00A11B07">
              <w:rPr>
                <w:color w:val="000000"/>
                <w:lang w:val="en-US"/>
              </w:rPr>
              <w:t>-</w:t>
            </w:r>
          </w:p>
        </w:tc>
      </w:tr>
      <w:tr w:rsidR="004B0660" w:rsidRPr="00E537F3" w14:paraId="5EECCA85" w14:textId="77777777" w:rsidTr="4BCEE662">
        <w:trPr>
          <w:trHeight w:val="285"/>
        </w:trPr>
        <w:tc>
          <w:tcPr>
            <w:tcW w:w="743" w:type="pct"/>
            <w:vMerge/>
          </w:tcPr>
          <w:p w14:paraId="4AAFF855" w14:textId="77777777" w:rsidR="004B0660" w:rsidRDefault="004B0660">
            <w:pPr>
              <w:tabs>
                <w:tab w:val="clear" w:pos="0"/>
              </w:tabs>
              <w:spacing w:after="0"/>
              <w:jc w:val="center"/>
              <w:textAlignment w:val="baseline"/>
              <w:rPr>
                <w:b/>
                <w:bCs/>
                <w:color w:val="000000"/>
                <w:lang w:val="en-US"/>
              </w:rPr>
            </w:pPr>
          </w:p>
        </w:tc>
        <w:tc>
          <w:tcPr>
            <w:tcW w:w="1427" w:type="pct"/>
            <w:shd w:val="clear" w:color="auto" w:fill="FFFF00"/>
            <w:vAlign w:val="bottom"/>
          </w:tcPr>
          <w:p w14:paraId="5BD6C26C" w14:textId="5BE0E2CF" w:rsidR="004B0660" w:rsidRDefault="4BCEE662">
            <w:pPr>
              <w:tabs>
                <w:tab w:val="clear" w:pos="0"/>
              </w:tabs>
              <w:spacing w:after="0"/>
              <w:textAlignment w:val="baseline"/>
              <w:rPr>
                <w:b/>
                <w:bCs/>
                <w:color w:val="000000"/>
                <w:lang w:val="en-US"/>
              </w:rPr>
            </w:pPr>
            <w:r w:rsidRPr="4BCEE662">
              <w:rPr>
                <w:b/>
                <w:bCs/>
                <w:lang w:val="en-US"/>
              </w:rPr>
              <w:t>TOTAL HFC RANGE</w:t>
            </w:r>
          </w:p>
        </w:tc>
        <w:tc>
          <w:tcPr>
            <w:tcW w:w="1432" w:type="pct"/>
            <w:shd w:val="clear" w:color="auto" w:fill="FFFF00"/>
            <w:vAlign w:val="center"/>
          </w:tcPr>
          <w:p w14:paraId="58ED9880" w14:textId="104557D3" w:rsidR="004B0660" w:rsidRDefault="004B0660">
            <w:pPr>
              <w:tabs>
                <w:tab w:val="clear" w:pos="0"/>
              </w:tabs>
              <w:spacing w:after="0"/>
              <w:jc w:val="center"/>
              <w:textAlignment w:val="baseline"/>
              <w:rPr>
                <w:b/>
                <w:bCs/>
                <w:color w:val="000000"/>
                <w:lang w:val="en-US"/>
              </w:rPr>
            </w:pPr>
            <w:r w:rsidRPr="00C64C29">
              <w:rPr>
                <w:b/>
                <w:bCs/>
                <w:color w:val="000000"/>
                <w:lang w:val="en-US"/>
              </w:rPr>
              <w:t>48</w:t>
            </w:r>
            <w:r w:rsidR="007B576D">
              <w:rPr>
                <w:b/>
                <w:bCs/>
                <w:color w:val="000000"/>
                <w:lang w:val="en-US"/>
              </w:rPr>
              <w:t>8</w:t>
            </w:r>
            <w:r w:rsidRPr="00C64C29">
              <w:rPr>
                <w:b/>
                <w:bCs/>
                <w:color w:val="000000"/>
                <w:lang w:val="en-US"/>
              </w:rPr>
              <w:t xml:space="preserve"> – 503</w:t>
            </w:r>
          </w:p>
        </w:tc>
        <w:tc>
          <w:tcPr>
            <w:tcW w:w="1398" w:type="pct"/>
            <w:shd w:val="clear" w:color="auto" w:fill="FFFF00"/>
            <w:vAlign w:val="center"/>
          </w:tcPr>
          <w:p w14:paraId="2E005C97" w14:textId="77777777" w:rsidR="004B0660" w:rsidRDefault="004B0660">
            <w:pPr>
              <w:tabs>
                <w:tab w:val="clear" w:pos="0"/>
              </w:tabs>
              <w:spacing w:after="0"/>
              <w:jc w:val="center"/>
              <w:textAlignment w:val="baseline"/>
              <w:rPr>
                <w:b/>
                <w:bCs/>
                <w:color w:val="000000"/>
                <w:lang w:val="en-US"/>
              </w:rPr>
            </w:pPr>
            <w:r w:rsidRPr="00C64C29">
              <w:rPr>
                <w:b/>
                <w:bCs/>
                <w:color w:val="000000"/>
              </w:rPr>
              <w:t>583 – 600</w:t>
            </w:r>
          </w:p>
        </w:tc>
      </w:tr>
    </w:tbl>
    <w:p w14:paraId="3D223CF7" w14:textId="77777777" w:rsidR="004B0660" w:rsidRDefault="004B0660" w:rsidP="004B0660">
      <w:pPr>
        <w:keepNext/>
        <w:keepLines/>
      </w:pPr>
    </w:p>
    <w:p w14:paraId="3D9104F5" w14:textId="263DB46C" w:rsidR="00044EE9" w:rsidRDefault="00044EE9" w:rsidP="002135B0">
      <w:pPr>
        <w:tabs>
          <w:tab w:val="left" w:pos="1276"/>
        </w:tabs>
        <w:spacing w:after="0"/>
        <w:ind w:left="1412" w:hanging="1412"/>
        <w:rPr>
          <w:b/>
          <w:bCs/>
        </w:rPr>
      </w:pPr>
      <w:r w:rsidRPr="00E42C5E">
        <w:rPr>
          <w:rFonts w:eastAsiaTheme="minorHAnsi"/>
          <w:b/>
          <w:bCs/>
        </w:rPr>
        <w:t xml:space="preserve">Table </w:t>
      </w:r>
      <w:r w:rsidR="00BF3F8C">
        <w:rPr>
          <w:rFonts w:eastAsiaTheme="minorHAnsi"/>
          <w:b/>
          <w:bCs/>
        </w:rPr>
        <w:t>11</w:t>
      </w:r>
      <w:r>
        <w:rPr>
          <w:rFonts w:eastAsiaTheme="minorHAnsi"/>
          <w:b/>
          <w:bCs/>
        </w:rPr>
        <w:t>.</w:t>
      </w:r>
      <w:r w:rsidR="00BF3F8C">
        <w:rPr>
          <w:rFonts w:eastAsiaTheme="minorHAnsi"/>
          <w:b/>
          <w:bCs/>
        </w:rPr>
        <w:t>4</w:t>
      </w:r>
      <w:r w:rsidR="00031E83">
        <w:rPr>
          <w:rFonts w:eastAsiaTheme="minorHAnsi"/>
          <w:b/>
          <w:bCs/>
        </w:rPr>
        <w:t>:</w:t>
      </w:r>
      <w:r w:rsidRPr="00E42C5E">
        <w:rPr>
          <w:rFonts w:eastAsiaTheme="minorHAnsi"/>
          <w:b/>
          <w:bCs/>
        </w:rPr>
        <w:tab/>
      </w:r>
      <w:r w:rsidR="00004FA2">
        <w:rPr>
          <w:rFonts w:eastAsiaTheme="minorHAnsi"/>
          <w:b/>
          <w:bCs/>
        </w:rPr>
        <w:t xml:space="preserve">Funding requirement for IS and SA in 2027-2029 and </w:t>
      </w:r>
      <w:r w:rsidR="000C0BEE">
        <w:rPr>
          <w:rFonts w:eastAsiaTheme="minorHAnsi"/>
          <w:b/>
          <w:bCs/>
        </w:rPr>
        <w:t>f</w:t>
      </w:r>
      <w:r w:rsidR="00004FA2">
        <w:rPr>
          <w:rFonts w:eastAsiaTheme="minorHAnsi"/>
          <w:b/>
          <w:bCs/>
        </w:rPr>
        <w:t xml:space="preserve">uture </w:t>
      </w:r>
      <w:r w:rsidR="000C0BEE">
        <w:rPr>
          <w:rFonts w:eastAsiaTheme="minorHAnsi"/>
          <w:b/>
          <w:bCs/>
        </w:rPr>
        <w:t>t</w:t>
      </w:r>
      <w:r w:rsidR="00004FA2">
        <w:rPr>
          <w:rFonts w:eastAsiaTheme="minorHAnsi"/>
          <w:b/>
          <w:bCs/>
        </w:rPr>
        <w:t>riennia</w:t>
      </w:r>
      <w:r w:rsidR="00004FA2" w:rsidRPr="00B636CB">
        <w:rPr>
          <w:b/>
          <w:bCs/>
        </w:rPr>
        <w:t xml:space="preserve"> (US$)</w:t>
      </w:r>
    </w:p>
    <w:p w14:paraId="60F66723" w14:textId="77777777" w:rsidR="00156D8C" w:rsidRPr="00156D8C" w:rsidRDefault="00156D8C" w:rsidP="00156D8C">
      <w:pPr>
        <w:tabs>
          <w:tab w:val="left" w:pos="1418"/>
        </w:tabs>
        <w:spacing w:after="0"/>
        <w:ind w:left="1411" w:hanging="1411"/>
        <w:rPr>
          <w:b/>
          <w:bCs/>
        </w:rPr>
      </w:pPr>
    </w:p>
    <w:tbl>
      <w:tblPr>
        <w:tblStyle w:val="GridTable5Dark-Accent11"/>
        <w:tblW w:w="90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70"/>
        <w:gridCol w:w="1485"/>
        <w:gridCol w:w="1529"/>
        <w:gridCol w:w="1880"/>
      </w:tblGrid>
      <w:tr w:rsidR="00004FA2" w:rsidRPr="00044EE9" w14:paraId="3EC6052F" w14:textId="77777777" w:rsidTr="002135B0">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170" w:type="dxa"/>
            <w:tcBorders>
              <w:top w:val="none" w:sz="0" w:space="0" w:color="auto"/>
              <w:left w:val="none" w:sz="0" w:space="0" w:color="auto"/>
              <w:right w:val="none" w:sz="0" w:space="0" w:color="auto"/>
            </w:tcBorders>
            <w:shd w:val="clear" w:color="auto" w:fill="D9E2F3" w:themeFill="accent1" w:themeFillTint="33"/>
            <w:noWrap/>
            <w:hideMark/>
          </w:tcPr>
          <w:p w14:paraId="7F77F39B" w14:textId="77777777" w:rsidR="00004FA2" w:rsidRPr="00044EE9" w:rsidRDefault="00004FA2">
            <w:pPr>
              <w:spacing w:before="40" w:after="40"/>
              <w:rPr>
                <w:b w:val="0"/>
                <w:color w:val="000000"/>
                <w:lang w:val="en-US"/>
              </w:rPr>
            </w:pPr>
          </w:p>
        </w:tc>
        <w:tc>
          <w:tcPr>
            <w:tcW w:w="1485" w:type="dxa"/>
            <w:tcBorders>
              <w:top w:val="none" w:sz="0" w:space="0" w:color="auto"/>
              <w:left w:val="none" w:sz="0" w:space="0" w:color="auto"/>
              <w:right w:val="none" w:sz="0" w:space="0" w:color="auto"/>
            </w:tcBorders>
            <w:shd w:val="clear" w:color="auto" w:fill="D9E2F3" w:themeFill="accent1" w:themeFillTint="33"/>
            <w:vAlign w:val="center"/>
          </w:tcPr>
          <w:p w14:paraId="0A7E2462" w14:textId="3C05BF41" w:rsidR="00004FA2" w:rsidRPr="00044EE9" w:rsidRDefault="00004FA2" w:rsidP="00031E83">
            <w:pPr>
              <w:spacing w:before="40" w:after="4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2027-2029</w:t>
            </w:r>
          </w:p>
        </w:tc>
        <w:tc>
          <w:tcPr>
            <w:tcW w:w="1529" w:type="dxa"/>
            <w:tcBorders>
              <w:top w:val="none" w:sz="0" w:space="0" w:color="auto"/>
              <w:left w:val="none" w:sz="0" w:space="0" w:color="auto"/>
              <w:right w:val="none" w:sz="0" w:space="0" w:color="auto"/>
            </w:tcBorders>
            <w:shd w:val="clear" w:color="auto" w:fill="D9E2F3" w:themeFill="accent1" w:themeFillTint="33"/>
            <w:vAlign w:val="center"/>
          </w:tcPr>
          <w:p w14:paraId="37C981E3" w14:textId="3E1A1AAD" w:rsidR="00004FA2" w:rsidRPr="00044EE9" w:rsidRDefault="00004FA2" w:rsidP="00031E83">
            <w:pPr>
              <w:spacing w:before="40" w:after="40"/>
              <w:jc w:val="center"/>
              <w:cnfStyle w:val="100000000000" w:firstRow="1" w:lastRow="0" w:firstColumn="0" w:lastColumn="0" w:oddVBand="0" w:evenVBand="0" w:oddHBand="0" w:evenHBand="0" w:firstRowFirstColumn="0" w:firstRowLastColumn="0" w:lastRowFirstColumn="0" w:lastRowLastColumn="0"/>
              <w:rPr>
                <w:b w:val="0"/>
                <w:color w:val="000000"/>
                <w:lang w:val="en-US"/>
              </w:rPr>
            </w:pPr>
            <w:r w:rsidRPr="00044EE9">
              <w:rPr>
                <w:lang w:val="en-US"/>
              </w:rPr>
              <w:t>2030-2032</w:t>
            </w:r>
          </w:p>
        </w:tc>
        <w:tc>
          <w:tcPr>
            <w:tcW w:w="1880" w:type="dxa"/>
            <w:tcBorders>
              <w:top w:val="none" w:sz="0" w:space="0" w:color="auto"/>
              <w:left w:val="none" w:sz="0" w:space="0" w:color="auto"/>
              <w:right w:val="none" w:sz="0" w:space="0" w:color="auto"/>
            </w:tcBorders>
            <w:shd w:val="clear" w:color="auto" w:fill="D9E2F3" w:themeFill="accent1" w:themeFillTint="33"/>
            <w:vAlign w:val="center"/>
          </w:tcPr>
          <w:p w14:paraId="4888AF9D" w14:textId="77777777" w:rsidR="00004FA2" w:rsidRPr="00044EE9" w:rsidRDefault="00004FA2" w:rsidP="00031E83">
            <w:pPr>
              <w:spacing w:before="40" w:after="40"/>
              <w:jc w:val="center"/>
              <w:cnfStyle w:val="100000000000" w:firstRow="1" w:lastRow="0" w:firstColumn="0" w:lastColumn="0" w:oddVBand="0" w:evenVBand="0" w:oddHBand="0" w:evenHBand="0" w:firstRowFirstColumn="0" w:firstRowLastColumn="0" w:lastRowFirstColumn="0" w:lastRowLastColumn="0"/>
              <w:rPr>
                <w:lang w:val="en-US"/>
              </w:rPr>
            </w:pPr>
            <w:r w:rsidRPr="00044EE9">
              <w:rPr>
                <w:lang w:val="en-US"/>
              </w:rPr>
              <w:t>2033-2035</w:t>
            </w:r>
          </w:p>
        </w:tc>
      </w:tr>
      <w:tr w:rsidR="00004FA2" w:rsidRPr="00044EE9" w14:paraId="6C31DECF" w14:textId="77777777" w:rsidTr="002135B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170" w:type="dxa"/>
            <w:tcBorders>
              <w:left w:val="none" w:sz="0" w:space="0" w:color="auto"/>
            </w:tcBorders>
            <w:shd w:val="clear" w:color="auto" w:fill="E2EFD9" w:themeFill="accent6" w:themeFillTint="33"/>
            <w:noWrap/>
            <w:hideMark/>
          </w:tcPr>
          <w:p w14:paraId="4DC1AC2C" w14:textId="77777777" w:rsidR="00004FA2" w:rsidRPr="00044EE9" w:rsidRDefault="00004FA2" w:rsidP="00004FA2">
            <w:pPr>
              <w:spacing w:before="40" w:after="40"/>
              <w:rPr>
                <w:b w:val="0"/>
                <w:bCs w:val="0"/>
                <w:color w:val="000000"/>
                <w:lang w:val="en-US"/>
              </w:rPr>
            </w:pPr>
            <w:r w:rsidRPr="00044EE9">
              <w:rPr>
                <w:b w:val="0"/>
                <w:bCs w:val="0"/>
                <w:lang w:val="en-US"/>
              </w:rPr>
              <w:t>Institutional Strengthening</w:t>
            </w:r>
          </w:p>
        </w:tc>
        <w:tc>
          <w:tcPr>
            <w:tcW w:w="1485" w:type="dxa"/>
            <w:shd w:val="clear" w:color="auto" w:fill="FFFFFF" w:themeFill="background1"/>
            <w:vAlign w:val="center"/>
          </w:tcPr>
          <w:p w14:paraId="63EB6963" w14:textId="7B7FBD2D" w:rsidR="00004FA2"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44,857,086</w:t>
            </w:r>
          </w:p>
        </w:tc>
        <w:tc>
          <w:tcPr>
            <w:tcW w:w="1529" w:type="dxa"/>
            <w:shd w:val="clear" w:color="auto" w:fill="FFFFFF" w:themeFill="background1"/>
            <w:noWrap/>
            <w:vAlign w:val="center"/>
          </w:tcPr>
          <w:p w14:paraId="19F6F47F" w14:textId="2234F017" w:rsidR="00004FA2"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rPr>
                <w:color w:val="000000"/>
                <w:lang w:val="en-US"/>
              </w:rPr>
            </w:pPr>
            <w:r>
              <w:t>44,857,086</w:t>
            </w:r>
          </w:p>
        </w:tc>
        <w:tc>
          <w:tcPr>
            <w:tcW w:w="1880" w:type="dxa"/>
            <w:shd w:val="clear" w:color="auto" w:fill="FFFFFF" w:themeFill="background1"/>
            <w:vAlign w:val="center"/>
          </w:tcPr>
          <w:p w14:paraId="320E5DD1" w14:textId="77777777" w:rsidR="00004FA2"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44,857,086</w:t>
            </w:r>
          </w:p>
        </w:tc>
      </w:tr>
      <w:tr w:rsidR="00A019EE" w:rsidRPr="00044EE9" w14:paraId="4147E97D" w14:textId="77777777" w:rsidTr="002135B0">
        <w:trPr>
          <w:trHeight w:val="50"/>
        </w:trPr>
        <w:tc>
          <w:tcPr>
            <w:cnfStyle w:val="001000000000" w:firstRow="0" w:lastRow="0" w:firstColumn="1" w:lastColumn="0" w:oddVBand="0" w:evenVBand="0" w:oddHBand="0" w:evenHBand="0" w:firstRowFirstColumn="0" w:firstRowLastColumn="0" w:lastRowFirstColumn="0" w:lastRowLastColumn="0"/>
            <w:tcW w:w="4170" w:type="dxa"/>
            <w:tcBorders>
              <w:left w:val="none" w:sz="0" w:space="0" w:color="auto"/>
            </w:tcBorders>
            <w:shd w:val="clear" w:color="auto" w:fill="E2EFD9" w:themeFill="accent6" w:themeFillTint="33"/>
            <w:noWrap/>
            <w:hideMark/>
          </w:tcPr>
          <w:p w14:paraId="503D9AC4" w14:textId="77777777" w:rsidR="00A019EE" w:rsidRPr="00044EE9" w:rsidRDefault="00A019EE" w:rsidP="00A019EE">
            <w:pPr>
              <w:spacing w:before="40" w:after="40"/>
              <w:rPr>
                <w:b w:val="0"/>
                <w:bCs w:val="0"/>
                <w:color w:val="000000"/>
                <w:lang w:val="en-US"/>
              </w:rPr>
            </w:pPr>
            <w:r w:rsidRPr="00044EE9">
              <w:rPr>
                <w:b w:val="0"/>
                <w:bCs w:val="0"/>
                <w:lang w:val="en-US"/>
              </w:rPr>
              <w:t>UNEP Compliance Assistance Programme</w:t>
            </w:r>
          </w:p>
        </w:tc>
        <w:tc>
          <w:tcPr>
            <w:tcW w:w="1485" w:type="dxa"/>
            <w:shd w:val="clear" w:color="auto" w:fill="FFFFFF" w:themeFill="background1"/>
            <w:vAlign w:val="center"/>
          </w:tcPr>
          <w:p w14:paraId="4219A7E7" w14:textId="6E8960A7" w:rsidR="00A019EE"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pPr>
            <w:r>
              <w:t>39,405,782</w:t>
            </w:r>
          </w:p>
        </w:tc>
        <w:tc>
          <w:tcPr>
            <w:tcW w:w="1529" w:type="dxa"/>
            <w:shd w:val="clear" w:color="auto" w:fill="FFFFFF" w:themeFill="background1"/>
            <w:noWrap/>
            <w:vAlign w:val="center"/>
          </w:tcPr>
          <w:p w14:paraId="66673CE0" w14:textId="1FCFDCD5" w:rsidR="00A019EE"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rPr>
                <w:color w:val="000000"/>
                <w:lang w:val="en-US"/>
              </w:rPr>
            </w:pPr>
            <w:r>
              <w:t>43,069,762</w:t>
            </w:r>
          </w:p>
        </w:tc>
        <w:tc>
          <w:tcPr>
            <w:tcW w:w="1880" w:type="dxa"/>
            <w:shd w:val="clear" w:color="auto" w:fill="FFFFFF" w:themeFill="background1"/>
            <w:vAlign w:val="center"/>
          </w:tcPr>
          <w:p w14:paraId="219737E4" w14:textId="3E030FB8" w:rsidR="00A019EE"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pPr>
            <w:r>
              <w:t>47,052,564</w:t>
            </w:r>
          </w:p>
        </w:tc>
      </w:tr>
      <w:tr w:rsidR="00A019EE" w:rsidRPr="00044EE9" w14:paraId="0CE3B0F4" w14:textId="77777777" w:rsidTr="002135B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170" w:type="dxa"/>
            <w:tcBorders>
              <w:left w:val="none" w:sz="0" w:space="0" w:color="auto"/>
            </w:tcBorders>
            <w:shd w:val="clear" w:color="auto" w:fill="E2EFD9" w:themeFill="accent6" w:themeFillTint="33"/>
            <w:noWrap/>
            <w:hideMark/>
          </w:tcPr>
          <w:p w14:paraId="7ED53B12" w14:textId="77777777" w:rsidR="00A019EE" w:rsidRPr="00044EE9" w:rsidRDefault="00A019EE" w:rsidP="00A019EE">
            <w:pPr>
              <w:spacing w:before="40" w:after="40"/>
              <w:rPr>
                <w:b w:val="0"/>
                <w:bCs w:val="0"/>
                <w:color w:val="000000"/>
                <w:lang w:val="en-US"/>
              </w:rPr>
            </w:pPr>
            <w:r w:rsidRPr="00044EE9">
              <w:rPr>
                <w:b w:val="0"/>
                <w:bCs w:val="0"/>
                <w:lang w:val="en-US"/>
              </w:rPr>
              <w:t xml:space="preserve">UNDP, UNIDO, World Bank Core Unit </w:t>
            </w:r>
          </w:p>
        </w:tc>
        <w:tc>
          <w:tcPr>
            <w:tcW w:w="1485" w:type="dxa"/>
            <w:shd w:val="clear" w:color="auto" w:fill="FFFFFF" w:themeFill="background1"/>
            <w:vAlign w:val="center"/>
          </w:tcPr>
          <w:p w14:paraId="4E40806E" w14:textId="274DE9DF" w:rsidR="00A019EE"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18,432,779</w:t>
            </w:r>
          </w:p>
        </w:tc>
        <w:tc>
          <w:tcPr>
            <w:tcW w:w="1529" w:type="dxa"/>
            <w:shd w:val="clear" w:color="auto" w:fill="FFFFFF" w:themeFill="background1"/>
            <w:noWrap/>
            <w:vAlign w:val="center"/>
          </w:tcPr>
          <w:p w14:paraId="55481980" w14:textId="0D7174DF" w:rsidR="00A019EE"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rPr>
                <w:highlight w:val="yellow"/>
                <w:lang w:val="en-US"/>
              </w:rPr>
            </w:pPr>
            <w:r>
              <w:t>20,141,995</w:t>
            </w:r>
          </w:p>
        </w:tc>
        <w:tc>
          <w:tcPr>
            <w:tcW w:w="1880" w:type="dxa"/>
            <w:shd w:val="clear" w:color="auto" w:fill="FFFFFF" w:themeFill="background1"/>
            <w:vAlign w:val="center"/>
          </w:tcPr>
          <w:p w14:paraId="4A0715FF" w14:textId="67985FB6" w:rsidR="00A019EE"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22,009,702</w:t>
            </w:r>
          </w:p>
        </w:tc>
      </w:tr>
      <w:tr w:rsidR="00A019EE" w:rsidRPr="00044EE9" w14:paraId="707A65B7" w14:textId="77777777" w:rsidTr="002135B0">
        <w:trPr>
          <w:trHeight w:val="314"/>
        </w:trPr>
        <w:tc>
          <w:tcPr>
            <w:cnfStyle w:val="001000000000" w:firstRow="0" w:lastRow="0" w:firstColumn="1" w:lastColumn="0" w:oddVBand="0" w:evenVBand="0" w:oddHBand="0" w:evenHBand="0" w:firstRowFirstColumn="0" w:firstRowLastColumn="0" w:lastRowFirstColumn="0" w:lastRowLastColumn="0"/>
            <w:tcW w:w="4170" w:type="dxa"/>
            <w:tcBorders>
              <w:left w:val="none" w:sz="0" w:space="0" w:color="auto"/>
            </w:tcBorders>
            <w:shd w:val="clear" w:color="auto" w:fill="E2EFD9" w:themeFill="accent6" w:themeFillTint="33"/>
            <w:hideMark/>
          </w:tcPr>
          <w:p w14:paraId="160847E6" w14:textId="77777777" w:rsidR="00A019EE" w:rsidRPr="00044EE9" w:rsidRDefault="00A019EE" w:rsidP="00A019EE">
            <w:pPr>
              <w:spacing w:before="40" w:after="40"/>
              <w:rPr>
                <w:b w:val="0"/>
                <w:bCs w:val="0"/>
                <w:color w:val="000000"/>
                <w:lang w:val="en-US"/>
              </w:rPr>
            </w:pPr>
            <w:r w:rsidRPr="00044EE9">
              <w:rPr>
                <w:b w:val="0"/>
                <w:bCs w:val="0"/>
                <w:color w:val="000000"/>
                <w:lang w:val="en-US"/>
              </w:rPr>
              <w:t xml:space="preserve">ExCom, MLFS, M&amp;E  </w:t>
            </w:r>
          </w:p>
        </w:tc>
        <w:tc>
          <w:tcPr>
            <w:tcW w:w="1485" w:type="dxa"/>
            <w:shd w:val="clear" w:color="auto" w:fill="FFFFFF" w:themeFill="background1"/>
            <w:vAlign w:val="center"/>
          </w:tcPr>
          <w:p w14:paraId="721C2008" w14:textId="7311C595" w:rsidR="00A019EE"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pPr>
            <w:r>
              <w:t>24,934,851</w:t>
            </w:r>
          </w:p>
        </w:tc>
        <w:tc>
          <w:tcPr>
            <w:tcW w:w="1529" w:type="dxa"/>
            <w:shd w:val="clear" w:color="auto" w:fill="FFFFFF" w:themeFill="background1"/>
            <w:noWrap/>
            <w:vAlign w:val="center"/>
          </w:tcPr>
          <w:p w14:paraId="56BB126D" w14:textId="338B1369" w:rsidR="00A019EE"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pPr>
            <w:r>
              <w:t>27,246,985</w:t>
            </w:r>
          </w:p>
        </w:tc>
        <w:tc>
          <w:tcPr>
            <w:tcW w:w="1880" w:type="dxa"/>
            <w:shd w:val="clear" w:color="auto" w:fill="FFFFFF" w:themeFill="background1"/>
            <w:vAlign w:val="center"/>
          </w:tcPr>
          <w:p w14:paraId="61BED190" w14:textId="6A73ED0F" w:rsidR="00A019EE"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pPr>
            <w:r>
              <w:t>29,773,516</w:t>
            </w:r>
          </w:p>
        </w:tc>
      </w:tr>
      <w:tr w:rsidR="00004FA2" w:rsidRPr="00044EE9" w14:paraId="6422739B" w14:textId="77777777" w:rsidTr="002135B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70" w:type="dxa"/>
            <w:tcBorders>
              <w:left w:val="none" w:sz="0" w:space="0" w:color="auto"/>
            </w:tcBorders>
            <w:shd w:val="clear" w:color="auto" w:fill="E2EFD9" w:themeFill="accent6" w:themeFillTint="33"/>
          </w:tcPr>
          <w:p w14:paraId="229D069B" w14:textId="77777777" w:rsidR="00004FA2" w:rsidRPr="00044EE9" w:rsidRDefault="00004FA2" w:rsidP="00004FA2">
            <w:pPr>
              <w:spacing w:before="40" w:after="40"/>
              <w:rPr>
                <w:b w:val="0"/>
                <w:bCs w:val="0"/>
                <w:lang w:val="en-US"/>
              </w:rPr>
            </w:pPr>
            <w:r w:rsidRPr="00044EE9">
              <w:rPr>
                <w:b w:val="0"/>
                <w:bCs w:val="0"/>
                <w:lang w:val="en-US"/>
              </w:rPr>
              <w:t>Treasurer functions</w:t>
            </w:r>
          </w:p>
        </w:tc>
        <w:tc>
          <w:tcPr>
            <w:tcW w:w="1485" w:type="dxa"/>
            <w:shd w:val="clear" w:color="auto" w:fill="FFFFFF" w:themeFill="background1"/>
            <w:vAlign w:val="center"/>
          </w:tcPr>
          <w:p w14:paraId="62F36765" w14:textId="2D76325C" w:rsidR="00004FA2"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 xml:space="preserve">   1,500,000         </w:t>
            </w:r>
          </w:p>
        </w:tc>
        <w:tc>
          <w:tcPr>
            <w:tcW w:w="1529" w:type="dxa"/>
            <w:shd w:val="clear" w:color="auto" w:fill="FFFFFF" w:themeFill="background1"/>
            <w:noWrap/>
            <w:vAlign w:val="center"/>
          </w:tcPr>
          <w:p w14:paraId="7D133C26" w14:textId="2583DA67" w:rsidR="00004FA2"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 xml:space="preserve">   1,500,000       </w:t>
            </w:r>
          </w:p>
        </w:tc>
        <w:tc>
          <w:tcPr>
            <w:tcW w:w="1880" w:type="dxa"/>
            <w:shd w:val="clear" w:color="auto" w:fill="FFFFFF" w:themeFill="background1"/>
            <w:vAlign w:val="center"/>
          </w:tcPr>
          <w:p w14:paraId="65F787D2" w14:textId="77777777" w:rsidR="00004FA2" w:rsidRPr="00044EE9" w:rsidRDefault="4BCEE662" w:rsidP="002135B0">
            <w:pPr>
              <w:spacing w:before="40" w:after="40"/>
              <w:jc w:val="right"/>
              <w:cnfStyle w:val="000000100000" w:firstRow="0" w:lastRow="0" w:firstColumn="0" w:lastColumn="0" w:oddVBand="0" w:evenVBand="0" w:oddHBand="1" w:evenHBand="0" w:firstRowFirstColumn="0" w:firstRowLastColumn="0" w:lastRowFirstColumn="0" w:lastRowLastColumn="0"/>
            </w:pPr>
            <w:r>
              <w:t>1,500,000</w:t>
            </w:r>
          </w:p>
        </w:tc>
      </w:tr>
      <w:tr w:rsidR="00A019EE" w:rsidRPr="00044EE9" w14:paraId="44F70057" w14:textId="77777777" w:rsidTr="002135B0">
        <w:trPr>
          <w:trHeight w:val="128"/>
        </w:trPr>
        <w:tc>
          <w:tcPr>
            <w:cnfStyle w:val="001000000000" w:firstRow="0" w:lastRow="0" w:firstColumn="1" w:lastColumn="0" w:oddVBand="0" w:evenVBand="0" w:oddHBand="0" w:evenHBand="0" w:firstRowFirstColumn="0" w:firstRowLastColumn="0" w:lastRowFirstColumn="0" w:lastRowLastColumn="0"/>
            <w:tcW w:w="4170" w:type="dxa"/>
            <w:tcBorders>
              <w:left w:val="none" w:sz="0" w:space="0" w:color="auto"/>
              <w:bottom w:val="none" w:sz="0" w:space="0" w:color="auto"/>
            </w:tcBorders>
            <w:shd w:val="clear" w:color="auto" w:fill="FFFF00"/>
            <w:hideMark/>
          </w:tcPr>
          <w:p w14:paraId="18B9E5DD" w14:textId="77777777" w:rsidR="00A019EE" w:rsidRPr="00044EE9" w:rsidRDefault="00A019EE" w:rsidP="00A019EE">
            <w:pPr>
              <w:spacing w:before="40" w:after="40"/>
              <w:rPr>
                <w:b w:val="0"/>
                <w:color w:val="000000"/>
                <w:lang w:val="en-US"/>
              </w:rPr>
            </w:pPr>
            <w:r w:rsidRPr="00044EE9">
              <w:rPr>
                <w:lang w:val="en-US"/>
              </w:rPr>
              <w:t>SUBTOTAL - IS &amp; Standard Activities</w:t>
            </w:r>
          </w:p>
        </w:tc>
        <w:tc>
          <w:tcPr>
            <w:tcW w:w="1485" w:type="dxa"/>
            <w:shd w:val="clear" w:color="auto" w:fill="FFFF00"/>
            <w:vAlign w:val="center"/>
          </w:tcPr>
          <w:p w14:paraId="75078A3B" w14:textId="2710E81C" w:rsidR="00A019EE"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rPr>
                <w:b/>
                <w:bCs/>
              </w:rPr>
            </w:pPr>
            <w:r w:rsidRPr="4BCEE662">
              <w:rPr>
                <w:b/>
                <w:bCs/>
              </w:rPr>
              <w:t>129,130,498</w:t>
            </w:r>
          </w:p>
        </w:tc>
        <w:tc>
          <w:tcPr>
            <w:tcW w:w="1529" w:type="dxa"/>
            <w:shd w:val="clear" w:color="auto" w:fill="FFFF00"/>
            <w:noWrap/>
            <w:vAlign w:val="center"/>
          </w:tcPr>
          <w:p w14:paraId="2EB41FFC" w14:textId="13278EA4" w:rsidR="00A019EE"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rPr>
                <w:b/>
                <w:bCs/>
                <w:lang w:val="en-US"/>
              </w:rPr>
            </w:pPr>
            <w:r w:rsidRPr="4BCEE662">
              <w:rPr>
                <w:b/>
                <w:bCs/>
              </w:rPr>
              <w:t>136,805,828</w:t>
            </w:r>
          </w:p>
        </w:tc>
        <w:tc>
          <w:tcPr>
            <w:tcW w:w="1880" w:type="dxa"/>
            <w:shd w:val="clear" w:color="auto" w:fill="FFFF00"/>
            <w:vAlign w:val="center"/>
          </w:tcPr>
          <w:p w14:paraId="4F3BD213" w14:textId="6AB1A7F2" w:rsidR="00A019EE" w:rsidRPr="00044EE9" w:rsidRDefault="4BCEE662" w:rsidP="002135B0">
            <w:pPr>
              <w:spacing w:before="40" w:after="40"/>
              <w:jc w:val="right"/>
              <w:cnfStyle w:val="000000000000" w:firstRow="0" w:lastRow="0" w:firstColumn="0" w:lastColumn="0" w:oddVBand="0" w:evenVBand="0" w:oddHBand="0" w:evenHBand="0" w:firstRowFirstColumn="0" w:firstRowLastColumn="0" w:lastRowFirstColumn="0" w:lastRowLastColumn="0"/>
              <w:rPr>
                <w:b/>
                <w:bCs/>
              </w:rPr>
            </w:pPr>
            <w:r w:rsidRPr="4BCEE662">
              <w:rPr>
                <w:b/>
                <w:bCs/>
              </w:rPr>
              <w:t>145,192,869</w:t>
            </w:r>
          </w:p>
        </w:tc>
      </w:tr>
    </w:tbl>
    <w:p w14:paraId="0DD907AA" w14:textId="77777777" w:rsidR="004812BA" w:rsidRDefault="004812BA" w:rsidP="001D68B9">
      <w:pPr>
        <w:pStyle w:val="Heading1"/>
      </w:pPr>
      <w:bookmarkStart w:id="361" w:name="_Appendix_1:_Supplementary"/>
      <w:bookmarkStart w:id="362" w:name="_Toc227477969"/>
      <w:bookmarkStart w:id="363" w:name="_Toc230099159"/>
      <w:bookmarkStart w:id="364" w:name="_Toc40367109"/>
      <w:bookmarkStart w:id="365" w:name="_Toc40367403"/>
      <w:bookmarkStart w:id="366" w:name="_Hlk40719901"/>
      <w:bookmarkStart w:id="367" w:name="_Toc41495072"/>
      <w:bookmarkStart w:id="368" w:name="_Toc41840043"/>
      <w:bookmarkStart w:id="369" w:name="_Toc41841133"/>
      <w:bookmarkStart w:id="370" w:name="_Hlk40724275"/>
      <w:bookmarkStart w:id="371" w:name="_Toc119436693"/>
      <w:bookmarkEnd w:id="354"/>
      <w:bookmarkEnd w:id="355"/>
      <w:bookmarkEnd w:id="356"/>
      <w:bookmarkEnd w:id="357"/>
      <w:bookmarkEnd w:id="358"/>
      <w:bookmarkEnd w:id="359"/>
      <w:bookmarkEnd w:id="360"/>
      <w:bookmarkEnd w:id="361"/>
      <w:r>
        <w:lastRenderedPageBreak/>
        <w:t>ANNEX 1: ESTIMATED FUNDING METHODOLOGY FOR HCFC CONSUMPTION SECTOR</w:t>
      </w:r>
      <w:bookmarkEnd w:id="362"/>
      <w:bookmarkEnd w:id="363"/>
    </w:p>
    <w:p w14:paraId="5A07B024" w14:textId="3190CC37" w:rsidR="004812BA" w:rsidRDefault="004812BA" w:rsidP="004812BA">
      <w:pPr>
        <w:snapToGrid w:val="0"/>
        <w:spacing w:before="100" w:beforeAutospacing="1" w:after="100" w:afterAutospacing="1"/>
        <w:contextualSpacing/>
        <w:rPr>
          <w:lang w:val="en-US"/>
        </w:rPr>
      </w:pPr>
      <w:r>
        <w:rPr>
          <w:lang w:val="en-US" w:eastAsia="nl-NL"/>
        </w:rPr>
        <w:t>This annex provides information on the estimated funding methodology for the HCFC consumption sector.</w:t>
      </w:r>
      <w:r w:rsidRPr="5AD5DB8B">
        <w:rPr>
          <w:lang w:val="en-US" w:eastAsia="nl-NL"/>
        </w:rPr>
        <w:t xml:space="preserve"> For HCFCs consumption, the assessment considers funding estimates for the completion of HCFC phase out by 2030, with no new funding for the triennia after 2030, other than committed funding in approved HPMPs. In addition, funds are considered for HPMP verification, project preparation</w:t>
      </w:r>
      <w:r w:rsidR="70E8716E" w:rsidRPr="5AD5DB8B">
        <w:rPr>
          <w:lang w:val="en-US" w:eastAsia="nl-NL"/>
        </w:rPr>
        <w:t>,</w:t>
      </w:r>
      <w:r w:rsidRPr="5AD5DB8B">
        <w:rPr>
          <w:lang w:val="en-US" w:eastAsia="nl-NL"/>
        </w:rPr>
        <w:t xml:space="preserve"> and </w:t>
      </w:r>
      <w:r w:rsidR="00D02C1C">
        <w:rPr>
          <w:lang w:val="en-US" w:eastAsia="nl-NL"/>
        </w:rPr>
        <w:t>EE</w:t>
      </w:r>
      <w:r w:rsidRPr="5AD5DB8B">
        <w:rPr>
          <w:lang w:val="en-US" w:eastAsia="nl-NL"/>
        </w:rPr>
        <w:t xml:space="preserve"> according to Decision 89/</w:t>
      </w:r>
      <w:r w:rsidR="5AD5DB8B" w:rsidRPr="5AD5DB8B">
        <w:rPr>
          <w:lang w:val="en-US" w:eastAsia="nl-NL"/>
        </w:rPr>
        <w:t>6</w:t>
      </w:r>
      <w:r w:rsidRPr="5AD5DB8B">
        <w:rPr>
          <w:lang w:val="en-US" w:eastAsia="nl-NL"/>
        </w:rPr>
        <w:t xml:space="preserve"> (LVCs). Implementing agenc</w:t>
      </w:r>
      <w:r w:rsidR="00DB1FA6" w:rsidRPr="5AD5DB8B">
        <w:rPr>
          <w:lang w:val="en-US" w:eastAsia="nl-NL"/>
        </w:rPr>
        <w:t>y</w:t>
      </w:r>
      <w:r w:rsidRPr="5AD5DB8B">
        <w:rPr>
          <w:lang w:val="en-US" w:eastAsia="nl-NL"/>
        </w:rPr>
        <w:t xml:space="preserve"> support costs were considered at an average of 9.6%. RTF also applied 15% deduction for foreign ownership in </w:t>
      </w:r>
      <w:r w:rsidR="2AB4653F" w:rsidRPr="5AD5DB8B">
        <w:rPr>
          <w:lang w:val="en-US" w:eastAsia="nl-NL"/>
        </w:rPr>
        <w:t xml:space="preserve">the </w:t>
      </w:r>
      <w:r w:rsidRPr="5AD5DB8B">
        <w:rPr>
          <w:lang w:val="en-US" w:eastAsia="nl-NL"/>
        </w:rPr>
        <w:t xml:space="preserve">manufacturing sector. </w:t>
      </w:r>
    </w:p>
    <w:p w14:paraId="73FD356F" w14:textId="77777777" w:rsidR="004812BA" w:rsidRDefault="004812BA" w:rsidP="004812BA">
      <w:pPr>
        <w:snapToGrid w:val="0"/>
        <w:spacing w:before="100" w:beforeAutospacing="1" w:after="100" w:afterAutospacing="1"/>
        <w:contextualSpacing/>
        <w:rPr>
          <w:lang w:val="en-US"/>
        </w:rPr>
      </w:pPr>
    </w:p>
    <w:p w14:paraId="6584DEF2" w14:textId="5958DE0E" w:rsidR="004812BA" w:rsidRPr="00B35EE0" w:rsidRDefault="004812BA" w:rsidP="004812BA">
      <w:pPr>
        <w:snapToGrid w:val="0"/>
        <w:spacing w:before="100" w:beforeAutospacing="1" w:after="100" w:afterAutospacing="1"/>
        <w:contextualSpacing/>
        <w:rPr>
          <w:lang w:val="en-US"/>
        </w:rPr>
      </w:pPr>
      <w:r w:rsidRPr="006C3241">
        <w:rPr>
          <w:lang w:val="en-US"/>
        </w:rPr>
        <w:t xml:space="preserve">HCFC activities are approaching completion for most A5 parties, whereas HFC related activities, while progressing, remain at an earlier stage. The models are structured and customized to reflect the different stages of the two regimes while following to the extent possible the MLF project cycle, and consequently the required MLF Replenishment. </w:t>
      </w:r>
      <w:r w:rsidR="006E3A50">
        <w:rPr>
          <w:lang w:val="en-US"/>
        </w:rPr>
        <w:t xml:space="preserve">The </w:t>
      </w:r>
      <w:r w:rsidRPr="006C3241">
        <w:rPr>
          <w:lang w:val="en-US"/>
        </w:rPr>
        <w:t>RTF also proposes a resource allocation suggestion in the 2027-2029 triennium and the following</w:t>
      </w:r>
      <w:r>
        <w:rPr>
          <w:lang w:val="en-US"/>
        </w:rPr>
        <w:t xml:space="preserve"> two</w:t>
      </w:r>
      <w:r w:rsidRPr="006C3241">
        <w:rPr>
          <w:lang w:val="en-US"/>
        </w:rPr>
        <w:t xml:space="preserve"> triennia, for consideration of parties.</w:t>
      </w:r>
      <w:r>
        <w:rPr>
          <w:lang w:val="en-US"/>
        </w:rPr>
        <w:t xml:space="preserve"> </w:t>
      </w:r>
      <w:r w:rsidRPr="006C3241">
        <w:rPr>
          <w:lang w:val="en-US"/>
        </w:rPr>
        <w:t xml:space="preserve">The objective is to produce an assessment that is transparent, policy consistent, and with defensible funding projections, aligned with </w:t>
      </w:r>
      <w:r w:rsidRPr="006C3241">
        <w:rPr>
          <w:i/>
          <w:iCs/>
          <w:lang w:val="en-US"/>
        </w:rPr>
        <w:t>compliance obligations</w:t>
      </w:r>
      <w:r w:rsidRPr="006C3241">
        <w:rPr>
          <w:lang w:val="en-US"/>
        </w:rPr>
        <w:t xml:space="preserve"> of A5 parties. </w:t>
      </w:r>
    </w:p>
    <w:p w14:paraId="3569DFB4" w14:textId="77777777" w:rsidR="004812BA" w:rsidRDefault="004812BA" w:rsidP="002D02B7">
      <w:pPr>
        <w:pStyle w:val="Heading2"/>
        <w:rPr>
          <w:lang w:val="en-US"/>
        </w:rPr>
      </w:pPr>
      <w:bookmarkStart w:id="372" w:name="_Toc230099160"/>
      <w:r>
        <w:rPr>
          <w:lang w:val="en-US"/>
        </w:rPr>
        <w:t>A1.1</w:t>
      </w:r>
      <w:r>
        <w:rPr>
          <w:lang w:val="en-US"/>
        </w:rPr>
        <w:tab/>
        <w:t>Sources of Information</w:t>
      </w:r>
      <w:bookmarkEnd w:id="372"/>
    </w:p>
    <w:p w14:paraId="59FC05A0" w14:textId="77777777" w:rsidR="004812BA" w:rsidRPr="006C3241" w:rsidRDefault="004812BA" w:rsidP="004812BA">
      <w:pPr>
        <w:snapToGrid w:val="0"/>
        <w:spacing w:before="100" w:beforeAutospacing="1" w:after="100" w:afterAutospacing="1"/>
        <w:contextualSpacing/>
        <w:rPr>
          <w:lang w:val="en-US"/>
        </w:rPr>
      </w:pPr>
      <w:r w:rsidRPr="006C3241">
        <w:rPr>
          <w:lang w:val="en-US"/>
        </w:rPr>
        <w:t xml:space="preserve">The </w:t>
      </w:r>
      <w:r>
        <w:rPr>
          <w:lang w:val="en-US"/>
        </w:rPr>
        <w:t xml:space="preserve">RTF modelling approach consolidates </w:t>
      </w:r>
      <w:r w:rsidRPr="006C3241">
        <w:rPr>
          <w:lang w:val="en-US"/>
        </w:rPr>
        <w:t>data from the following sources:</w:t>
      </w:r>
    </w:p>
    <w:p w14:paraId="3470B201" w14:textId="46B43B3A" w:rsidR="004812BA" w:rsidRPr="006C3241" w:rsidRDefault="004812BA" w:rsidP="000E79CB">
      <w:pPr>
        <w:numPr>
          <w:ilvl w:val="0"/>
          <w:numId w:val="35"/>
        </w:numPr>
        <w:tabs>
          <w:tab w:val="clear" w:pos="0"/>
        </w:tabs>
        <w:snapToGrid w:val="0"/>
        <w:spacing w:before="100" w:beforeAutospacing="1" w:after="100" w:afterAutospacing="1"/>
        <w:contextualSpacing/>
        <w:rPr>
          <w:lang w:val="en-US"/>
        </w:rPr>
      </w:pPr>
      <w:r w:rsidRPr="006C3241">
        <w:rPr>
          <w:lang w:val="en-US"/>
        </w:rPr>
        <w:t xml:space="preserve">A7 consumption data </w:t>
      </w:r>
      <w:r w:rsidR="003925C4">
        <w:rPr>
          <w:lang w:val="en-US"/>
        </w:rPr>
        <w:t xml:space="preserve">as </w:t>
      </w:r>
      <w:r w:rsidRPr="006C3241">
        <w:rPr>
          <w:lang w:val="en-US"/>
        </w:rPr>
        <w:t xml:space="preserve">reported to the </w:t>
      </w:r>
      <w:r w:rsidR="00185768">
        <w:rPr>
          <w:lang w:val="en-US"/>
        </w:rPr>
        <w:t>OS</w:t>
      </w:r>
      <w:r w:rsidR="548BBB9B" w:rsidRPr="548BBB9B">
        <w:rPr>
          <w:lang w:val="en-US"/>
        </w:rPr>
        <w:t>, as</w:t>
      </w:r>
      <w:r w:rsidRPr="006C3241">
        <w:rPr>
          <w:lang w:val="en-US"/>
        </w:rPr>
        <w:t xml:space="preserve"> of January 2026. </w:t>
      </w:r>
    </w:p>
    <w:p w14:paraId="626992E6" w14:textId="4A46BC0B" w:rsidR="004812BA" w:rsidRPr="006C3241" w:rsidRDefault="004812BA" w:rsidP="000E79CB">
      <w:pPr>
        <w:numPr>
          <w:ilvl w:val="0"/>
          <w:numId w:val="35"/>
        </w:numPr>
        <w:tabs>
          <w:tab w:val="clear" w:pos="0"/>
        </w:tabs>
        <w:snapToGrid w:val="0"/>
        <w:spacing w:before="100" w:beforeAutospacing="1" w:after="100" w:afterAutospacing="1"/>
        <w:contextualSpacing/>
        <w:rPr>
          <w:lang w:val="en-US"/>
        </w:rPr>
      </w:pPr>
      <w:r w:rsidRPr="006C3241">
        <w:rPr>
          <w:lang w:val="en-US"/>
        </w:rPr>
        <w:t>CP data submitted to the MLF</w:t>
      </w:r>
      <w:r>
        <w:rPr>
          <w:lang w:val="en-US"/>
        </w:rPr>
        <w:t>S</w:t>
      </w:r>
      <w:r w:rsidRPr="006C3241">
        <w:rPr>
          <w:lang w:val="en-US"/>
        </w:rPr>
        <w:t>, as of 13 January 2026</w:t>
      </w:r>
    </w:p>
    <w:p w14:paraId="073566C9" w14:textId="1447821C" w:rsidR="004812BA" w:rsidRPr="006C3241" w:rsidRDefault="00257141" w:rsidP="000E79CB">
      <w:pPr>
        <w:numPr>
          <w:ilvl w:val="0"/>
          <w:numId w:val="35"/>
        </w:numPr>
        <w:tabs>
          <w:tab w:val="clear" w:pos="0"/>
        </w:tabs>
        <w:snapToGrid w:val="0"/>
        <w:spacing w:before="100" w:beforeAutospacing="1" w:after="100" w:afterAutospacing="1"/>
        <w:contextualSpacing/>
        <w:rPr>
          <w:lang w:val="en-US"/>
        </w:rPr>
      </w:pPr>
      <w:r>
        <w:rPr>
          <w:lang w:val="en-US"/>
        </w:rPr>
        <w:t xml:space="preserve">Information </w:t>
      </w:r>
      <w:r w:rsidR="004812BA" w:rsidRPr="006C3241">
        <w:rPr>
          <w:lang w:val="en-US"/>
        </w:rPr>
        <w:t xml:space="preserve">provided </w:t>
      </w:r>
      <w:r>
        <w:rPr>
          <w:lang w:val="en-US"/>
        </w:rPr>
        <w:t xml:space="preserve">by the </w:t>
      </w:r>
      <w:r w:rsidRPr="006C3241">
        <w:rPr>
          <w:lang w:val="en-US"/>
        </w:rPr>
        <w:t xml:space="preserve">MLFS </w:t>
      </w:r>
      <w:r w:rsidR="004812BA" w:rsidRPr="32F24295">
        <w:rPr>
          <w:lang w:val="en-US"/>
        </w:rPr>
        <w:t xml:space="preserve">on </w:t>
      </w:r>
      <w:r w:rsidR="004812BA" w:rsidRPr="006C3241">
        <w:rPr>
          <w:lang w:val="en-US"/>
        </w:rPr>
        <w:t>approved HPMPs and KIPs, including agreed reduction</w:t>
      </w:r>
      <w:r w:rsidR="00F801C4">
        <w:rPr>
          <w:lang w:val="en-US"/>
        </w:rPr>
        <w:t>s</w:t>
      </w:r>
      <w:r w:rsidR="004812BA" w:rsidRPr="006C3241">
        <w:rPr>
          <w:lang w:val="en-US"/>
        </w:rPr>
        <w:t xml:space="preserve"> from baseline consumption, funding and tranche schedules, project preparation and verification</w:t>
      </w:r>
      <w:r w:rsidR="00BB59D6">
        <w:rPr>
          <w:lang w:val="en-US"/>
        </w:rPr>
        <w:t xml:space="preserve"> activities</w:t>
      </w:r>
      <w:r w:rsidR="004812BA" w:rsidRPr="006C3241">
        <w:rPr>
          <w:lang w:val="en-US"/>
        </w:rPr>
        <w:t xml:space="preserve">, </w:t>
      </w:r>
      <w:r w:rsidR="001C6AAA">
        <w:rPr>
          <w:lang w:val="en-US"/>
        </w:rPr>
        <w:t xml:space="preserve">as well as </w:t>
      </w:r>
      <w:r w:rsidR="004812BA" w:rsidRPr="006C3241">
        <w:rPr>
          <w:lang w:val="en-US"/>
        </w:rPr>
        <w:t xml:space="preserve">information on </w:t>
      </w:r>
      <w:r w:rsidR="00D02C1C">
        <w:rPr>
          <w:lang w:val="en-US"/>
        </w:rPr>
        <w:t>EE</w:t>
      </w:r>
      <w:r w:rsidR="004812BA" w:rsidRPr="006C3241">
        <w:rPr>
          <w:lang w:val="en-US"/>
        </w:rPr>
        <w:t xml:space="preserve"> and </w:t>
      </w:r>
      <w:r w:rsidR="00603D00">
        <w:rPr>
          <w:lang w:val="en-US"/>
        </w:rPr>
        <w:t xml:space="preserve">the </w:t>
      </w:r>
      <w:r w:rsidR="004812BA" w:rsidRPr="006C3241">
        <w:rPr>
          <w:lang w:val="en-US"/>
        </w:rPr>
        <w:t>status of funding windows.</w:t>
      </w:r>
    </w:p>
    <w:p w14:paraId="26B4EFB5" w14:textId="1DF17CD5" w:rsidR="004812BA" w:rsidRPr="006C3241" w:rsidRDefault="004812BA" w:rsidP="000E79CB">
      <w:pPr>
        <w:numPr>
          <w:ilvl w:val="0"/>
          <w:numId w:val="35"/>
        </w:numPr>
        <w:tabs>
          <w:tab w:val="clear" w:pos="0"/>
        </w:tabs>
        <w:snapToGrid w:val="0"/>
        <w:spacing w:before="100" w:beforeAutospacing="1" w:after="100" w:afterAutospacing="1"/>
        <w:contextualSpacing/>
        <w:rPr>
          <w:lang w:val="en-US"/>
        </w:rPr>
      </w:pPr>
      <w:r w:rsidRPr="006C3241">
        <w:rPr>
          <w:lang w:val="en-US"/>
        </w:rPr>
        <w:t xml:space="preserve">ExCom documents and decisions, including cost guidelines, up to and including </w:t>
      </w:r>
      <w:r w:rsidR="007F2D56">
        <w:rPr>
          <w:lang w:val="en-US"/>
        </w:rPr>
        <w:t>ExCom-97</w:t>
      </w:r>
      <w:r w:rsidRPr="006C3241">
        <w:rPr>
          <w:lang w:val="en-US"/>
        </w:rPr>
        <w:t>.</w:t>
      </w:r>
    </w:p>
    <w:p w14:paraId="065CBF8F" w14:textId="65625FF1" w:rsidR="004812BA" w:rsidRPr="006C3241" w:rsidRDefault="004812BA" w:rsidP="000E79CB">
      <w:pPr>
        <w:numPr>
          <w:ilvl w:val="0"/>
          <w:numId w:val="35"/>
        </w:numPr>
        <w:tabs>
          <w:tab w:val="clear" w:pos="0"/>
        </w:tabs>
        <w:snapToGrid w:val="0"/>
        <w:spacing w:before="100" w:beforeAutospacing="1" w:after="100" w:afterAutospacing="1"/>
        <w:contextualSpacing/>
        <w:rPr>
          <w:rFonts w:eastAsia="Calibri"/>
          <w:lang w:val="en-US"/>
        </w:rPr>
      </w:pPr>
      <w:r w:rsidRPr="006C3241">
        <w:rPr>
          <w:rFonts w:eastAsia="Calibri"/>
          <w:lang w:val="en-US"/>
        </w:rPr>
        <w:t xml:space="preserve">Classification of </w:t>
      </w:r>
      <w:r w:rsidRPr="00DE5A78">
        <w:rPr>
          <w:rFonts w:eastAsia="Calibri"/>
          <w:lang w:val="en-US"/>
        </w:rPr>
        <w:t xml:space="preserve">LVCs based on HCFC and HFC baseline consumption (presented </w:t>
      </w:r>
      <w:r w:rsidR="00985089" w:rsidRPr="00DE5A78">
        <w:rPr>
          <w:rFonts w:eastAsia="Calibri"/>
          <w:lang w:val="en-US"/>
        </w:rPr>
        <w:t xml:space="preserve">in </w:t>
      </w:r>
      <w:r w:rsidRPr="00DE5A78">
        <w:rPr>
          <w:rFonts w:eastAsia="Calibri"/>
          <w:lang w:val="en-US"/>
        </w:rPr>
        <w:t>Annex</w:t>
      </w:r>
      <w:r w:rsidR="00DE5A78" w:rsidRPr="00DE5A78">
        <w:rPr>
          <w:rFonts w:eastAsia="Calibri"/>
          <w:lang w:val="en-US"/>
        </w:rPr>
        <w:t xml:space="preserve"> 5</w:t>
      </w:r>
      <w:r w:rsidRPr="00DE5A78">
        <w:rPr>
          <w:rFonts w:eastAsia="Calibri"/>
          <w:lang w:val="en-US"/>
        </w:rPr>
        <w:t>).</w:t>
      </w:r>
    </w:p>
    <w:p w14:paraId="2F2D8B65" w14:textId="15330A2B" w:rsidR="004812BA" w:rsidRPr="009A6BCA" w:rsidRDefault="004812BA" w:rsidP="000E79CB">
      <w:pPr>
        <w:numPr>
          <w:ilvl w:val="0"/>
          <w:numId w:val="35"/>
        </w:numPr>
        <w:tabs>
          <w:tab w:val="clear" w:pos="0"/>
        </w:tabs>
        <w:snapToGrid w:val="0"/>
        <w:spacing w:before="100" w:beforeAutospacing="1" w:after="100" w:afterAutospacing="1"/>
        <w:contextualSpacing/>
        <w:rPr>
          <w:rFonts w:eastAsia="Calibri"/>
          <w:color w:val="auto"/>
          <w:lang w:val="en-US"/>
        </w:rPr>
      </w:pPr>
      <w:r w:rsidRPr="009A6BCA">
        <w:rPr>
          <w:rFonts w:eastAsia="Calibri"/>
          <w:color w:val="auto"/>
          <w:lang w:val="en-US"/>
        </w:rPr>
        <w:t>BP</w:t>
      </w:r>
      <w:r w:rsidR="00912482">
        <w:rPr>
          <w:rFonts w:eastAsia="Calibri"/>
          <w:color w:val="auto"/>
          <w:lang w:val="en-US"/>
        </w:rPr>
        <w:t>,</w:t>
      </w:r>
      <w:r w:rsidRPr="009A6BCA">
        <w:rPr>
          <w:rFonts w:eastAsia="Calibri"/>
          <w:color w:val="auto"/>
          <w:lang w:val="en-US"/>
        </w:rPr>
        <w:t xml:space="preserve"> used to inform </w:t>
      </w:r>
      <w:r w:rsidR="00821EF1" w:rsidRPr="009A6BCA">
        <w:rPr>
          <w:rFonts w:eastAsia="Calibri"/>
          <w:color w:val="auto"/>
          <w:lang w:val="en-US"/>
        </w:rPr>
        <w:t xml:space="preserve">the </w:t>
      </w:r>
      <w:r w:rsidRPr="009A6BCA">
        <w:rPr>
          <w:rFonts w:eastAsia="Calibri"/>
          <w:color w:val="auto"/>
          <w:lang w:val="en-US"/>
        </w:rPr>
        <w:t>RTF on future requests to I</w:t>
      </w:r>
      <w:r w:rsidR="0045508F">
        <w:rPr>
          <w:rFonts w:eastAsia="Calibri"/>
          <w:color w:val="auto"/>
          <w:lang w:val="en-US"/>
        </w:rPr>
        <w:t>As</w:t>
      </w:r>
      <w:r w:rsidRPr="009A6BCA">
        <w:rPr>
          <w:rFonts w:eastAsia="Calibri"/>
          <w:color w:val="auto"/>
          <w:lang w:val="en-US"/>
        </w:rPr>
        <w:t xml:space="preserve"> for projects to be submitted to MLFS, therefore guiding RTF to forecast potential </w:t>
      </w:r>
      <w:r w:rsidRPr="009A6BCA">
        <w:rPr>
          <w:rFonts w:eastAsia="Calibri"/>
          <w:color w:val="auto"/>
          <w:u w:val="single"/>
          <w:lang w:val="en-US"/>
        </w:rPr>
        <w:t>new</w:t>
      </w:r>
      <w:r w:rsidRPr="009A6BCA">
        <w:rPr>
          <w:rFonts w:eastAsia="Calibri"/>
          <w:color w:val="auto"/>
          <w:lang w:val="en-US"/>
        </w:rPr>
        <w:t xml:space="preserve"> funding needed.</w:t>
      </w:r>
    </w:p>
    <w:p w14:paraId="01496F3F" w14:textId="5A93537C" w:rsidR="004812BA" w:rsidRPr="009A6BCA" w:rsidRDefault="5B365E33" w:rsidP="000E79CB">
      <w:pPr>
        <w:numPr>
          <w:ilvl w:val="0"/>
          <w:numId w:val="35"/>
        </w:numPr>
        <w:tabs>
          <w:tab w:val="clear" w:pos="0"/>
        </w:tabs>
        <w:snapToGrid w:val="0"/>
        <w:spacing w:before="100" w:beforeAutospacing="1" w:after="100" w:afterAutospacing="1"/>
        <w:contextualSpacing/>
        <w:rPr>
          <w:rFonts w:eastAsia="Calibri"/>
          <w:color w:val="auto"/>
          <w:lang w:val="en-US"/>
        </w:rPr>
      </w:pPr>
      <w:r w:rsidRPr="009A6BCA">
        <w:rPr>
          <w:rFonts w:eastAsia="Calibri"/>
          <w:color w:val="auto"/>
          <w:lang w:val="en-US"/>
        </w:rPr>
        <w:t xml:space="preserve">Parties’ ratification status </w:t>
      </w:r>
      <w:r w:rsidR="00E06682" w:rsidRPr="009A6BCA">
        <w:rPr>
          <w:rFonts w:eastAsia="Calibri"/>
          <w:color w:val="auto"/>
          <w:lang w:val="en-US"/>
        </w:rPr>
        <w:t xml:space="preserve">of the </w:t>
      </w:r>
      <w:r w:rsidR="00912482">
        <w:rPr>
          <w:rFonts w:eastAsia="Calibri"/>
          <w:color w:val="auto"/>
          <w:lang w:val="en-US"/>
        </w:rPr>
        <w:t>KA</w:t>
      </w:r>
      <w:r w:rsidR="00E06682" w:rsidRPr="009A6BCA">
        <w:rPr>
          <w:rFonts w:eastAsia="Calibri"/>
          <w:color w:val="auto"/>
          <w:lang w:val="en-US"/>
        </w:rPr>
        <w:t xml:space="preserve">, </w:t>
      </w:r>
      <w:r w:rsidRPr="009A6BCA">
        <w:rPr>
          <w:rFonts w:eastAsia="Calibri"/>
          <w:color w:val="auto"/>
          <w:lang w:val="en-US"/>
        </w:rPr>
        <w:t xml:space="preserve">as of </w:t>
      </w:r>
      <w:r w:rsidR="0BA54F07" w:rsidRPr="009A6BCA">
        <w:rPr>
          <w:rFonts w:eastAsia="Calibri"/>
          <w:color w:val="auto"/>
          <w:lang w:val="en-US"/>
        </w:rPr>
        <w:t>8</w:t>
      </w:r>
      <w:r w:rsidRPr="009A6BCA">
        <w:rPr>
          <w:rFonts w:eastAsia="Calibri"/>
          <w:color w:val="auto"/>
          <w:lang w:val="en-US"/>
        </w:rPr>
        <w:t xml:space="preserve"> April 2026 (Annex </w:t>
      </w:r>
      <w:r w:rsidR="009A6BCA" w:rsidRPr="009A6BCA">
        <w:rPr>
          <w:rFonts w:eastAsia="Calibri"/>
          <w:color w:val="auto"/>
          <w:lang w:val="en-US"/>
        </w:rPr>
        <w:t>6</w:t>
      </w:r>
      <w:r w:rsidRPr="009A6BCA">
        <w:rPr>
          <w:rFonts w:eastAsia="Calibri"/>
          <w:color w:val="auto"/>
          <w:lang w:val="en-US"/>
        </w:rPr>
        <w:t xml:space="preserve">). </w:t>
      </w:r>
    </w:p>
    <w:p w14:paraId="793D7749" w14:textId="77777777" w:rsidR="004812BA" w:rsidRPr="009A6BCA" w:rsidRDefault="004812BA" w:rsidP="004812BA">
      <w:pPr>
        <w:snapToGrid w:val="0"/>
        <w:spacing w:before="100" w:beforeAutospacing="1" w:after="100" w:afterAutospacing="1"/>
        <w:contextualSpacing/>
        <w:rPr>
          <w:color w:val="auto"/>
          <w:lang w:val="en-US"/>
        </w:rPr>
      </w:pPr>
    </w:p>
    <w:p w14:paraId="46161C96" w14:textId="77777777" w:rsidR="004812BA" w:rsidRPr="006C3241" w:rsidRDefault="004812BA" w:rsidP="00165A8E">
      <w:pPr>
        <w:keepNext/>
        <w:keepLines/>
        <w:snapToGrid w:val="0"/>
        <w:spacing w:before="100" w:beforeAutospacing="1" w:after="100" w:afterAutospacing="1"/>
        <w:contextualSpacing/>
        <w:outlineLvl w:val="1"/>
        <w:rPr>
          <w:color w:val="000000"/>
          <w:lang w:val="en-US"/>
        </w:rPr>
      </w:pPr>
      <w:bookmarkStart w:id="373" w:name="_Toc227477970"/>
      <w:bookmarkStart w:id="374" w:name="_Toc230099161"/>
      <w:r w:rsidRPr="249225D8">
        <w:rPr>
          <w:b/>
          <w:lang w:val="en-US"/>
        </w:rPr>
        <w:t>A1.2</w:t>
      </w:r>
      <w:r>
        <w:tab/>
      </w:r>
      <w:r w:rsidRPr="249225D8">
        <w:rPr>
          <w:b/>
          <w:lang w:val="en-US"/>
        </w:rPr>
        <w:t>HCFC</w:t>
      </w:r>
      <w:r w:rsidRPr="006C3241">
        <w:rPr>
          <w:b/>
          <w:lang w:val="en-US"/>
        </w:rPr>
        <w:t xml:space="preserve"> Phase Out Funding Methodology for the Consumption Sector</w:t>
      </w:r>
      <w:bookmarkEnd w:id="373"/>
      <w:bookmarkEnd w:id="374"/>
    </w:p>
    <w:p w14:paraId="59538F9E" w14:textId="77777777" w:rsidR="004812BA" w:rsidRDefault="004812BA" w:rsidP="004812BA">
      <w:pPr>
        <w:snapToGrid w:val="0"/>
        <w:spacing w:before="100" w:beforeAutospacing="1" w:after="100" w:afterAutospacing="1"/>
        <w:contextualSpacing/>
        <w:rPr>
          <w:lang w:val="en-US"/>
        </w:rPr>
      </w:pPr>
    </w:p>
    <w:p w14:paraId="75B9742A" w14:textId="4E2F4BA0" w:rsidR="004812BA" w:rsidRPr="006C3241" w:rsidRDefault="004812BA" w:rsidP="004812BA">
      <w:pPr>
        <w:snapToGrid w:val="0"/>
        <w:spacing w:before="100" w:beforeAutospacing="1" w:after="100" w:afterAutospacing="1"/>
        <w:contextualSpacing/>
        <w:rPr>
          <w:lang w:val="en-US"/>
        </w:rPr>
      </w:pPr>
      <w:r w:rsidRPr="006C3241">
        <w:rPr>
          <w:lang w:val="en-US"/>
        </w:rPr>
        <w:t xml:space="preserve">The estimated funding requirements for </w:t>
      </w:r>
      <w:r w:rsidR="008B50D5">
        <w:rPr>
          <w:lang w:val="en-US"/>
        </w:rPr>
        <w:t xml:space="preserve">the </w:t>
      </w:r>
      <w:r w:rsidRPr="006C3241">
        <w:rPr>
          <w:lang w:val="en-US"/>
        </w:rPr>
        <w:t>2027-2029 triennium for the HCFC consumption sector include:</w:t>
      </w:r>
    </w:p>
    <w:p w14:paraId="66AA724E" w14:textId="52F4EA1A" w:rsidR="004812BA" w:rsidRPr="006C3241" w:rsidRDefault="004812BA" w:rsidP="000E79CB">
      <w:pPr>
        <w:numPr>
          <w:ilvl w:val="0"/>
          <w:numId w:val="14"/>
        </w:numPr>
        <w:tabs>
          <w:tab w:val="clear" w:pos="0"/>
        </w:tabs>
        <w:snapToGrid w:val="0"/>
        <w:spacing w:before="100" w:beforeAutospacing="1" w:after="100" w:afterAutospacing="1"/>
        <w:ind w:left="1140"/>
        <w:contextualSpacing/>
        <w:rPr>
          <w:rFonts w:eastAsia="Calibri"/>
          <w:lang w:val="en-US"/>
        </w:rPr>
      </w:pPr>
      <w:r w:rsidRPr="006C3241">
        <w:rPr>
          <w:rFonts w:eastAsia="Calibri"/>
          <w:lang w:val="en-US"/>
        </w:rPr>
        <w:t xml:space="preserve">Committed </w:t>
      </w:r>
      <w:r w:rsidR="00F555E6">
        <w:rPr>
          <w:rFonts w:eastAsia="Calibri"/>
          <w:lang w:val="en-US"/>
        </w:rPr>
        <w:t>f</w:t>
      </w:r>
      <w:r w:rsidRPr="006C3241">
        <w:rPr>
          <w:rFonts w:eastAsia="Calibri"/>
          <w:lang w:val="en-US"/>
        </w:rPr>
        <w:t>unding for approved HPMPs</w:t>
      </w:r>
      <w:r w:rsidR="00F555E6">
        <w:rPr>
          <w:rFonts w:eastAsia="Calibri"/>
          <w:lang w:val="en-US"/>
        </w:rPr>
        <w:t>;</w:t>
      </w:r>
    </w:p>
    <w:p w14:paraId="33F00EB3" w14:textId="4EDAD61D" w:rsidR="004812BA" w:rsidRPr="006C3241" w:rsidRDefault="004812BA" w:rsidP="000E79CB">
      <w:pPr>
        <w:numPr>
          <w:ilvl w:val="0"/>
          <w:numId w:val="14"/>
        </w:numPr>
        <w:tabs>
          <w:tab w:val="clear" w:pos="0"/>
        </w:tabs>
        <w:snapToGrid w:val="0"/>
        <w:spacing w:before="100" w:beforeAutospacing="1" w:after="100" w:afterAutospacing="1"/>
        <w:ind w:left="1140"/>
        <w:contextualSpacing/>
        <w:rPr>
          <w:rFonts w:eastAsia="Calibri"/>
          <w:lang w:val="en-US"/>
        </w:rPr>
      </w:pPr>
      <w:r w:rsidRPr="006C3241">
        <w:rPr>
          <w:rFonts w:eastAsia="Calibri"/>
          <w:lang w:val="en-US"/>
        </w:rPr>
        <w:t xml:space="preserve">New </w:t>
      </w:r>
      <w:r w:rsidR="00F555E6">
        <w:rPr>
          <w:rFonts w:eastAsia="Calibri"/>
          <w:lang w:val="en-US"/>
        </w:rPr>
        <w:t>e</w:t>
      </w:r>
      <w:r w:rsidRPr="006C3241">
        <w:rPr>
          <w:rFonts w:eastAsia="Calibri"/>
          <w:lang w:val="en-US"/>
        </w:rPr>
        <w:t xml:space="preserve">stimated </w:t>
      </w:r>
      <w:r w:rsidR="00F555E6">
        <w:rPr>
          <w:rFonts w:eastAsia="Calibri"/>
          <w:lang w:val="en-US"/>
        </w:rPr>
        <w:t>f</w:t>
      </w:r>
      <w:r w:rsidRPr="006C3241">
        <w:rPr>
          <w:rFonts w:eastAsia="Calibri"/>
          <w:lang w:val="en-US"/>
        </w:rPr>
        <w:t xml:space="preserve">unding </w:t>
      </w:r>
      <w:r w:rsidR="00235D8C">
        <w:rPr>
          <w:rFonts w:eastAsia="Calibri"/>
          <w:lang w:val="en-US"/>
        </w:rPr>
        <w:t xml:space="preserve">required </w:t>
      </w:r>
      <w:r w:rsidRPr="006C3241">
        <w:rPr>
          <w:rFonts w:eastAsia="Calibri"/>
          <w:lang w:val="en-US"/>
        </w:rPr>
        <w:t xml:space="preserve">to </w:t>
      </w:r>
      <w:r w:rsidR="00235D8C">
        <w:rPr>
          <w:rFonts w:eastAsia="Calibri"/>
          <w:lang w:val="en-US"/>
        </w:rPr>
        <w:t xml:space="preserve">achieve </w:t>
      </w:r>
      <w:r w:rsidRPr="006C3241">
        <w:rPr>
          <w:rFonts w:eastAsia="Calibri"/>
          <w:lang w:val="en-US"/>
        </w:rPr>
        <w:t>100% phaseout</w:t>
      </w:r>
      <w:r w:rsidR="00CB6E53">
        <w:rPr>
          <w:rFonts w:eastAsia="Calibri"/>
          <w:lang w:val="en-US"/>
        </w:rPr>
        <w:t xml:space="preserve"> of HCFCs</w:t>
      </w:r>
      <w:r w:rsidR="00F555E6">
        <w:rPr>
          <w:rFonts w:eastAsia="Calibri"/>
          <w:lang w:val="en-US"/>
        </w:rPr>
        <w:t>;</w:t>
      </w:r>
    </w:p>
    <w:p w14:paraId="1B70C63E" w14:textId="00F1B85A" w:rsidR="004812BA" w:rsidRPr="006C3241" w:rsidRDefault="004812BA" w:rsidP="000E79CB">
      <w:pPr>
        <w:numPr>
          <w:ilvl w:val="0"/>
          <w:numId w:val="14"/>
        </w:numPr>
        <w:tabs>
          <w:tab w:val="clear" w:pos="0"/>
        </w:tabs>
        <w:snapToGrid w:val="0"/>
        <w:spacing w:before="100" w:beforeAutospacing="1" w:after="100" w:afterAutospacing="1"/>
        <w:ind w:left="1140"/>
        <w:contextualSpacing/>
        <w:rPr>
          <w:rFonts w:eastAsia="Calibri"/>
          <w:lang w:val="en-US"/>
        </w:rPr>
      </w:pPr>
      <w:r w:rsidRPr="006C3241">
        <w:rPr>
          <w:rFonts w:eastAsia="Calibri"/>
          <w:lang w:val="en-US"/>
        </w:rPr>
        <w:t xml:space="preserve">Funding for </w:t>
      </w:r>
      <w:r w:rsidR="00F555E6">
        <w:rPr>
          <w:rFonts w:eastAsia="Calibri"/>
          <w:lang w:val="en-US"/>
        </w:rPr>
        <w:t>PRP;</w:t>
      </w:r>
    </w:p>
    <w:p w14:paraId="5071EA80" w14:textId="79BAC9D4" w:rsidR="004812BA" w:rsidRPr="006C3241" w:rsidRDefault="004812BA" w:rsidP="000E79CB">
      <w:pPr>
        <w:numPr>
          <w:ilvl w:val="0"/>
          <w:numId w:val="14"/>
        </w:numPr>
        <w:tabs>
          <w:tab w:val="clear" w:pos="0"/>
        </w:tabs>
        <w:snapToGrid w:val="0"/>
        <w:spacing w:before="100" w:beforeAutospacing="1" w:after="100" w:afterAutospacing="1"/>
        <w:ind w:left="1140"/>
        <w:contextualSpacing/>
        <w:rPr>
          <w:rFonts w:eastAsia="Calibri"/>
          <w:lang w:val="en-US"/>
        </w:rPr>
      </w:pPr>
      <w:r w:rsidRPr="006C3241">
        <w:rPr>
          <w:rFonts w:eastAsia="Calibri"/>
          <w:lang w:val="en-US"/>
        </w:rPr>
        <w:t>Funding for verification</w:t>
      </w:r>
      <w:r w:rsidR="00A37180">
        <w:rPr>
          <w:rFonts w:eastAsia="Calibri"/>
          <w:lang w:val="en-US"/>
        </w:rPr>
        <w:t>; and</w:t>
      </w:r>
    </w:p>
    <w:p w14:paraId="3D3E1042" w14:textId="1A88C58E" w:rsidR="004812BA" w:rsidRPr="006C3241" w:rsidRDefault="004812BA" w:rsidP="000E79CB">
      <w:pPr>
        <w:numPr>
          <w:ilvl w:val="0"/>
          <w:numId w:val="14"/>
        </w:numPr>
        <w:tabs>
          <w:tab w:val="clear" w:pos="0"/>
        </w:tabs>
        <w:snapToGrid w:val="0"/>
        <w:spacing w:before="100" w:beforeAutospacing="1" w:after="100" w:afterAutospacing="1"/>
        <w:ind w:left="1140"/>
        <w:contextualSpacing/>
        <w:rPr>
          <w:lang w:val="en-US"/>
        </w:rPr>
      </w:pPr>
      <w:r w:rsidRPr="006C3241">
        <w:rPr>
          <w:rFonts w:eastAsia="Calibri"/>
          <w:lang w:val="en-US"/>
        </w:rPr>
        <w:t xml:space="preserve">Funding for </w:t>
      </w:r>
      <w:r w:rsidR="00F555E6">
        <w:rPr>
          <w:rFonts w:eastAsia="Calibri"/>
          <w:lang w:val="en-US"/>
        </w:rPr>
        <w:t>EE</w:t>
      </w:r>
      <w:r w:rsidRPr="006C3241">
        <w:rPr>
          <w:rFonts w:eastAsia="Calibri"/>
          <w:lang w:val="en-US"/>
        </w:rPr>
        <w:t xml:space="preserve"> </w:t>
      </w:r>
      <w:r w:rsidR="00A744C9" w:rsidRPr="00A744C9">
        <w:rPr>
          <w:rFonts w:eastAsia="Calibri"/>
          <w:lang w:val="en-US"/>
        </w:rPr>
        <w:t>in line with Ex</w:t>
      </w:r>
      <w:r w:rsidR="0069713D" w:rsidRPr="0069713D">
        <w:rPr>
          <w:rFonts w:eastAsia="Calibri"/>
          <w:lang w:val="en-US"/>
        </w:rPr>
        <w:t xml:space="preserve">Com </w:t>
      </w:r>
      <w:r w:rsidRPr="006C3241">
        <w:rPr>
          <w:rFonts w:eastAsia="Calibri"/>
          <w:lang w:val="en-US"/>
        </w:rPr>
        <w:t xml:space="preserve">Decision </w:t>
      </w:r>
      <w:r w:rsidR="5AD5DB8B" w:rsidRPr="5AD5DB8B">
        <w:rPr>
          <w:rFonts w:eastAsia="Calibri"/>
          <w:lang w:val="en-US"/>
        </w:rPr>
        <w:t>89/6</w:t>
      </w:r>
      <w:r w:rsidR="0069713D">
        <w:rPr>
          <w:rFonts w:eastAsia="Calibri"/>
          <w:lang w:val="en-US"/>
        </w:rPr>
        <w:t>.</w:t>
      </w:r>
      <w:r w:rsidRPr="006C3241">
        <w:rPr>
          <w:rFonts w:eastAsia="Calibri"/>
          <w:lang w:val="en-US"/>
        </w:rPr>
        <w:t xml:space="preserve"> </w:t>
      </w:r>
    </w:p>
    <w:p w14:paraId="11029310" w14:textId="77777777" w:rsidR="004812BA" w:rsidRPr="006C3241" w:rsidRDefault="004812BA" w:rsidP="004812BA">
      <w:pPr>
        <w:snapToGrid w:val="0"/>
        <w:spacing w:before="100" w:beforeAutospacing="1" w:after="100" w:afterAutospacing="1"/>
        <w:contextualSpacing/>
        <w:rPr>
          <w:lang w:val="en-US"/>
        </w:rPr>
      </w:pPr>
    </w:p>
    <w:p w14:paraId="5A6CBCFA" w14:textId="0AB77211" w:rsidR="5AD5DB8B" w:rsidRDefault="5AD5DB8B" w:rsidP="00F533E0">
      <w:pPr>
        <w:spacing w:after="120"/>
      </w:pPr>
      <w:r w:rsidRPr="5AD5DB8B">
        <w:t>Some additional key assumptions made by the RTF for its estimates included:</w:t>
      </w:r>
    </w:p>
    <w:p w14:paraId="64C44D48" w14:textId="5F06F74A" w:rsidR="00AD6665" w:rsidRPr="00AD6665" w:rsidRDefault="00185768" w:rsidP="004E5288">
      <w:pPr>
        <w:pStyle w:val="ListParagraph"/>
        <w:numPr>
          <w:ilvl w:val="0"/>
          <w:numId w:val="99"/>
        </w:numPr>
        <w:rPr>
          <w:rFonts w:eastAsia="Calibri"/>
        </w:rPr>
      </w:pPr>
      <w:r>
        <w:rPr>
          <w:rFonts w:eastAsia="Calibri"/>
        </w:rPr>
        <w:t>IAs</w:t>
      </w:r>
      <w:r w:rsidR="5AD5DB8B" w:rsidRPr="00F533E0">
        <w:rPr>
          <w:rFonts w:eastAsia="Calibri"/>
        </w:rPr>
        <w:t>’ support costs were considered at an average of 9.6%, unless indicated otherwise;</w:t>
      </w:r>
    </w:p>
    <w:p w14:paraId="681AAF2B" w14:textId="33B51DEC" w:rsidR="5AD5DB8B" w:rsidRDefault="5AD5DB8B" w:rsidP="004E5288">
      <w:pPr>
        <w:pStyle w:val="ListParagraph"/>
        <w:rPr>
          <w:lang w:val="en-US"/>
        </w:rPr>
      </w:pPr>
      <w:r w:rsidRPr="00AD6665">
        <w:rPr>
          <w:lang w:val="en-US"/>
        </w:rPr>
        <w:t>A</w:t>
      </w:r>
      <w:r w:rsidRPr="00F533E0">
        <w:rPr>
          <w:lang w:val="en-US"/>
        </w:rPr>
        <w:t xml:space="preserve"> 15% deduction </w:t>
      </w:r>
      <w:r w:rsidR="00795D6D" w:rsidRPr="00F533E0">
        <w:rPr>
          <w:lang w:val="en-US"/>
        </w:rPr>
        <w:t xml:space="preserve">was applied to account for </w:t>
      </w:r>
      <w:r w:rsidR="633D2D1D" w:rsidRPr="00AD6665">
        <w:rPr>
          <w:lang w:val="en-US"/>
        </w:rPr>
        <w:t>ineligible</w:t>
      </w:r>
      <w:r w:rsidRPr="00F533E0">
        <w:t xml:space="preserve"> </w:t>
      </w:r>
      <w:r w:rsidR="008C7940" w:rsidRPr="00F533E0">
        <w:t xml:space="preserve">foreign </w:t>
      </w:r>
      <w:r w:rsidRPr="00F533E0">
        <w:t xml:space="preserve">ownership in </w:t>
      </w:r>
      <w:r w:rsidR="00E2684C" w:rsidRPr="00F533E0">
        <w:t xml:space="preserve">the </w:t>
      </w:r>
      <w:r w:rsidRPr="00F533E0">
        <w:t>manufacturing sectors</w:t>
      </w:r>
      <w:r w:rsidR="00AD6665">
        <w:rPr>
          <w:lang w:val="en-US"/>
        </w:rPr>
        <w:t xml:space="preserve"> (please see Caveat in section 1.6.10).</w:t>
      </w:r>
    </w:p>
    <w:p w14:paraId="2AD0938C" w14:textId="264C41A7" w:rsidR="004812BA" w:rsidRPr="006C3241" w:rsidRDefault="004812BA" w:rsidP="004812BA">
      <w:pPr>
        <w:snapToGrid w:val="0"/>
        <w:spacing w:before="100" w:beforeAutospacing="1" w:after="0" w:afterAutospacing="1"/>
        <w:contextualSpacing/>
        <w:rPr>
          <w:sz w:val="24"/>
          <w:szCs w:val="24"/>
          <w:lang w:val="en-US"/>
        </w:rPr>
      </w:pPr>
      <w:r w:rsidRPr="006C3241">
        <w:rPr>
          <w:sz w:val="24"/>
          <w:szCs w:val="24"/>
          <w:lang w:val="en-US"/>
        </w:rPr>
        <w:t xml:space="preserve">RTF treated the 144 </w:t>
      </w:r>
      <w:r w:rsidRPr="006C3241">
        <w:rPr>
          <w:lang w:val="en-US"/>
        </w:rPr>
        <w:t xml:space="preserve">A5 </w:t>
      </w:r>
      <w:r w:rsidR="00F555E6">
        <w:rPr>
          <w:lang w:val="en-US"/>
        </w:rPr>
        <w:t>p</w:t>
      </w:r>
      <w:r w:rsidRPr="006C3241">
        <w:rPr>
          <w:lang w:val="en-US"/>
        </w:rPr>
        <w:t>arties based on their HPMPs’ approval and implementation status and grouped them accordingly, for funding calculation purpose</w:t>
      </w:r>
      <w:r w:rsidR="00BE1A41">
        <w:rPr>
          <w:lang w:val="en-US"/>
        </w:rPr>
        <w:t>s</w:t>
      </w:r>
      <w:r w:rsidRPr="006C3241">
        <w:rPr>
          <w:lang w:val="en-US"/>
        </w:rPr>
        <w:t>. Funding for project preparation, verification</w:t>
      </w:r>
      <w:r w:rsidR="00AD6665">
        <w:rPr>
          <w:lang w:val="en-US"/>
        </w:rPr>
        <w:t>,</w:t>
      </w:r>
      <w:r w:rsidRPr="006C3241">
        <w:rPr>
          <w:lang w:val="en-US"/>
        </w:rPr>
        <w:t xml:space="preserve"> and </w:t>
      </w:r>
      <w:r w:rsidR="00D02C1C">
        <w:rPr>
          <w:lang w:val="en-US"/>
        </w:rPr>
        <w:t>EE</w:t>
      </w:r>
      <w:r w:rsidRPr="006C3241">
        <w:rPr>
          <w:lang w:val="en-US"/>
        </w:rPr>
        <w:t xml:space="preserve"> are presented</w:t>
      </w:r>
      <w:r>
        <w:rPr>
          <w:lang w:val="en-US"/>
        </w:rPr>
        <w:t xml:space="preserve"> as</w:t>
      </w:r>
      <w:r w:rsidRPr="006C3241">
        <w:rPr>
          <w:lang w:val="en-US"/>
        </w:rPr>
        <w:t xml:space="preserve"> separate lines.</w:t>
      </w:r>
      <w:r w:rsidRPr="006A5595">
        <w:t xml:space="preserve"> </w:t>
      </w:r>
      <w:r w:rsidRPr="006A5595">
        <w:rPr>
          <w:lang w:val="en-US"/>
        </w:rPr>
        <w:t xml:space="preserve">For HCFC, the model is simplified to encompass </w:t>
      </w:r>
      <w:r w:rsidRPr="006A5595">
        <w:rPr>
          <w:lang w:val="en-US"/>
        </w:rPr>
        <w:lastRenderedPageBreak/>
        <w:t xml:space="preserve">new estimated funding </w:t>
      </w:r>
      <w:r w:rsidR="00025FCD" w:rsidRPr="006A5595">
        <w:rPr>
          <w:lang w:val="en-US"/>
        </w:rPr>
        <w:t>calculations</w:t>
      </w:r>
      <w:r w:rsidRPr="006A5595">
        <w:rPr>
          <w:lang w:val="en-US"/>
        </w:rPr>
        <w:t xml:space="preserve"> for the 25 parties that still need to complete their phaseout, and all the committed funding for all the other parties with approved HPMPs</w:t>
      </w:r>
      <w:r>
        <w:rPr>
          <w:lang w:val="en-US"/>
        </w:rPr>
        <w:t>.</w:t>
      </w:r>
    </w:p>
    <w:p w14:paraId="1EB92752" w14:textId="77777777" w:rsidR="004812BA" w:rsidRPr="006C3241" w:rsidRDefault="004812BA" w:rsidP="004812BA">
      <w:pPr>
        <w:snapToGrid w:val="0"/>
        <w:spacing w:before="100" w:beforeAutospacing="1" w:after="0" w:afterAutospacing="1"/>
        <w:contextualSpacing/>
        <w:rPr>
          <w:lang w:val="en-US"/>
        </w:rPr>
      </w:pPr>
    </w:p>
    <w:p w14:paraId="402636E0" w14:textId="6D9A7C25" w:rsidR="004812BA" w:rsidRDefault="077E58F6" w:rsidP="077E58F6">
      <w:pPr>
        <w:snapToGrid w:val="0"/>
        <w:spacing w:before="100" w:beforeAutospacing="1" w:after="0" w:afterAutospacing="1"/>
        <w:contextualSpacing/>
        <w:rPr>
          <w:lang w:val="en-US"/>
        </w:rPr>
      </w:pPr>
      <w:r w:rsidRPr="077E58F6">
        <w:rPr>
          <w:lang w:val="en-US"/>
        </w:rPr>
        <w:t xml:space="preserve">With the approaching HCFCs phaseout date and the HPMPs implementation progress, most of the 144 A5 parties have been assisted in addressing all HCFC phaseout targets. The number of parties that still need </w:t>
      </w:r>
      <w:r w:rsidRPr="077E58F6">
        <w:rPr>
          <w:u w:val="single"/>
          <w:lang w:val="en-US"/>
        </w:rPr>
        <w:t>new</w:t>
      </w:r>
      <w:r w:rsidRPr="077E58F6">
        <w:rPr>
          <w:lang w:val="en-US"/>
        </w:rPr>
        <w:t xml:space="preserve"> funding is limited to 28, being 15 non-LVCs parties, 10 LVCs parties and three parties with cancelled HPMPs. </w:t>
      </w:r>
    </w:p>
    <w:p w14:paraId="15141129" w14:textId="77777777" w:rsidR="004812BA" w:rsidRDefault="004812BA" w:rsidP="004812BA">
      <w:pPr>
        <w:snapToGrid w:val="0"/>
        <w:spacing w:before="100" w:beforeAutospacing="1" w:after="0" w:afterAutospacing="1"/>
        <w:contextualSpacing/>
        <w:rPr>
          <w:lang w:val="en-US"/>
        </w:rPr>
      </w:pPr>
    </w:p>
    <w:p w14:paraId="3DE306F2" w14:textId="77777777" w:rsidR="004812BA" w:rsidRDefault="004812BA" w:rsidP="00D67045">
      <w:pPr>
        <w:snapToGrid w:val="0"/>
        <w:spacing w:before="100" w:beforeAutospacing="1"/>
        <w:contextualSpacing/>
        <w:rPr>
          <w:lang w:val="en-US"/>
        </w:rPr>
      </w:pPr>
      <w:r>
        <w:rPr>
          <w:lang w:val="en-US"/>
        </w:rPr>
        <w:t xml:space="preserve">For this </w:t>
      </w:r>
      <w:r w:rsidRPr="006C3241">
        <w:rPr>
          <w:lang w:val="en-US"/>
        </w:rPr>
        <w:t>assessment</w:t>
      </w:r>
      <w:r>
        <w:rPr>
          <w:lang w:val="en-US"/>
        </w:rPr>
        <w:t xml:space="preserve">, the </w:t>
      </w:r>
      <w:r w:rsidRPr="006C3241">
        <w:rPr>
          <w:lang w:val="en-US"/>
        </w:rPr>
        <w:t xml:space="preserve">RTF </w:t>
      </w:r>
      <w:r>
        <w:rPr>
          <w:lang w:val="en-US"/>
        </w:rPr>
        <w:t xml:space="preserve">estimated funding approach </w:t>
      </w:r>
      <w:r w:rsidRPr="006C3241">
        <w:rPr>
          <w:lang w:val="en-US"/>
        </w:rPr>
        <w:t>grouped parties following their HPMP status following the steps below</w:t>
      </w:r>
      <w:r>
        <w:rPr>
          <w:lang w:val="en-US"/>
        </w:rPr>
        <w:t>:</w:t>
      </w:r>
    </w:p>
    <w:p w14:paraId="498E3C78" w14:textId="77777777" w:rsidR="004812BA" w:rsidRPr="006C3241" w:rsidRDefault="004812BA" w:rsidP="004812BA">
      <w:pPr>
        <w:snapToGrid w:val="0"/>
        <w:spacing w:before="100" w:beforeAutospacing="1" w:after="0" w:afterAutospacing="1"/>
        <w:contextualSpacing/>
        <w:rPr>
          <w:lang w:val="en-US"/>
        </w:rPr>
      </w:pPr>
    </w:p>
    <w:p w14:paraId="70B2972A" w14:textId="77777777" w:rsidR="004812BA" w:rsidRPr="006C3241" w:rsidRDefault="004812BA" w:rsidP="004812BA">
      <w:pPr>
        <w:snapToGrid w:val="0"/>
        <w:spacing w:before="100" w:beforeAutospacing="1" w:after="0" w:afterAutospacing="1"/>
        <w:contextualSpacing/>
        <w:rPr>
          <w:b/>
          <w:bCs/>
          <w:lang w:val="en-US"/>
        </w:rPr>
      </w:pPr>
    </w:p>
    <w:p w14:paraId="0E5E22B8" w14:textId="77777777" w:rsidR="004812BA" w:rsidRPr="006C3241" w:rsidRDefault="004812BA" w:rsidP="004812BA">
      <w:pPr>
        <w:snapToGrid w:val="0"/>
        <w:spacing w:before="100" w:beforeAutospacing="1" w:after="0" w:afterAutospacing="1"/>
        <w:contextualSpacing/>
        <w:rPr>
          <w:b/>
          <w:bCs/>
          <w:color w:val="000000"/>
          <w:lang w:val="en-US"/>
        </w:rPr>
      </w:pPr>
      <w:r>
        <w:rPr>
          <w:b/>
          <w:bCs/>
          <w:color w:val="000000"/>
          <w:lang w:val="en-US"/>
        </w:rPr>
        <w:t>S</w:t>
      </w:r>
      <w:r w:rsidRPr="006C3241">
        <w:rPr>
          <w:b/>
          <w:bCs/>
          <w:color w:val="000000"/>
          <w:lang w:val="en-US"/>
        </w:rPr>
        <w:t>TEP 1</w:t>
      </w:r>
      <w:r w:rsidRPr="006C3241">
        <w:rPr>
          <w:color w:val="000000"/>
          <w:lang w:val="en-US"/>
        </w:rPr>
        <w:t xml:space="preserve">. </w:t>
      </w:r>
      <w:r w:rsidRPr="006C3241">
        <w:rPr>
          <w:b/>
          <w:bCs/>
          <w:color w:val="000000"/>
          <w:u w:val="single"/>
          <w:lang w:val="en-US"/>
        </w:rPr>
        <w:t>Parties (116) with approved HPMPs with agreements with ExCom covering 100% of their phase out obligation</w:t>
      </w:r>
    </w:p>
    <w:p w14:paraId="4C669514" w14:textId="77777777" w:rsidR="004812BA" w:rsidRDefault="004812BA" w:rsidP="004812BA">
      <w:pPr>
        <w:snapToGrid w:val="0"/>
        <w:spacing w:before="100" w:beforeAutospacing="1" w:after="0" w:afterAutospacing="1"/>
        <w:contextualSpacing/>
        <w:rPr>
          <w:color w:val="000000"/>
          <w:lang w:val="en-US"/>
        </w:rPr>
      </w:pPr>
    </w:p>
    <w:p w14:paraId="16720EDD" w14:textId="3800524D" w:rsidR="004812BA" w:rsidRDefault="4BCEE662" w:rsidP="4BCEE662">
      <w:pPr>
        <w:snapToGrid w:val="0"/>
        <w:spacing w:before="100" w:beforeAutospacing="1" w:after="0" w:afterAutospacing="1"/>
        <w:contextualSpacing/>
        <w:rPr>
          <w:lang w:val="en-US"/>
        </w:rPr>
      </w:pPr>
      <w:r w:rsidRPr="4BCEE662">
        <w:rPr>
          <w:lang w:val="en-US"/>
        </w:rPr>
        <w:t xml:space="preserve">Funding for those 116 parties has already been approved by the </w:t>
      </w:r>
      <w:r w:rsidR="00AF291D">
        <w:rPr>
          <w:lang w:val="en-US"/>
        </w:rPr>
        <w:t>ExCom</w:t>
      </w:r>
      <w:r w:rsidRPr="4BCEE662">
        <w:rPr>
          <w:lang w:val="en-US"/>
        </w:rPr>
        <w:t xml:space="preserve">. Other than the funding already committed, no new funding is projected for those 116 parties, nor for 2.5% HCFC servicing tail for the ones with 2.5% remaining (one party). Committed funding amounts to </w:t>
      </w:r>
      <w:r w:rsidRPr="4BCEE662">
        <w:rPr>
          <w:b/>
          <w:bCs/>
          <w:lang w:val="en-US"/>
        </w:rPr>
        <w:t>US$ 76.73 million in 2027 to 2029 triennium and US$ 20.13 million in 2030 to 2031 period</w:t>
      </w:r>
      <w:r w:rsidRPr="4BCEE662">
        <w:rPr>
          <w:lang w:val="en-US"/>
        </w:rPr>
        <w:t xml:space="preserve">, as per information received from the MLFS. Funding commitments go only until 2031. This methodology step is shown in the </w:t>
      </w:r>
      <w:r w:rsidR="004554FE">
        <w:rPr>
          <w:lang w:val="en-US"/>
        </w:rPr>
        <w:t>Figure A</w:t>
      </w:r>
      <w:r w:rsidR="00F36D93">
        <w:rPr>
          <w:lang w:val="en-US"/>
        </w:rPr>
        <w:t>1.</w:t>
      </w:r>
      <w:r w:rsidR="004554FE">
        <w:rPr>
          <w:lang w:val="en-US"/>
        </w:rPr>
        <w:t xml:space="preserve">1 </w:t>
      </w:r>
      <w:r w:rsidRPr="4BCEE662">
        <w:rPr>
          <w:lang w:val="en-US"/>
        </w:rPr>
        <w:t xml:space="preserve">flow chart below, and the committed funding is presented under </w:t>
      </w:r>
      <w:r w:rsidRPr="00EC5394">
        <w:rPr>
          <w:b/>
          <w:bCs/>
          <w:lang w:val="en-US"/>
        </w:rPr>
        <w:t>Output 1.</w:t>
      </w:r>
    </w:p>
    <w:p w14:paraId="5841E946" w14:textId="77777777" w:rsidR="000F3408" w:rsidRDefault="000F3408" w:rsidP="4BCEE662">
      <w:pPr>
        <w:snapToGrid w:val="0"/>
        <w:spacing w:before="100" w:beforeAutospacing="1" w:after="0" w:afterAutospacing="1"/>
        <w:contextualSpacing/>
        <w:rPr>
          <w:lang w:val="en-US"/>
        </w:rPr>
      </w:pPr>
    </w:p>
    <w:p w14:paraId="0D5483F6" w14:textId="1FEF5460" w:rsidR="00872677" w:rsidRDefault="000F3408" w:rsidP="002135B0">
      <w:pPr>
        <w:tabs>
          <w:tab w:val="left" w:pos="1276"/>
        </w:tabs>
        <w:ind w:left="1276" w:hanging="1276"/>
        <w:rPr>
          <w:rFonts w:eastAsiaTheme="minorEastAsia"/>
          <w:b/>
          <w:bCs/>
        </w:rPr>
      </w:pPr>
      <w:r>
        <w:rPr>
          <w:rFonts w:eastAsiaTheme="minorEastAsia"/>
          <w:b/>
          <w:bCs/>
        </w:rPr>
        <w:t>Figure A</w:t>
      </w:r>
      <w:r w:rsidR="00F36D93">
        <w:rPr>
          <w:rFonts w:eastAsiaTheme="minorEastAsia"/>
          <w:b/>
          <w:bCs/>
        </w:rPr>
        <w:t>1.</w:t>
      </w:r>
      <w:r>
        <w:rPr>
          <w:rFonts w:eastAsiaTheme="minorEastAsia"/>
          <w:b/>
          <w:bCs/>
        </w:rPr>
        <w:t>1</w:t>
      </w:r>
      <w:r w:rsidR="00DC7DBE">
        <w:rPr>
          <w:rFonts w:eastAsiaTheme="minorEastAsia"/>
          <w:b/>
          <w:bCs/>
        </w:rPr>
        <w:tab/>
        <w:t>F</w:t>
      </w:r>
      <w:r w:rsidR="00D54488">
        <w:rPr>
          <w:rFonts w:eastAsiaTheme="minorEastAsia"/>
          <w:b/>
          <w:bCs/>
        </w:rPr>
        <w:t xml:space="preserve">lowchart for </w:t>
      </w:r>
      <w:r w:rsidR="00D0592A">
        <w:rPr>
          <w:rFonts w:eastAsiaTheme="minorEastAsia"/>
          <w:b/>
          <w:bCs/>
        </w:rPr>
        <w:t>estimat</w:t>
      </w:r>
      <w:r w:rsidR="00F135A0">
        <w:rPr>
          <w:rFonts w:eastAsiaTheme="minorEastAsia"/>
          <w:b/>
          <w:bCs/>
        </w:rPr>
        <w:t>ing</w:t>
      </w:r>
      <w:r w:rsidR="00D0592A">
        <w:rPr>
          <w:rFonts w:eastAsiaTheme="minorEastAsia"/>
          <w:b/>
          <w:bCs/>
        </w:rPr>
        <w:t xml:space="preserve"> </w:t>
      </w:r>
      <w:r w:rsidR="00D54488">
        <w:rPr>
          <w:rFonts w:eastAsiaTheme="minorEastAsia"/>
          <w:b/>
          <w:bCs/>
        </w:rPr>
        <w:t xml:space="preserve">funding </w:t>
      </w:r>
      <w:r w:rsidR="00374481">
        <w:rPr>
          <w:rFonts w:eastAsiaTheme="minorEastAsia"/>
          <w:b/>
          <w:bCs/>
        </w:rPr>
        <w:t xml:space="preserve">for </w:t>
      </w:r>
      <w:r w:rsidR="004B5BC6">
        <w:rPr>
          <w:rFonts w:eastAsiaTheme="minorEastAsia"/>
          <w:b/>
          <w:bCs/>
        </w:rPr>
        <w:t xml:space="preserve">Output 1: </w:t>
      </w:r>
      <w:r w:rsidR="00374481">
        <w:rPr>
          <w:rFonts w:eastAsiaTheme="minorEastAsia"/>
          <w:b/>
          <w:bCs/>
        </w:rPr>
        <w:t xml:space="preserve">116 parties </w:t>
      </w:r>
      <w:r w:rsidR="00E068C4">
        <w:rPr>
          <w:rFonts w:eastAsiaTheme="minorEastAsia"/>
          <w:b/>
          <w:bCs/>
        </w:rPr>
        <w:t>with approved HPMPs for 100% phase-out</w:t>
      </w:r>
    </w:p>
    <w:p w14:paraId="30B0EBA9" w14:textId="3E3EE142" w:rsidR="004812BA" w:rsidRPr="006D368F" w:rsidRDefault="004812BA" w:rsidP="00872677">
      <w:pPr>
        <w:tabs>
          <w:tab w:val="left" w:pos="1418"/>
        </w:tabs>
        <w:ind w:left="1418" w:hanging="1418"/>
        <w:jc w:val="center"/>
        <w:rPr>
          <w:b/>
          <w:bCs/>
          <w:lang w:val="en-US"/>
        </w:rPr>
      </w:pPr>
      <w:r w:rsidRPr="006C3241">
        <w:rPr>
          <w:b/>
          <w:bCs/>
          <w:noProof/>
          <w:lang w:val="en-US"/>
        </w:rPr>
        <w:drawing>
          <wp:inline distT="0" distB="0" distL="0" distR="0" wp14:anchorId="2D89DA3E" wp14:editId="15BC0B58">
            <wp:extent cx="5695019" cy="3382940"/>
            <wp:effectExtent l="0" t="0" r="0" b="0"/>
            <wp:docPr id="8061099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2535" cy="3423045"/>
                    </a:xfrm>
                    <a:prstGeom prst="rect">
                      <a:avLst/>
                    </a:prstGeom>
                    <a:noFill/>
                  </pic:spPr>
                </pic:pic>
              </a:graphicData>
            </a:graphic>
          </wp:inline>
        </w:drawing>
      </w:r>
    </w:p>
    <w:p w14:paraId="0E4D6ECA" w14:textId="77777777" w:rsidR="004812BA" w:rsidRDefault="004812BA" w:rsidP="004812BA">
      <w:pPr>
        <w:snapToGrid w:val="0"/>
        <w:spacing w:before="100" w:beforeAutospacing="1" w:after="0" w:afterAutospacing="1"/>
        <w:contextualSpacing/>
        <w:rPr>
          <w:b/>
          <w:bCs/>
          <w:lang w:val="en-US"/>
        </w:rPr>
      </w:pPr>
    </w:p>
    <w:p w14:paraId="4B9FFE4B" w14:textId="77777777" w:rsidR="004812BA" w:rsidRDefault="004812BA" w:rsidP="004812BA">
      <w:pPr>
        <w:snapToGrid w:val="0"/>
        <w:spacing w:before="100" w:beforeAutospacing="1" w:after="0" w:afterAutospacing="1"/>
        <w:contextualSpacing/>
        <w:rPr>
          <w:lang w:val="en-US"/>
        </w:rPr>
      </w:pPr>
      <w:r w:rsidRPr="006C3241">
        <w:rPr>
          <w:b/>
          <w:bCs/>
          <w:lang w:val="en-US"/>
        </w:rPr>
        <w:t xml:space="preserve">STEP 2. </w:t>
      </w:r>
      <w:r w:rsidRPr="006C3241">
        <w:rPr>
          <w:b/>
          <w:bCs/>
          <w:u w:val="single"/>
          <w:lang w:val="en-US"/>
        </w:rPr>
        <w:t xml:space="preserve">Funding for </w:t>
      </w:r>
      <w:r>
        <w:rPr>
          <w:b/>
          <w:bCs/>
          <w:u w:val="single"/>
          <w:lang w:val="en-US"/>
        </w:rPr>
        <w:t>three</w:t>
      </w:r>
      <w:r w:rsidRPr="006C3241">
        <w:rPr>
          <w:b/>
          <w:bCs/>
          <w:u w:val="single"/>
          <w:lang w:val="en-US"/>
        </w:rPr>
        <w:t xml:space="preserve"> A5 parties with cancelled HPMPs</w:t>
      </w:r>
    </w:p>
    <w:p w14:paraId="53EB64F4" w14:textId="77777777" w:rsidR="004812BA" w:rsidRDefault="004812BA" w:rsidP="004812BA">
      <w:pPr>
        <w:snapToGrid w:val="0"/>
        <w:spacing w:before="100" w:beforeAutospacing="1" w:after="0" w:afterAutospacing="1"/>
        <w:contextualSpacing/>
        <w:rPr>
          <w:lang w:val="en-US"/>
        </w:rPr>
      </w:pPr>
    </w:p>
    <w:p w14:paraId="088CB917" w14:textId="21BB28FE" w:rsidR="004812BA" w:rsidRPr="006C3241" w:rsidRDefault="4BCEE662" w:rsidP="4BCEE662">
      <w:pPr>
        <w:snapToGrid w:val="0"/>
        <w:spacing w:before="100" w:beforeAutospacing="1" w:after="0" w:afterAutospacing="1"/>
        <w:contextualSpacing/>
        <w:rPr>
          <w:lang w:val="en-US"/>
        </w:rPr>
      </w:pPr>
      <w:r w:rsidRPr="4BCEE662">
        <w:rPr>
          <w:lang w:val="en-US"/>
        </w:rPr>
        <w:t xml:space="preserve">This includes two LVC </w:t>
      </w:r>
      <w:r w:rsidR="00833E58">
        <w:rPr>
          <w:lang w:val="en-US"/>
        </w:rPr>
        <w:t>p</w:t>
      </w:r>
      <w:r w:rsidRPr="4BCEE662">
        <w:rPr>
          <w:lang w:val="en-US"/>
        </w:rPr>
        <w:t>arties with baselines of 12 and 6.8 OD</w:t>
      </w:r>
      <w:r w:rsidR="00833E58">
        <w:rPr>
          <w:lang w:val="en-US"/>
        </w:rPr>
        <w:t>P</w:t>
      </w:r>
      <w:r w:rsidRPr="4BCEE662">
        <w:rPr>
          <w:lang w:val="en-US"/>
        </w:rPr>
        <w:t xml:space="preserve">t, and one non-LVC </w:t>
      </w:r>
      <w:r w:rsidR="00833E58">
        <w:rPr>
          <w:lang w:val="en-US"/>
        </w:rPr>
        <w:t>p</w:t>
      </w:r>
      <w:r w:rsidRPr="4BCEE662">
        <w:rPr>
          <w:lang w:val="en-US"/>
        </w:rPr>
        <w:t xml:space="preserve">arty, with a baseline of 158.2 ODPt. Funding requirements were calculated separately for LVC and non-LVC </w:t>
      </w:r>
      <w:r w:rsidR="00833E58">
        <w:rPr>
          <w:lang w:val="en-US"/>
        </w:rPr>
        <w:t>p</w:t>
      </w:r>
      <w:r w:rsidRPr="4BCEE662">
        <w:rPr>
          <w:lang w:val="en-US"/>
        </w:rPr>
        <w:t xml:space="preserve">arties. </w:t>
      </w:r>
      <w:r>
        <w:t xml:space="preserve">For non-LVC </w:t>
      </w:r>
      <w:r w:rsidR="00833E58">
        <w:t>p</w:t>
      </w:r>
      <w:r>
        <w:t xml:space="preserve">arties, calculations were </w:t>
      </w:r>
      <w:r w:rsidRPr="4BCEE662">
        <w:rPr>
          <w:lang w:val="en-US"/>
        </w:rPr>
        <w:t>based on the CEs established in the applicable cost guidelines, while for the LVC</w:t>
      </w:r>
      <w:r w:rsidR="00833E58">
        <w:rPr>
          <w:lang w:val="en-US"/>
        </w:rPr>
        <w:t xml:space="preserve"> p</w:t>
      </w:r>
      <w:r w:rsidRPr="4BCEE662">
        <w:rPr>
          <w:lang w:val="en-US"/>
        </w:rPr>
        <w:t xml:space="preserve">arties, the cost framework as per ExCom </w:t>
      </w:r>
      <w:r w:rsidR="00833E58">
        <w:rPr>
          <w:lang w:val="en-US"/>
        </w:rPr>
        <w:t>D</w:t>
      </w:r>
      <w:r w:rsidR="00833E58" w:rsidRPr="4BCEE662">
        <w:rPr>
          <w:lang w:val="en-US"/>
        </w:rPr>
        <w:t xml:space="preserve">ecision </w:t>
      </w:r>
      <w:r w:rsidRPr="4BCEE662">
        <w:rPr>
          <w:lang w:val="en-US"/>
        </w:rPr>
        <w:t>74/50 was applied.</w:t>
      </w:r>
    </w:p>
    <w:p w14:paraId="19A54FAB" w14:textId="77777777" w:rsidR="004812BA" w:rsidRDefault="004812BA" w:rsidP="004812BA">
      <w:pPr>
        <w:snapToGrid w:val="0"/>
        <w:spacing w:before="100" w:beforeAutospacing="1" w:after="0" w:afterAutospacing="1"/>
        <w:contextualSpacing/>
        <w:rPr>
          <w:lang w:val="en-US"/>
        </w:rPr>
      </w:pPr>
    </w:p>
    <w:p w14:paraId="4067E56F" w14:textId="0B64A131" w:rsidR="002B326A" w:rsidRDefault="004812BA" w:rsidP="01B3D131">
      <w:pPr>
        <w:snapToGrid w:val="0"/>
        <w:spacing w:before="100" w:beforeAutospacing="1" w:after="0" w:afterAutospacing="1"/>
        <w:contextualSpacing/>
        <w:rPr>
          <w:lang w:val="en-US"/>
        </w:rPr>
      </w:pPr>
      <w:r w:rsidRPr="01B3D131">
        <w:rPr>
          <w:lang w:val="en-US"/>
        </w:rPr>
        <w:lastRenderedPageBreak/>
        <w:t xml:space="preserve">For the three parties </w:t>
      </w:r>
      <w:r w:rsidR="001A461D">
        <w:rPr>
          <w:lang w:val="en-US"/>
        </w:rPr>
        <w:t xml:space="preserve">with cancelled </w:t>
      </w:r>
      <w:r w:rsidRPr="01B3D131">
        <w:rPr>
          <w:lang w:val="en-US"/>
        </w:rPr>
        <w:t>HPMP</w:t>
      </w:r>
      <w:r w:rsidR="001A461D">
        <w:rPr>
          <w:lang w:val="en-US"/>
        </w:rPr>
        <w:t>s</w:t>
      </w:r>
      <w:r w:rsidR="00141F1C">
        <w:rPr>
          <w:lang w:val="en-US"/>
        </w:rPr>
        <w:t>,</w:t>
      </w:r>
      <w:r w:rsidRPr="01B3D131">
        <w:rPr>
          <w:lang w:val="en-US"/>
        </w:rPr>
        <w:t xml:space="preserve"> future funding requests remain uncertain and </w:t>
      </w:r>
      <w:r w:rsidR="00141F1C">
        <w:rPr>
          <w:lang w:val="en-US"/>
        </w:rPr>
        <w:t xml:space="preserve">would </w:t>
      </w:r>
      <w:r w:rsidRPr="01B3D131">
        <w:rPr>
          <w:lang w:val="en-US"/>
        </w:rPr>
        <w:t xml:space="preserve">depend on </w:t>
      </w:r>
      <w:r w:rsidR="00647035" w:rsidRPr="00647035">
        <w:t xml:space="preserve">the preparation and subsequent approval of </w:t>
      </w:r>
      <w:r w:rsidRPr="01B3D131">
        <w:rPr>
          <w:lang w:val="en-US"/>
        </w:rPr>
        <w:t xml:space="preserve">new submissions. </w:t>
      </w:r>
      <w:r w:rsidR="00D61A56" w:rsidRPr="00D61A56">
        <w:rPr>
          <w:lang w:val="en-US"/>
        </w:rPr>
        <w:t xml:space="preserve">To ensure completeness of </w:t>
      </w:r>
      <w:r w:rsidRPr="01B3D131">
        <w:rPr>
          <w:lang w:val="en-US"/>
        </w:rPr>
        <w:t xml:space="preserve">the funding estimates and no party is left behind, </w:t>
      </w:r>
      <w:r w:rsidR="0065559D">
        <w:rPr>
          <w:lang w:val="en-US"/>
        </w:rPr>
        <w:t xml:space="preserve">the </w:t>
      </w:r>
      <w:r w:rsidRPr="01B3D131">
        <w:rPr>
          <w:lang w:val="en-US"/>
        </w:rPr>
        <w:t xml:space="preserve">RTF calculated the funding needs for those three parties </w:t>
      </w:r>
      <w:r w:rsidR="00B536CB">
        <w:rPr>
          <w:lang w:val="en-US"/>
        </w:rPr>
        <w:t xml:space="preserve">on the </w:t>
      </w:r>
      <w:r w:rsidRPr="01B3D131">
        <w:rPr>
          <w:lang w:val="en-US"/>
        </w:rPr>
        <w:t>assum</w:t>
      </w:r>
      <w:r w:rsidR="00B536CB">
        <w:rPr>
          <w:lang w:val="en-US"/>
        </w:rPr>
        <w:t>ption</w:t>
      </w:r>
      <w:r w:rsidRPr="01B3D131">
        <w:rPr>
          <w:lang w:val="en-US"/>
        </w:rPr>
        <w:t xml:space="preserve"> </w:t>
      </w:r>
      <w:r w:rsidR="00B536CB">
        <w:rPr>
          <w:lang w:val="en-US"/>
        </w:rPr>
        <w:t>that</w:t>
      </w:r>
      <w:r w:rsidRPr="01B3D131">
        <w:rPr>
          <w:lang w:val="en-US"/>
        </w:rPr>
        <w:t xml:space="preserve"> they can still request all eligible funds in the next triennium and </w:t>
      </w:r>
      <w:r w:rsidR="00923D40">
        <w:rPr>
          <w:lang w:val="en-US"/>
        </w:rPr>
        <w:t xml:space="preserve">achieve a </w:t>
      </w:r>
      <w:r w:rsidRPr="01B3D131">
        <w:rPr>
          <w:lang w:val="en-US"/>
        </w:rPr>
        <w:t>100% HCFC</w:t>
      </w:r>
      <w:r w:rsidR="009A3396">
        <w:rPr>
          <w:lang w:val="en-US"/>
        </w:rPr>
        <w:t xml:space="preserve"> phase</w:t>
      </w:r>
      <w:r w:rsidR="009D34C5">
        <w:rPr>
          <w:lang w:val="en-US"/>
        </w:rPr>
        <w:t>out</w:t>
      </w:r>
      <w:r w:rsidRPr="01B3D131">
        <w:rPr>
          <w:lang w:val="en-US"/>
        </w:rPr>
        <w:t xml:space="preserve"> according to the control targets under </w:t>
      </w:r>
      <w:r w:rsidR="00E00E6D">
        <w:rPr>
          <w:lang w:val="en-US"/>
        </w:rPr>
        <w:t xml:space="preserve">the </w:t>
      </w:r>
      <w:r w:rsidR="00FB7C66">
        <w:rPr>
          <w:lang w:val="en-US"/>
        </w:rPr>
        <w:t>MP</w:t>
      </w:r>
      <w:r w:rsidRPr="01B3D131">
        <w:rPr>
          <w:lang w:val="en-US"/>
        </w:rPr>
        <w:t>.</w:t>
      </w:r>
      <w:r w:rsidR="00E00E6D">
        <w:rPr>
          <w:lang w:val="en-US"/>
        </w:rPr>
        <w:t xml:space="preserve"> </w:t>
      </w:r>
      <w:r w:rsidRPr="01B3D131">
        <w:rPr>
          <w:lang w:val="en-US"/>
        </w:rPr>
        <w:t xml:space="preserve">Reduction </w:t>
      </w:r>
      <w:r w:rsidR="002F3EB4">
        <w:rPr>
          <w:lang w:val="en-US"/>
        </w:rPr>
        <w:t xml:space="preserve">estimates </w:t>
      </w:r>
      <w:r w:rsidR="00130422">
        <w:rPr>
          <w:lang w:val="en-US"/>
        </w:rPr>
        <w:t>we</w:t>
      </w:r>
      <w:r w:rsidR="002F3EB4">
        <w:rPr>
          <w:lang w:val="en-US"/>
        </w:rPr>
        <w:t>re</w:t>
      </w:r>
      <w:r w:rsidRPr="01B3D131">
        <w:rPr>
          <w:lang w:val="en-US"/>
        </w:rPr>
        <w:t xml:space="preserve"> based on reported 2024 HCFC consumption</w:t>
      </w:r>
      <w:r w:rsidR="003930D6">
        <w:rPr>
          <w:lang w:val="en-US"/>
        </w:rPr>
        <w:t xml:space="preserve"> for the three parties</w:t>
      </w:r>
      <w:r w:rsidRPr="01B3D131">
        <w:rPr>
          <w:lang w:val="en-US"/>
        </w:rPr>
        <w:t xml:space="preserve">. </w:t>
      </w:r>
    </w:p>
    <w:p w14:paraId="747C0572" w14:textId="77777777" w:rsidR="002B326A" w:rsidRDefault="002B326A" w:rsidP="01B3D131">
      <w:pPr>
        <w:snapToGrid w:val="0"/>
        <w:spacing w:before="100" w:beforeAutospacing="1" w:after="0" w:afterAutospacing="1"/>
        <w:contextualSpacing/>
        <w:rPr>
          <w:lang w:val="en-US"/>
        </w:rPr>
      </w:pPr>
    </w:p>
    <w:p w14:paraId="75EE2251" w14:textId="26B8D88D" w:rsidR="004812BA" w:rsidRDefault="004812BA" w:rsidP="01B3D131">
      <w:pPr>
        <w:snapToGrid w:val="0"/>
        <w:spacing w:before="100" w:beforeAutospacing="1" w:after="0" w:afterAutospacing="1"/>
        <w:contextualSpacing/>
        <w:rPr>
          <w:b/>
          <w:lang w:val="en-US"/>
        </w:rPr>
      </w:pPr>
      <w:r w:rsidRPr="01B3D131">
        <w:rPr>
          <w:lang w:val="en-US"/>
        </w:rPr>
        <w:t>This methodolog</w:t>
      </w:r>
      <w:r w:rsidR="004307FC">
        <w:rPr>
          <w:lang w:val="en-US"/>
        </w:rPr>
        <w:t>ical</w:t>
      </w:r>
      <w:r w:rsidRPr="01B3D131">
        <w:rPr>
          <w:lang w:val="en-US"/>
        </w:rPr>
        <w:t xml:space="preserve"> step is shown in the</w:t>
      </w:r>
      <w:r w:rsidR="002B326A">
        <w:rPr>
          <w:lang w:val="en-US"/>
        </w:rPr>
        <w:t xml:space="preserve"> Figure A</w:t>
      </w:r>
      <w:r w:rsidR="007B3204">
        <w:rPr>
          <w:lang w:val="en-US"/>
        </w:rPr>
        <w:t>1.</w:t>
      </w:r>
      <w:r w:rsidR="002B326A">
        <w:rPr>
          <w:lang w:val="en-US"/>
        </w:rPr>
        <w:t xml:space="preserve">2 </w:t>
      </w:r>
      <w:r w:rsidRPr="01B3D131">
        <w:rPr>
          <w:lang w:val="en-US"/>
        </w:rPr>
        <w:t xml:space="preserve">flow chart below under </w:t>
      </w:r>
      <w:r w:rsidRPr="01B3D131">
        <w:rPr>
          <w:b/>
          <w:bCs/>
          <w:lang w:val="en-US"/>
        </w:rPr>
        <w:t>Output 2</w:t>
      </w:r>
      <w:r w:rsidRPr="01B3D131">
        <w:rPr>
          <w:lang w:val="en-US"/>
        </w:rPr>
        <w:t xml:space="preserve">, </w:t>
      </w:r>
      <w:r w:rsidR="00652BAD" w:rsidRPr="00652BAD">
        <w:rPr>
          <w:lang w:val="en-US"/>
        </w:rPr>
        <w:t xml:space="preserve">resulting in estimated funding requirements </w:t>
      </w:r>
      <w:r w:rsidRPr="01B3D131">
        <w:rPr>
          <w:lang w:val="en-US"/>
        </w:rPr>
        <w:t xml:space="preserve">of </w:t>
      </w:r>
      <w:r w:rsidRPr="01B3D131">
        <w:rPr>
          <w:b/>
          <w:lang w:val="en-US"/>
        </w:rPr>
        <w:t xml:space="preserve">US$ </w:t>
      </w:r>
      <w:r w:rsidR="35D5992D" w:rsidRPr="01B3D131">
        <w:rPr>
          <w:b/>
          <w:bCs/>
          <w:lang w:val="en-US"/>
        </w:rPr>
        <w:t>10.22</w:t>
      </w:r>
      <w:r w:rsidRPr="01B3D131">
        <w:rPr>
          <w:b/>
          <w:lang w:val="en-US"/>
        </w:rPr>
        <w:t xml:space="preserve"> million in 2027-2029 and </w:t>
      </w:r>
      <w:r w:rsidR="00257CE7" w:rsidRPr="00257CE7">
        <w:rPr>
          <w:b/>
          <w:lang w:val="en-US"/>
        </w:rPr>
        <w:t xml:space="preserve">no additional funding assumed for subsequent </w:t>
      </w:r>
      <w:r w:rsidRPr="01B3D131">
        <w:rPr>
          <w:b/>
          <w:lang w:val="en-US"/>
        </w:rPr>
        <w:t>triennia.</w:t>
      </w:r>
    </w:p>
    <w:p w14:paraId="09F944D8" w14:textId="77777777" w:rsidR="002214D4" w:rsidRDefault="002214D4" w:rsidP="01B3D131">
      <w:pPr>
        <w:snapToGrid w:val="0"/>
        <w:spacing w:before="100" w:beforeAutospacing="1" w:after="0" w:afterAutospacing="1"/>
        <w:contextualSpacing/>
        <w:rPr>
          <w:b/>
          <w:lang w:val="en-US"/>
        </w:rPr>
      </w:pPr>
    </w:p>
    <w:p w14:paraId="4BA77D67" w14:textId="75E05614" w:rsidR="004812BA" w:rsidRPr="006C3241" w:rsidRDefault="00897B83" w:rsidP="002135B0">
      <w:pPr>
        <w:tabs>
          <w:tab w:val="left" w:pos="1276"/>
        </w:tabs>
        <w:ind w:left="1276" w:hanging="1276"/>
        <w:rPr>
          <w:b/>
          <w:bCs/>
          <w:color w:val="000000"/>
          <w:lang w:val="en-US"/>
        </w:rPr>
      </w:pPr>
      <w:r>
        <w:rPr>
          <w:rFonts w:eastAsiaTheme="minorEastAsia"/>
          <w:b/>
          <w:bCs/>
        </w:rPr>
        <w:t>Figure A</w:t>
      </w:r>
      <w:r w:rsidR="007B3204">
        <w:rPr>
          <w:rFonts w:eastAsiaTheme="minorEastAsia"/>
          <w:b/>
          <w:bCs/>
        </w:rPr>
        <w:t>1.</w:t>
      </w:r>
      <w:r>
        <w:rPr>
          <w:rFonts w:eastAsiaTheme="minorEastAsia"/>
          <w:b/>
          <w:bCs/>
        </w:rPr>
        <w:t>2</w:t>
      </w:r>
      <w:r>
        <w:rPr>
          <w:rFonts w:eastAsiaTheme="minorEastAsia"/>
          <w:b/>
          <w:bCs/>
        </w:rPr>
        <w:tab/>
      </w:r>
      <w:r w:rsidR="00374AE7">
        <w:rPr>
          <w:rFonts w:eastAsiaTheme="minorEastAsia"/>
          <w:b/>
          <w:bCs/>
        </w:rPr>
        <w:t xml:space="preserve">Flowchart for </w:t>
      </w:r>
      <w:r w:rsidR="007B6B5E">
        <w:rPr>
          <w:rFonts w:eastAsiaTheme="minorEastAsia"/>
          <w:b/>
          <w:bCs/>
        </w:rPr>
        <w:t xml:space="preserve">Outputs 2 and 3: </w:t>
      </w:r>
      <w:r w:rsidR="00616669">
        <w:rPr>
          <w:rFonts w:eastAsiaTheme="minorEastAsia"/>
          <w:b/>
          <w:bCs/>
        </w:rPr>
        <w:t xml:space="preserve">estimating </w:t>
      </w:r>
      <w:r w:rsidR="00374AE7">
        <w:rPr>
          <w:rFonts w:eastAsiaTheme="minorEastAsia"/>
          <w:b/>
          <w:bCs/>
        </w:rPr>
        <w:t xml:space="preserve">funding </w:t>
      </w:r>
      <w:r w:rsidR="00A56FC9">
        <w:rPr>
          <w:rFonts w:eastAsiaTheme="minorEastAsia"/>
          <w:b/>
          <w:bCs/>
        </w:rPr>
        <w:t xml:space="preserve">for </w:t>
      </w:r>
      <w:r w:rsidR="00647E56">
        <w:rPr>
          <w:rFonts w:eastAsiaTheme="minorEastAsia"/>
          <w:b/>
          <w:bCs/>
        </w:rPr>
        <w:t xml:space="preserve">three </w:t>
      </w:r>
      <w:r w:rsidR="00A56FC9">
        <w:rPr>
          <w:rFonts w:eastAsiaTheme="minorEastAsia"/>
          <w:b/>
          <w:bCs/>
        </w:rPr>
        <w:t>cancelled HPMPs</w:t>
      </w:r>
      <w:r w:rsidR="00647E56">
        <w:rPr>
          <w:rFonts w:eastAsiaTheme="minorEastAsia"/>
          <w:b/>
          <w:bCs/>
        </w:rPr>
        <w:t xml:space="preserve"> and </w:t>
      </w:r>
      <w:r w:rsidR="00773E5E">
        <w:rPr>
          <w:rFonts w:eastAsiaTheme="minorEastAsia"/>
          <w:b/>
          <w:bCs/>
        </w:rPr>
        <w:t xml:space="preserve">committed funding for </w:t>
      </w:r>
      <w:r w:rsidR="00647E56">
        <w:rPr>
          <w:rFonts w:eastAsiaTheme="minorEastAsia"/>
          <w:b/>
          <w:bCs/>
        </w:rPr>
        <w:t>25 parties</w:t>
      </w:r>
      <w:r w:rsidR="00A806DD">
        <w:rPr>
          <w:rFonts w:eastAsiaTheme="minorEastAsia"/>
          <w:b/>
          <w:bCs/>
        </w:rPr>
        <w:t xml:space="preserve"> with</w:t>
      </w:r>
      <w:r w:rsidR="00776F2A">
        <w:rPr>
          <w:rFonts w:eastAsiaTheme="minorEastAsia"/>
          <w:b/>
          <w:bCs/>
        </w:rPr>
        <w:t xml:space="preserve"> </w:t>
      </w:r>
      <w:r w:rsidR="00D400DA">
        <w:rPr>
          <w:rFonts w:eastAsiaTheme="minorEastAsia"/>
          <w:b/>
          <w:bCs/>
        </w:rPr>
        <w:t xml:space="preserve">approved </w:t>
      </w:r>
      <w:r w:rsidR="000E70F1">
        <w:rPr>
          <w:rFonts w:eastAsiaTheme="minorEastAsia"/>
          <w:b/>
          <w:bCs/>
        </w:rPr>
        <w:t>HPMPs</w:t>
      </w:r>
      <w:r w:rsidR="00094E8C">
        <w:rPr>
          <w:rFonts w:eastAsiaTheme="minorEastAsia"/>
          <w:b/>
          <w:bCs/>
        </w:rPr>
        <w:t xml:space="preserve"> </w:t>
      </w:r>
      <w:r w:rsidR="00D400DA">
        <w:rPr>
          <w:rFonts w:eastAsiaTheme="minorEastAsia"/>
          <w:b/>
          <w:bCs/>
        </w:rPr>
        <w:t xml:space="preserve">less than 100% </w:t>
      </w:r>
      <w:r w:rsidR="007370A4">
        <w:rPr>
          <w:rFonts w:eastAsiaTheme="minorEastAsia"/>
          <w:b/>
          <w:bCs/>
        </w:rPr>
        <w:t>phase</w:t>
      </w:r>
      <w:r w:rsidR="00950142">
        <w:rPr>
          <w:rFonts w:eastAsiaTheme="minorEastAsia"/>
          <w:b/>
          <w:bCs/>
        </w:rPr>
        <w:t>-out</w:t>
      </w:r>
    </w:p>
    <w:p w14:paraId="7382BB8C" w14:textId="77777777" w:rsidR="004812BA" w:rsidRPr="006C3241" w:rsidRDefault="004812BA" w:rsidP="004812BA">
      <w:pPr>
        <w:snapToGrid w:val="0"/>
        <w:spacing w:before="100" w:beforeAutospacing="1" w:after="0" w:afterAutospacing="1"/>
        <w:contextualSpacing/>
        <w:jc w:val="both"/>
        <w:rPr>
          <w:lang w:val="en-US"/>
        </w:rPr>
      </w:pPr>
      <w:r w:rsidRPr="006C3241">
        <w:rPr>
          <w:noProof/>
          <w:lang w:val="en-US"/>
        </w:rPr>
        <w:drawing>
          <wp:inline distT="0" distB="0" distL="0" distR="0" wp14:anchorId="668FA345" wp14:editId="4D3C19F1">
            <wp:extent cx="5606332" cy="3111335"/>
            <wp:effectExtent l="0" t="0" r="0" b="0"/>
            <wp:docPr id="161252125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2003" cy="3136681"/>
                    </a:xfrm>
                    <a:prstGeom prst="rect">
                      <a:avLst/>
                    </a:prstGeom>
                    <a:noFill/>
                  </pic:spPr>
                </pic:pic>
              </a:graphicData>
            </a:graphic>
          </wp:inline>
        </w:drawing>
      </w:r>
    </w:p>
    <w:p w14:paraId="7961CF9C" w14:textId="77777777" w:rsidR="004812BA" w:rsidRDefault="004812BA" w:rsidP="004812BA">
      <w:pPr>
        <w:snapToGrid w:val="0"/>
        <w:spacing w:before="100" w:beforeAutospacing="1" w:after="100" w:afterAutospacing="1"/>
        <w:contextualSpacing/>
        <w:rPr>
          <w:b/>
          <w:bCs/>
          <w:lang w:val="en-US"/>
        </w:rPr>
      </w:pPr>
    </w:p>
    <w:p w14:paraId="38668749" w14:textId="50E8709E" w:rsidR="004812BA" w:rsidRPr="004A7E0E" w:rsidRDefault="004812BA" w:rsidP="004812BA">
      <w:pPr>
        <w:snapToGrid w:val="0"/>
        <w:spacing w:before="100" w:beforeAutospacing="1" w:after="100" w:afterAutospacing="1"/>
        <w:contextualSpacing/>
        <w:rPr>
          <w:b/>
          <w:bCs/>
          <w:u w:val="single"/>
          <w:lang w:val="en-US"/>
        </w:rPr>
      </w:pPr>
      <w:r w:rsidRPr="006C3241">
        <w:rPr>
          <w:b/>
          <w:bCs/>
          <w:lang w:val="en-US"/>
        </w:rPr>
        <w:t>STEP 3</w:t>
      </w:r>
      <w:r w:rsidRPr="006C3241">
        <w:rPr>
          <w:lang w:val="en-US"/>
        </w:rPr>
        <w:t xml:space="preserve">. </w:t>
      </w:r>
      <w:r w:rsidRPr="006C3241">
        <w:rPr>
          <w:b/>
          <w:bCs/>
          <w:u w:val="single"/>
          <w:lang w:val="en-US"/>
        </w:rPr>
        <w:t>Calculation of committed and new funding estimates for 25 parties with remaining eligible consumption, and with HPMP agreements that do not reach the complete phase</w:t>
      </w:r>
      <w:r w:rsidR="00950142">
        <w:rPr>
          <w:b/>
          <w:bCs/>
          <w:u w:val="single"/>
          <w:lang w:val="en-US"/>
        </w:rPr>
        <w:t>-</w:t>
      </w:r>
      <w:r w:rsidRPr="006C3241">
        <w:rPr>
          <w:b/>
          <w:bCs/>
          <w:u w:val="single"/>
          <w:lang w:val="en-US"/>
        </w:rPr>
        <w:t>out</w:t>
      </w:r>
    </w:p>
    <w:p w14:paraId="2F7869FD" w14:textId="70EFA26D" w:rsidR="004812BA" w:rsidRDefault="5B365E33" w:rsidP="004620AA">
      <w:pPr>
        <w:pStyle w:val="ListParagraph"/>
        <w:numPr>
          <w:ilvl w:val="0"/>
          <w:numId w:val="0"/>
        </w:numPr>
        <w:snapToGrid w:val="0"/>
        <w:spacing w:before="100" w:beforeAutospacing="1" w:after="0" w:afterAutospacing="1"/>
        <w:contextualSpacing/>
        <w:rPr>
          <w:rFonts w:eastAsia="Times New Roman"/>
          <w:b/>
          <w:bCs/>
          <w:lang w:val="en-US"/>
        </w:rPr>
      </w:pPr>
      <w:r w:rsidRPr="222ABFFA">
        <w:rPr>
          <w:rFonts w:eastAsia="Times New Roman"/>
          <w:b/>
          <w:bCs/>
          <w:lang w:val="en-US"/>
        </w:rPr>
        <w:t>Step 3.1</w:t>
      </w:r>
      <w:r w:rsidRPr="222ABFFA">
        <w:rPr>
          <w:rFonts w:eastAsia="Times New Roman"/>
          <w:lang w:val="en-US"/>
        </w:rPr>
        <w:t xml:space="preserve">. </w:t>
      </w:r>
      <w:r w:rsidRPr="222ABFFA">
        <w:rPr>
          <w:rFonts w:eastAsia="Times New Roman"/>
          <w:b/>
          <w:bCs/>
          <w:lang w:val="en-US"/>
        </w:rPr>
        <w:t>Committed funding</w:t>
      </w:r>
      <w:r w:rsidRPr="222ABFFA">
        <w:rPr>
          <w:rFonts w:eastAsia="Times New Roman"/>
          <w:lang w:val="en-US"/>
        </w:rPr>
        <w:t xml:space="preserve"> for HPMPs/stages approved for those </w:t>
      </w:r>
      <w:r w:rsidRPr="222ABFFA">
        <w:rPr>
          <w:rFonts w:eastAsia="Times New Roman"/>
          <w:b/>
          <w:bCs/>
          <w:lang w:val="en-US"/>
        </w:rPr>
        <w:t>25 A5 parties</w:t>
      </w:r>
      <w:r w:rsidRPr="222ABFFA">
        <w:rPr>
          <w:rFonts w:eastAsia="Times New Roman"/>
          <w:lang w:val="en-US"/>
        </w:rPr>
        <w:t xml:space="preserve">, where the phase-out has not yet been 100% completed is </w:t>
      </w:r>
      <w:r w:rsidRPr="222ABFFA">
        <w:rPr>
          <w:rFonts w:eastAsia="Times New Roman"/>
          <w:b/>
          <w:bCs/>
          <w:lang w:val="en-US"/>
        </w:rPr>
        <w:t>US$</w:t>
      </w:r>
      <w:r w:rsidR="00113009">
        <w:rPr>
          <w:rFonts w:eastAsia="Times New Roman"/>
          <w:b/>
          <w:bCs/>
          <w:lang w:val="en-US"/>
        </w:rPr>
        <w:t xml:space="preserve"> </w:t>
      </w:r>
      <w:r w:rsidRPr="222ABFFA">
        <w:rPr>
          <w:rFonts w:eastAsia="Times New Roman"/>
          <w:b/>
          <w:bCs/>
          <w:lang w:val="en-US"/>
        </w:rPr>
        <w:t>1.33 million,</w:t>
      </w:r>
      <w:r w:rsidRPr="222ABFFA">
        <w:rPr>
          <w:rFonts w:eastAsia="Times New Roman"/>
          <w:lang w:val="en-US"/>
        </w:rPr>
        <w:t xml:space="preserve"> as provided by the MLFS. This methodology step is shown in the </w:t>
      </w:r>
      <w:r w:rsidR="00825882">
        <w:rPr>
          <w:rFonts w:eastAsia="Times New Roman"/>
          <w:lang w:val="en-US"/>
        </w:rPr>
        <w:t>Figure A</w:t>
      </w:r>
      <w:r w:rsidR="007B3204">
        <w:rPr>
          <w:rFonts w:eastAsia="Times New Roman"/>
          <w:lang w:val="en-US"/>
        </w:rPr>
        <w:t>1.</w:t>
      </w:r>
      <w:r w:rsidR="005D66D3">
        <w:rPr>
          <w:rFonts w:eastAsia="Times New Roman"/>
          <w:lang w:val="en-US"/>
        </w:rPr>
        <w:t>2</w:t>
      </w:r>
      <w:r w:rsidR="00825882">
        <w:rPr>
          <w:rFonts w:eastAsia="Times New Roman"/>
          <w:lang w:val="en-US"/>
        </w:rPr>
        <w:t xml:space="preserve"> </w:t>
      </w:r>
      <w:r w:rsidRPr="222ABFFA">
        <w:rPr>
          <w:rFonts w:eastAsia="Times New Roman"/>
          <w:lang w:val="en-US"/>
        </w:rPr>
        <w:t xml:space="preserve">flow chart </w:t>
      </w:r>
      <w:r w:rsidR="005D66D3">
        <w:rPr>
          <w:rFonts w:eastAsia="Times New Roman"/>
          <w:lang w:val="en-US"/>
        </w:rPr>
        <w:t>above</w:t>
      </w:r>
      <w:r w:rsidRPr="222ABFFA">
        <w:rPr>
          <w:rFonts w:eastAsia="Times New Roman"/>
          <w:lang w:val="en-US"/>
        </w:rPr>
        <w:t xml:space="preserve">, and committed funding is under </w:t>
      </w:r>
      <w:r w:rsidRPr="222ABFFA">
        <w:rPr>
          <w:rFonts w:eastAsia="Times New Roman"/>
          <w:b/>
          <w:bCs/>
          <w:lang w:val="en-US"/>
        </w:rPr>
        <w:t>Output 3.</w:t>
      </w:r>
    </w:p>
    <w:p w14:paraId="79916C8E" w14:textId="77777777" w:rsidR="004A0C34" w:rsidRPr="004A7E0E" w:rsidRDefault="004A0C34" w:rsidP="004620AA">
      <w:pPr>
        <w:pStyle w:val="ListParagraph"/>
        <w:numPr>
          <w:ilvl w:val="0"/>
          <w:numId w:val="0"/>
        </w:numPr>
        <w:snapToGrid w:val="0"/>
        <w:spacing w:before="100" w:beforeAutospacing="1" w:after="0" w:afterAutospacing="1"/>
        <w:contextualSpacing/>
        <w:rPr>
          <w:rFonts w:eastAsia="Times New Roman"/>
          <w:b/>
          <w:bCs/>
          <w:lang w:val="en-US"/>
        </w:rPr>
      </w:pPr>
    </w:p>
    <w:p w14:paraId="3986E6CD" w14:textId="34B02913" w:rsidR="004812BA" w:rsidRPr="004A7E0E" w:rsidRDefault="077E58F6" w:rsidP="004620AA">
      <w:pPr>
        <w:pStyle w:val="ListParagraph"/>
        <w:numPr>
          <w:ilvl w:val="0"/>
          <w:numId w:val="0"/>
        </w:numPr>
        <w:snapToGrid w:val="0"/>
        <w:spacing w:before="100" w:beforeAutospacing="1" w:after="100" w:afterAutospacing="1"/>
        <w:contextualSpacing/>
        <w:rPr>
          <w:rFonts w:eastAsia="Times New Roman"/>
          <w:lang w:val="en-US"/>
        </w:rPr>
      </w:pPr>
      <w:r w:rsidRPr="077E58F6">
        <w:rPr>
          <w:rFonts w:eastAsia="Times New Roman"/>
          <w:b/>
          <w:bCs/>
          <w:lang w:val="en-US"/>
        </w:rPr>
        <w:t>Step 3.2.</w:t>
      </w:r>
      <w:r w:rsidRPr="077E58F6">
        <w:rPr>
          <w:rFonts w:eastAsia="Times New Roman"/>
          <w:lang w:val="en-US"/>
        </w:rPr>
        <w:t xml:space="preserve"> </w:t>
      </w:r>
      <w:r w:rsidRPr="077E58F6">
        <w:rPr>
          <w:rFonts w:eastAsia="Times New Roman"/>
          <w:b/>
          <w:bCs/>
          <w:lang w:val="en-US"/>
        </w:rPr>
        <w:t>Estimated new funding for those 25 parties</w:t>
      </w:r>
      <w:r w:rsidRPr="077E58F6">
        <w:rPr>
          <w:rFonts w:eastAsia="Times New Roman"/>
          <w:lang w:val="en-US"/>
        </w:rPr>
        <w:t xml:space="preserve"> with Agreements with the ExCom approved for less than complete phaseout. These parties retain eligible consumption that needs to be addressed before 2030, and new funding is required. The remaining eligible HCFC consumption was provided by MLFS to RTF for each party, and new funding was calculated individually, to account for each party’s own reduction schedule in the agreements. RTF used CP reports, </w:t>
      </w:r>
      <w:r w:rsidRPr="00427AD6">
        <w:rPr>
          <w:rFonts w:eastAsia="Times New Roman"/>
          <w:lang w:val="en-US"/>
        </w:rPr>
        <w:t>as of January 2026,</w:t>
      </w:r>
      <w:r w:rsidRPr="077E58F6">
        <w:rPr>
          <w:rFonts w:eastAsia="Times New Roman"/>
          <w:lang w:val="en-US"/>
        </w:rPr>
        <w:t xml:space="preserve"> to inform on chemicals percentage (%) sector distribution in reported A7 data. </w:t>
      </w:r>
    </w:p>
    <w:p w14:paraId="075122CA" w14:textId="77777777" w:rsidR="004812BA" w:rsidRDefault="004812BA" w:rsidP="004620AA">
      <w:pPr>
        <w:snapToGrid w:val="0"/>
        <w:spacing w:before="100" w:beforeAutospacing="1" w:after="100" w:afterAutospacing="1"/>
        <w:ind w:left="-12"/>
        <w:contextualSpacing/>
        <w:rPr>
          <w:lang w:val="en-US"/>
        </w:rPr>
      </w:pPr>
      <w:r w:rsidRPr="006C3241">
        <w:rPr>
          <w:lang w:val="en-US"/>
        </w:rPr>
        <w:t>In the cases of eligible remaining consumption differing from the A7 data reported, the lower value from the most recent year reported was used. This approach reflects the agreed value-reduction as a reference for the country’s actual achieved reduction level.</w:t>
      </w:r>
    </w:p>
    <w:p w14:paraId="055107E5" w14:textId="77777777" w:rsidR="00FF681F" w:rsidRDefault="00FF681F" w:rsidP="004620AA">
      <w:pPr>
        <w:snapToGrid w:val="0"/>
        <w:spacing w:before="100" w:beforeAutospacing="1" w:after="100" w:afterAutospacing="1"/>
        <w:ind w:left="-12"/>
        <w:contextualSpacing/>
        <w:rPr>
          <w:lang w:val="en-US"/>
        </w:rPr>
      </w:pPr>
    </w:p>
    <w:p w14:paraId="4EB04A77" w14:textId="77777777" w:rsidR="004812BA" w:rsidRPr="006C3241" w:rsidRDefault="004812BA" w:rsidP="004812BA">
      <w:pPr>
        <w:snapToGrid w:val="0"/>
        <w:spacing w:before="100" w:beforeAutospacing="1" w:after="100" w:afterAutospacing="1"/>
        <w:ind w:left="708"/>
        <w:contextualSpacing/>
        <w:rPr>
          <w:lang w:val="en-US"/>
        </w:rPr>
      </w:pPr>
    </w:p>
    <w:p w14:paraId="5C25A214" w14:textId="389B6293" w:rsidR="004812BA" w:rsidRPr="006C3241" w:rsidRDefault="004812BA" w:rsidP="00651871">
      <w:pPr>
        <w:tabs>
          <w:tab w:val="clear" w:pos="0"/>
          <w:tab w:val="num" w:pos="720"/>
        </w:tabs>
        <w:snapToGrid w:val="0"/>
        <w:spacing w:before="100" w:beforeAutospacing="1" w:after="100" w:afterAutospacing="1"/>
        <w:contextualSpacing/>
        <w:rPr>
          <w:rFonts w:eastAsia="Calibri"/>
          <w:b/>
          <w:bCs/>
          <w:lang w:val="en-US"/>
        </w:rPr>
      </w:pPr>
      <w:r w:rsidRPr="006C3241">
        <w:rPr>
          <w:rFonts w:eastAsia="Calibri"/>
          <w:b/>
          <w:bCs/>
          <w:lang w:val="en-US"/>
        </w:rPr>
        <w:lastRenderedPageBreak/>
        <w:t xml:space="preserve">15 Non-LVC Parties out of total of 25 (Non-LVCs and LVC) parties </w:t>
      </w:r>
    </w:p>
    <w:p w14:paraId="534620D5" w14:textId="77777777" w:rsidR="00651871" w:rsidRDefault="00651871" w:rsidP="004812BA">
      <w:pPr>
        <w:snapToGrid w:val="0"/>
        <w:spacing w:before="100" w:beforeAutospacing="1" w:after="100" w:afterAutospacing="1"/>
        <w:ind w:left="1080"/>
        <w:contextualSpacing/>
        <w:rPr>
          <w:lang w:val="en-US"/>
        </w:rPr>
      </w:pPr>
    </w:p>
    <w:p w14:paraId="2AC7B3DB" w14:textId="3C8AFB6D" w:rsidR="004812BA" w:rsidRPr="006C3241" w:rsidRDefault="004812BA" w:rsidP="00651871">
      <w:pPr>
        <w:snapToGrid w:val="0"/>
        <w:spacing w:before="100" w:beforeAutospacing="1" w:after="100" w:afterAutospacing="1"/>
        <w:contextualSpacing/>
        <w:rPr>
          <w:lang w:val="en-US"/>
        </w:rPr>
      </w:pPr>
      <w:r w:rsidRPr="006C3241">
        <w:rPr>
          <w:lang w:val="en-US"/>
        </w:rPr>
        <w:t xml:space="preserve">Out of the total of 25 parties, </w:t>
      </w:r>
      <w:r w:rsidRPr="006C3241">
        <w:rPr>
          <w:b/>
          <w:bCs/>
          <w:lang w:val="en-US"/>
        </w:rPr>
        <w:t>15 are non-LVC.</w:t>
      </w:r>
      <w:r w:rsidRPr="006C3241">
        <w:rPr>
          <w:lang w:val="en-US"/>
        </w:rPr>
        <w:t xml:space="preserve"> For those, the CP indicated consumption mostly in servicing sector. For some parties, consumption was also reported in one or more manufacturing sectors, such </w:t>
      </w:r>
      <w:r w:rsidR="00A062A8" w:rsidRPr="006C3241">
        <w:rPr>
          <w:lang w:val="en-US"/>
        </w:rPr>
        <w:t>as</w:t>
      </w:r>
      <w:r w:rsidRPr="006C3241">
        <w:rPr>
          <w:lang w:val="en-US"/>
        </w:rPr>
        <w:t xml:space="preserve"> </w:t>
      </w:r>
      <w:r w:rsidR="001A7BE8">
        <w:rPr>
          <w:lang w:val="en-US"/>
        </w:rPr>
        <w:t>r</w:t>
      </w:r>
      <w:r w:rsidRPr="006C3241">
        <w:rPr>
          <w:lang w:val="en-US"/>
        </w:rPr>
        <w:t xml:space="preserve">igid PU foam, XPS foam, fire extinguishing, solvents, domestic AC, and other refrigeration and AC manufacturing sectors. For the largest consuming party among the A5 ones, eligible remaining consumption is only in </w:t>
      </w:r>
      <w:r w:rsidR="000758F2">
        <w:rPr>
          <w:lang w:val="en-US"/>
        </w:rPr>
        <w:t>three</w:t>
      </w:r>
      <w:r w:rsidRPr="006C3241">
        <w:rPr>
          <w:lang w:val="en-US"/>
        </w:rPr>
        <w:t xml:space="preserve"> sectors: </w:t>
      </w:r>
      <w:r w:rsidR="007D0686">
        <w:rPr>
          <w:lang w:val="en-US"/>
        </w:rPr>
        <w:t>r</w:t>
      </w:r>
      <w:r w:rsidRPr="006C3241">
        <w:rPr>
          <w:lang w:val="en-US"/>
        </w:rPr>
        <w:t xml:space="preserve">esidential AC, </w:t>
      </w:r>
      <w:r w:rsidR="006A6BF3">
        <w:rPr>
          <w:lang w:val="en-US"/>
        </w:rPr>
        <w:t>i</w:t>
      </w:r>
      <w:r w:rsidRPr="006C3241">
        <w:rPr>
          <w:lang w:val="en-US"/>
        </w:rPr>
        <w:t>ndustrial and</w:t>
      </w:r>
      <w:r w:rsidR="00C539AA">
        <w:rPr>
          <w:lang w:val="en-US"/>
        </w:rPr>
        <w:t xml:space="preserve"> c</w:t>
      </w:r>
      <w:r w:rsidRPr="006C3241">
        <w:rPr>
          <w:lang w:val="en-US"/>
        </w:rPr>
        <w:t xml:space="preserve">ommercial </w:t>
      </w:r>
      <w:r w:rsidR="006A6BF3">
        <w:rPr>
          <w:lang w:val="en-US"/>
        </w:rPr>
        <w:t>r</w:t>
      </w:r>
      <w:r w:rsidRPr="006C3241">
        <w:rPr>
          <w:lang w:val="en-US"/>
        </w:rPr>
        <w:t xml:space="preserve">efrigeration and AC (ICR/AC), and </w:t>
      </w:r>
      <w:r w:rsidR="006A6BF3">
        <w:rPr>
          <w:lang w:val="en-US"/>
        </w:rPr>
        <w:t>s</w:t>
      </w:r>
      <w:r w:rsidRPr="006C3241">
        <w:rPr>
          <w:lang w:val="en-US"/>
        </w:rPr>
        <w:t xml:space="preserve">ervicing. Consumption in those </w:t>
      </w:r>
      <w:r w:rsidR="000758F2">
        <w:rPr>
          <w:lang w:val="en-US"/>
        </w:rPr>
        <w:t>three</w:t>
      </w:r>
      <w:r w:rsidRPr="006C3241">
        <w:rPr>
          <w:lang w:val="en-US"/>
        </w:rPr>
        <w:t xml:space="preserve"> sectors </w:t>
      </w:r>
      <w:r w:rsidR="548BBB9B" w:rsidRPr="548BBB9B">
        <w:rPr>
          <w:lang w:val="en-US"/>
        </w:rPr>
        <w:t>was</w:t>
      </w:r>
      <w:r w:rsidRPr="006C3241">
        <w:rPr>
          <w:lang w:val="en-US"/>
        </w:rPr>
        <w:t xml:space="preserve"> used for new funding estimates.</w:t>
      </w:r>
    </w:p>
    <w:p w14:paraId="4A4BA330" w14:textId="77777777" w:rsidR="004812BA" w:rsidRPr="006C3241" w:rsidRDefault="004812BA" w:rsidP="004812BA">
      <w:pPr>
        <w:snapToGrid w:val="0"/>
        <w:spacing w:before="100" w:beforeAutospacing="1" w:after="100" w:afterAutospacing="1"/>
        <w:ind w:left="1080"/>
        <w:contextualSpacing/>
        <w:rPr>
          <w:lang w:val="en-US"/>
        </w:rPr>
      </w:pPr>
    </w:p>
    <w:p w14:paraId="52C03EFB" w14:textId="1867F9D9" w:rsidR="004812BA" w:rsidRPr="006C3241" w:rsidRDefault="004812BA" w:rsidP="00651871">
      <w:pPr>
        <w:snapToGrid w:val="0"/>
        <w:spacing w:before="100" w:beforeAutospacing="1" w:after="100" w:afterAutospacing="1"/>
        <w:contextualSpacing/>
        <w:rPr>
          <w:lang w:val="en-US"/>
        </w:rPr>
      </w:pPr>
      <w:r w:rsidRPr="006C3241">
        <w:rPr>
          <w:lang w:val="en-US"/>
        </w:rPr>
        <w:t xml:space="preserve">The methodology used for new funding calculations was based on sector CEs applied to remaining consumption (in tonnes) in each sector as per equation below. </w:t>
      </w:r>
    </w:p>
    <w:p w14:paraId="343CF528" w14:textId="77777777" w:rsidR="004812BA" w:rsidRPr="006C3241" w:rsidRDefault="004812BA" w:rsidP="004812BA">
      <w:pPr>
        <w:snapToGrid w:val="0"/>
        <w:spacing w:before="100" w:beforeAutospacing="1" w:after="100" w:afterAutospacing="1"/>
        <w:contextualSpacing/>
        <w:rPr>
          <w:lang w:val="en-US"/>
        </w:rPr>
      </w:pPr>
      <w:r w:rsidRPr="006C3241">
        <w:rPr>
          <w:noProof/>
          <w:sz w:val="20"/>
          <w:szCs w:val="20"/>
          <w:lang w:val="en-US"/>
        </w:rPr>
        <w:drawing>
          <wp:inline distT="0" distB="0" distL="0" distR="0" wp14:anchorId="161A2B8E" wp14:editId="7FCF42A1">
            <wp:extent cx="5079887" cy="757555"/>
            <wp:effectExtent l="0" t="0" r="0" b="0"/>
            <wp:docPr id="143390063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87590" cy="758704"/>
                    </a:xfrm>
                    <a:prstGeom prst="rect">
                      <a:avLst/>
                    </a:prstGeom>
                    <a:noFill/>
                  </pic:spPr>
                </pic:pic>
              </a:graphicData>
            </a:graphic>
          </wp:inline>
        </w:drawing>
      </w:r>
    </w:p>
    <w:p w14:paraId="2195CE6F" w14:textId="77777777" w:rsidR="004812BA" w:rsidRDefault="004812BA" w:rsidP="004812BA">
      <w:pPr>
        <w:snapToGrid w:val="0"/>
        <w:spacing w:before="100" w:beforeAutospacing="1" w:after="100" w:afterAutospacing="1"/>
        <w:ind w:left="1416"/>
        <w:contextualSpacing/>
        <w:rPr>
          <w:lang w:val="en-US"/>
        </w:rPr>
      </w:pPr>
    </w:p>
    <w:p w14:paraId="0B1D3612" w14:textId="2F039883" w:rsidR="004812BA" w:rsidRPr="006C3241" w:rsidRDefault="471F763B" w:rsidP="471F763B">
      <w:pPr>
        <w:snapToGrid w:val="0"/>
        <w:spacing w:before="100" w:beforeAutospacing="1" w:after="100" w:afterAutospacing="1"/>
        <w:contextualSpacing/>
        <w:rPr>
          <w:lang w:val="en-US"/>
        </w:rPr>
      </w:pPr>
      <w:r w:rsidRPr="471F763B">
        <w:rPr>
          <w:lang w:val="en-US"/>
        </w:rPr>
        <w:t xml:space="preserve">Decision XXXVII/6 on the TOR for the replenishment requested TEAP/RTF to consider funding estimates using cost guidelines and historical CE values for the manufacturing sectors, so a range can be provided. The following </w:t>
      </w:r>
      <w:r w:rsidR="003222BF">
        <w:rPr>
          <w:lang w:val="en-US"/>
        </w:rPr>
        <w:t>Figure A</w:t>
      </w:r>
      <w:r w:rsidR="007B3204">
        <w:rPr>
          <w:lang w:val="en-US"/>
        </w:rPr>
        <w:t>1.</w:t>
      </w:r>
      <w:r w:rsidR="003222BF">
        <w:rPr>
          <w:lang w:val="en-US"/>
        </w:rPr>
        <w:t xml:space="preserve">3 </w:t>
      </w:r>
      <w:r w:rsidR="0096371F">
        <w:rPr>
          <w:lang w:val="en-US"/>
        </w:rPr>
        <w:t>f</w:t>
      </w:r>
      <w:r w:rsidRPr="471F763B">
        <w:rPr>
          <w:lang w:val="en-US"/>
        </w:rPr>
        <w:t xml:space="preserve">low </w:t>
      </w:r>
      <w:r w:rsidR="0096371F">
        <w:rPr>
          <w:lang w:val="en-US"/>
        </w:rPr>
        <w:t>c</w:t>
      </w:r>
      <w:r w:rsidRPr="471F763B">
        <w:rPr>
          <w:lang w:val="en-US"/>
        </w:rPr>
        <w:t xml:space="preserve">hart with </w:t>
      </w:r>
      <w:r w:rsidR="0096371F">
        <w:rPr>
          <w:lang w:val="en-US"/>
        </w:rPr>
        <w:t>s</w:t>
      </w:r>
      <w:r w:rsidRPr="471F763B">
        <w:rPr>
          <w:lang w:val="en-US"/>
        </w:rPr>
        <w:t>cenarios addresses this request to the extent possible.</w:t>
      </w:r>
    </w:p>
    <w:p w14:paraId="7AAFF76C" w14:textId="77777777" w:rsidR="004812BA" w:rsidRDefault="004812BA" w:rsidP="004812BA">
      <w:pPr>
        <w:snapToGrid w:val="0"/>
        <w:spacing w:before="100" w:beforeAutospacing="1" w:after="100" w:afterAutospacing="1"/>
        <w:contextualSpacing/>
        <w:rPr>
          <w:lang w:val="en-US"/>
        </w:rPr>
      </w:pPr>
    </w:p>
    <w:p w14:paraId="5B7B9A8C" w14:textId="52297B09" w:rsidR="0096371F" w:rsidRPr="006C3241" w:rsidRDefault="0096371F" w:rsidP="002135B0">
      <w:pPr>
        <w:tabs>
          <w:tab w:val="left" w:pos="1276"/>
        </w:tabs>
        <w:ind w:left="1276" w:hanging="1276"/>
        <w:rPr>
          <w:b/>
          <w:bCs/>
          <w:color w:val="000000"/>
          <w:lang w:val="en-US"/>
        </w:rPr>
      </w:pPr>
      <w:r>
        <w:rPr>
          <w:rFonts w:eastAsiaTheme="minorEastAsia"/>
          <w:b/>
          <w:bCs/>
        </w:rPr>
        <w:t>Figure A</w:t>
      </w:r>
      <w:r w:rsidR="007B3204">
        <w:rPr>
          <w:rFonts w:eastAsiaTheme="minorEastAsia"/>
          <w:b/>
          <w:bCs/>
        </w:rPr>
        <w:t>1.</w:t>
      </w:r>
      <w:r w:rsidR="00BC72A5">
        <w:rPr>
          <w:rFonts w:eastAsiaTheme="minorEastAsia"/>
          <w:b/>
          <w:bCs/>
        </w:rPr>
        <w:t>3</w:t>
      </w:r>
      <w:r>
        <w:rPr>
          <w:rFonts w:eastAsiaTheme="minorEastAsia"/>
          <w:b/>
          <w:bCs/>
        </w:rPr>
        <w:tab/>
        <w:t xml:space="preserve">Flowchart for Outputs </w:t>
      </w:r>
      <w:r w:rsidR="00BC72A5">
        <w:rPr>
          <w:rFonts w:eastAsiaTheme="minorEastAsia"/>
          <w:b/>
          <w:bCs/>
        </w:rPr>
        <w:t xml:space="preserve">4, 5, </w:t>
      </w:r>
      <w:r>
        <w:rPr>
          <w:rFonts w:eastAsiaTheme="minorEastAsia"/>
          <w:b/>
          <w:bCs/>
        </w:rPr>
        <w:t>and</w:t>
      </w:r>
      <w:r w:rsidR="0072426F">
        <w:rPr>
          <w:rFonts w:eastAsiaTheme="minorEastAsia"/>
          <w:b/>
          <w:bCs/>
        </w:rPr>
        <w:t xml:space="preserve"> 6:</w:t>
      </w:r>
      <w:r w:rsidR="00A37E87">
        <w:rPr>
          <w:rFonts w:eastAsiaTheme="minorEastAsia"/>
          <w:b/>
          <w:bCs/>
        </w:rPr>
        <w:t xml:space="preserve"> </w:t>
      </w:r>
      <w:r w:rsidR="00616669">
        <w:rPr>
          <w:rFonts w:eastAsiaTheme="minorEastAsia"/>
          <w:b/>
          <w:bCs/>
        </w:rPr>
        <w:t xml:space="preserve">estimating </w:t>
      </w:r>
      <w:r w:rsidR="00A37E87">
        <w:rPr>
          <w:rFonts w:eastAsiaTheme="minorEastAsia"/>
          <w:b/>
          <w:bCs/>
        </w:rPr>
        <w:t>new funding</w:t>
      </w:r>
      <w:r w:rsidR="005C65C2">
        <w:rPr>
          <w:rFonts w:eastAsiaTheme="minorEastAsia"/>
          <w:b/>
          <w:bCs/>
        </w:rPr>
        <w:t xml:space="preserve"> for </w:t>
      </w:r>
      <w:r w:rsidR="002E7C5B">
        <w:rPr>
          <w:rFonts w:eastAsiaTheme="minorEastAsia"/>
          <w:b/>
          <w:bCs/>
        </w:rPr>
        <w:t>15 non-LVC parties</w:t>
      </w:r>
      <w:r w:rsidR="007E41C9">
        <w:rPr>
          <w:rFonts w:eastAsiaTheme="minorEastAsia"/>
          <w:b/>
          <w:bCs/>
        </w:rPr>
        <w:t xml:space="preserve"> </w:t>
      </w:r>
      <w:r w:rsidR="006B7ECC">
        <w:rPr>
          <w:rFonts w:eastAsiaTheme="minorEastAsia"/>
          <w:b/>
          <w:bCs/>
        </w:rPr>
        <w:t xml:space="preserve">(with two CE scenarios applied) </w:t>
      </w:r>
      <w:r w:rsidR="007E41C9">
        <w:rPr>
          <w:rFonts w:eastAsiaTheme="minorEastAsia"/>
          <w:b/>
          <w:bCs/>
        </w:rPr>
        <w:t>and 10 LVC parties</w:t>
      </w:r>
      <w:r w:rsidR="00FF5685">
        <w:rPr>
          <w:rFonts w:eastAsiaTheme="minorEastAsia"/>
          <w:b/>
          <w:bCs/>
        </w:rPr>
        <w:t xml:space="preserve"> to reach 100%</w:t>
      </w:r>
      <w:r>
        <w:rPr>
          <w:rFonts w:eastAsiaTheme="minorEastAsia"/>
          <w:b/>
          <w:bCs/>
        </w:rPr>
        <w:t xml:space="preserve"> phase-out</w:t>
      </w:r>
    </w:p>
    <w:p w14:paraId="4BB3F4DA" w14:textId="77777777" w:rsidR="004812BA" w:rsidRPr="006C3241" w:rsidRDefault="004812BA" w:rsidP="004812BA">
      <w:pPr>
        <w:snapToGrid w:val="0"/>
        <w:spacing w:before="100" w:beforeAutospacing="1" w:after="100" w:afterAutospacing="1"/>
        <w:contextualSpacing/>
        <w:rPr>
          <w:lang w:val="en-US"/>
        </w:rPr>
      </w:pPr>
      <w:r w:rsidRPr="006C3241">
        <w:rPr>
          <w:noProof/>
          <w:lang w:val="en-US"/>
        </w:rPr>
        <w:drawing>
          <wp:inline distT="0" distB="0" distL="0" distR="0" wp14:anchorId="42D76AC7" wp14:editId="4728B5B2">
            <wp:extent cx="5676406" cy="3247796"/>
            <wp:effectExtent l="0" t="0" r="0" b="0"/>
            <wp:docPr id="3370644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9809" cy="3278351"/>
                    </a:xfrm>
                    <a:prstGeom prst="rect">
                      <a:avLst/>
                    </a:prstGeom>
                    <a:noFill/>
                  </pic:spPr>
                </pic:pic>
              </a:graphicData>
            </a:graphic>
          </wp:inline>
        </w:drawing>
      </w:r>
    </w:p>
    <w:p w14:paraId="5BFF1472" w14:textId="77777777" w:rsidR="00651871" w:rsidRDefault="00651871" w:rsidP="00651871">
      <w:pPr>
        <w:tabs>
          <w:tab w:val="clear" w:pos="0"/>
        </w:tabs>
        <w:snapToGrid w:val="0"/>
        <w:spacing w:before="100" w:beforeAutospacing="1" w:after="100" w:afterAutospacing="1"/>
        <w:ind w:left="1776"/>
        <w:contextualSpacing/>
        <w:rPr>
          <w:rFonts w:eastAsia="Calibri"/>
          <w:b/>
          <w:bCs/>
          <w:lang w:val="en-US"/>
        </w:rPr>
      </w:pPr>
    </w:p>
    <w:p w14:paraId="794A41D1" w14:textId="1E28E600" w:rsidR="00DC49D2" w:rsidRDefault="004812BA" w:rsidP="00DC49D2">
      <w:pPr>
        <w:snapToGrid w:val="0"/>
        <w:spacing w:before="100" w:beforeAutospacing="1" w:after="120"/>
        <w:contextualSpacing/>
        <w:rPr>
          <w:b/>
          <w:bCs/>
          <w:u w:val="single"/>
          <w:lang w:val="en-US"/>
        </w:rPr>
      </w:pPr>
      <w:r w:rsidRPr="006C3241">
        <w:rPr>
          <w:rFonts w:eastAsia="Calibri"/>
          <w:b/>
          <w:bCs/>
          <w:lang w:val="en-US"/>
        </w:rPr>
        <w:t xml:space="preserve">Estimated Funding for 15 Non-LVC Parties: </w:t>
      </w:r>
      <w:r w:rsidR="005B5277">
        <w:rPr>
          <w:rFonts w:eastAsia="Calibri"/>
          <w:b/>
          <w:bCs/>
          <w:u w:val="single"/>
          <w:lang w:val="en-US"/>
        </w:rPr>
        <w:t>HCFC S</w:t>
      </w:r>
      <w:r w:rsidRPr="006C3241">
        <w:rPr>
          <w:rFonts w:eastAsia="Calibri"/>
          <w:b/>
          <w:bCs/>
          <w:u w:val="single"/>
          <w:lang w:val="en-US"/>
        </w:rPr>
        <w:t>cenario 1</w:t>
      </w:r>
      <w:r w:rsidRPr="006C3241">
        <w:rPr>
          <w:rFonts w:eastAsia="Calibri"/>
          <w:b/>
          <w:bCs/>
          <w:lang w:val="en-US"/>
        </w:rPr>
        <w:t xml:space="preserve"> </w:t>
      </w:r>
      <w:r w:rsidR="00DC49D2">
        <w:rPr>
          <w:rFonts w:eastAsia="Calibri"/>
          <w:b/>
          <w:bCs/>
          <w:lang w:val="en-US"/>
        </w:rPr>
        <w:t xml:space="preserve">- </w:t>
      </w:r>
      <w:r w:rsidR="00DC49D2" w:rsidRPr="006C3241">
        <w:rPr>
          <w:lang w:val="en-US"/>
        </w:rPr>
        <w:t xml:space="preserve">Using </w:t>
      </w:r>
      <w:r w:rsidR="00DC49D2" w:rsidRPr="00BC037C">
        <w:rPr>
          <w:b/>
          <w:bCs/>
          <w:lang w:val="en-US"/>
        </w:rPr>
        <w:t>historical CEs</w:t>
      </w:r>
      <w:r w:rsidR="00DC49D2" w:rsidRPr="006C3241">
        <w:rPr>
          <w:lang w:val="en-US"/>
        </w:rPr>
        <w:t xml:space="preserve">, as per “RTF analysis of document ExCom 89/10/Rev1” </w:t>
      </w:r>
      <w:r w:rsidR="00DC49D2" w:rsidRPr="00651871">
        <w:rPr>
          <w:lang w:val="en-US"/>
        </w:rPr>
        <w:t>in Annex 2</w:t>
      </w:r>
      <w:r w:rsidR="00DC49D2">
        <w:rPr>
          <w:lang w:val="en-US"/>
        </w:rPr>
        <w:t>,</w:t>
      </w:r>
      <w:r w:rsidR="00DC49D2" w:rsidRPr="00651871">
        <w:rPr>
          <w:lang w:val="en-US"/>
        </w:rPr>
        <w:t xml:space="preserve"> new funding</w:t>
      </w:r>
      <w:r w:rsidR="00DC49D2" w:rsidRPr="006C3241">
        <w:rPr>
          <w:lang w:val="en-US"/>
        </w:rPr>
        <w:t xml:space="preserve"> was calculated for 15 non-LVC parties</w:t>
      </w:r>
      <w:r w:rsidR="00DC49D2">
        <w:rPr>
          <w:lang w:val="en-US"/>
        </w:rPr>
        <w:t xml:space="preserve"> under</w:t>
      </w:r>
      <w:r w:rsidR="00DC49D2" w:rsidRPr="006C3241">
        <w:rPr>
          <w:lang w:val="en-US"/>
        </w:rPr>
        <w:t xml:space="preserve"> </w:t>
      </w:r>
      <w:r w:rsidR="00DC49D2" w:rsidRPr="006C3241">
        <w:rPr>
          <w:b/>
          <w:bCs/>
          <w:lang w:val="en-US"/>
        </w:rPr>
        <w:t>Output 4</w:t>
      </w:r>
      <w:r w:rsidR="007C6A4F">
        <w:rPr>
          <w:lang w:val="en-US"/>
        </w:rPr>
        <w:t xml:space="preserve"> </w:t>
      </w:r>
      <w:r w:rsidR="007C6A4F" w:rsidRPr="007C6A4F">
        <w:rPr>
          <w:lang w:val="en-US"/>
        </w:rPr>
        <w:t>in Figure A</w:t>
      </w:r>
      <w:r w:rsidR="007B3204">
        <w:rPr>
          <w:lang w:val="en-US"/>
        </w:rPr>
        <w:t>1.</w:t>
      </w:r>
      <w:r w:rsidR="007C6A4F" w:rsidRPr="007C6A4F">
        <w:rPr>
          <w:lang w:val="en-US"/>
        </w:rPr>
        <w:t>3</w:t>
      </w:r>
      <w:r w:rsidR="007B3204">
        <w:rPr>
          <w:lang w:val="en-US"/>
        </w:rPr>
        <w:t>.</w:t>
      </w:r>
    </w:p>
    <w:p w14:paraId="2BAC54D8" w14:textId="77777777" w:rsidR="00651871" w:rsidRDefault="00651871" w:rsidP="00651871">
      <w:pPr>
        <w:snapToGrid w:val="0"/>
        <w:spacing w:before="100" w:beforeAutospacing="1" w:after="120"/>
        <w:contextualSpacing/>
        <w:rPr>
          <w:b/>
          <w:bCs/>
          <w:u w:val="single"/>
          <w:lang w:val="en-US"/>
        </w:rPr>
      </w:pPr>
    </w:p>
    <w:p w14:paraId="0124AFC2" w14:textId="4FBDC28A" w:rsidR="004812BA" w:rsidRPr="00651871" w:rsidRDefault="004812BA" w:rsidP="00651871">
      <w:pPr>
        <w:snapToGrid w:val="0"/>
        <w:spacing w:before="100" w:beforeAutospacing="1" w:after="120"/>
        <w:contextualSpacing/>
        <w:rPr>
          <w:b/>
          <w:bCs/>
          <w:u w:val="single"/>
          <w:lang w:val="en-US"/>
        </w:rPr>
      </w:pPr>
      <w:r w:rsidRPr="006C3241">
        <w:rPr>
          <w:lang w:val="en-US"/>
        </w:rPr>
        <w:t xml:space="preserve">For its analysis, RTF separated the largest consuming party (China) projects from the projects from </w:t>
      </w:r>
      <w:r w:rsidR="00671189">
        <w:rPr>
          <w:lang w:val="en-US"/>
        </w:rPr>
        <w:t xml:space="preserve">the </w:t>
      </w:r>
      <w:r w:rsidRPr="006C3241">
        <w:rPr>
          <w:lang w:val="en-US"/>
        </w:rPr>
        <w:t xml:space="preserve">other 14 parties, for </w:t>
      </w:r>
      <w:r w:rsidRPr="006C3241">
        <w:rPr>
          <w:color w:val="000000"/>
          <w:lang w:val="en-US"/>
        </w:rPr>
        <w:t xml:space="preserve">each sector, and extracted an average </w:t>
      </w:r>
      <w:r w:rsidR="00B7353C">
        <w:rPr>
          <w:color w:val="000000"/>
          <w:lang w:val="en-US"/>
        </w:rPr>
        <w:t>h</w:t>
      </w:r>
      <w:r w:rsidRPr="006C3241">
        <w:rPr>
          <w:color w:val="000000"/>
          <w:lang w:val="en-US"/>
        </w:rPr>
        <w:t xml:space="preserve">istorical </w:t>
      </w:r>
      <w:r w:rsidR="00B7353C">
        <w:rPr>
          <w:color w:val="000000"/>
          <w:lang w:val="en-US"/>
        </w:rPr>
        <w:t>s</w:t>
      </w:r>
      <w:r w:rsidRPr="006C3241">
        <w:rPr>
          <w:color w:val="000000"/>
          <w:lang w:val="en-US"/>
        </w:rPr>
        <w:t xml:space="preserve">ector CE. Sectors with no remaining eligible consumption were discarded. Funds were calculated for eligible consumption for China in sectors other than </w:t>
      </w:r>
      <w:r w:rsidR="00351745">
        <w:rPr>
          <w:color w:val="000000"/>
          <w:lang w:val="en-US"/>
        </w:rPr>
        <w:t>f</w:t>
      </w:r>
      <w:r w:rsidRPr="006C3241">
        <w:rPr>
          <w:color w:val="000000"/>
          <w:lang w:val="en-US"/>
        </w:rPr>
        <w:t xml:space="preserve">oam, </w:t>
      </w:r>
      <w:r w:rsidR="00351745">
        <w:rPr>
          <w:color w:val="000000"/>
          <w:lang w:val="en-US"/>
        </w:rPr>
        <w:t>f</w:t>
      </w:r>
      <w:r w:rsidRPr="006C3241">
        <w:rPr>
          <w:color w:val="000000"/>
          <w:lang w:val="en-US"/>
        </w:rPr>
        <w:t xml:space="preserve">ire </w:t>
      </w:r>
      <w:r w:rsidR="00351745">
        <w:rPr>
          <w:color w:val="000000"/>
          <w:lang w:val="en-US"/>
        </w:rPr>
        <w:t>extinguishing, and solvents</w:t>
      </w:r>
      <w:r w:rsidRPr="006C3241">
        <w:rPr>
          <w:color w:val="000000"/>
          <w:lang w:val="en-US"/>
        </w:rPr>
        <w:t>.</w:t>
      </w:r>
    </w:p>
    <w:p w14:paraId="34CE890E" w14:textId="77777777" w:rsidR="00651871" w:rsidRDefault="00651871" w:rsidP="00651871">
      <w:pPr>
        <w:snapToGrid w:val="0"/>
        <w:spacing w:before="100" w:beforeAutospacing="1" w:after="100" w:afterAutospacing="1"/>
        <w:contextualSpacing/>
        <w:rPr>
          <w:lang w:val="en-US"/>
        </w:rPr>
      </w:pPr>
    </w:p>
    <w:p w14:paraId="777754D4" w14:textId="280FDED4" w:rsidR="004812BA" w:rsidRDefault="006124E7" w:rsidP="4BCEE662">
      <w:pPr>
        <w:snapToGrid w:val="0"/>
        <w:spacing w:before="100" w:beforeAutospacing="1" w:after="100" w:afterAutospacing="1"/>
        <w:contextualSpacing/>
        <w:rPr>
          <w:color w:val="000000"/>
          <w:sz w:val="18"/>
          <w:szCs w:val="18"/>
          <w:lang w:val="en-US"/>
        </w:rPr>
      </w:pPr>
      <w:r>
        <w:rPr>
          <w:lang w:val="en-US"/>
        </w:rPr>
        <w:t xml:space="preserve">For </w:t>
      </w:r>
      <w:r w:rsidRPr="006124E7">
        <w:rPr>
          <w:b/>
          <w:bCs/>
          <w:lang w:val="en-US"/>
        </w:rPr>
        <w:t>HCFC Scenario 1</w:t>
      </w:r>
      <w:r>
        <w:rPr>
          <w:lang w:val="en-US"/>
        </w:rPr>
        <w:t xml:space="preserve">, </w:t>
      </w:r>
      <w:r w:rsidR="4BCEE662" w:rsidRPr="4BCEE662">
        <w:rPr>
          <w:lang w:val="en-US"/>
        </w:rPr>
        <w:t xml:space="preserve">RTF applied the separate historical CEs, as described below, to estimate new funding. That is, total estimates are the sum of funding estimates for 14 parties plus </w:t>
      </w:r>
      <w:r w:rsidR="002653C9">
        <w:rPr>
          <w:lang w:val="en-US"/>
        </w:rPr>
        <w:t xml:space="preserve">a separate </w:t>
      </w:r>
      <w:r>
        <w:rPr>
          <w:lang w:val="en-US"/>
        </w:rPr>
        <w:t>funding estimate for China</w:t>
      </w:r>
      <w:r w:rsidR="4BCEE662" w:rsidRPr="4BCEE662">
        <w:rPr>
          <w:lang w:val="en-US"/>
        </w:rPr>
        <w:t>.</w:t>
      </w:r>
      <w:r w:rsidR="4BCEE662" w:rsidRPr="4BCEE662">
        <w:rPr>
          <w:sz w:val="18"/>
          <w:szCs w:val="18"/>
          <w:lang w:val="en-US"/>
        </w:rPr>
        <w:t xml:space="preserve"> </w:t>
      </w:r>
    </w:p>
    <w:p w14:paraId="053B33F2" w14:textId="77777777" w:rsidR="00651871" w:rsidRDefault="00651871" w:rsidP="00651871">
      <w:pPr>
        <w:snapToGrid w:val="0"/>
        <w:spacing w:before="100" w:beforeAutospacing="1" w:after="100" w:afterAutospacing="1"/>
        <w:contextualSpacing/>
        <w:jc w:val="both"/>
        <w:rPr>
          <w:color w:val="000000"/>
          <w:lang w:val="en-US"/>
        </w:rPr>
      </w:pPr>
    </w:p>
    <w:p w14:paraId="37FE416D" w14:textId="12830DCD" w:rsidR="004812BA" w:rsidRPr="006C3241" w:rsidRDefault="004812BA" w:rsidP="003E07E7">
      <w:pPr>
        <w:snapToGrid w:val="0"/>
        <w:spacing w:before="100" w:beforeAutospacing="1" w:after="100" w:afterAutospacing="1"/>
        <w:contextualSpacing/>
        <w:rPr>
          <w:lang w:val="en-US"/>
        </w:rPr>
      </w:pPr>
      <w:r w:rsidRPr="00366852">
        <w:rPr>
          <w:lang w:val="en-US"/>
        </w:rPr>
        <w:t xml:space="preserve">The </w:t>
      </w:r>
      <w:r w:rsidR="00686E0A">
        <w:rPr>
          <w:lang w:val="en-US"/>
        </w:rPr>
        <w:t>h</w:t>
      </w:r>
      <w:r w:rsidRPr="00366852">
        <w:rPr>
          <w:lang w:val="en-US"/>
        </w:rPr>
        <w:t xml:space="preserve">istorical </w:t>
      </w:r>
      <w:r w:rsidR="00686E0A">
        <w:rPr>
          <w:lang w:val="en-US"/>
        </w:rPr>
        <w:t>s</w:t>
      </w:r>
      <w:r w:rsidRPr="00366852">
        <w:rPr>
          <w:lang w:val="en-US"/>
        </w:rPr>
        <w:t xml:space="preserve">ector CEs applied to manufacturing sectors by RTF are in Table </w:t>
      </w:r>
      <w:r w:rsidR="00366852" w:rsidRPr="00366852">
        <w:rPr>
          <w:lang w:val="en-US"/>
        </w:rPr>
        <w:t>A</w:t>
      </w:r>
      <w:r w:rsidR="00B943A7">
        <w:rPr>
          <w:lang w:val="en-US"/>
        </w:rPr>
        <w:t>1.</w:t>
      </w:r>
      <w:r w:rsidR="00366852" w:rsidRPr="00366852">
        <w:rPr>
          <w:lang w:val="en-US"/>
        </w:rPr>
        <w:t>1</w:t>
      </w:r>
      <w:r w:rsidRPr="00366852">
        <w:rPr>
          <w:lang w:val="en-US"/>
        </w:rPr>
        <w:t xml:space="preserve"> below</w:t>
      </w:r>
      <w:r w:rsidR="003319C9">
        <w:rPr>
          <w:lang w:val="en-US"/>
        </w:rPr>
        <w:t>, and the estimated funding fo</w:t>
      </w:r>
      <w:r w:rsidR="003E07E7">
        <w:rPr>
          <w:lang w:val="en-US"/>
        </w:rPr>
        <w:t>r these 15 parties for 2027-2029 is shown in Table A</w:t>
      </w:r>
      <w:r w:rsidR="00B943A7">
        <w:rPr>
          <w:lang w:val="en-US"/>
        </w:rPr>
        <w:t>1.</w:t>
      </w:r>
      <w:r w:rsidR="003E07E7">
        <w:rPr>
          <w:lang w:val="en-US"/>
        </w:rPr>
        <w:t>2.</w:t>
      </w:r>
      <w:r w:rsidRPr="006C3241">
        <w:rPr>
          <w:lang w:val="en-US"/>
        </w:rPr>
        <w:t xml:space="preserve"> </w:t>
      </w:r>
    </w:p>
    <w:p w14:paraId="3020D415" w14:textId="77777777" w:rsidR="004812BA" w:rsidRDefault="004812BA" w:rsidP="004812BA">
      <w:pPr>
        <w:snapToGrid w:val="0"/>
        <w:spacing w:before="100" w:beforeAutospacing="1" w:after="100" w:afterAutospacing="1"/>
        <w:contextualSpacing/>
        <w:jc w:val="both"/>
        <w:rPr>
          <w:lang w:val="en-US"/>
        </w:rPr>
      </w:pPr>
    </w:p>
    <w:p w14:paraId="7CA90786" w14:textId="5F142C14" w:rsidR="000C0BEE" w:rsidRDefault="000C0BEE" w:rsidP="002135B0">
      <w:pPr>
        <w:tabs>
          <w:tab w:val="left" w:pos="1276"/>
        </w:tabs>
        <w:spacing w:after="0"/>
        <w:ind w:left="1412" w:hanging="1412"/>
        <w:rPr>
          <w:b/>
          <w:bCs/>
        </w:rPr>
      </w:pPr>
      <w:r w:rsidRPr="00E42C5E">
        <w:rPr>
          <w:rFonts w:eastAsiaTheme="minorHAnsi"/>
          <w:b/>
          <w:bCs/>
        </w:rPr>
        <w:t xml:space="preserve">Table </w:t>
      </w:r>
      <w:r>
        <w:rPr>
          <w:rFonts w:eastAsiaTheme="minorHAnsi"/>
          <w:b/>
          <w:bCs/>
        </w:rPr>
        <w:t>A</w:t>
      </w:r>
      <w:r w:rsidR="00B943A7">
        <w:rPr>
          <w:rFonts w:eastAsiaTheme="minorHAnsi"/>
          <w:b/>
          <w:bCs/>
        </w:rPr>
        <w:t>1.</w:t>
      </w:r>
      <w:r>
        <w:rPr>
          <w:rFonts w:eastAsiaTheme="minorHAnsi"/>
          <w:b/>
          <w:bCs/>
        </w:rPr>
        <w:t>1</w:t>
      </w:r>
      <w:r w:rsidRPr="00E42C5E">
        <w:rPr>
          <w:rFonts w:eastAsiaTheme="minorHAnsi"/>
          <w:b/>
          <w:bCs/>
        </w:rPr>
        <w:tab/>
      </w:r>
      <w:r w:rsidRPr="000C0BEE">
        <w:rPr>
          <w:rFonts w:eastAsiaTheme="minorHAnsi"/>
          <w:b/>
          <w:bCs/>
        </w:rPr>
        <w:t xml:space="preserve">Historical CEs applied to manufacturing sectors for </w:t>
      </w:r>
      <w:r w:rsidR="00CE68E4" w:rsidRPr="002E08EB">
        <w:rPr>
          <w:rFonts w:eastAsiaTheme="minorHAnsi"/>
          <w:b/>
          <w:bCs/>
          <w:u w:val="single"/>
        </w:rPr>
        <w:t xml:space="preserve">HCFC </w:t>
      </w:r>
      <w:r w:rsidRPr="002E08EB">
        <w:rPr>
          <w:rFonts w:eastAsiaTheme="minorHAnsi"/>
          <w:b/>
          <w:bCs/>
          <w:u w:val="single"/>
        </w:rPr>
        <w:t>Scenario</w:t>
      </w:r>
      <w:r w:rsidR="00CE68E4" w:rsidRPr="002E08EB">
        <w:rPr>
          <w:rFonts w:eastAsiaTheme="minorHAnsi"/>
          <w:b/>
          <w:bCs/>
          <w:u w:val="single"/>
        </w:rPr>
        <w:t xml:space="preserve"> 1</w:t>
      </w:r>
      <w:r w:rsidR="002E1C85">
        <w:rPr>
          <w:rFonts w:eastAsiaTheme="minorHAnsi"/>
          <w:b/>
          <w:bCs/>
        </w:rPr>
        <w:t xml:space="preserve"> (US$/kg)</w:t>
      </w:r>
    </w:p>
    <w:p w14:paraId="7674E92A" w14:textId="198E2927" w:rsidR="004812BA" w:rsidRPr="004A7E0E" w:rsidRDefault="004812BA" w:rsidP="004812BA">
      <w:pPr>
        <w:snapToGrid w:val="0"/>
        <w:spacing w:before="100" w:beforeAutospacing="1" w:after="100" w:afterAutospacing="1"/>
        <w:contextualSpacing/>
        <w:rPr>
          <w:b/>
          <w:bCs/>
          <w:lang w:val="en-US"/>
        </w:rPr>
      </w:pPr>
    </w:p>
    <w:tbl>
      <w:tblPr>
        <w:tblStyle w:val="TableGrid17"/>
        <w:tblW w:w="90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55"/>
        <w:gridCol w:w="850"/>
        <w:gridCol w:w="851"/>
        <w:gridCol w:w="850"/>
        <w:gridCol w:w="1276"/>
        <w:gridCol w:w="1417"/>
        <w:gridCol w:w="1095"/>
        <w:gridCol w:w="1185"/>
      </w:tblGrid>
      <w:tr w:rsidR="004812BA" w:rsidRPr="00497281" w14:paraId="6CD9A2DE" w14:textId="77777777" w:rsidTr="00C77A43">
        <w:tc>
          <w:tcPr>
            <w:tcW w:w="1555" w:type="dxa"/>
            <w:shd w:val="clear" w:color="auto" w:fill="D9E2F3" w:themeFill="accent1" w:themeFillTint="33"/>
            <w:vAlign w:val="center"/>
          </w:tcPr>
          <w:p w14:paraId="7E21F1A8" w14:textId="77777777" w:rsidR="004812BA" w:rsidRPr="00497281" w:rsidRDefault="004812BA" w:rsidP="00C77A43">
            <w:pPr>
              <w:snapToGrid w:val="0"/>
              <w:spacing w:after="100"/>
              <w:contextualSpacing/>
              <w:rPr>
                <w:b/>
                <w:bCs/>
                <w:color w:val="000000"/>
                <w:lang w:val="en-US"/>
              </w:rPr>
            </w:pPr>
            <w:r w:rsidRPr="00497281">
              <w:rPr>
                <w:b/>
                <w:bCs/>
                <w:color w:val="000000"/>
                <w:lang w:val="en-US"/>
              </w:rPr>
              <w:t>HCFC</w:t>
            </w:r>
          </w:p>
          <w:p w14:paraId="7740AE8B" w14:textId="77777777" w:rsidR="004812BA" w:rsidRPr="00497281" w:rsidRDefault="004812BA" w:rsidP="00C77A43">
            <w:pPr>
              <w:snapToGrid w:val="0"/>
              <w:spacing w:after="100"/>
              <w:contextualSpacing/>
              <w:rPr>
                <w:b/>
                <w:bCs/>
                <w:color w:val="000000"/>
                <w:lang w:val="en-US"/>
              </w:rPr>
            </w:pPr>
            <w:r w:rsidRPr="00497281">
              <w:rPr>
                <w:b/>
                <w:bCs/>
                <w:color w:val="000000"/>
                <w:lang w:val="en-US"/>
              </w:rPr>
              <w:t>Sector</w:t>
            </w:r>
          </w:p>
        </w:tc>
        <w:tc>
          <w:tcPr>
            <w:tcW w:w="850" w:type="dxa"/>
            <w:shd w:val="clear" w:color="auto" w:fill="D9E2F3" w:themeFill="accent1" w:themeFillTint="33"/>
            <w:vAlign w:val="center"/>
          </w:tcPr>
          <w:p w14:paraId="0774F5B9" w14:textId="77777777" w:rsidR="004812BA" w:rsidRPr="00497281" w:rsidRDefault="004812BA" w:rsidP="00C77A43">
            <w:pPr>
              <w:snapToGrid w:val="0"/>
              <w:spacing w:after="100"/>
              <w:contextualSpacing/>
              <w:rPr>
                <w:b/>
                <w:bCs/>
                <w:color w:val="000000"/>
                <w:lang w:val="en-US"/>
              </w:rPr>
            </w:pPr>
            <w:r w:rsidRPr="00497281">
              <w:rPr>
                <w:b/>
                <w:bCs/>
                <w:color w:val="000000"/>
                <w:lang w:val="en-US"/>
              </w:rPr>
              <w:t>XPS Foam</w:t>
            </w:r>
          </w:p>
        </w:tc>
        <w:tc>
          <w:tcPr>
            <w:tcW w:w="851" w:type="dxa"/>
            <w:shd w:val="clear" w:color="auto" w:fill="D9E2F3" w:themeFill="accent1" w:themeFillTint="33"/>
            <w:vAlign w:val="center"/>
          </w:tcPr>
          <w:p w14:paraId="2D036AFD" w14:textId="77777777" w:rsidR="004812BA" w:rsidRPr="00497281" w:rsidRDefault="004812BA" w:rsidP="00C77A43">
            <w:pPr>
              <w:snapToGrid w:val="0"/>
              <w:spacing w:after="100"/>
              <w:contextualSpacing/>
              <w:rPr>
                <w:b/>
                <w:bCs/>
                <w:color w:val="000000"/>
                <w:lang w:val="en-US"/>
              </w:rPr>
            </w:pPr>
            <w:r w:rsidRPr="00497281">
              <w:rPr>
                <w:b/>
                <w:bCs/>
                <w:color w:val="000000"/>
                <w:lang w:val="en-US"/>
              </w:rPr>
              <w:t>PU Foam</w:t>
            </w:r>
          </w:p>
        </w:tc>
        <w:tc>
          <w:tcPr>
            <w:tcW w:w="850" w:type="dxa"/>
            <w:shd w:val="clear" w:color="auto" w:fill="D9E2F3" w:themeFill="accent1" w:themeFillTint="33"/>
            <w:vAlign w:val="center"/>
          </w:tcPr>
          <w:p w14:paraId="772C28E6" w14:textId="77777777" w:rsidR="004812BA" w:rsidRPr="00497281" w:rsidRDefault="004812BA" w:rsidP="00C77A43">
            <w:pPr>
              <w:snapToGrid w:val="0"/>
              <w:spacing w:after="100"/>
              <w:contextualSpacing/>
              <w:rPr>
                <w:b/>
                <w:bCs/>
                <w:color w:val="000000"/>
                <w:lang w:val="en-US"/>
              </w:rPr>
            </w:pPr>
            <w:r w:rsidRPr="00497281">
              <w:rPr>
                <w:b/>
                <w:bCs/>
                <w:color w:val="000000"/>
                <w:lang w:val="en-US"/>
              </w:rPr>
              <w:t>Fire Ext.*</w:t>
            </w:r>
          </w:p>
        </w:tc>
        <w:tc>
          <w:tcPr>
            <w:tcW w:w="1276" w:type="dxa"/>
            <w:shd w:val="clear" w:color="auto" w:fill="D9E2F3" w:themeFill="accent1" w:themeFillTint="33"/>
            <w:vAlign w:val="center"/>
          </w:tcPr>
          <w:p w14:paraId="7429FA36" w14:textId="77777777" w:rsidR="004812BA" w:rsidRPr="00497281" w:rsidRDefault="004812BA" w:rsidP="00C77A43">
            <w:pPr>
              <w:snapToGrid w:val="0"/>
              <w:spacing w:after="100"/>
              <w:contextualSpacing/>
              <w:rPr>
                <w:b/>
                <w:bCs/>
                <w:color w:val="000000"/>
                <w:lang w:val="pt-BR"/>
              </w:rPr>
            </w:pPr>
            <w:r w:rsidRPr="00497281">
              <w:rPr>
                <w:b/>
                <w:bCs/>
                <w:color w:val="000000"/>
                <w:lang w:val="pt-BR"/>
              </w:rPr>
              <w:t>ICR (Ind./Com Ref.&amp; AC **</w:t>
            </w:r>
          </w:p>
        </w:tc>
        <w:tc>
          <w:tcPr>
            <w:tcW w:w="1417" w:type="dxa"/>
            <w:shd w:val="clear" w:color="auto" w:fill="D9E2F3" w:themeFill="accent1" w:themeFillTint="33"/>
            <w:vAlign w:val="center"/>
          </w:tcPr>
          <w:p w14:paraId="0970D0CC" w14:textId="77777777" w:rsidR="004812BA" w:rsidRPr="00497281" w:rsidRDefault="004812BA" w:rsidP="00C77A43">
            <w:pPr>
              <w:snapToGrid w:val="0"/>
              <w:spacing w:after="100"/>
              <w:contextualSpacing/>
              <w:rPr>
                <w:b/>
                <w:bCs/>
                <w:color w:val="000000"/>
                <w:lang w:val="pt-BR"/>
              </w:rPr>
            </w:pPr>
            <w:r w:rsidRPr="00497281">
              <w:rPr>
                <w:b/>
                <w:lang w:val="pt-BR"/>
              </w:rPr>
              <w:t>Residential AC</w:t>
            </w:r>
          </w:p>
        </w:tc>
        <w:tc>
          <w:tcPr>
            <w:tcW w:w="1095" w:type="dxa"/>
            <w:shd w:val="clear" w:color="auto" w:fill="D9E2F3" w:themeFill="accent1" w:themeFillTint="33"/>
            <w:vAlign w:val="center"/>
          </w:tcPr>
          <w:p w14:paraId="4806DA3B" w14:textId="77777777" w:rsidR="004812BA" w:rsidRPr="00497281" w:rsidRDefault="004812BA" w:rsidP="00C77A43">
            <w:pPr>
              <w:snapToGrid w:val="0"/>
              <w:spacing w:after="100"/>
              <w:contextualSpacing/>
              <w:rPr>
                <w:b/>
                <w:bCs/>
                <w:color w:val="000000"/>
                <w:lang w:val="en-US"/>
              </w:rPr>
            </w:pPr>
            <w:r w:rsidRPr="00497281">
              <w:rPr>
                <w:b/>
                <w:bCs/>
                <w:color w:val="000000"/>
                <w:lang w:val="en-US"/>
              </w:rPr>
              <w:t>Solvents</w:t>
            </w:r>
          </w:p>
        </w:tc>
        <w:tc>
          <w:tcPr>
            <w:tcW w:w="1185" w:type="dxa"/>
            <w:shd w:val="clear" w:color="auto" w:fill="FFF2CC" w:themeFill="accent4" w:themeFillTint="33"/>
            <w:vAlign w:val="center"/>
          </w:tcPr>
          <w:p w14:paraId="49EEE525" w14:textId="77777777" w:rsidR="004812BA" w:rsidRPr="00497281" w:rsidRDefault="004812BA" w:rsidP="00C77A43">
            <w:pPr>
              <w:snapToGrid w:val="0"/>
              <w:spacing w:after="100"/>
              <w:contextualSpacing/>
              <w:rPr>
                <w:b/>
                <w:bCs/>
                <w:color w:val="000000"/>
                <w:lang w:val="en-US"/>
              </w:rPr>
            </w:pPr>
            <w:r w:rsidRPr="00497281">
              <w:rPr>
                <w:b/>
                <w:bCs/>
                <w:color w:val="000000"/>
                <w:lang w:val="en-US"/>
              </w:rPr>
              <w:t xml:space="preserve">Servicing </w:t>
            </w:r>
          </w:p>
        </w:tc>
      </w:tr>
      <w:tr w:rsidR="004812BA" w:rsidRPr="00497281" w14:paraId="556E0FFA" w14:textId="77777777" w:rsidTr="00C77A43">
        <w:tc>
          <w:tcPr>
            <w:tcW w:w="1555" w:type="dxa"/>
            <w:shd w:val="clear" w:color="auto" w:fill="FFFFFF" w:themeFill="background1"/>
          </w:tcPr>
          <w:p w14:paraId="744A0419" w14:textId="77777777" w:rsidR="004812BA" w:rsidRPr="00497281" w:rsidRDefault="004812BA" w:rsidP="006233FA">
            <w:pPr>
              <w:snapToGrid w:val="0"/>
              <w:spacing w:after="100"/>
              <w:contextualSpacing/>
              <w:rPr>
                <w:color w:val="000000"/>
                <w:lang w:val="en-US"/>
              </w:rPr>
            </w:pPr>
            <w:r w:rsidRPr="00497281">
              <w:rPr>
                <w:color w:val="000000"/>
                <w:lang w:val="en-US"/>
              </w:rPr>
              <w:t xml:space="preserve">Historical CE (US$/kg) applied to 14 parties </w:t>
            </w:r>
          </w:p>
        </w:tc>
        <w:tc>
          <w:tcPr>
            <w:tcW w:w="850" w:type="dxa"/>
            <w:shd w:val="clear" w:color="auto" w:fill="FFFFFF" w:themeFill="background1"/>
            <w:vAlign w:val="center"/>
          </w:tcPr>
          <w:p w14:paraId="568C312F" w14:textId="77777777" w:rsidR="004812BA" w:rsidRPr="00497281" w:rsidRDefault="004812BA" w:rsidP="00C77A43">
            <w:pPr>
              <w:snapToGrid w:val="0"/>
              <w:spacing w:after="100"/>
              <w:contextualSpacing/>
              <w:jc w:val="right"/>
              <w:rPr>
                <w:color w:val="000000"/>
                <w:lang w:val="en-US"/>
              </w:rPr>
            </w:pPr>
            <w:r w:rsidRPr="00497281">
              <w:rPr>
                <w:color w:val="000000"/>
                <w:lang w:val="en-US"/>
              </w:rPr>
              <w:t>5.74</w:t>
            </w:r>
          </w:p>
        </w:tc>
        <w:tc>
          <w:tcPr>
            <w:tcW w:w="851" w:type="dxa"/>
            <w:shd w:val="clear" w:color="auto" w:fill="FFFFFF" w:themeFill="background1"/>
            <w:vAlign w:val="center"/>
          </w:tcPr>
          <w:p w14:paraId="5B47CCE3" w14:textId="77777777" w:rsidR="004812BA" w:rsidRPr="00497281" w:rsidRDefault="004812BA" w:rsidP="00C77A43">
            <w:pPr>
              <w:snapToGrid w:val="0"/>
              <w:spacing w:after="100"/>
              <w:contextualSpacing/>
              <w:jc w:val="right"/>
              <w:rPr>
                <w:color w:val="000000"/>
                <w:lang w:val="en-US"/>
              </w:rPr>
            </w:pPr>
            <w:r w:rsidRPr="00497281">
              <w:rPr>
                <w:color w:val="000000"/>
                <w:lang w:val="en-US"/>
              </w:rPr>
              <w:t>7.37</w:t>
            </w:r>
          </w:p>
        </w:tc>
        <w:tc>
          <w:tcPr>
            <w:tcW w:w="850" w:type="dxa"/>
            <w:shd w:val="clear" w:color="auto" w:fill="FFFFFF" w:themeFill="background1"/>
            <w:vAlign w:val="center"/>
          </w:tcPr>
          <w:p w14:paraId="6C8C011F" w14:textId="77777777" w:rsidR="004812BA" w:rsidRPr="00497281" w:rsidRDefault="004812BA" w:rsidP="00C77A43">
            <w:pPr>
              <w:snapToGrid w:val="0"/>
              <w:spacing w:after="100"/>
              <w:contextualSpacing/>
              <w:jc w:val="right"/>
              <w:rPr>
                <w:color w:val="000000"/>
                <w:lang w:val="en-US"/>
              </w:rPr>
            </w:pPr>
            <w:r w:rsidRPr="00497281">
              <w:rPr>
                <w:color w:val="000000"/>
                <w:lang w:val="en-US"/>
              </w:rPr>
              <w:t xml:space="preserve">4.8 </w:t>
            </w:r>
          </w:p>
        </w:tc>
        <w:tc>
          <w:tcPr>
            <w:tcW w:w="1276" w:type="dxa"/>
            <w:shd w:val="clear" w:color="auto" w:fill="FFFFFF" w:themeFill="background1"/>
            <w:vAlign w:val="center"/>
          </w:tcPr>
          <w:p w14:paraId="5213E83D" w14:textId="77777777" w:rsidR="004812BA" w:rsidRPr="00497281" w:rsidRDefault="004812BA" w:rsidP="00C77A43">
            <w:pPr>
              <w:snapToGrid w:val="0"/>
              <w:spacing w:after="100"/>
              <w:contextualSpacing/>
              <w:jc w:val="right"/>
              <w:rPr>
                <w:color w:val="000000"/>
                <w:lang w:val="en-US"/>
              </w:rPr>
            </w:pPr>
            <w:r w:rsidRPr="00497281">
              <w:rPr>
                <w:color w:val="000000"/>
                <w:lang w:val="en-US"/>
              </w:rPr>
              <w:t>14.57</w:t>
            </w:r>
          </w:p>
        </w:tc>
        <w:tc>
          <w:tcPr>
            <w:tcW w:w="1417" w:type="dxa"/>
            <w:shd w:val="clear" w:color="auto" w:fill="FFFFFF" w:themeFill="background1"/>
            <w:vAlign w:val="center"/>
          </w:tcPr>
          <w:p w14:paraId="60C14E3D" w14:textId="77777777" w:rsidR="004812BA" w:rsidRPr="00497281" w:rsidRDefault="004812BA" w:rsidP="00C77A43">
            <w:pPr>
              <w:snapToGrid w:val="0"/>
              <w:spacing w:after="100"/>
              <w:contextualSpacing/>
              <w:jc w:val="right"/>
              <w:rPr>
                <w:color w:val="000000"/>
                <w:lang w:val="pt-BR"/>
              </w:rPr>
            </w:pPr>
            <w:r w:rsidRPr="00497281">
              <w:rPr>
                <w:color w:val="000000"/>
                <w:lang w:val="pt-BR"/>
              </w:rPr>
              <w:t>10.05</w:t>
            </w:r>
          </w:p>
        </w:tc>
        <w:tc>
          <w:tcPr>
            <w:tcW w:w="1095" w:type="dxa"/>
            <w:shd w:val="clear" w:color="auto" w:fill="FFFFFF" w:themeFill="background1"/>
            <w:vAlign w:val="center"/>
          </w:tcPr>
          <w:p w14:paraId="72E37171" w14:textId="77777777" w:rsidR="004812BA" w:rsidRPr="00497281" w:rsidRDefault="004812BA" w:rsidP="00C77A43">
            <w:pPr>
              <w:snapToGrid w:val="0"/>
              <w:spacing w:after="100"/>
              <w:contextualSpacing/>
              <w:jc w:val="right"/>
              <w:rPr>
                <w:color w:val="000000"/>
                <w:lang w:val="en-US"/>
              </w:rPr>
            </w:pPr>
            <w:r w:rsidRPr="00497281">
              <w:rPr>
                <w:color w:val="000000"/>
                <w:lang w:val="en-US"/>
              </w:rPr>
              <w:t>10.51</w:t>
            </w:r>
          </w:p>
        </w:tc>
        <w:tc>
          <w:tcPr>
            <w:tcW w:w="1185" w:type="dxa"/>
            <w:shd w:val="clear" w:color="auto" w:fill="FFF2CC" w:themeFill="accent4" w:themeFillTint="33"/>
            <w:vAlign w:val="center"/>
          </w:tcPr>
          <w:p w14:paraId="1A8402D9" w14:textId="77777777" w:rsidR="004812BA" w:rsidRPr="00497281" w:rsidRDefault="004812BA" w:rsidP="00C77A43">
            <w:pPr>
              <w:snapToGrid w:val="0"/>
              <w:spacing w:after="100"/>
              <w:contextualSpacing/>
              <w:jc w:val="right"/>
              <w:rPr>
                <w:color w:val="000000"/>
                <w:lang w:val="en-US"/>
              </w:rPr>
            </w:pPr>
            <w:r w:rsidRPr="00497281">
              <w:rPr>
                <w:color w:val="000000"/>
                <w:lang w:val="en-US"/>
              </w:rPr>
              <w:t>4.8</w:t>
            </w:r>
          </w:p>
        </w:tc>
      </w:tr>
      <w:tr w:rsidR="004812BA" w:rsidRPr="00497281" w14:paraId="2A6DB3F2" w14:textId="77777777" w:rsidTr="00C77A43">
        <w:tc>
          <w:tcPr>
            <w:tcW w:w="1555" w:type="dxa"/>
            <w:shd w:val="clear" w:color="auto" w:fill="FFFFFF" w:themeFill="background1"/>
          </w:tcPr>
          <w:p w14:paraId="7A67DF28" w14:textId="77777777" w:rsidR="004812BA" w:rsidRPr="00497281" w:rsidRDefault="004812BA" w:rsidP="006233FA">
            <w:pPr>
              <w:snapToGrid w:val="0"/>
              <w:spacing w:after="100"/>
              <w:contextualSpacing/>
              <w:rPr>
                <w:color w:val="000000"/>
                <w:lang w:val="en-US"/>
              </w:rPr>
            </w:pPr>
            <w:r w:rsidRPr="00497281">
              <w:rPr>
                <w:color w:val="000000"/>
                <w:lang w:val="en-US"/>
              </w:rPr>
              <w:t xml:space="preserve">Historical CE (US$/kg) applied to China </w:t>
            </w:r>
          </w:p>
        </w:tc>
        <w:tc>
          <w:tcPr>
            <w:tcW w:w="850" w:type="dxa"/>
            <w:shd w:val="clear" w:color="auto" w:fill="FFFFFF" w:themeFill="background1"/>
            <w:vAlign w:val="center"/>
          </w:tcPr>
          <w:p w14:paraId="7DE8EC9A" w14:textId="77777777" w:rsidR="004812BA" w:rsidRPr="00497281" w:rsidRDefault="004812BA" w:rsidP="00C77A43">
            <w:pPr>
              <w:snapToGrid w:val="0"/>
              <w:spacing w:after="100"/>
              <w:contextualSpacing/>
              <w:jc w:val="right"/>
              <w:rPr>
                <w:color w:val="000000"/>
                <w:lang w:val="en-US"/>
              </w:rPr>
            </w:pPr>
          </w:p>
        </w:tc>
        <w:tc>
          <w:tcPr>
            <w:tcW w:w="851" w:type="dxa"/>
            <w:shd w:val="clear" w:color="auto" w:fill="FFFFFF" w:themeFill="background1"/>
            <w:vAlign w:val="center"/>
          </w:tcPr>
          <w:p w14:paraId="6BC9BF83" w14:textId="77777777" w:rsidR="004812BA" w:rsidRPr="00497281" w:rsidRDefault="004812BA" w:rsidP="00C77A43">
            <w:pPr>
              <w:snapToGrid w:val="0"/>
              <w:spacing w:after="100"/>
              <w:contextualSpacing/>
              <w:jc w:val="right"/>
              <w:rPr>
                <w:color w:val="000000"/>
                <w:lang w:val="en-US"/>
              </w:rPr>
            </w:pPr>
          </w:p>
        </w:tc>
        <w:tc>
          <w:tcPr>
            <w:tcW w:w="850" w:type="dxa"/>
            <w:shd w:val="clear" w:color="auto" w:fill="FFFFFF" w:themeFill="background1"/>
            <w:vAlign w:val="center"/>
          </w:tcPr>
          <w:p w14:paraId="35C4F043" w14:textId="77777777" w:rsidR="004812BA" w:rsidRPr="00497281" w:rsidRDefault="004812BA" w:rsidP="00C77A43">
            <w:pPr>
              <w:snapToGrid w:val="0"/>
              <w:spacing w:after="100"/>
              <w:contextualSpacing/>
              <w:jc w:val="right"/>
              <w:rPr>
                <w:color w:val="000000"/>
                <w:highlight w:val="yellow"/>
                <w:lang w:val="en-US"/>
              </w:rPr>
            </w:pPr>
          </w:p>
        </w:tc>
        <w:tc>
          <w:tcPr>
            <w:tcW w:w="1276" w:type="dxa"/>
            <w:shd w:val="clear" w:color="auto" w:fill="FFFFFF" w:themeFill="background1"/>
            <w:vAlign w:val="center"/>
          </w:tcPr>
          <w:p w14:paraId="5F4214ED" w14:textId="77777777" w:rsidR="004812BA" w:rsidRPr="00497281" w:rsidRDefault="004812BA" w:rsidP="00C77A43">
            <w:pPr>
              <w:snapToGrid w:val="0"/>
              <w:spacing w:after="100"/>
              <w:contextualSpacing/>
              <w:jc w:val="right"/>
              <w:rPr>
                <w:color w:val="000000"/>
                <w:lang w:val="en-US"/>
              </w:rPr>
            </w:pPr>
            <w:r w:rsidRPr="00497281">
              <w:rPr>
                <w:color w:val="000000"/>
                <w:lang w:val="en-US"/>
              </w:rPr>
              <w:t>6.97</w:t>
            </w:r>
          </w:p>
        </w:tc>
        <w:tc>
          <w:tcPr>
            <w:tcW w:w="1417" w:type="dxa"/>
            <w:shd w:val="clear" w:color="auto" w:fill="FFFFFF" w:themeFill="background1"/>
            <w:vAlign w:val="center"/>
          </w:tcPr>
          <w:p w14:paraId="0529B918" w14:textId="77777777" w:rsidR="004812BA" w:rsidRPr="00497281" w:rsidRDefault="004812BA" w:rsidP="00C77A43">
            <w:pPr>
              <w:snapToGrid w:val="0"/>
              <w:spacing w:after="100"/>
              <w:contextualSpacing/>
              <w:jc w:val="right"/>
              <w:rPr>
                <w:color w:val="000000"/>
                <w:lang w:val="pt-BR"/>
              </w:rPr>
            </w:pPr>
            <w:r w:rsidRPr="00497281">
              <w:rPr>
                <w:color w:val="000000"/>
                <w:lang w:val="en-US"/>
              </w:rPr>
              <w:t>4.79</w:t>
            </w:r>
          </w:p>
        </w:tc>
        <w:tc>
          <w:tcPr>
            <w:tcW w:w="1095" w:type="dxa"/>
            <w:shd w:val="clear" w:color="auto" w:fill="FFFFFF" w:themeFill="background1"/>
            <w:vAlign w:val="center"/>
          </w:tcPr>
          <w:p w14:paraId="2CAE7DE6" w14:textId="77777777" w:rsidR="004812BA" w:rsidRPr="00497281" w:rsidRDefault="004812BA" w:rsidP="00C77A43">
            <w:pPr>
              <w:snapToGrid w:val="0"/>
              <w:spacing w:after="100"/>
              <w:contextualSpacing/>
              <w:jc w:val="right"/>
              <w:rPr>
                <w:color w:val="000000"/>
                <w:lang w:val="en-US"/>
              </w:rPr>
            </w:pPr>
          </w:p>
        </w:tc>
        <w:tc>
          <w:tcPr>
            <w:tcW w:w="1185" w:type="dxa"/>
            <w:shd w:val="clear" w:color="auto" w:fill="FFF2CC" w:themeFill="accent4" w:themeFillTint="33"/>
            <w:vAlign w:val="center"/>
          </w:tcPr>
          <w:p w14:paraId="3D20B287" w14:textId="77777777" w:rsidR="004812BA" w:rsidRPr="00497281" w:rsidRDefault="004812BA" w:rsidP="00C77A43">
            <w:pPr>
              <w:snapToGrid w:val="0"/>
              <w:spacing w:after="100"/>
              <w:contextualSpacing/>
              <w:jc w:val="right"/>
              <w:rPr>
                <w:color w:val="000000"/>
                <w:lang w:val="en-US"/>
              </w:rPr>
            </w:pPr>
            <w:r w:rsidRPr="00497281">
              <w:rPr>
                <w:color w:val="000000"/>
                <w:lang w:val="en-US"/>
              </w:rPr>
              <w:t>4.8</w:t>
            </w:r>
          </w:p>
        </w:tc>
      </w:tr>
    </w:tbl>
    <w:p w14:paraId="4D9D08A8" w14:textId="77777777" w:rsidR="004812BA" w:rsidRPr="006C3241" w:rsidRDefault="004812BA" w:rsidP="004812BA">
      <w:pPr>
        <w:snapToGrid w:val="0"/>
        <w:spacing w:before="100" w:beforeAutospacing="1" w:after="100" w:afterAutospacing="1"/>
        <w:contextualSpacing/>
        <w:rPr>
          <w:color w:val="000000"/>
          <w:sz w:val="18"/>
          <w:szCs w:val="18"/>
          <w:lang w:val="en-US"/>
        </w:rPr>
      </w:pPr>
      <w:r w:rsidRPr="746C58CC">
        <w:rPr>
          <w:sz w:val="18"/>
          <w:szCs w:val="18"/>
          <w:lang w:val="en-US"/>
        </w:rPr>
        <w:t xml:space="preserve">* RTF considered that in the fire extinguishing sector the activities are currently similar to the ones in the servicing sector (CE 4.8). </w:t>
      </w:r>
    </w:p>
    <w:p w14:paraId="1C61E249" w14:textId="77777777" w:rsidR="004812BA" w:rsidRPr="006C3241" w:rsidRDefault="004812BA" w:rsidP="004812BA">
      <w:pPr>
        <w:snapToGrid w:val="0"/>
        <w:spacing w:before="100" w:beforeAutospacing="1" w:after="100" w:afterAutospacing="1"/>
        <w:contextualSpacing/>
        <w:rPr>
          <w:color w:val="000000"/>
          <w:sz w:val="18"/>
          <w:szCs w:val="18"/>
          <w:lang w:val="en-US"/>
        </w:rPr>
      </w:pPr>
      <w:r w:rsidRPr="746C58CC">
        <w:rPr>
          <w:sz w:val="18"/>
          <w:szCs w:val="18"/>
          <w:lang w:val="en-US"/>
        </w:rPr>
        <w:t>** RTF applied the average of the historical CE for Commercial Refrigeration (CE 10.96) and the one for Com. AC (CE 18.18), that can be found in RTF analysis of document 89/19/Rev1, as there is no information on historical Industrial Refr. and the AC in the document. For China RTF applied the average of the historical CE for Commercial Refrigeration in China (CE 9.15) and the one for Com. AC (CE 4.79), as in the RTF analysis document.</w:t>
      </w:r>
    </w:p>
    <w:p w14:paraId="7232C868" w14:textId="77777777" w:rsidR="004812BA" w:rsidRPr="006C3241" w:rsidRDefault="004812BA" w:rsidP="004812BA">
      <w:pPr>
        <w:snapToGrid w:val="0"/>
        <w:spacing w:before="100" w:beforeAutospacing="1" w:after="100" w:afterAutospacing="1"/>
        <w:contextualSpacing/>
        <w:rPr>
          <w:rFonts w:eastAsia="Calibri"/>
          <w:color w:val="000000"/>
          <w:lang w:val="en-US"/>
        </w:rPr>
      </w:pPr>
    </w:p>
    <w:p w14:paraId="213F3F56" w14:textId="3F8BF997" w:rsidR="004812BA" w:rsidRDefault="006B0940" w:rsidP="002135B0">
      <w:pPr>
        <w:tabs>
          <w:tab w:val="left" w:pos="1276"/>
        </w:tabs>
        <w:spacing w:after="0"/>
        <w:ind w:left="1276" w:hanging="1276"/>
        <w:rPr>
          <w:b/>
          <w:bCs/>
        </w:rPr>
      </w:pPr>
      <w:r w:rsidRPr="00E42C5E">
        <w:rPr>
          <w:rFonts w:eastAsiaTheme="minorHAnsi"/>
          <w:b/>
          <w:bCs/>
        </w:rPr>
        <w:t xml:space="preserve">Table </w:t>
      </w:r>
      <w:r>
        <w:rPr>
          <w:rFonts w:eastAsiaTheme="minorHAnsi"/>
          <w:b/>
          <w:bCs/>
        </w:rPr>
        <w:t>A</w:t>
      </w:r>
      <w:r w:rsidR="00B943A7">
        <w:rPr>
          <w:rFonts w:eastAsiaTheme="minorHAnsi"/>
          <w:b/>
          <w:bCs/>
        </w:rPr>
        <w:t>1.</w:t>
      </w:r>
      <w:r>
        <w:rPr>
          <w:rFonts w:eastAsiaTheme="minorHAnsi"/>
          <w:b/>
          <w:bCs/>
        </w:rPr>
        <w:t>2</w:t>
      </w:r>
      <w:r w:rsidRPr="00E42C5E">
        <w:rPr>
          <w:rFonts w:eastAsiaTheme="minorHAnsi"/>
          <w:b/>
          <w:bCs/>
        </w:rPr>
        <w:tab/>
      </w:r>
      <w:r w:rsidR="005303A6" w:rsidRPr="004C7435">
        <w:rPr>
          <w:rFonts w:eastAsiaTheme="minorHAnsi"/>
          <w:b/>
          <w:bCs/>
        </w:rPr>
        <w:t xml:space="preserve">2027 -2029 </w:t>
      </w:r>
      <w:r w:rsidRPr="004C7435">
        <w:rPr>
          <w:rFonts w:eastAsia="Calibri"/>
          <w:b/>
          <w:bCs/>
          <w:color w:val="000000"/>
          <w:lang w:val="en-US"/>
        </w:rPr>
        <w:t>Funding</w:t>
      </w:r>
      <w:r w:rsidRPr="004A7E0E">
        <w:rPr>
          <w:rFonts w:eastAsia="Calibri"/>
          <w:b/>
          <w:bCs/>
          <w:color w:val="000000"/>
          <w:lang w:val="en-US"/>
        </w:rPr>
        <w:t xml:space="preserve"> Estimates for 15 parties with remaining HCFC consumption in different sectors</w:t>
      </w:r>
      <w:r w:rsidR="0021157D">
        <w:rPr>
          <w:rFonts w:eastAsia="Calibri"/>
          <w:b/>
          <w:bCs/>
          <w:color w:val="000000"/>
          <w:lang w:val="en-US"/>
        </w:rPr>
        <w:t xml:space="preserve"> (US$</w:t>
      </w:r>
      <w:r w:rsidR="00C77312">
        <w:rPr>
          <w:rFonts w:eastAsia="Calibri"/>
          <w:b/>
          <w:bCs/>
          <w:color w:val="000000"/>
          <w:lang w:val="en-US"/>
        </w:rPr>
        <w:t xml:space="preserve"> millions</w:t>
      </w:r>
      <w:r w:rsidR="0021157D">
        <w:rPr>
          <w:rFonts w:eastAsia="Calibri"/>
          <w:b/>
          <w:bCs/>
          <w:color w:val="000000"/>
          <w:lang w:val="en-US"/>
        </w:rPr>
        <w:t>)</w:t>
      </w:r>
    </w:p>
    <w:p w14:paraId="67DFF5C3" w14:textId="77777777" w:rsidR="006B0940" w:rsidRPr="006B0940" w:rsidRDefault="006B0940" w:rsidP="006B0940">
      <w:pPr>
        <w:tabs>
          <w:tab w:val="left" w:pos="1418"/>
        </w:tabs>
        <w:spacing w:after="0"/>
        <w:ind w:left="1411" w:hanging="1411"/>
        <w:rPr>
          <w:b/>
          <w:bCs/>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79"/>
        <w:gridCol w:w="779"/>
        <w:gridCol w:w="710"/>
        <w:gridCol w:w="854"/>
        <w:gridCol w:w="849"/>
        <w:gridCol w:w="1024"/>
        <w:gridCol w:w="1141"/>
        <w:gridCol w:w="856"/>
        <w:gridCol w:w="998"/>
      </w:tblGrid>
      <w:tr w:rsidR="004812BA" w:rsidRPr="006C3241" w14:paraId="5BC0F462" w14:textId="77777777" w:rsidTr="002E08EB">
        <w:trPr>
          <w:trHeight w:val="900"/>
        </w:trPr>
        <w:tc>
          <w:tcPr>
            <w:tcW w:w="622" w:type="pct"/>
            <w:shd w:val="clear" w:color="auto" w:fill="D9E2F3" w:themeFill="accent1" w:themeFillTint="33"/>
            <w:noWrap/>
            <w:vAlign w:val="bottom"/>
            <w:hideMark/>
          </w:tcPr>
          <w:p w14:paraId="126D7BF8" w14:textId="77777777" w:rsidR="004812BA" w:rsidRPr="006C3241" w:rsidRDefault="004812BA" w:rsidP="006233FA">
            <w:pPr>
              <w:snapToGrid w:val="0"/>
              <w:spacing w:after="0"/>
              <w:contextualSpacing/>
              <w:rPr>
                <w:b/>
                <w:bCs/>
                <w:sz w:val="20"/>
                <w:szCs w:val="20"/>
                <w:lang w:val="en-US"/>
              </w:rPr>
            </w:pPr>
            <w:r w:rsidRPr="006C3241">
              <w:rPr>
                <w:b/>
                <w:bCs/>
                <w:sz w:val="20"/>
                <w:szCs w:val="20"/>
                <w:lang w:val="en-US"/>
              </w:rPr>
              <w:t xml:space="preserve">Estimated Funding </w:t>
            </w:r>
          </w:p>
          <w:p w14:paraId="0D3995A4" w14:textId="77777777" w:rsidR="004812BA" w:rsidRPr="006C3241" w:rsidRDefault="004812BA" w:rsidP="006233FA">
            <w:pPr>
              <w:snapToGrid w:val="0"/>
              <w:spacing w:after="0"/>
              <w:contextualSpacing/>
              <w:rPr>
                <w:sz w:val="20"/>
                <w:szCs w:val="20"/>
                <w:lang w:val="en-US"/>
              </w:rPr>
            </w:pPr>
            <w:r w:rsidRPr="006C3241">
              <w:rPr>
                <w:b/>
                <w:bCs/>
                <w:sz w:val="20"/>
                <w:szCs w:val="20"/>
                <w:lang w:val="en-US"/>
              </w:rPr>
              <w:t>(in US$ million)</w:t>
            </w:r>
          </w:p>
        </w:tc>
        <w:tc>
          <w:tcPr>
            <w:tcW w:w="427" w:type="pct"/>
            <w:shd w:val="clear" w:color="auto" w:fill="D9E2F3" w:themeFill="accent1" w:themeFillTint="33"/>
            <w:vAlign w:val="center"/>
            <w:hideMark/>
          </w:tcPr>
          <w:p w14:paraId="752E5F0F"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XPS Foam</w:t>
            </w:r>
          </w:p>
        </w:tc>
        <w:tc>
          <w:tcPr>
            <w:tcW w:w="427" w:type="pct"/>
            <w:shd w:val="clear" w:color="auto" w:fill="D9E2F3" w:themeFill="accent1" w:themeFillTint="33"/>
            <w:vAlign w:val="center"/>
            <w:hideMark/>
          </w:tcPr>
          <w:p w14:paraId="0F01C248"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PU Foam</w:t>
            </w:r>
          </w:p>
        </w:tc>
        <w:tc>
          <w:tcPr>
            <w:tcW w:w="389" w:type="pct"/>
            <w:shd w:val="clear" w:color="auto" w:fill="D9E2F3" w:themeFill="accent1" w:themeFillTint="33"/>
            <w:vAlign w:val="center"/>
            <w:hideMark/>
          </w:tcPr>
          <w:p w14:paraId="5186F323" w14:textId="77777777" w:rsidR="004812BA" w:rsidRPr="006C3241" w:rsidRDefault="004812BA" w:rsidP="006233FA">
            <w:pPr>
              <w:snapToGrid w:val="0"/>
              <w:spacing w:after="0"/>
              <w:contextualSpacing/>
              <w:jc w:val="center"/>
              <w:rPr>
                <w:b/>
                <w:bCs/>
                <w:color w:val="000000"/>
                <w:sz w:val="20"/>
                <w:szCs w:val="20"/>
                <w:lang w:val="pt-BR"/>
              </w:rPr>
            </w:pPr>
            <w:r w:rsidRPr="006C3241">
              <w:rPr>
                <w:b/>
                <w:bCs/>
                <w:color w:val="000000"/>
                <w:sz w:val="20"/>
                <w:szCs w:val="20"/>
                <w:lang w:val="en-US"/>
              </w:rPr>
              <w:t>Fire Ext</w:t>
            </w:r>
            <w:r w:rsidRPr="006C3241">
              <w:rPr>
                <w:b/>
                <w:bCs/>
                <w:color w:val="000000"/>
                <w:sz w:val="20"/>
                <w:szCs w:val="20"/>
                <w:lang w:val="pt-BR"/>
              </w:rPr>
              <w:t>.</w:t>
            </w:r>
          </w:p>
        </w:tc>
        <w:tc>
          <w:tcPr>
            <w:tcW w:w="468" w:type="pct"/>
            <w:shd w:val="clear" w:color="auto" w:fill="D9E2F3" w:themeFill="accent1" w:themeFillTint="33"/>
            <w:vAlign w:val="center"/>
            <w:hideMark/>
          </w:tcPr>
          <w:p w14:paraId="412A5B49"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ICR</w:t>
            </w:r>
          </w:p>
        </w:tc>
        <w:tc>
          <w:tcPr>
            <w:tcW w:w="465" w:type="pct"/>
            <w:shd w:val="clear" w:color="auto" w:fill="D9E2F3" w:themeFill="accent1" w:themeFillTint="33"/>
            <w:vAlign w:val="center"/>
            <w:hideMark/>
          </w:tcPr>
          <w:p w14:paraId="10FCC3A2"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Resid. AC</w:t>
            </w:r>
          </w:p>
        </w:tc>
        <w:tc>
          <w:tcPr>
            <w:tcW w:w="561" w:type="pct"/>
            <w:shd w:val="clear" w:color="auto" w:fill="D9E2F3" w:themeFill="accent1" w:themeFillTint="33"/>
            <w:vAlign w:val="center"/>
            <w:hideMark/>
          </w:tcPr>
          <w:p w14:paraId="4BE9D599" w14:textId="77777777" w:rsidR="004812BA" w:rsidRPr="006C3241" w:rsidRDefault="004812BA" w:rsidP="006233FA">
            <w:pPr>
              <w:snapToGrid w:val="0"/>
              <w:spacing w:after="0"/>
              <w:contextualSpacing/>
              <w:jc w:val="center"/>
              <w:rPr>
                <w:b/>
                <w:bCs/>
                <w:color w:val="000000"/>
                <w:sz w:val="20"/>
                <w:szCs w:val="20"/>
                <w:lang w:val="pt-BR"/>
              </w:rPr>
            </w:pPr>
            <w:r w:rsidRPr="006C3241">
              <w:rPr>
                <w:b/>
                <w:bCs/>
                <w:color w:val="000000"/>
                <w:sz w:val="20"/>
                <w:szCs w:val="20"/>
                <w:lang w:val="en-US"/>
              </w:rPr>
              <w:t>Solvent</w:t>
            </w:r>
            <w:r w:rsidRPr="006C3241">
              <w:rPr>
                <w:b/>
                <w:bCs/>
                <w:color w:val="000000"/>
                <w:sz w:val="20"/>
                <w:szCs w:val="20"/>
                <w:lang w:val="pt-BR"/>
              </w:rPr>
              <w:t>s</w:t>
            </w:r>
          </w:p>
        </w:tc>
        <w:tc>
          <w:tcPr>
            <w:tcW w:w="625" w:type="pct"/>
            <w:shd w:val="clear" w:color="auto" w:fill="D9E2F3" w:themeFill="accent1" w:themeFillTint="33"/>
            <w:vAlign w:val="center"/>
            <w:hideMark/>
          </w:tcPr>
          <w:p w14:paraId="64B42DD0"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Servicing</w:t>
            </w:r>
          </w:p>
        </w:tc>
        <w:tc>
          <w:tcPr>
            <w:tcW w:w="469" w:type="pct"/>
            <w:shd w:val="clear" w:color="auto" w:fill="D9E2F3" w:themeFill="accent1" w:themeFillTint="33"/>
            <w:vAlign w:val="center"/>
            <w:hideMark/>
          </w:tcPr>
          <w:p w14:paraId="6F4E7F98"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Total</w:t>
            </w:r>
          </w:p>
        </w:tc>
        <w:tc>
          <w:tcPr>
            <w:tcW w:w="547" w:type="pct"/>
            <w:shd w:val="clear" w:color="auto" w:fill="D9E2F3" w:themeFill="accent1" w:themeFillTint="33"/>
            <w:vAlign w:val="center"/>
            <w:hideMark/>
          </w:tcPr>
          <w:p w14:paraId="188C19EA" w14:textId="77777777" w:rsidR="00E64B1A"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 xml:space="preserve">Total (with 9.6% </w:t>
            </w:r>
            <w:r w:rsidR="00E64B1A">
              <w:rPr>
                <w:b/>
                <w:bCs/>
                <w:color w:val="000000"/>
                <w:sz w:val="20"/>
                <w:szCs w:val="20"/>
                <w:lang w:val="en-US"/>
              </w:rPr>
              <w:t>support</w:t>
            </w:r>
          </w:p>
          <w:p w14:paraId="3181CDCD" w14:textId="2789A2E5" w:rsidR="004812BA" w:rsidRPr="006C3241" w:rsidRDefault="00E64B1A" w:rsidP="006233FA">
            <w:pPr>
              <w:snapToGrid w:val="0"/>
              <w:spacing w:after="0"/>
              <w:contextualSpacing/>
              <w:jc w:val="center"/>
              <w:rPr>
                <w:b/>
                <w:bCs/>
                <w:color w:val="000000"/>
                <w:sz w:val="20"/>
                <w:szCs w:val="20"/>
                <w:lang w:val="en-US"/>
              </w:rPr>
            </w:pPr>
            <w:r>
              <w:rPr>
                <w:b/>
                <w:bCs/>
                <w:color w:val="000000"/>
                <w:sz w:val="20"/>
                <w:szCs w:val="20"/>
                <w:lang w:val="en-US"/>
              </w:rPr>
              <w:t>cost</w:t>
            </w:r>
            <w:r w:rsidR="004812BA" w:rsidRPr="006C3241">
              <w:rPr>
                <w:b/>
                <w:bCs/>
                <w:color w:val="000000"/>
                <w:sz w:val="20"/>
                <w:szCs w:val="20"/>
                <w:lang w:val="en-US"/>
              </w:rPr>
              <w:t xml:space="preserve">) </w:t>
            </w:r>
          </w:p>
        </w:tc>
      </w:tr>
      <w:tr w:rsidR="004812BA" w:rsidRPr="006C3241" w14:paraId="48E4533C" w14:textId="77777777" w:rsidTr="002E08EB">
        <w:trPr>
          <w:trHeight w:val="275"/>
        </w:trPr>
        <w:tc>
          <w:tcPr>
            <w:tcW w:w="622" w:type="pct"/>
            <w:hideMark/>
          </w:tcPr>
          <w:p w14:paraId="146C3550" w14:textId="759AFED3"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 xml:space="preserve">1 </w:t>
            </w:r>
            <w:r w:rsidR="0090735D">
              <w:rPr>
                <w:color w:val="000000"/>
                <w:sz w:val="20"/>
                <w:szCs w:val="20"/>
                <w:lang w:val="en-US"/>
              </w:rPr>
              <w:t>p</w:t>
            </w:r>
            <w:r w:rsidRPr="006C3241">
              <w:rPr>
                <w:color w:val="000000"/>
                <w:sz w:val="20"/>
                <w:szCs w:val="20"/>
                <w:lang w:val="en-US"/>
              </w:rPr>
              <w:t>arty (China)</w:t>
            </w:r>
          </w:p>
        </w:tc>
        <w:tc>
          <w:tcPr>
            <w:tcW w:w="427" w:type="pct"/>
            <w:noWrap/>
            <w:vAlign w:val="center"/>
            <w:hideMark/>
          </w:tcPr>
          <w:p w14:paraId="1645EC25"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w:t>
            </w:r>
          </w:p>
        </w:tc>
        <w:tc>
          <w:tcPr>
            <w:tcW w:w="427" w:type="pct"/>
            <w:noWrap/>
            <w:vAlign w:val="center"/>
            <w:hideMark/>
          </w:tcPr>
          <w:p w14:paraId="1381161F"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w:t>
            </w:r>
          </w:p>
        </w:tc>
        <w:tc>
          <w:tcPr>
            <w:tcW w:w="389" w:type="pct"/>
            <w:noWrap/>
            <w:vAlign w:val="center"/>
            <w:hideMark/>
          </w:tcPr>
          <w:p w14:paraId="5A3A4C19"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w:t>
            </w:r>
          </w:p>
        </w:tc>
        <w:tc>
          <w:tcPr>
            <w:tcW w:w="468" w:type="pct"/>
            <w:noWrap/>
            <w:vAlign w:val="center"/>
            <w:hideMark/>
          </w:tcPr>
          <w:p w14:paraId="098634B3"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94</w:t>
            </w:r>
            <w:r w:rsidRPr="222ABFFA">
              <w:rPr>
                <w:sz w:val="20"/>
                <w:szCs w:val="20"/>
                <w:lang w:val="pt-BR"/>
              </w:rPr>
              <w:t>.</w:t>
            </w:r>
            <w:r w:rsidRPr="222ABFFA">
              <w:rPr>
                <w:sz w:val="20"/>
                <w:szCs w:val="20"/>
                <w:lang w:val="en-US"/>
              </w:rPr>
              <w:t>31</w:t>
            </w:r>
          </w:p>
        </w:tc>
        <w:tc>
          <w:tcPr>
            <w:tcW w:w="465" w:type="pct"/>
            <w:noWrap/>
            <w:vAlign w:val="center"/>
            <w:hideMark/>
          </w:tcPr>
          <w:p w14:paraId="7CA073CA"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66.10</w:t>
            </w:r>
          </w:p>
        </w:tc>
        <w:tc>
          <w:tcPr>
            <w:tcW w:w="561" w:type="pct"/>
            <w:noWrap/>
            <w:vAlign w:val="center"/>
            <w:hideMark/>
          </w:tcPr>
          <w:p w14:paraId="32871880"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w:t>
            </w:r>
          </w:p>
        </w:tc>
        <w:tc>
          <w:tcPr>
            <w:tcW w:w="625" w:type="pct"/>
            <w:noWrap/>
            <w:vAlign w:val="center"/>
            <w:hideMark/>
          </w:tcPr>
          <w:p w14:paraId="03C3B3C1"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144</w:t>
            </w:r>
            <w:r w:rsidRPr="222ABFFA">
              <w:rPr>
                <w:sz w:val="20"/>
                <w:szCs w:val="20"/>
                <w:lang w:val="pt-BR"/>
              </w:rPr>
              <w:t>.</w:t>
            </w:r>
            <w:r w:rsidRPr="222ABFFA">
              <w:rPr>
                <w:sz w:val="20"/>
                <w:szCs w:val="20"/>
                <w:lang w:val="en-US"/>
              </w:rPr>
              <w:t>37</w:t>
            </w:r>
          </w:p>
        </w:tc>
        <w:tc>
          <w:tcPr>
            <w:tcW w:w="469" w:type="pct"/>
            <w:noWrap/>
            <w:vAlign w:val="center"/>
            <w:hideMark/>
          </w:tcPr>
          <w:p w14:paraId="05D3B102" w14:textId="77777777" w:rsidR="004812BA" w:rsidRPr="006C3241" w:rsidRDefault="5B365E33" w:rsidP="222ABFFA">
            <w:pPr>
              <w:snapToGrid w:val="0"/>
              <w:spacing w:after="0"/>
              <w:contextualSpacing/>
              <w:jc w:val="center"/>
              <w:rPr>
                <w:color w:val="000000"/>
                <w:sz w:val="20"/>
                <w:szCs w:val="20"/>
                <w:lang w:val="en-US"/>
              </w:rPr>
            </w:pPr>
            <w:r w:rsidRPr="222ABFFA">
              <w:rPr>
                <w:sz w:val="20"/>
                <w:szCs w:val="20"/>
                <w:lang w:val="en-US"/>
              </w:rPr>
              <w:t>304</w:t>
            </w:r>
            <w:r w:rsidRPr="222ABFFA">
              <w:rPr>
                <w:sz w:val="20"/>
                <w:szCs w:val="20"/>
                <w:lang w:val="pt-BR"/>
              </w:rPr>
              <w:t>.</w:t>
            </w:r>
            <w:r w:rsidRPr="222ABFFA">
              <w:rPr>
                <w:sz w:val="20"/>
                <w:szCs w:val="20"/>
                <w:lang w:val="en-US"/>
              </w:rPr>
              <w:t>79</w:t>
            </w:r>
          </w:p>
        </w:tc>
        <w:tc>
          <w:tcPr>
            <w:tcW w:w="547" w:type="pct"/>
            <w:noWrap/>
            <w:vAlign w:val="center"/>
            <w:hideMark/>
          </w:tcPr>
          <w:p w14:paraId="253A4E8E" w14:textId="77777777" w:rsidR="004812BA" w:rsidRPr="006C3241" w:rsidRDefault="5B365E33" w:rsidP="222ABFFA">
            <w:pPr>
              <w:snapToGrid w:val="0"/>
              <w:spacing w:after="0"/>
              <w:contextualSpacing/>
              <w:jc w:val="center"/>
              <w:rPr>
                <w:color w:val="000000"/>
                <w:sz w:val="20"/>
                <w:szCs w:val="20"/>
                <w:lang w:val="en-US"/>
              </w:rPr>
            </w:pPr>
            <w:r w:rsidRPr="222ABFFA">
              <w:rPr>
                <w:sz w:val="20"/>
                <w:szCs w:val="20"/>
                <w:lang w:val="en-US"/>
              </w:rPr>
              <w:t>334</w:t>
            </w:r>
            <w:r w:rsidRPr="222ABFFA">
              <w:rPr>
                <w:sz w:val="20"/>
                <w:szCs w:val="20"/>
                <w:lang w:val="pt-BR"/>
              </w:rPr>
              <w:t>.</w:t>
            </w:r>
            <w:r w:rsidRPr="222ABFFA">
              <w:rPr>
                <w:sz w:val="20"/>
                <w:szCs w:val="20"/>
                <w:lang w:val="en-US"/>
              </w:rPr>
              <w:t>05</w:t>
            </w:r>
          </w:p>
        </w:tc>
      </w:tr>
      <w:tr w:rsidR="004812BA" w:rsidRPr="006C3241" w14:paraId="04EDD03F" w14:textId="77777777" w:rsidTr="002E08EB">
        <w:trPr>
          <w:trHeight w:val="350"/>
        </w:trPr>
        <w:tc>
          <w:tcPr>
            <w:tcW w:w="622" w:type="pct"/>
            <w:hideMark/>
          </w:tcPr>
          <w:p w14:paraId="7A5A00BB" w14:textId="5DCCB160" w:rsidR="004812BA" w:rsidRPr="006C3241" w:rsidRDefault="004812BA" w:rsidP="006233FA">
            <w:pPr>
              <w:snapToGrid w:val="0"/>
              <w:spacing w:after="0"/>
              <w:contextualSpacing/>
              <w:rPr>
                <w:color w:val="000000"/>
                <w:sz w:val="20"/>
                <w:szCs w:val="20"/>
                <w:lang w:val="en-US"/>
              </w:rPr>
            </w:pPr>
            <w:r w:rsidRPr="006C3241">
              <w:rPr>
                <w:color w:val="000000"/>
                <w:sz w:val="20"/>
                <w:szCs w:val="20"/>
                <w:lang w:val="pt-BR"/>
              </w:rPr>
              <w:t xml:space="preserve">14 </w:t>
            </w:r>
            <w:r w:rsidR="0090735D">
              <w:rPr>
                <w:color w:val="000000"/>
                <w:sz w:val="20"/>
                <w:szCs w:val="20"/>
                <w:lang w:val="pt-BR"/>
              </w:rPr>
              <w:t>p</w:t>
            </w:r>
            <w:r w:rsidRPr="006C3241">
              <w:rPr>
                <w:color w:val="000000"/>
                <w:sz w:val="20"/>
                <w:szCs w:val="20"/>
                <w:lang w:val="pt-BR"/>
              </w:rPr>
              <w:t>arties</w:t>
            </w:r>
          </w:p>
        </w:tc>
        <w:tc>
          <w:tcPr>
            <w:tcW w:w="427" w:type="pct"/>
            <w:noWrap/>
            <w:vAlign w:val="center"/>
            <w:hideMark/>
          </w:tcPr>
          <w:p w14:paraId="69DB0143"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0.10</w:t>
            </w:r>
          </w:p>
        </w:tc>
        <w:tc>
          <w:tcPr>
            <w:tcW w:w="427" w:type="pct"/>
            <w:noWrap/>
            <w:vAlign w:val="center"/>
            <w:hideMark/>
          </w:tcPr>
          <w:p w14:paraId="11CC66F2"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0.36</w:t>
            </w:r>
          </w:p>
        </w:tc>
        <w:tc>
          <w:tcPr>
            <w:tcW w:w="389" w:type="pct"/>
            <w:noWrap/>
            <w:vAlign w:val="center"/>
            <w:hideMark/>
          </w:tcPr>
          <w:p w14:paraId="69961233"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0.06</w:t>
            </w:r>
          </w:p>
        </w:tc>
        <w:tc>
          <w:tcPr>
            <w:tcW w:w="468" w:type="pct"/>
            <w:noWrap/>
            <w:vAlign w:val="center"/>
            <w:hideMark/>
          </w:tcPr>
          <w:p w14:paraId="3D4528E3"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6.11</w:t>
            </w:r>
          </w:p>
        </w:tc>
        <w:tc>
          <w:tcPr>
            <w:tcW w:w="465" w:type="pct"/>
            <w:noWrap/>
            <w:vAlign w:val="center"/>
            <w:hideMark/>
          </w:tcPr>
          <w:p w14:paraId="213E57B2"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0.00</w:t>
            </w:r>
          </w:p>
        </w:tc>
        <w:tc>
          <w:tcPr>
            <w:tcW w:w="561" w:type="pct"/>
            <w:noWrap/>
            <w:vAlign w:val="center"/>
            <w:hideMark/>
          </w:tcPr>
          <w:p w14:paraId="6FB70939"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2.11</w:t>
            </w:r>
          </w:p>
        </w:tc>
        <w:tc>
          <w:tcPr>
            <w:tcW w:w="625" w:type="pct"/>
            <w:noWrap/>
            <w:vAlign w:val="center"/>
            <w:hideMark/>
          </w:tcPr>
          <w:p w14:paraId="5BE9CD6F"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49.75</w:t>
            </w:r>
          </w:p>
        </w:tc>
        <w:tc>
          <w:tcPr>
            <w:tcW w:w="469" w:type="pct"/>
            <w:noWrap/>
            <w:vAlign w:val="center"/>
            <w:hideMark/>
          </w:tcPr>
          <w:p w14:paraId="337B13BC"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58.49</w:t>
            </w:r>
          </w:p>
        </w:tc>
        <w:tc>
          <w:tcPr>
            <w:tcW w:w="547" w:type="pct"/>
            <w:noWrap/>
            <w:vAlign w:val="center"/>
            <w:hideMark/>
          </w:tcPr>
          <w:p w14:paraId="13B0E92B"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64.11</w:t>
            </w:r>
          </w:p>
        </w:tc>
      </w:tr>
      <w:tr w:rsidR="004812BA" w:rsidRPr="006C3241" w14:paraId="1975D8DC" w14:textId="77777777" w:rsidTr="002E08EB">
        <w:trPr>
          <w:trHeight w:val="350"/>
        </w:trPr>
        <w:tc>
          <w:tcPr>
            <w:tcW w:w="622" w:type="pct"/>
            <w:hideMark/>
          </w:tcPr>
          <w:p w14:paraId="325AA826"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Total for 15 parties</w:t>
            </w:r>
          </w:p>
        </w:tc>
        <w:tc>
          <w:tcPr>
            <w:tcW w:w="427" w:type="pct"/>
            <w:noWrap/>
            <w:vAlign w:val="center"/>
            <w:hideMark/>
          </w:tcPr>
          <w:p w14:paraId="5AF19A89"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0.10</w:t>
            </w:r>
          </w:p>
        </w:tc>
        <w:tc>
          <w:tcPr>
            <w:tcW w:w="427" w:type="pct"/>
            <w:noWrap/>
            <w:vAlign w:val="center"/>
            <w:hideMark/>
          </w:tcPr>
          <w:p w14:paraId="01C266B8"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0.36</w:t>
            </w:r>
          </w:p>
        </w:tc>
        <w:tc>
          <w:tcPr>
            <w:tcW w:w="389" w:type="pct"/>
            <w:noWrap/>
            <w:vAlign w:val="center"/>
            <w:hideMark/>
          </w:tcPr>
          <w:p w14:paraId="19EB585E"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0.06</w:t>
            </w:r>
          </w:p>
        </w:tc>
        <w:tc>
          <w:tcPr>
            <w:tcW w:w="468" w:type="pct"/>
            <w:noWrap/>
            <w:vAlign w:val="center"/>
            <w:hideMark/>
          </w:tcPr>
          <w:p w14:paraId="74A9D87A"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100.43</w:t>
            </w:r>
          </w:p>
        </w:tc>
        <w:tc>
          <w:tcPr>
            <w:tcW w:w="465" w:type="pct"/>
            <w:noWrap/>
            <w:vAlign w:val="center"/>
            <w:hideMark/>
          </w:tcPr>
          <w:p w14:paraId="32E2B85B"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66.10</w:t>
            </w:r>
          </w:p>
        </w:tc>
        <w:tc>
          <w:tcPr>
            <w:tcW w:w="561" w:type="pct"/>
            <w:noWrap/>
            <w:vAlign w:val="center"/>
            <w:hideMark/>
          </w:tcPr>
          <w:p w14:paraId="3EC75499"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2.11</w:t>
            </w:r>
          </w:p>
        </w:tc>
        <w:tc>
          <w:tcPr>
            <w:tcW w:w="625" w:type="pct"/>
            <w:noWrap/>
            <w:vAlign w:val="center"/>
            <w:hideMark/>
          </w:tcPr>
          <w:p w14:paraId="00054DC0"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194.12</w:t>
            </w:r>
          </w:p>
        </w:tc>
        <w:tc>
          <w:tcPr>
            <w:tcW w:w="469" w:type="pct"/>
            <w:noWrap/>
            <w:vAlign w:val="center"/>
            <w:hideMark/>
          </w:tcPr>
          <w:p w14:paraId="66845BE5"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363.28</w:t>
            </w:r>
          </w:p>
        </w:tc>
        <w:tc>
          <w:tcPr>
            <w:tcW w:w="547" w:type="pct"/>
            <w:noWrap/>
            <w:vAlign w:val="center"/>
            <w:hideMark/>
          </w:tcPr>
          <w:p w14:paraId="7EC65347"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398.15</w:t>
            </w:r>
          </w:p>
        </w:tc>
      </w:tr>
      <w:tr w:rsidR="004812BA" w:rsidRPr="006C3241" w14:paraId="46DD8EC0" w14:textId="77777777" w:rsidTr="002E08EB">
        <w:trPr>
          <w:trHeight w:val="380"/>
        </w:trPr>
        <w:tc>
          <w:tcPr>
            <w:tcW w:w="622" w:type="pct"/>
            <w:shd w:val="clear" w:color="auto" w:fill="B4C6E7" w:themeFill="accent1" w:themeFillTint="66"/>
            <w:hideMark/>
          </w:tcPr>
          <w:p w14:paraId="590D3262" w14:textId="77777777" w:rsidR="004812BA" w:rsidRPr="006C3241" w:rsidRDefault="004812BA" w:rsidP="006233FA">
            <w:pPr>
              <w:snapToGrid w:val="0"/>
              <w:spacing w:after="0"/>
              <w:contextualSpacing/>
              <w:rPr>
                <w:color w:val="000000"/>
                <w:sz w:val="20"/>
                <w:szCs w:val="20"/>
                <w:lang w:val="pt-BR"/>
              </w:rPr>
            </w:pPr>
            <w:r w:rsidRPr="006C3241">
              <w:rPr>
                <w:color w:val="000000"/>
                <w:sz w:val="20"/>
                <w:szCs w:val="20"/>
                <w:lang w:val="en-US"/>
              </w:rPr>
              <w:t>Total with 15% deduction</w:t>
            </w:r>
            <w:r w:rsidRPr="006C3241">
              <w:rPr>
                <w:color w:val="000000"/>
                <w:sz w:val="20"/>
                <w:szCs w:val="20"/>
                <w:lang w:val="pt-BR"/>
              </w:rPr>
              <w:t>*</w:t>
            </w:r>
          </w:p>
        </w:tc>
        <w:tc>
          <w:tcPr>
            <w:tcW w:w="427" w:type="pct"/>
            <w:shd w:val="clear" w:color="auto" w:fill="B4C6E7" w:themeFill="accent1" w:themeFillTint="66"/>
            <w:noWrap/>
            <w:vAlign w:val="center"/>
            <w:hideMark/>
          </w:tcPr>
          <w:p w14:paraId="6A52B7DC"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0.08</w:t>
            </w:r>
          </w:p>
        </w:tc>
        <w:tc>
          <w:tcPr>
            <w:tcW w:w="427" w:type="pct"/>
            <w:shd w:val="clear" w:color="auto" w:fill="B4C6E7" w:themeFill="accent1" w:themeFillTint="66"/>
            <w:noWrap/>
            <w:vAlign w:val="center"/>
            <w:hideMark/>
          </w:tcPr>
          <w:p w14:paraId="02646019"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0.31</w:t>
            </w:r>
          </w:p>
        </w:tc>
        <w:tc>
          <w:tcPr>
            <w:tcW w:w="389" w:type="pct"/>
            <w:shd w:val="clear" w:color="auto" w:fill="B4C6E7" w:themeFill="accent1" w:themeFillTint="66"/>
            <w:noWrap/>
            <w:vAlign w:val="center"/>
            <w:hideMark/>
          </w:tcPr>
          <w:p w14:paraId="5FC74525"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0.05</w:t>
            </w:r>
          </w:p>
        </w:tc>
        <w:tc>
          <w:tcPr>
            <w:tcW w:w="468" w:type="pct"/>
            <w:shd w:val="clear" w:color="auto" w:fill="B4C6E7" w:themeFill="accent1" w:themeFillTint="66"/>
            <w:noWrap/>
            <w:vAlign w:val="center"/>
            <w:hideMark/>
          </w:tcPr>
          <w:p w14:paraId="7AB480C5"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85.36</w:t>
            </w:r>
          </w:p>
        </w:tc>
        <w:tc>
          <w:tcPr>
            <w:tcW w:w="465" w:type="pct"/>
            <w:shd w:val="clear" w:color="auto" w:fill="B4C6E7" w:themeFill="accent1" w:themeFillTint="66"/>
            <w:noWrap/>
            <w:vAlign w:val="center"/>
            <w:hideMark/>
          </w:tcPr>
          <w:p w14:paraId="79BCFEB9"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56.18</w:t>
            </w:r>
          </w:p>
        </w:tc>
        <w:tc>
          <w:tcPr>
            <w:tcW w:w="561" w:type="pct"/>
            <w:shd w:val="clear" w:color="auto" w:fill="B4C6E7" w:themeFill="accent1" w:themeFillTint="66"/>
            <w:noWrap/>
            <w:vAlign w:val="center"/>
            <w:hideMark/>
          </w:tcPr>
          <w:p w14:paraId="6284F478"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1.79</w:t>
            </w:r>
          </w:p>
        </w:tc>
        <w:tc>
          <w:tcPr>
            <w:tcW w:w="625" w:type="pct"/>
            <w:shd w:val="clear" w:color="auto" w:fill="B4C6E7" w:themeFill="accent1" w:themeFillTint="66"/>
            <w:noWrap/>
            <w:vAlign w:val="center"/>
            <w:hideMark/>
          </w:tcPr>
          <w:p w14:paraId="21A383C6" w14:textId="77777777" w:rsidR="004812BA" w:rsidRPr="006C3241" w:rsidRDefault="5B365E33" w:rsidP="696095AF">
            <w:pPr>
              <w:snapToGrid w:val="0"/>
              <w:spacing w:after="0"/>
              <w:contextualSpacing/>
              <w:jc w:val="center"/>
              <w:rPr>
                <w:color w:val="000000"/>
                <w:sz w:val="20"/>
                <w:szCs w:val="20"/>
                <w:lang w:val="en-US"/>
              </w:rPr>
            </w:pPr>
            <w:r w:rsidRPr="222ABFFA">
              <w:rPr>
                <w:sz w:val="20"/>
                <w:szCs w:val="20"/>
                <w:lang w:val="en-US"/>
              </w:rPr>
              <w:t>194.12</w:t>
            </w:r>
          </w:p>
        </w:tc>
        <w:tc>
          <w:tcPr>
            <w:tcW w:w="469" w:type="pct"/>
            <w:shd w:val="clear" w:color="auto" w:fill="B4C6E7" w:themeFill="accent1" w:themeFillTint="66"/>
            <w:noWrap/>
            <w:vAlign w:val="center"/>
            <w:hideMark/>
          </w:tcPr>
          <w:p w14:paraId="19031727" w14:textId="77777777" w:rsidR="004812BA" w:rsidRPr="006C3241" w:rsidRDefault="5B365E33" w:rsidP="222ABFFA">
            <w:pPr>
              <w:snapToGrid w:val="0"/>
              <w:spacing w:after="0"/>
              <w:contextualSpacing/>
              <w:jc w:val="center"/>
              <w:rPr>
                <w:color w:val="000000"/>
                <w:sz w:val="20"/>
                <w:szCs w:val="20"/>
                <w:lang w:val="en-US"/>
              </w:rPr>
            </w:pPr>
            <w:r w:rsidRPr="222ABFFA">
              <w:rPr>
                <w:sz w:val="20"/>
                <w:szCs w:val="20"/>
                <w:lang w:val="en-US"/>
              </w:rPr>
              <w:t>337.90</w:t>
            </w:r>
          </w:p>
        </w:tc>
        <w:tc>
          <w:tcPr>
            <w:tcW w:w="547" w:type="pct"/>
            <w:shd w:val="clear" w:color="auto" w:fill="B4C6E7" w:themeFill="accent1" w:themeFillTint="66"/>
            <w:noWrap/>
            <w:vAlign w:val="center"/>
            <w:hideMark/>
          </w:tcPr>
          <w:p w14:paraId="269BECF1" w14:textId="77777777" w:rsidR="004812BA" w:rsidRPr="006C3241" w:rsidRDefault="5B365E33" w:rsidP="222ABFFA">
            <w:pPr>
              <w:snapToGrid w:val="0"/>
              <w:spacing w:after="0"/>
              <w:contextualSpacing/>
              <w:jc w:val="center"/>
              <w:rPr>
                <w:color w:val="000000"/>
                <w:sz w:val="20"/>
                <w:szCs w:val="20"/>
                <w:lang w:val="en-US"/>
              </w:rPr>
            </w:pPr>
            <w:r w:rsidRPr="222ABFFA">
              <w:rPr>
                <w:sz w:val="20"/>
                <w:szCs w:val="20"/>
                <w:lang w:val="en-US"/>
              </w:rPr>
              <w:t>370.34</w:t>
            </w:r>
          </w:p>
        </w:tc>
      </w:tr>
    </w:tbl>
    <w:p w14:paraId="3CBA343E" w14:textId="77777777" w:rsidR="004812BA" w:rsidRPr="006C3241" w:rsidRDefault="004812BA" w:rsidP="004812BA">
      <w:pPr>
        <w:snapToGrid w:val="0"/>
        <w:spacing w:before="100" w:beforeAutospacing="1" w:after="160" w:afterAutospacing="1"/>
        <w:rPr>
          <w:color w:val="000000"/>
          <w:sz w:val="18"/>
          <w:szCs w:val="18"/>
          <w:lang w:val="en-US"/>
        </w:rPr>
      </w:pPr>
      <w:r w:rsidRPr="746C58CC">
        <w:rPr>
          <w:sz w:val="18"/>
          <w:szCs w:val="18"/>
          <w:lang w:val="en-US"/>
        </w:rPr>
        <w:t>* Includes 15% deduction for foreign ownership in manufacturing sectors</w:t>
      </w:r>
    </w:p>
    <w:p w14:paraId="0D2761E5" w14:textId="32ADA8F6" w:rsidR="00E93339" w:rsidRPr="006C3241" w:rsidRDefault="004812BA" w:rsidP="00E93339">
      <w:pPr>
        <w:tabs>
          <w:tab w:val="clear" w:pos="0"/>
        </w:tabs>
        <w:snapToGrid w:val="0"/>
        <w:spacing w:before="100" w:beforeAutospacing="1" w:after="100" w:afterAutospacing="1"/>
        <w:contextualSpacing/>
        <w:rPr>
          <w:b/>
          <w:bCs/>
          <w:lang w:val="en-US"/>
        </w:rPr>
      </w:pPr>
      <w:r w:rsidRPr="006C3241">
        <w:rPr>
          <w:b/>
          <w:bCs/>
          <w:lang w:val="en-US"/>
        </w:rPr>
        <w:t xml:space="preserve">Estimated Funding for 15 Non-LVC Parties: </w:t>
      </w:r>
      <w:r w:rsidR="002E08EB" w:rsidRPr="002E08EB">
        <w:rPr>
          <w:b/>
          <w:bCs/>
          <w:u w:val="single"/>
          <w:lang w:val="en-US"/>
        </w:rPr>
        <w:t xml:space="preserve">HCFC </w:t>
      </w:r>
      <w:r w:rsidRPr="002E08EB">
        <w:rPr>
          <w:b/>
          <w:bCs/>
          <w:u w:val="single"/>
          <w:lang w:val="en-US"/>
        </w:rPr>
        <w:t>Scenario</w:t>
      </w:r>
      <w:r w:rsidRPr="006C3241">
        <w:rPr>
          <w:b/>
          <w:bCs/>
          <w:u w:val="single"/>
          <w:lang w:val="en-US"/>
        </w:rPr>
        <w:t xml:space="preserve"> 2</w:t>
      </w:r>
      <w:r w:rsidRPr="006C3241">
        <w:rPr>
          <w:lang w:val="en-US"/>
        </w:rPr>
        <w:t xml:space="preserve"> </w:t>
      </w:r>
      <w:r w:rsidR="00E93339">
        <w:rPr>
          <w:lang w:val="en-US"/>
        </w:rPr>
        <w:t xml:space="preserve">- </w:t>
      </w:r>
      <w:r w:rsidR="00E93339" w:rsidRPr="006C3241">
        <w:rPr>
          <w:lang w:val="en-US"/>
        </w:rPr>
        <w:t xml:space="preserve">Using CE values in </w:t>
      </w:r>
      <w:r w:rsidR="00E93339" w:rsidRPr="006C3241">
        <w:rPr>
          <w:u w:val="single"/>
          <w:lang w:val="en-US"/>
        </w:rPr>
        <w:t>cost guidelines</w:t>
      </w:r>
      <w:r w:rsidR="00E93339" w:rsidRPr="006C3241">
        <w:rPr>
          <w:lang w:val="en-US"/>
        </w:rPr>
        <w:t xml:space="preserve"> (for some case-by-case sectors, CE gaps filled by RTF) calculated new funding estimates for 15 parties</w:t>
      </w:r>
      <w:r w:rsidR="00E93339">
        <w:rPr>
          <w:lang w:val="en-US"/>
        </w:rPr>
        <w:t xml:space="preserve"> under</w:t>
      </w:r>
      <w:r w:rsidR="00E93339" w:rsidRPr="006C3241">
        <w:rPr>
          <w:lang w:val="en-US"/>
        </w:rPr>
        <w:t xml:space="preserve"> </w:t>
      </w:r>
      <w:r w:rsidR="00E93339" w:rsidRPr="006C3241">
        <w:rPr>
          <w:b/>
          <w:bCs/>
          <w:lang w:val="en-US"/>
        </w:rPr>
        <w:t>Output 5</w:t>
      </w:r>
      <w:r w:rsidR="00CC41C3">
        <w:rPr>
          <w:b/>
          <w:bCs/>
          <w:lang w:val="en-US"/>
        </w:rPr>
        <w:t xml:space="preserve"> </w:t>
      </w:r>
      <w:r w:rsidR="00CC41C3" w:rsidRPr="00CC41C3">
        <w:rPr>
          <w:lang w:val="en-US"/>
        </w:rPr>
        <w:t>in Figure A</w:t>
      </w:r>
      <w:r w:rsidR="00A1285D">
        <w:rPr>
          <w:lang w:val="en-US"/>
        </w:rPr>
        <w:t>1.</w:t>
      </w:r>
      <w:r w:rsidR="00CC41C3" w:rsidRPr="00CC41C3">
        <w:rPr>
          <w:lang w:val="en-US"/>
        </w:rPr>
        <w:t>3</w:t>
      </w:r>
      <w:r w:rsidR="007C6A4F">
        <w:rPr>
          <w:lang w:val="en-US"/>
        </w:rPr>
        <w:t>.</w:t>
      </w:r>
    </w:p>
    <w:p w14:paraId="03C59BE7" w14:textId="7A2F3244" w:rsidR="004812BA" w:rsidRPr="006C3241" w:rsidRDefault="004812BA" w:rsidP="00C80AA6">
      <w:pPr>
        <w:snapToGrid w:val="0"/>
        <w:spacing w:before="100" w:beforeAutospacing="1" w:after="100" w:afterAutospacing="1"/>
        <w:contextualSpacing/>
        <w:rPr>
          <w:lang w:val="en-US"/>
        </w:rPr>
      </w:pPr>
      <w:r w:rsidRPr="006C3241">
        <w:rPr>
          <w:lang w:val="en-US"/>
        </w:rPr>
        <w:t xml:space="preserve">In ExCom cost guidelines, </w:t>
      </w:r>
      <w:r w:rsidR="004D316E">
        <w:rPr>
          <w:lang w:val="en-US"/>
        </w:rPr>
        <w:t>d</w:t>
      </w:r>
      <w:r w:rsidRPr="006C3241">
        <w:rPr>
          <w:lang w:val="en-US"/>
        </w:rPr>
        <w:t xml:space="preserve">omestic </w:t>
      </w:r>
      <w:r w:rsidR="004D316E">
        <w:rPr>
          <w:lang w:val="en-US"/>
        </w:rPr>
        <w:t>r</w:t>
      </w:r>
      <w:r w:rsidRPr="006C3241">
        <w:rPr>
          <w:lang w:val="en-US"/>
        </w:rPr>
        <w:t xml:space="preserve">efrigeration (PU panel), </w:t>
      </w:r>
      <w:r w:rsidR="004D316E">
        <w:rPr>
          <w:lang w:val="en-US"/>
        </w:rPr>
        <w:t>f</w:t>
      </w:r>
      <w:r w:rsidRPr="006C3241">
        <w:rPr>
          <w:lang w:val="en-US"/>
        </w:rPr>
        <w:t xml:space="preserve">oam and </w:t>
      </w:r>
      <w:r w:rsidR="004D316E">
        <w:rPr>
          <w:lang w:val="en-US"/>
        </w:rPr>
        <w:t>c</w:t>
      </w:r>
      <w:r w:rsidRPr="006C3241">
        <w:rPr>
          <w:lang w:val="en-US"/>
        </w:rPr>
        <w:t xml:space="preserve">ommercial </w:t>
      </w:r>
      <w:r w:rsidR="004D316E">
        <w:rPr>
          <w:lang w:val="en-US"/>
        </w:rPr>
        <w:t>r</w:t>
      </w:r>
      <w:r w:rsidRPr="006C3241">
        <w:rPr>
          <w:lang w:val="en-US"/>
        </w:rPr>
        <w:t xml:space="preserve">efrigeration sectors have CEs defined. Other sectors, such as </w:t>
      </w:r>
      <w:r w:rsidR="004D316E">
        <w:rPr>
          <w:lang w:val="en-US"/>
        </w:rPr>
        <w:t>f</w:t>
      </w:r>
      <w:r w:rsidRPr="006C3241">
        <w:rPr>
          <w:lang w:val="en-US"/>
        </w:rPr>
        <w:t xml:space="preserve">ire </w:t>
      </w:r>
      <w:r w:rsidR="00D41EA0">
        <w:rPr>
          <w:lang w:val="en-US"/>
        </w:rPr>
        <w:t>e</w:t>
      </w:r>
      <w:r w:rsidRPr="006C3241">
        <w:rPr>
          <w:lang w:val="en-US"/>
        </w:rPr>
        <w:t xml:space="preserve">xtinguishing, </w:t>
      </w:r>
      <w:r w:rsidR="00D41EA0">
        <w:rPr>
          <w:lang w:val="en-US"/>
        </w:rPr>
        <w:t>d</w:t>
      </w:r>
      <w:r w:rsidRPr="006C3241">
        <w:rPr>
          <w:lang w:val="en-US"/>
        </w:rPr>
        <w:t xml:space="preserve">omestic AC manufacturing (room AC, domestic heat pumps) and other </w:t>
      </w:r>
      <w:r w:rsidR="00D41EA0">
        <w:rPr>
          <w:lang w:val="en-US"/>
        </w:rPr>
        <w:t>r</w:t>
      </w:r>
      <w:r w:rsidRPr="006C3241">
        <w:rPr>
          <w:lang w:val="en-US"/>
        </w:rPr>
        <w:t xml:space="preserve">efrigeration and AC </w:t>
      </w:r>
      <w:r w:rsidR="00D41EA0">
        <w:rPr>
          <w:lang w:val="en-US"/>
        </w:rPr>
        <w:t>m</w:t>
      </w:r>
      <w:r w:rsidRPr="006C3241">
        <w:rPr>
          <w:lang w:val="en-US"/>
        </w:rPr>
        <w:t>anufacturing (heat pumps, transport, chillers, industrial) are funded based on CEs defined on a case-by-case</w:t>
      </w:r>
      <w:r w:rsidR="002F0AFC">
        <w:rPr>
          <w:lang w:val="en-US"/>
        </w:rPr>
        <w:t xml:space="preserve"> basis</w:t>
      </w:r>
      <w:r w:rsidRPr="006C3241">
        <w:rPr>
          <w:lang w:val="en-US"/>
        </w:rPr>
        <w:t xml:space="preserve">. For those cases, RTF used were suggested by TEAP/TOC/RTF expert members to fill gaps due to missing CEs for </w:t>
      </w:r>
      <w:r w:rsidRPr="006C3241">
        <w:rPr>
          <w:lang w:val="en-US"/>
        </w:rPr>
        <w:lastRenderedPageBreak/>
        <w:t>individual sectors which are considered on a case-by-case in cost guidelines. Manufacturing sectors without remaining eligible consumption were disregarded. The CE values applied for scenario</w:t>
      </w:r>
      <w:r w:rsidR="001A19A5">
        <w:rPr>
          <w:lang w:val="en-US"/>
        </w:rPr>
        <w:t xml:space="preserve"> 2</w:t>
      </w:r>
      <w:r w:rsidRPr="006C3241">
        <w:rPr>
          <w:lang w:val="en-US"/>
        </w:rPr>
        <w:t xml:space="preserve"> are in Table </w:t>
      </w:r>
      <w:r w:rsidR="00C80AA6">
        <w:rPr>
          <w:lang w:val="en-US"/>
        </w:rPr>
        <w:t>A</w:t>
      </w:r>
      <w:r w:rsidR="00A1285D">
        <w:rPr>
          <w:lang w:val="en-US"/>
        </w:rPr>
        <w:t>1.</w:t>
      </w:r>
      <w:r w:rsidR="00C80AA6">
        <w:rPr>
          <w:lang w:val="en-US"/>
        </w:rPr>
        <w:t>3</w:t>
      </w:r>
      <w:r w:rsidRPr="006C3241">
        <w:rPr>
          <w:lang w:val="en-US"/>
        </w:rPr>
        <w:t xml:space="preserve"> below. </w:t>
      </w:r>
    </w:p>
    <w:p w14:paraId="4EFAAB55" w14:textId="77777777" w:rsidR="004812BA" w:rsidRPr="006C3241" w:rsidRDefault="004812BA" w:rsidP="004812BA">
      <w:pPr>
        <w:snapToGrid w:val="0"/>
        <w:spacing w:before="100" w:beforeAutospacing="1" w:after="100" w:afterAutospacing="1"/>
        <w:contextualSpacing/>
        <w:rPr>
          <w:rFonts w:ascii="Calibri" w:eastAsia="Calibri" w:hAnsi="Calibri"/>
          <w:color w:val="000000"/>
          <w:sz w:val="18"/>
          <w:szCs w:val="18"/>
          <w:lang w:val="en-US"/>
        </w:rPr>
      </w:pPr>
    </w:p>
    <w:p w14:paraId="018BC17C" w14:textId="7984AE3A" w:rsidR="004812BA" w:rsidRDefault="00C80AA6" w:rsidP="002135B0">
      <w:pPr>
        <w:tabs>
          <w:tab w:val="left" w:pos="1276"/>
        </w:tabs>
        <w:spacing w:after="0"/>
        <w:ind w:left="1411" w:hanging="1411"/>
        <w:rPr>
          <w:rFonts w:eastAsia="Calibri"/>
          <w:lang w:val="en-US"/>
        </w:rPr>
      </w:pPr>
      <w:r w:rsidRPr="00E42C5E">
        <w:rPr>
          <w:rFonts w:eastAsiaTheme="minorHAnsi"/>
          <w:b/>
          <w:bCs/>
        </w:rPr>
        <w:t xml:space="preserve">Table </w:t>
      </w:r>
      <w:r>
        <w:rPr>
          <w:rFonts w:eastAsiaTheme="minorHAnsi"/>
          <w:b/>
          <w:bCs/>
        </w:rPr>
        <w:t>A</w:t>
      </w:r>
      <w:r w:rsidR="00A1285D">
        <w:rPr>
          <w:rFonts w:eastAsiaTheme="minorHAnsi"/>
          <w:b/>
          <w:bCs/>
        </w:rPr>
        <w:t>1.</w:t>
      </w:r>
      <w:r w:rsidR="00C83F17">
        <w:rPr>
          <w:rFonts w:eastAsiaTheme="minorHAnsi"/>
          <w:b/>
          <w:bCs/>
        </w:rPr>
        <w:t>3</w:t>
      </w:r>
      <w:r w:rsidR="00FF681F">
        <w:rPr>
          <w:rFonts w:eastAsiaTheme="minorHAnsi"/>
          <w:b/>
          <w:bCs/>
        </w:rPr>
        <w:t>:</w:t>
      </w:r>
      <w:r w:rsidRPr="00E42C5E">
        <w:rPr>
          <w:rFonts w:eastAsiaTheme="minorHAnsi"/>
          <w:b/>
          <w:bCs/>
        </w:rPr>
        <w:tab/>
      </w:r>
      <w:r w:rsidR="00C83F17" w:rsidRPr="004A7E0E">
        <w:rPr>
          <w:rFonts w:eastAsia="Calibri"/>
          <w:b/>
          <w:bCs/>
          <w:lang w:val="en-US"/>
        </w:rPr>
        <w:t>Cost Guidelines/ RTF CEs applied to Manufacturing Sectors for</w:t>
      </w:r>
      <w:r w:rsidR="00ED70EF">
        <w:rPr>
          <w:rFonts w:eastAsia="Calibri"/>
          <w:b/>
          <w:bCs/>
          <w:lang w:val="en-US"/>
        </w:rPr>
        <w:t xml:space="preserve"> HCFC </w:t>
      </w:r>
      <w:r w:rsidR="00C83F17" w:rsidRPr="004A7E0E">
        <w:rPr>
          <w:rFonts w:eastAsia="Calibri"/>
          <w:b/>
          <w:bCs/>
          <w:lang w:val="en-US"/>
        </w:rPr>
        <w:t>Scenario</w:t>
      </w:r>
      <w:r w:rsidR="00ED70EF">
        <w:rPr>
          <w:rFonts w:eastAsia="Calibri"/>
          <w:b/>
          <w:bCs/>
          <w:lang w:val="en-US"/>
        </w:rPr>
        <w:t xml:space="preserve"> 2</w:t>
      </w:r>
      <w:r w:rsidR="00C83F17" w:rsidRPr="004A7E0E">
        <w:rPr>
          <w:rFonts w:eastAsia="Calibri"/>
          <w:b/>
          <w:bCs/>
          <w:lang w:val="en-US"/>
        </w:rPr>
        <w:t xml:space="preserve"> </w:t>
      </w:r>
      <w:r w:rsidR="002E1C85">
        <w:rPr>
          <w:rFonts w:eastAsia="Calibri"/>
          <w:b/>
          <w:bCs/>
          <w:lang w:val="en-US"/>
        </w:rPr>
        <w:t>(US$/kg)</w:t>
      </w:r>
    </w:p>
    <w:p w14:paraId="7F26032D" w14:textId="5619DBC0" w:rsidR="004812BA" w:rsidRPr="006C3241" w:rsidRDefault="004812BA" w:rsidP="004812BA">
      <w:pPr>
        <w:snapToGrid w:val="0"/>
        <w:spacing w:before="100" w:beforeAutospacing="1" w:after="100" w:afterAutospacing="1"/>
        <w:contextualSpacing/>
        <w:rPr>
          <w:rFonts w:eastAsia="Calibri"/>
          <w:b/>
          <w:lang w:val="en-US"/>
        </w:rPr>
      </w:pPr>
      <w:r w:rsidRPr="004A7E0E">
        <w:rPr>
          <w:rFonts w:eastAsia="Calibri"/>
          <w:b/>
          <w:bCs/>
          <w:lang w:val="en-US"/>
        </w:rPr>
        <w:t xml:space="preserve"> </w:t>
      </w:r>
    </w:p>
    <w:tbl>
      <w:tblPr>
        <w:tblStyle w:val="TableGrid17"/>
        <w:tblW w:w="0" w:type="auto"/>
        <w:tblLook w:val="04A0" w:firstRow="1" w:lastRow="0" w:firstColumn="1" w:lastColumn="0" w:noHBand="0" w:noVBand="1"/>
      </w:tblPr>
      <w:tblGrid>
        <w:gridCol w:w="1215"/>
        <w:gridCol w:w="723"/>
        <w:gridCol w:w="718"/>
        <w:gridCol w:w="948"/>
        <w:gridCol w:w="1502"/>
        <w:gridCol w:w="1206"/>
        <w:gridCol w:w="1248"/>
        <w:gridCol w:w="1082"/>
      </w:tblGrid>
      <w:tr w:rsidR="004812BA" w:rsidRPr="006C3241" w14:paraId="4F0A2A38" w14:textId="77777777" w:rsidTr="002F7E59">
        <w:tc>
          <w:tcPr>
            <w:tcW w:w="1215" w:type="dxa"/>
            <w:shd w:val="clear" w:color="auto" w:fill="D9E2F3"/>
          </w:tcPr>
          <w:p w14:paraId="7054C37D" w14:textId="77777777" w:rsidR="004812BA" w:rsidRPr="006C3241" w:rsidRDefault="004812BA" w:rsidP="006233FA">
            <w:pPr>
              <w:snapToGrid w:val="0"/>
              <w:spacing w:after="100"/>
              <w:contextualSpacing/>
              <w:jc w:val="both"/>
              <w:rPr>
                <w:color w:val="000000"/>
                <w:sz w:val="20"/>
                <w:szCs w:val="20"/>
                <w:lang w:val="en-US"/>
              </w:rPr>
            </w:pPr>
            <w:r w:rsidRPr="006C3241">
              <w:rPr>
                <w:color w:val="000000"/>
                <w:sz w:val="20"/>
                <w:szCs w:val="20"/>
                <w:lang w:val="en-US"/>
              </w:rPr>
              <w:t>HCFC</w:t>
            </w:r>
          </w:p>
          <w:p w14:paraId="7EDC9335" w14:textId="77777777" w:rsidR="004812BA" w:rsidRPr="006C3241" w:rsidRDefault="004812BA" w:rsidP="006233FA">
            <w:pPr>
              <w:snapToGrid w:val="0"/>
              <w:spacing w:after="100"/>
              <w:contextualSpacing/>
              <w:jc w:val="both"/>
              <w:rPr>
                <w:color w:val="000000"/>
                <w:sz w:val="20"/>
                <w:szCs w:val="20"/>
                <w:lang w:val="en-US"/>
              </w:rPr>
            </w:pPr>
            <w:r w:rsidRPr="006C3241">
              <w:rPr>
                <w:color w:val="000000"/>
                <w:sz w:val="20"/>
                <w:szCs w:val="20"/>
                <w:lang w:val="en-US"/>
              </w:rPr>
              <w:t>Sector</w:t>
            </w:r>
          </w:p>
        </w:tc>
        <w:tc>
          <w:tcPr>
            <w:tcW w:w="723" w:type="dxa"/>
            <w:shd w:val="clear" w:color="auto" w:fill="D9E2F3"/>
            <w:vAlign w:val="center"/>
          </w:tcPr>
          <w:p w14:paraId="6F0861BF" w14:textId="77777777" w:rsidR="004812BA" w:rsidRPr="006C3241" w:rsidRDefault="004812BA" w:rsidP="002F7E59">
            <w:pPr>
              <w:snapToGrid w:val="0"/>
              <w:spacing w:after="100"/>
              <w:contextualSpacing/>
              <w:jc w:val="center"/>
              <w:rPr>
                <w:sz w:val="20"/>
                <w:szCs w:val="20"/>
                <w:lang w:val="en-US"/>
              </w:rPr>
            </w:pPr>
            <w:r w:rsidRPr="006C3241">
              <w:rPr>
                <w:sz w:val="20"/>
                <w:szCs w:val="20"/>
                <w:lang w:val="en-US"/>
              </w:rPr>
              <w:t>XPS Foam</w:t>
            </w:r>
          </w:p>
        </w:tc>
        <w:tc>
          <w:tcPr>
            <w:tcW w:w="718" w:type="dxa"/>
            <w:shd w:val="clear" w:color="auto" w:fill="D9E2F3"/>
            <w:vAlign w:val="center"/>
          </w:tcPr>
          <w:p w14:paraId="2F9AC237" w14:textId="77777777" w:rsidR="004812BA" w:rsidRPr="006C3241" w:rsidRDefault="004812BA" w:rsidP="002F7E59">
            <w:pPr>
              <w:snapToGrid w:val="0"/>
              <w:spacing w:after="100"/>
              <w:contextualSpacing/>
              <w:jc w:val="center"/>
              <w:rPr>
                <w:sz w:val="20"/>
                <w:szCs w:val="20"/>
                <w:lang w:val="en-US"/>
              </w:rPr>
            </w:pPr>
            <w:r w:rsidRPr="006C3241">
              <w:rPr>
                <w:sz w:val="20"/>
                <w:szCs w:val="20"/>
                <w:lang w:val="en-US"/>
              </w:rPr>
              <w:t>PU Foam</w:t>
            </w:r>
          </w:p>
        </w:tc>
        <w:tc>
          <w:tcPr>
            <w:tcW w:w="948" w:type="dxa"/>
            <w:shd w:val="clear" w:color="auto" w:fill="D9E2F3"/>
            <w:vAlign w:val="center"/>
          </w:tcPr>
          <w:p w14:paraId="5F198C20" w14:textId="77777777" w:rsidR="004812BA" w:rsidRPr="006C3241" w:rsidRDefault="004812BA" w:rsidP="002F7E59">
            <w:pPr>
              <w:snapToGrid w:val="0"/>
              <w:spacing w:after="100"/>
              <w:contextualSpacing/>
              <w:jc w:val="center"/>
              <w:rPr>
                <w:color w:val="000000"/>
                <w:sz w:val="20"/>
                <w:szCs w:val="20"/>
                <w:lang w:val="en-US"/>
              </w:rPr>
            </w:pPr>
            <w:r w:rsidRPr="006C3241">
              <w:rPr>
                <w:color w:val="000000"/>
                <w:sz w:val="20"/>
                <w:szCs w:val="20"/>
                <w:lang w:val="en-US"/>
              </w:rPr>
              <w:t>Fire Ext. *</w:t>
            </w:r>
          </w:p>
        </w:tc>
        <w:tc>
          <w:tcPr>
            <w:tcW w:w="1502" w:type="dxa"/>
            <w:shd w:val="clear" w:color="auto" w:fill="D9E2F3"/>
            <w:vAlign w:val="center"/>
          </w:tcPr>
          <w:p w14:paraId="722180C9" w14:textId="77777777" w:rsidR="004812BA" w:rsidRPr="006C3241" w:rsidRDefault="004812BA" w:rsidP="002F7E59">
            <w:pPr>
              <w:snapToGrid w:val="0"/>
              <w:spacing w:after="100"/>
              <w:contextualSpacing/>
              <w:jc w:val="center"/>
              <w:rPr>
                <w:color w:val="000000"/>
                <w:sz w:val="20"/>
                <w:szCs w:val="20"/>
                <w:lang w:val="en-US"/>
              </w:rPr>
            </w:pPr>
            <w:r w:rsidRPr="006C3241">
              <w:rPr>
                <w:color w:val="000000"/>
                <w:sz w:val="20"/>
                <w:szCs w:val="20"/>
                <w:lang w:val="pt-BR"/>
              </w:rPr>
              <w:t>ICR (Ind./Com Ref.&amp; AC</w:t>
            </w:r>
            <w:r w:rsidRPr="006C3241">
              <w:rPr>
                <w:color w:val="000000"/>
                <w:sz w:val="20"/>
                <w:szCs w:val="20"/>
                <w:lang w:val="en-US"/>
              </w:rPr>
              <w:t xml:space="preserve"> **</w:t>
            </w:r>
          </w:p>
        </w:tc>
        <w:tc>
          <w:tcPr>
            <w:tcW w:w="1206" w:type="dxa"/>
            <w:shd w:val="clear" w:color="auto" w:fill="D9E2F3"/>
            <w:vAlign w:val="center"/>
          </w:tcPr>
          <w:p w14:paraId="0A56A512" w14:textId="77777777" w:rsidR="004812BA" w:rsidRPr="006C3241" w:rsidRDefault="004812BA" w:rsidP="002F7E59">
            <w:pPr>
              <w:snapToGrid w:val="0"/>
              <w:spacing w:after="100"/>
              <w:contextualSpacing/>
              <w:jc w:val="center"/>
              <w:rPr>
                <w:color w:val="000000"/>
                <w:sz w:val="20"/>
                <w:szCs w:val="20"/>
                <w:lang w:val="en-US"/>
              </w:rPr>
            </w:pPr>
            <w:r w:rsidRPr="006C3241">
              <w:rPr>
                <w:color w:val="000000"/>
                <w:sz w:val="20"/>
                <w:szCs w:val="20"/>
                <w:lang w:val="en-US"/>
              </w:rPr>
              <w:t>Residential AC***</w:t>
            </w:r>
          </w:p>
        </w:tc>
        <w:tc>
          <w:tcPr>
            <w:tcW w:w="1248" w:type="dxa"/>
            <w:shd w:val="clear" w:color="auto" w:fill="D9E2F3"/>
            <w:vAlign w:val="center"/>
          </w:tcPr>
          <w:p w14:paraId="3907555E" w14:textId="77777777" w:rsidR="004812BA" w:rsidRPr="006C3241" w:rsidRDefault="004812BA" w:rsidP="002F7E59">
            <w:pPr>
              <w:snapToGrid w:val="0"/>
              <w:spacing w:after="100"/>
              <w:contextualSpacing/>
              <w:jc w:val="center"/>
              <w:rPr>
                <w:color w:val="000000"/>
                <w:sz w:val="20"/>
                <w:szCs w:val="20"/>
                <w:lang w:val="en-US"/>
              </w:rPr>
            </w:pPr>
            <w:r w:rsidRPr="006C3241">
              <w:rPr>
                <w:color w:val="000000"/>
                <w:sz w:val="20"/>
                <w:szCs w:val="20"/>
                <w:lang w:val="en-US"/>
              </w:rPr>
              <w:t>Solvents</w:t>
            </w:r>
          </w:p>
          <w:p w14:paraId="6962C8F8" w14:textId="77777777" w:rsidR="004812BA" w:rsidRPr="006C3241" w:rsidRDefault="004812BA" w:rsidP="002F7E59">
            <w:pPr>
              <w:snapToGrid w:val="0"/>
              <w:spacing w:after="100"/>
              <w:contextualSpacing/>
              <w:jc w:val="center"/>
              <w:rPr>
                <w:color w:val="000000"/>
                <w:sz w:val="20"/>
                <w:szCs w:val="20"/>
                <w:lang w:val="en-US"/>
              </w:rPr>
            </w:pPr>
            <w:r w:rsidRPr="006C3241">
              <w:rPr>
                <w:color w:val="000000"/>
                <w:sz w:val="20"/>
                <w:szCs w:val="20"/>
                <w:lang w:val="en-US"/>
              </w:rPr>
              <w:t>****</w:t>
            </w:r>
          </w:p>
        </w:tc>
        <w:tc>
          <w:tcPr>
            <w:tcW w:w="1082" w:type="dxa"/>
            <w:shd w:val="clear" w:color="auto" w:fill="FFF2CC"/>
            <w:vAlign w:val="center"/>
          </w:tcPr>
          <w:p w14:paraId="0DC4B96C" w14:textId="4C1F48E0" w:rsidR="004812BA" w:rsidRPr="006C3241" w:rsidRDefault="004812BA" w:rsidP="002F7E59">
            <w:pPr>
              <w:snapToGrid w:val="0"/>
              <w:spacing w:after="100"/>
              <w:contextualSpacing/>
              <w:jc w:val="center"/>
              <w:rPr>
                <w:sz w:val="20"/>
                <w:szCs w:val="20"/>
                <w:lang w:val="en-US"/>
              </w:rPr>
            </w:pPr>
            <w:r w:rsidRPr="006C3241">
              <w:rPr>
                <w:sz w:val="20"/>
                <w:szCs w:val="20"/>
                <w:lang w:val="en-US"/>
              </w:rPr>
              <w:t>Servicing</w:t>
            </w:r>
          </w:p>
        </w:tc>
      </w:tr>
      <w:tr w:rsidR="004812BA" w:rsidRPr="006C3241" w14:paraId="7F832547" w14:textId="77777777" w:rsidTr="002F7E59">
        <w:trPr>
          <w:trHeight w:val="601"/>
        </w:trPr>
        <w:tc>
          <w:tcPr>
            <w:tcW w:w="1215" w:type="dxa"/>
          </w:tcPr>
          <w:p w14:paraId="540272D8" w14:textId="77777777" w:rsidR="004812BA" w:rsidRPr="006C3241" w:rsidRDefault="004812BA" w:rsidP="006233FA">
            <w:pPr>
              <w:snapToGrid w:val="0"/>
              <w:spacing w:after="100"/>
              <w:contextualSpacing/>
              <w:rPr>
                <w:color w:val="000000"/>
                <w:sz w:val="20"/>
                <w:szCs w:val="20"/>
                <w:lang w:val="en-US"/>
              </w:rPr>
            </w:pPr>
            <w:r w:rsidRPr="006C3241">
              <w:rPr>
                <w:color w:val="000000"/>
                <w:sz w:val="20"/>
                <w:szCs w:val="20"/>
                <w:lang w:val="en-US"/>
              </w:rPr>
              <w:t>CE applied to 15 parties (US$/kg)</w:t>
            </w:r>
          </w:p>
        </w:tc>
        <w:tc>
          <w:tcPr>
            <w:tcW w:w="723" w:type="dxa"/>
            <w:vAlign w:val="center"/>
          </w:tcPr>
          <w:p w14:paraId="7CFCB3C3" w14:textId="77777777" w:rsidR="004812BA" w:rsidRPr="006C3241" w:rsidRDefault="004812BA" w:rsidP="002F7E59">
            <w:pPr>
              <w:snapToGrid w:val="0"/>
              <w:spacing w:after="100"/>
              <w:contextualSpacing/>
              <w:jc w:val="center"/>
              <w:rPr>
                <w:sz w:val="20"/>
                <w:szCs w:val="20"/>
                <w:lang w:val="en-US"/>
              </w:rPr>
            </w:pPr>
            <w:r w:rsidRPr="006C3241">
              <w:rPr>
                <w:sz w:val="20"/>
                <w:szCs w:val="20"/>
                <w:lang w:val="en-US"/>
              </w:rPr>
              <w:t>8.22</w:t>
            </w:r>
          </w:p>
        </w:tc>
        <w:tc>
          <w:tcPr>
            <w:tcW w:w="718" w:type="dxa"/>
            <w:vAlign w:val="center"/>
          </w:tcPr>
          <w:p w14:paraId="0589443E" w14:textId="77777777" w:rsidR="004812BA" w:rsidRPr="006C3241" w:rsidRDefault="004812BA" w:rsidP="002F7E59">
            <w:pPr>
              <w:snapToGrid w:val="0"/>
              <w:spacing w:after="100"/>
              <w:contextualSpacing/>
              <w:jc w:val="center"/>
              <w:rPr>
                <w:sz w:val="20"/>
                <w:szCs w:val="20"/>
                <w:lang w:val="en-US"/>
              </w:rPr>
            </w:pPr>
            <w:r w:rsidRPr="006C3241">
              <w:rPr>
                <w:sz w:val="20"/>
                <w:szCs w:val="20"/>
                <w:lang w:val="en-US"/>
              </w:rPr>
              <w:t>7.83</w:t>
            </w:r>
          </w:p>
        </w:tc>
        <w:tc>
          <w:tcPr>
            <w:tcW w:w="948" w:type="dxa"/>
            <w:vAlign w:val="center"/>
          </w:tcPr>
          <w:p w14:paraId="7E0BB07F" w14:textId="77777777" w:rsidR="004812BA" w:rsidRPr="006C3241" w:rsidRDefault="004812BA" w:rsidP="002F7E59">
            <w:pPr>
              <w:snapToGrid w:val="0"/>
              <w:spacing w:after="100"/>
              <w:contextualSpacing/>
              <w:jc w:val="center"/>
              <w:rPr>
                <w:color w:val="000000"/>
                <w:sz w:val="20"/>
                <w:szCs w:val="20"/>
                <w:highlight w:val="yellow"/>
                <w:lang w:val="en-US"/>
              </w:rPr>
            </w:pPr>
            <w:r w:rsidRPr="006C3241">
              <w:rPr>
                <w:color w:val="000000"/>
                <w:sz w:val="20"/>
                <w:szCs w:val="20"/>
                <w:lang w:val="en-US"/>
              </w:rPr>
              <w:t>4.8 (RTF)</w:t>
            </w:r>
          </w:p>
        </w:tc>
        <w:tc>
          <w:tcPr>
            <w:tcW w:w="1502" w:type="dxa"/>
            <w:vAlign w:val="center"/>
          </w:tcPr>
          <w:p w14:paraId="217EFE43" w14:textId="77777777" w:rsidR="004812BA" w:rsidRPr="006C3241" w:rsidRDefault="004812BA" w:rsidP="002F7E59">
            <w:pPr>
              <w:snapToGrid w:val="0"/>
              <w:spacing w:after="100"/>
              <w:contextualSpacing/>
              <w:jc w:val="center"/>
              <w:rPr>
                <w:color w:val="000000"/>
                <w:sz w:val="20"/>
                <w:szCs w:val="20"/>
                <w:highlight w:val="yellow"/>
                <w:lang w:val="en-US"/>
              </w:rPr>
            </w:pPr>
            <w:r w:rsidRPr="006C3241">
              <w:rPr>
                <w:color w:val="000000"/>
                <w:sz w:val="20"/>
                <w:szCs w:val="20"/>
                <w:lang w:val="en-US"/>
              </w:rPr>
              <w:t>15.21(RTF)</w:t>
            </w:r>
          </w:p>
        </w:tc>
        <w:tc>
          <w:tcPr>
            <w:tcW w:w="1206" w:type="dxa"/>
            <w:vAlign w:val="center"/>
          </w:tcPr>
          <w:p w14:paraId="1FED0936" w14:textId="77777777" w:rsidR="004812BA" w:rsidRPr="006C3241" w:rsidRDefault="004812BA" w:rsidP="002F7E59">
            <w:pPr>
              <w:snapToGrid w:val="0"/>
              <w:spacing w:after="100"/>
              <w:contextualSpacing/>
              <w:jc w:val="center"/>
              <w:rPr>
                <w:color w:val="000000"/>
                <w:sz w:val="20"/>
                <w:szCs w:val="20"/>
                <w:lang w:val="en-US"/>
              </w:rPr>
            </w:pPr>
            <w:r w:rsidRPr="006C3241">
              <w:rPr>
                <w:color w:val="000000"/>
                <w:sz w:val="20"/>
                <w:szCs w:val="20"/>
                <w:lang w:val="en-US"/>
              </w:rPr>
              <w:t>7.15 (RTF)</w:t>
            </w:r>
          </w:p>
        </w:tc>
        <w:tc>
          <w:tcPr>
            <w:tcW w:w="1248" w:type="dxa"/>
            <w:vAlign w:val="center"/>
          </w:tcPr>
          <w:p w14:paraId="63873149" w14:textId="77777777" w:rsidR="004812BA" w:rsidRPr="006C3241" w:rsidRDefault="004812BA" w:rsidP="002F7E59">
            <w:pPr>
              <w:snapToGrid w:val="0"/>
              <w:spacing w:after="100"/>
              <w:contextualSpacing/>
              <w:jc w:val="center"/>
              <w:rPr>
                <w:color w:val="000000"/>
                <w:sz w:val="20"/>
                <w:szCs w:val="20"/>
                <w:lang w:val="en-US"/>
              </w:rPr>
            </w:pPr>
            <w:r w:rsidRPr="006C3241">
              <w:rPr>
                <w:color w:val="000000"/>
                <w:sz w:val="20"/>
                <w:szCs w:val="20"/>
                <w:lang w:val="en-US"/>
              </w:rPr>
              <w:t>10.13(RTF)</w:t>
            </w:r>
          </w:p>
        </w:tc>
        <w:tc>
          <w:tcPr>
            <w:tcW w:w="1082" w:type="dxa"/>
            <w:shd w:val="clear" w:color="auto" w:fill="FFF2CC"/>
            <w:vAlign w:val="center"/>
          </w:tcPr>
          <w:p w14:paraId="547AA119" w14:textId="77777777" w:rsidR="004812BA" w:rsidRPr="006C3241" w:rsidRDefault="004812BA" w:rsidP="002F7E59">
            <w:pPr>
              <w:snapToGrid w:val="0"/>
              <w:spacing w:after="100"/>
              <w:contextualSpacing/>
              <w:jc w:val="center"/>
              <w:rPr>
                <w:sz w:val="20"/>
                <w:szCs w:val="20"/>
                <w:lang w:val="en-US"/>
              </w:rPr>
            </w:pPr>
            <w:r w:rsidRPr="006C3241">
              <w:rPr>
                <w:sz w:val="20"/>
                <w:szCs w:val="20"/>
                <w:lang w:val="en-US"/>
              </w:rPr>
              <w:t>4.8</w:t>
            </w:r>
          </w:p>
        </w:tc>
      </w:tr>
    </w:tbl>
    <w:p w14:paraId="653A15E4" w14:textId="77777777" w:rsidR="004812BA" w:rsidRPr="003F2B14" w:rsidRDefault="004812BA" w:rsidP="004812BA">
      <w:pPr>
        <w:snapToGrid w:val="0"/>
        <w:spacing w:before="100" w:beforeAutospacing="1" w:after="100" w:afterAutospacing="1"/>
        <w:contextualSpacing/>
        <w:rPr>
          <w:rFonts w:eastAsia="Calibri"/>
          <w:color w:val="000000"/>
          <w:sz w:val="16"/>
          <w:szCs w:val="16"/>
          <w:lang w:val="en-US"/>
        </w:rPr>
      </w:pPr>
      <w:r w:rsidRPr="006C3241">
        <w:rPr>
          <w:rFonts w:eastAsia="Calibri"/>
          <w:color w:val="000000"/>
          <w:sz w:val="16"/>
          <w:szCs w:val="16"/>
          <w:lang w:val="en-US"/>
        </w:rPr>
        <w:t>* RTF considered that in fire extinguishing sector the activities are currently similar to the ones in servicing sector (CE 4.8). **For Commercial and Industrial Ref./AC, RTF applied the CE in cost guidelines for commercia</w:t>
      </w:r>
      <w:r w:rsidRPr="003F2B14">
        <w:rPr>
          <w:rFonts w:eastAsia="Calibri"/>
          <w:color w:val="000000"/>
          <w:sz w:val="16"/>
          <w:szCs w:val="16"/>
          <w:lang w:val="en-US"/>
        </w:rPr>
        <w:t>l refrigeration (15.21).</w:t>
      </w:r>
    </w:p>
    <w:p w14:paraId="0066CAD6" w14:textId="7A525031" w:rsidR="004812BA" w:rsidRPr="003F2B14" w:rsidRDefault="004812BA" w:rsidP="004812BA">
      <w:pPr>
        <w:snapToGrid w:val="0"/>
        <w:spacing w:before="100" w:beforeAutospacing="1" w:after="100" w:afterAutospacing="1"/>
        <w:contextualSpacing/>
        <w:rPr>
          <w:rFonts w:eastAsia="Calibri"/>
          <w:sz w:val="16"/>
          <w:szCs w:val="16"/>
          <w:lang w:val="en-US"/>
        </w:rPr>
      </w:pPr>
      <w:r w:rsidRPr="003F2B14">
        <w:rPr>
          <w:rFonts w:eastAsia="Calibri"/>
          <w:sz w:val="16"/>
          <w:szCs w:val="16"/>
          <w:lang w:val="en-US"/>
        </w:rPr>
        <w:t xml:space="preserve">***For Residential AC, RTF applied CE of 7.15 $/kg (average of the CE for China, 4.74, and for projects elsewhere, 10.05 (Annex </w:t>
      </w:r>
      <w:r w:rsidR="5978771A" w:rsidRPr="003F2B14">
        <w:rPr>
          <w:rFonts w:eastAsia="Calibri"/>
          <w:sz w:val="16"/>
          <w:szCs w:val="16"/>
          <w:lang w:val="en-US"/>
        </w:rPr>
        <w:t>2</w:t>
      </w:r>
      <w:r w:rsidRPr="003F2B14">
        <w:rPr>
          <w:rFonts w:eastAsia="Calibri"/>
          <w:sz w:val="16"/>
          <w:szCs w:val="16"/>
          <w:lang w:val="en-US"/>
        </w:rPr>
        <w:t>)</w:t>
      </w:r>
    </w:p>
    <w:p w14:paraId="028022A7" w14:textId="77777777" w:rsidR="004812BA" w:rsidRPr="003F2B14" w:rsidRDefault="004812BA" w:rsidP="004812BA">
      <w:pPr>
        <w:snapToGrid w:val="0"/>
        <w:spacing w:before="100" w:beforeAutospacing="1" w:after="100" w:afterAutospacing="1"/>
        <w:contextualSpacing/>
        <w:rPr>
          <w:rFonts w:eastAsia="Calibri"/>
          <w:color w:val="000000"/>
          <w:sz w:val="16"/>
          <w:szCs w:val="16"/>
          <w:lang w:val="en-US"/>
        </w:rPr>
      </w:pPr>
      <w:r w:rsidRPr="003F2B14">
        <w:rPr>
          <w:rFonts w:eastAsia="Calibri"/>
          <w:color w:val="000000"/>
          <w:sz w:val="16"/>
          <w:szCs w:val="16"/>
          <w:lang w:val="en-US"/>
        </w:rPr>
        <w:t>****RTF used CE of 10.13 for Solvents, using average of all projects in Solvents sector in document 89/10/rev1.</w:t>
      </w:r>
    </w:p>
    <w:p w14:paraId="7D6882E2" w14:textId="4FDA7816" w:rsidR="004812BA" w:rsidRPr="003F2B14" w:rsidRDefault="004812BA" w:rsidP="004812BA">
      <w:pPr>
        <w:snapToGrid w:val="0"/>
        <w:spacing w:before="100" w:beforeAutospacing="1" w:after="100" w:afterAutospacing="1"/>
        <w:contextualSpacing/>
        <w:rPr>
          <w:rFonts w:eastAsia="Calibri"/>
          <w:color w:val="000000"/>
          <w:sz w:val="18"/>
          <w:szCs w:val="18"/>
          <w:lang w:val="en-US"/>
        </w:rPr>
      </w:pPr>
    </w:p>
    <w:p w14:paraId="2D721785" w14:textId="2C7AB4F7" w:rsidR="004812BA" w:rsidRPr="006C3241" w:rsidRDefault="4BCEE662" w:rsidP="4BCEE662">
      <w:pPr>
        <w:snapToGrid w:val="0"/>
        <w:spacing w:before="100" w:beforeAutospacing="1" w:after="100" w:afterAutospacing="1"/>
        <w:contextualSpacing/>
        <w:rPr>
          <w:rFonts w:eastAsia="Calibri"/>
          <w:color w:val="000000"/>
          <w:lang w:val="en-US"/>
        </w:rPr>
      </w:pPr>
      <w:r w:rsidRPr="4BCEE662">
        <w:rPr>
          <w:rFonts w:eastAsia="Calibri"/>
          <w:lang w:val="en-US"/>
        </w:rPr>
        <w:t xml:space="preserve">Estimated </w:t>
      </w:r>
      <w:r w:rsidR="00523AA8">
        <w:rPr>
          <w:rFonts w:eastAsia="Calibri"/>
          <w:lang w:val="en-US"/>
        </w:rPr>
        <w:t>f</w:t>
      </w:r>
      <w:r w:rsidRPr="4BCEE662">
        <w:rPr>
          <w:rFonts w:eastAsia="Calibri"/>
          <w:lang w:val="en-US"/>
        </w:rPr>
        <w:t>unding to address remaining consumption per sector for 15 non-LVC parties according to methodology explained above can be seen in Table A</w:t>
      </w:r>
      <w:r w:rsidR="00A1285D">
        <w:rPr>
          <w:rFonts w:eastAsia="Calibri"/>
          <w:lang w:val="en-US"/>
        </w:rPr>
        <w:t>1.</w:t>
      </w:r>
      <w:r w:rsidRPr="4BCEE662">
        <w:rPr>
          <w:rFonts w:eastAsia="Calibri"/>
          <w:lang w:val="en-US"/>
        </w:rPr>
        <w:t xml:space="preserve">4 below. </w:t>
      </w:r>
      <w:r w:rsidRPr="4BCEE662">
        <w:rPr>
          <w:rFonts w:eastAsia="Calibri"/>
        </w:rPr>
        <w:t>This scenario does not include the additional 25% for introduction of low-GWP alternatives allowed under decision 74/50(c)(iii) for those sectors with a CE threshold (PU foam and commercial refrigeration) and foam SMEs 40% additional funding.</w:t>
      </w:r>
    </w:p>
    <w:p w14:paraId="0CFD0B7B" w14:textId="77777777" w:rsidR="004812BA" w:rsidRPr="006C3241" w:rsidRDefault="004812BA" w:rsidP="004812BA">
      <w:pPr>
        <w:snapToGrid w:val="0"/>
        <w:spacing w:before="100" w:beforeAutospacing="1" w:after="100" w:afterAutospacing="1"/>
        <w:contextualSpacing/>
        <w:rPr>
          <w:rFonts w:eastAsia="Calibri"/>
          <w:color w:val="FF0000"/>
          <w:lang w:val="en-US"/>
        </w:rPr>
      </w:pPr>
    </w:p>
    <w:p w14:paraId="797C9D67" w14:textId="63CBC30A" w:rsidR="00C83F17" w:rsidRDefault="00C83F17" w:rsidP="002135B0">
      <w:pPr>
        <w:tabs>
          <w:tab w:val="left" w:pos="1276"/>
        </w:tabs>
        <w:spacing w:after="0"/>
        <w:ind w:left="1276" w:hanging="1276"/>
        <w:rPr>
          <w:b/>
          <w:bCs/>
        </w:rPr>
      </w:pPr>
      <w:r w:rsidRPr="00E42C5E">
        <w:rPr>
          <w:rFonts w:eastAsiaTheme="minorHAnsi"/>
          <w:b/>
          <w:bCs/>
        </w:rPr>
        <w:t xml:space="preserve">Table </w:t>
      </w:r>
      <w:r>
        <w:rPr>
          <w:rFonts w:eastAsiaTheme="minorHAnsi"/>
          <w:b/>
          <w:bCs/>
        </w:rPr>
        <w:t>A</w:t>
      </w:r>
      <w:r w:rsidR="00A1285D">
        <w:rPr>
          <w:rFonts w:eastAsiaTheme="minorHAnsi"/>
          <w:b/>
          <w:bCs/>
        </w:rPr>
        <w:t>1.</w:t>
      </w:r>
      <w:r>
        <w:rPr>
          <w:rFonts w:eastAsiaTheme="minorHAnsi"/>
          <w:b/>
          <w:bCs/>
        </w:rPr>
        <w:t>4</w:t>
      </w:r>
      <w:r w:rsidR="00FF681F">
        <w:rPr>
          <w:rFonts w:eastAsiaTheme="minorHAnsi"/>
          <w:b/>
          <w:bCs/>
        </w:rPr>
        <w:t>:</w:t>
      </w:r>
      <w:r w:rsidRPr="00E42C5E">
        <w:rPr>
          <w:rFonts w:eastAsiaTheme="minorHAnsi"/>
          <w:b/>
          <w:bCs/>
        </w:rPr>
        <w:tab/>
      </w:r>
      <w:r w:rsidRPr="004A7E0E">
        <w:rPr>
          <w:rFonts w:eastAsia="Calibri"/>
          <w:b/>
          <w:bCs/>
          <w:color w:val="000000"/>
          <w:lang w:val="en-US"/>
        </w:rPr>
        <w:t xml:space="preserve">Funding </w:t>
      </w:r>
      <w:r w:rsidR="00D56745">
        <w:rPr>
          <w:rFonts w:eastAsia="Calibri"/>
          <w:b/>
          <w:bCs/>
          <w:color w:val="000000"/>
          <w:lang w:val="en-US"/>
        </w:rPr>
        <w:t>e</w:t>
      </w:r>
      <w:r w:rsidRPr="004A7E0E">
        <w:rPr>
          <w:rFonts w:eastAsia="Calibri"/>
          <w:b/>
          <w:bCs/>
          <w:color w:val="000000"/>
          <w:lang w:val="en-US"/>
        </w:rPr>
        <w:t>stimates addressing 15 parties with remaining HCFC consumption in different sectors</w:t>
      </w:r>
      <w:r w:rsidR="003C33B4">
        <w:rPr>
          <w:rFonts w:eastAsia="Calibri"/>
          <w:b/>
          <w:bCs/>
          <w:color w:val="000000"/>
          <w:lang w:val="en-US"/>
        </w:rPr>
        <w:t xml:space="preserve"> (US$</w:t>
      </w:r>
      <w:r w:rsidR="00A87EC7">
        <w:rPr>
          <w:rFonts w:eastAsia="Calibri"/>
          <w:b/>
          <w:bCs/>
          <w:color w:val="000000"/>
          <w:lang w:val="en-US"/>
        </w:rPr>
        <w:t xml:space="preserve"> millions</w:t>
      </w:r>
      <w:r w:rsidR="003C33B4">
        <w:rPr>
          <w:rFonts w:eastAsia="Calibri"/>
          <w:b/>
          <w:bCs/>
          <w:color w:val="000000"/>
          <w:lang w:val="en-US"/>
        </w:rPr>
        <w:t>)</w:t>
      </w:r>
    </w:p>
    <w:p w14:paraId="62AE3011" w14:textId="437EFB54" w:rsidR="004812BA" w:rsidRPr="00C83F17" w:rsidRDefault="004812BA" w:rsidP="00C83F17">
      <w:pPr>
        <w:tabs>
          <w:tab w:val="left" w:pos="1418"/>
        </w:tabs>
        <w:spacing w:after="0"/>
        <w:ind w:left="1411" w:hanging="1411"/>
        <w:rPr>
          <w:b/>
          <w:bCs/>
        </w:rPr>
      </w:pPr>
      <w:r w:rsidRPr="004A7E0E">
        <w:rPr>
          <w:rFonts w:eastAsia="Calibri"/>
          <w:b/>
          <w:bCs/>
          <w:color w:val="000000"/>
          <w:lang w:val="en-US"/>
        </w:rPr>
        <w:t xml:space="preserve"> </w:t>
      </w:r>
    </w:p>
    <w:tbl>
      <w:tblPr>
        <w:tblW w:w="8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25"/>
        <w:gridCol w:w="626"/>
        <w:gridCol w:w="714"/>
        <w:gridCol w:w="650"/>
        <w:gridCol w:w="782"/>
        <w:gridCol w:w="775"/>
        <w:gridCol w:w="945"/>
        <w:gridCol w:w="1065"/>
        <w:gridCol w:w="840"/>
        <w:gridCol w:w="958"/>
      </w:tblGrid>
      <w:tr w:rsidR="004812BA" w:rsidRPr="006C3241" w14:paraId="27BBE3BD" w14:textId="77777777" w:rsidTr="00D56745">
        <w:trPr>
          <w:trHeight w:val="900"/>
        </w:trPr>
        <w:tc>
          <w:tcPr>
            <w:tcW w:w="1125" w:type="dxa"/>
            <w:shd w:val="clear" w:color="auto" w:fill="D9E2F3" w:themeFill="accent1" w:themeFillTint="33"/>
            <w:noWrap/>
            <w:vAlign w:val="bottom"/>
            <w:hideMark/>
          </w:tcPr>
          <w:p w14:paraId="4F76F9D4" w14:textId="77777777" w:rsidR="004812BA" w:rsidRPr="006C3241" w:rsidRDefault="004812BA" w:rsidP="006233FA">
            <w:pPr>
              <w:snapToGrid w:val="0"/>
              <w:spacing w:after="0"/>
              <w:contextualSpacing/>
              <w:rPr>
                <w:b/>
                <w:bCs/>
                <w:sz w:val="20"/>
                <w:szCs w:val="20"/>
                <w:lang w:val="en-US"/>
              </w:rPr>
            </w:pPr>
            <w:r w:rsidRPr="006C3241">
              <w:rPr>
                <w:b/>
                <w:bCs/>
                <w:sz w:val="20"/>
                <w:szCs w:val="20"/>
                <w:lang w:val="en-US"/>
              </w:rPr>
              <w:t xml:space="preserve">Estimated Funding </w:t>
            </w:r>
          </w:p>
          <w:p w14:paraId="225B2B4F" w14:textId="77777777" w:rsidR="004812BA" w:rsidRPr="006C3241" w:rsidRDefault="004812BA" w:rsidP="006233FA">
            <w:pPr>
              <w:snapToGrid w:val="0"/>
              <w:spacing w:after="0"/>
              <w:contextualSpacing/>
              <w:rPr>
                <w:sz w:val="20"/>
                <w:szCs w:val="20"/>
                <w:lang w:val="en-US"/>
              </w:rPr>
            </w:pPr>
            <w:r w:rsidRPr="006C3241">
              <w:rPr>
                <w:b/>
                <w:bCs/>
                <w:sz w:val="20"/>
                <w:szCs w:val="20"/>
                <w:lang w:val="en-US"/>
              </w:rPr>
              <w:t>(in US$ million)</w:t>
            </w:r>
          </w:p>
        </w:tc>
        <w:tc>
          <w:tcPr>
            <w:tcW w:w="626" w:type="dxa"/>
            <w:shd w:val="clear" w:color="auto" w:fill="D9E2F3" w:themeFill="accent1" w:themeFillTint="33"/>
            <w:vAlign w:val="center"/>
            <w:hideMark/>
          </w:tcPr>
          <w:p w14:paraId="1E9941C1"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XPS Foam</w:t>
            </w:r>
          </w:p>
        </w:tc>
        <w:tc>
          <w:tcPr>
            <w:tcW w:w="714" w:type="dxa"/>
            <w:shd w:val="clear" w:color="auto" w:fill="D9E2F3" w:themeFill="accent1" w:themeFillTint="33"/>
            <w:vAlign w:val="center"/>
            <w:hideMark/>
          </w:tcPr>
          <w:p w14:paraId="787C4A99"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PU Foam</w:t>
            </w:r>
          </w:p>
        </w:tc>
        <w:tc>
          <w:tcPr>
            <w:tcW w:w="650" w:type="dxa"/>
            <w:shd w:val="clear" w:color="auto" w:fill="D9E2F3" w:themeFill="accent1" w:themeFillTint="33"/>
            <w:vAlign w:val="center"/>
            <w:hideMark/>
          </w:tcPr>
          <w:p w14:paraId="5346C658" w14:textId="77777777" w:rsidR="004812BA" w:rsidRPr="006C3241" w:rsidRDefault="004812BA" w:rsidP="006233FA">
            <w:pPr>
              <w:snapToGrid w:val="0"/>
              <w:spacing w:after="0"/>
              <w:contextualSpacing/>
              <w:jc w:val="center"/>
              <w:rPr>
                <w:b/>
                <w:bCs/>
                <w:color w:val="000000"/>
                <w:sz w:val="20"/>
                <w:szCs w:val="20"/>
                <w:lang w:val="pt-BR"/>
              </w:rPr>
            </w:pPr>
            <w:r w:rsidRPr="006C3241">
              <w:rPr>
                <w:b/>
                <w:bCs/>
                <w:color w:val="000000"/>
                <w:sz w:val="20"/>
                <w:szCs w:val="20"/>
                <w:lang w:val="en-US"/>
              </w:rPr>
              <w:t>Fire Ext</w:t>
            </w:r>
            <w:r w:rsidRPr="006C3241">
              <w:rPr>
                <w:b/>
                <w:bCs/>
                <w:color w:val="000000"/>
                <w:sz w:val="20"/>
                <w:szCs w:val="20"/>
                <w:lang w:val="pt-BR"/>
              </w:rPr>
              <w:t>.</w:t>
            </w:r>
          </w:p>
        </w:tc>
        <w:tc>
          <w:tcPr>
            <w:tcW w:w="782" w:type="dxa"/>
            <w:shd w:val="clear" w:color="auto" w:fill="D9E2F3" w:themeFill="accent1" w:themeFillTint="33"/>
            <w:vAlign w:val="center"/>
            <w:hideMark/>
          </w:tcPr>
          <w:p w14:paraId="5D33F40F"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ICR</w:t>
            </w:r>
          </w:p>
        </w:tc>
        <w:tc>
          <w:tcPr>
            <w:tcW w:w="775" w:type="dxa"/>
            <w:shd w:val="clear" w:color="auto" w:fill="D9E2F3" w:themeFill="accent1" w:themeFillTint="33"/>
            <w:vAlign w:val="center"/>
            <w:hideMark/>
          </w:tcPr>
          <w:p w14:paraId="2D26D857"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Resid. AC</w:t>
            </w:r>
          </w:p>
        </w:tc>
        <w:tc>
          <w:tcPr>
            <w:tcW w:w="945" w:type="dxa"/>
            <w:shd w:val="clear" w:color="auto" w:fill="D9E2F3" w:themeFill="accent1" w:themeFillTint="33"/>
            <w:vAlign w:val="center"/>
            <w:hideMark/>
          </w:tcPr>
          <w:p w14:paraId="464642DE" w14:textId="77777777" w:rsidR="004812BA" w:rsidRPr="006C3241" w:rsidRDefault="004812BA" w:rsidP="006233FA">
            <w:pPr>
              <w:snapToGrid w:val="0"/>
              <w:spacing w:after="0"/>
              <w:contextualSpacing/>
              <w:jc w:val="center"/>
              <w:rPr>
                <w:b/>
                <w:bCs/>
                <w:color w:val="000000"/>
                <w:sz w:val="20"/>
                <w:szCs w:val="20"/>
                <w:lang w:val="pt-BR"/>
              </w:rPr>
            </w:pPr>
            <w:r w:rsidRPr="006C3241">
              <w:rPr>
                <w:b/>
                <w:bCs/>
                <w:color w:val="000000"/>
                <w:sz w:val="20"/>
                <w:szCs w:val="20"/>
                <w:lang w:val="en-US"/>
              </w:rPr>
              <w:t>Solvent</w:t>
            </w:r>
            <w:r w:rsidRPr="006C3241">
              <w:rPr>
                <w:b/>
                <w:bCs/>
                <w:color w:val="000000"/>
                <w:sz w:val="20"/>
                <w:szCs w:val="20"/>
                <w:lang w:val="pt-BR"/>
              </w:rPr>
              <w:t>s</w:t>
            </w:r>
          </w:p>
        </w:tc>
        <w:tc>
          <w:tcPr>
            <w:tcW w:w="1065" w:type="dxa"/>
            <w:shd w:val="clear" w:color="auto" w:fill="D9E2F3" w:themeFill="accent1" w:themeFillTint="33"/>
            <w:vAlign w:val="center"/>
            <w:hideMark/>
          </w:tcPr>
          <w:p w14:paraId="10802082"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Servicing</w:t>
            </w:r>
          </w:p>
        </w:tc>
        <w:tc>
          <w:tcPr>
            <w:tcW w:w="840" w:type="dxa"/>
            <w:shd w:val="clear" w:color="auto" w:fill="D9E2F3" w:themeFill="accent1" w:themeFillTint="33"/>
            <w:vAlign w:val="center"/>
            <w:hideMark/>
          </w:tcPr>
          <w:p w14:paraId="1E6BD73F"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Total</w:t>
            </w:r>
          </w:p>
        </w:tc>
        <w:tc>
          <w:tcPr>
            <w:tcW w:w="958" w:type="dxa"/>
            <w:shd w:val="clear" w:color="auto" w:fill="D9E2F3" w:themeFill="accent1" w:themeFillTint="33"/>
            <w:vAlign w:val="center"/>
            <w:hideMark/>
          </w:tcPr>
          <w:p w14:paraId="2A2D5252" w14:textId="77777777" w:rsidR="004812BA" w:rsidRPr="006C3241" w:rsidRDefault="004812BA" w:rsidP="006233FA">
            <w:pPr>
              <w:snapToGrid w:val="0"/>
              <w:spacing w:after="0"/>
              <w:contextualSpacing/>
              <w:jc w:val="center"/>
              <w:rPr>
                <w:b/>
                <w:bCs/>
                <w:color w:val="000000"/>
                <w:sz w:val="20"/>
                <w:szCs w:val="20"/>
                <w:lang w:val="en-US"/>
              </w:rPr>
            </w:pPr>
            <w:r w:rsidRPr="006C3241">
              <w:rPr>
                <w:b/>
                <w:bCs/>
                <w:color w:val="000000"/>
                <w:sz w:val="20"/>
                <w:szCs w:val="20"/>
                <w:lang w:val="en-US"/>
              </w:rPr>
              <w:t xml:space="preserve">Total (with 9.6% SC) </w:t>
            </w:r>
          </w:p>
        </w:tc>
      </w:tr>
      <w:tr w:rsidR="004812BA" w:rsidRPr="006C3241" w14:paraId="077D06B1" w14:textId="77777777" w:rsidTr="00C874C1">
        <w:trPr>
          <w:trHeight w:val="350"/>
        </w:trPr>
        <w:tc>
          <w:tcPr>
            <w:tcW w:w="1125" w:type="dxa"/>
            <w:hideMark/>
          </w:tcPr>
          <w:p w14:paraId="6E1C9C3B" w14:textId="79990940" w:rsidR="004812BA" w:rsidRPr="006C3241" w:rsidRDefault="004812BA" w:rsidP="006233FA">
            <w:pPr>
              <w:snapToGrid w:val="0"/>
              <w:spacing w:after="0"/>
              <w:contextualSpacing/>
              <w:rPr>
                <w:color w:val="000000"/>
                <w:sz w:val="20"/>
                <w:szCs w:val="20"/>
                <w:lang w:val="en-US"/>
              </w:rPr>
            </w:pPr>
            <w:r w:rsidRPr="006C3241">
              <w:rPr>
                <w:color w:val="000000"/>
                <w:sz w:val="20"/>
                <w:szCs w:val="20"/>
                <w:lang w:val="pt-BR"/>
              </w:rPr>
              <w:t xml:space="preserve">Total for 15 </w:t>
            </w:r>
            <w:r w:rsidR="00724253">
              <w:rPr>
                <w:color w:val="000000"/>
                <w:sz w:val="20"/>
                <w:szCs w:val="20"/>
                <w:lang w:val="pt-BR"/>
              </w:rPr>
              <w:t>parties</w:t>
            </w:r>
            <w:r w:rsidRPr="006C3241">
              <w:rPr>
                <w:color w:val="000000"/>
                <w:sz w:val="20"/>
                <w:szCs w:val="20"/>
                <w:lang w:val="pt-BR"/>
              </w:rPr>
              <w:t xml:space="preserve"> </w:t>
            </w:r>
          </w:p>
        </w:tc>
        <w:tc>
          <w:tcPr>
            <w:tcW w:w="626" w:type="dxa"/>
            <w:noWrap/>
            <w:vAlign w:val="center"/>
            <w:hideMark/>
          </w:tcPr>
          <w:p w14:paraId="5AA263B7"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0.14</w:t>
            </w:r>
          </w:p>
        </w:tc>
        <w:tc>
          <w:tcPr>
            <w:tcW w:w="714" w:type="dxa"/>
            <w:noWrap/>
            <w:vAlign w:val="center"/>
            <w:hideMark/>
          </w:tcPr>
          <w:p w14:paraId="22D84D0E"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0.38</w:t>
            </w:r>
          </w:p>
        </w:tc>
        <w:tc>
          <w:tcPr>
            <w:tcW w:w="650" w:type="dxa"/>
            <w:noWrap/>
            <w:vAlign w:val="center"/>
            <w:hideMark/>
          </w:tcPr>
          <w:p w14:paraId="5F10E94D"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0.06</w:t>
            </w:r>
          </w:p>
        </w:tc>
        <w:tc>
          <w:tcPr>
            <w:tcW w:w="782" w:type="dxa"/>
            <w:noWrap/>
            <w:vAlign w:val="center"/>
            <w:hideMark/>
          </w:tcPr>
          <w:p w14:paraId="26D3194C"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212.20</w:t>
            </w:r>
          </w:p>
        </w:tc>
        <w:tc>
          <w:tcPr>
            <w:tcW w:w="775" w:type="dxa"/>
            <w:noWrap/>
            <w:vAlign w:val="center"/>
            <w:hideMark/>
          </w:tcPr>
          <w:p w14:paraId="0B7E48C9"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99.70</w:t>
            </w:r>
          </w:p>
        </w:tc>
        <w:tc>
          <w:tcPr>
            <w:tcW w:w="945" w:type="dxa"/>
            <w:noWrap/>
            <w:vAlign w:val="center"/>
            <w:hideMark/>
          </w:tcPr>
          <w:p w14:paraId="06BB0823"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2.03</w:t>
            </w:r>
          </w:p>
        </w:tc>
        <w:tc>
          <w:tcPr>
            <w:tcW w:w="1065" w:type="dxa"/>
            <w:noWrap/>
            <w:vAlign w:val="center"/>
            <w:hideMark/>
          </w:tcPr>
          <w:p w14:paraId="5033D445"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194.12</w:t>
            </w:r>
          </w:p>
        </w:tc>
        <w:tc>
          <w:tcPr>
            <w:tcW w:w="840" w:type="dxa"/>
            <w:noWrap/>
            <w:vAlign w:val="center"/>
            <w:hideMark/>
          </w:tcPr>
          <w:p w14:paraId="6F6345B0" w14:textId="4396C571" w:rsidR="004812BA" w:rsidRPr="006C3241" w:rsidRDefault="5B365E33" w:rsidP="00036298">
            <w:pPr>
              <w:snapToGrid w:val="0"/>
              <w:spacing w:after="0"/>
              <w:contextualSpacing/>
              <w:rPr>
                <w:color w:val="000000"/>
                <w:sz w:val="20"/>
                <w:szCs w:val="20"/>
                <w:lang w:val="en-US"/>
              </w:rPr>
            </w:pPr>
            <w:r w:rsidRPr="222ABFFA">
              <w:rPr>
                <w:sz w:val="20"/>
                <w:szCs w:val="20"/>
                <w:lang w:val="en-US"/>
              </w:rPr>
              <w:t>508.64</w:t>
            </w:r>
          </w:p>
        </w:tc>
        <w:tc>
          <w:tcPr>
            <w:tcW w:w="958" w:type="dxa"/>
            <w:noWrap/>
            <w:vAlign w:val="center"/>
            <w:hideMark/>
          </w:tcPr>
          <w:p w14:paraId="4E755CFC"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557.47</w:t>
            </w:r>
          </w:p>
        </w:tc>
      </w:tr>
      <w:tr w:rsidR="004812BA" w:rsidRPr="006C3241" w14:paraId="7F440FE1" w14:textId="77777777" w:rsidTr="00D56745">
        <w:trPr>
          <w:trHeight w:val="380"/>
        </w:trPr>
        <w:tc>
          <w:tcPr>
            <w:tcW w:w="1125" w:type="dxa"/>
            <w:shd w:val="clear" w:color="auto" w:fill="B4C6E7" w:themeFill="accent1" w:themeFillTint="66"/>
            <w:hideMark/>
          </w:tcPr>
          <w:p w14:paraId="6276714A" w14:textId="77777777" w:rsidR="004812BA" w:rsidRPr="006C3241" w:rsidRDefault="004812BA" w:rsidP="006233FA">
            <w:pPr>
              <w:snapToGrid w:val="0"/>
              <w:spacing w:after="0"/>
              <w:contextualSpacing/>
              <w:rPr>
                <w:color w:val="000000"/>
                <w:sz w:val="20"/>
                <w:szCs w:val="20"/>
                <w:lang w:val="pt-BR"/>
              </w:rPr>
            </w:pPr>
            <w:r w:rsidRPr="006C3241">
              <w:rPr>
                <w:color w:val="000000"/>
                <w:sz w:val="20"/>
                <w:szCs w:val="20"/>
                <w:lang w:val="en-US"/>
              </w:rPr>
              <w:t>Total with 15% deduction</w:t>
            </w:r>
            <w:r w:rsidRPr="006C3241">
              <w:rPr>
                <w:color w:val="000000"/>
                <w:sz w:val="20"/>
                <w:szCs w:val="20"/>
                <w:lang w:val="pt-BR"/>
              </w:rPr>
              <w:t>*</w:t>
            </w:r>
          </w:p>
        </w:tc>
        <w:tc>
          <w:tcPr>
            <w:tcW w:w="626" w:type="dxa"/>
            <w:shd w:val="clear" w:color="auto" w:fill="B4C6E7" w:themeFill="accent1" w:themeFillTint="66"/>
            <w:noWrap/>
            <w:vAlign w:val="center"/>
            <w:hideMark/>
          </w:tcPr>
          <w:p w14:paraId="74E51E8A"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0.12</w:t>
            </w:r>
          </w:p>
        </w:tc>
        <w:tc>
          <w:tcPr>
            <w:tcW w:w="714" w:type="dxa"/>
            <w:shd w:val="clear" w:color="auto" w:fill="B4C6E7" w:themeFill="accent1" w:themeFillTint="66"/>
            <w:noWrap/>
            <w:vAlign w:val="center"/>
            <w:hideMark/>
          </w:tcPr>
          <w:p w14:paraId="14D17B3D"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0.33</w:t>
            </w:r>
          </w:p>
        </w:tc>
        <w:tc>
          <w:tcPr>
            <w:tcW w:w="650" w:type="dxa"/>
            <w:shd w:val="clear" w:color="auto" w:fill="B4C6E7" w:themeFill="accent1" w:themeFillTint="66"/>
            <w:noWrap/>
            <w:vAlign w:val="center"/>
            <w:hideMark/>
          </w:tcPr>
          <w:p w14:paraId="4371843D" w14:textId="636C0F60" w:rsidR="004812BA" w:rsidRPr="006C3241" w:rsidRDefault="5B365E33" w:rsidP="00036298">
            <w:pPr>
              <w:snapToGrid w:val="0"/>
              <w:spacing w:after="0"/>
              <w:contextualSpacing/>
              <w:rPr>
                <w:color w:val="000000"/>
                <w:sz w:val="20"/>
                <w:szCs w:val="20"/>
                <w:lang w:val="en-US"/>
              </w:rPr>
            </w:pPr>
            <w:r w:rsidRPr="222ABFFA">
              <w:rPr>
                <w:sz w:val="20"/>
                <w:szCs w:val="20"/>
                <w:lang w:val="en-US"/>
              </w:rPr>
              <w:t>0.05</w:t>
            </w:r>
          </w:p>
        </w:tc>
        <w:tc>
          <w:tcPr>
            <w:tcW w:w="782" w:type="dxa"/>
            <w:shd w:val="clear" w:color="auto" w:fill="B4C6E7" w:themeFill="accent1" w:themeFillTint="66"/>
            <w:noWrap/>
            <w:vAlign w:val="center"/>
            <w:hideMark/>
          </w:tcPr>
          <w:p w14:paraId="74EAF106"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180.37</w:t>
            </w:r>
          </w:p>
        </w:tc>
        <w:tc>
          <w:tcPr>
            <w:tcW w:w="775" w:type="dxa"/>
            <w:shd w:val="clear" w:color="auto" w:fill="B4C6E7" w:themeFill="accent1" w:themeFillTint="66"/>
            <w:noWrap/>
            <w:vAlign w:val="center"/>
            <w:hideMark/>
          </w:tcPr>
          <w:p w14:paraId="742D5D5A"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84.75</w:t>
            </w:r>
          </w:p>
        </w:tc>
        <w:tc>
          <w:tcPr>
            <w:tcW w:w="945" w:type="dxa"/>
            <w:shd w:val="clear" w:color="auto" w:fill="B4C6E7" w:themeFill="accent1" w:themeFillTint="66"/>
            <w:noWrap/>
            <w:vAlign w:val="center"/>
            <w:hideMark/>
          </w:tcPr>
          <w:p w14:paraId="0B632E60"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1.73</w:t>
            </w:r>
          </w:p>
        </w:tc>
        <w:tc>
          <w:tcPr>
            <w:tcW w:w="1065" w:type="dxa"/>
            <w:shd w:val="clear" w:color="auto" w:fill="B4C6E7" w:themeFill="accent1" w:themeFillTint="66"/>
            <w:noWrap/>
            <w:vAlign w:val="center"/>
            <w:hideMark/>
          </w:tcPr>
          <w:p w14:paraId="76F6C2E8"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194.12</w:t>
            </w:r>
          </w:p>
        </w:tc>
        <w:tc>
          <w:tcPr>
            <w:tcW w:w="840" w:type="dxa"/>
            <w:shd w:val="clear" w:color="auto" w:fill="B4C6E7" w:themeFill="accent1" w:themeFillTint="66"/>
            <w:noWrap/>
            <w:vAlign w:val="center"/>
            <w:hideMark/>
          </w:tcPr>
          <w:p w14:paraId="73A03AA9" w14:textId="0A216BA7" w:rsidR="004812BA" w:rsidRPr="006C3241" w:rsidRDefault="5B365E33" w:rsidP="00036298">
            <w:pPr>
              <w:snapToGrid w:val="0"/>
              <w:spacing w:after="0"/>
              <w:contextualSpacing/>
              <w:rPr>
                <w:color w:val="000000"/>
                <w:sz w:val="20"/>
                <w:szCs w:val="20"/>
                <w:lang w:val="en-US"/>
              </w:rPr>
            </w:pPr>
            <w:r w:rsidRPr="222ABFFA">
              <w:rPr>
                <w:sz w:val="20"/>
                <w:szCs w:val="20"/>
                <w:lang w:val="en-US"/>
              </w:rPr>
              <w:t>461.46</w:t>
            </w:r>
          </w:p>
        </w:tc>
        <w:tc>
          <w:tcPr>
            <w:tcW w:w="958" w:type="dxa"/>
            <w:shd w:val="clear" w:color="auto" w:fill="B4C6E7" w:themeFill="accent1" w:themeFillTint="66"/>
            <w:noWrap/>
            <w:vAlign w:val="center"/>
            <w:hideMark/>
          </w:tcPr>
          <w:p w14:paraId="64F75350" w14:textId="77777777" w:rsidR="004812BA" w:rsidRPr="006C3241" w:rsidRDefault="004812BA" w:rsidP="006233FA">
            <w:pPr>
              <w:snapToGrid w:val="0"/>
              <w:spacing w:after="0"/>
              <w:contextualSpacing/>
              <w:rPr>
                <w:color w:val="000000"/>
                <w:sz w:val="20"/>
                <w:szCs w:val="20"/>
                <w:lang w:val="en-US"/>
              </w:rPr>
            </w:pPr>
            <w:r w:rsidRPr="006C3241">
              <w:rPr>
                <w:color w:val="000000"/>
                <w:sz w:val="20"/>
                <w:szCs w:val="20"/>
                <w:lang w:val="en-US"/>
              </w:rPr>
              <w:t>505.76</w:t>
            </w:r>
          </w:p>
        </w:tc>
      </w:tr>
    </w:tbl>
    <w:p w14:paraId="7122398D" w14:textId="77777777" w:rsidR="004812BA" w:rsidRPr="006C3241" w:rsidRDefault="004812BA" w:rsidP="00A87EC7">
      <w:pPr>
        <w:snapToGrid w:val="0"/>
        <w:spacing w:after="160" w:afterAutospacing="1"/>
        <w:rPr>
          <w:color w:val="000000"/>
          <w:sz w:val="16"/>
          <w:szCs w:val="16"/>
          <w:lang w:val="en-US"/>
        </w:rPr>
      </w:pPr>
      <w:r w:rsidRPr="00A87EC7">
        <w:rPr>
          <w:color w:val="000000"/>
          <w:sz w:val="18"/>
          <w:szCs w:val="18"/>
          <w:lang w:val="en-US"/>
        </w:rPr>
        <w:t>* 15% deduction for foreign ownership in manufacturing sectors. Only sectors with remaining consumption for each individual party were considered</w:t>
      </w:r>
      <w:r w:rsidRPr="006C3241">
        <w:rPr>
          <w:color w:val="000000"/>
          <w:sz w:val="16"/>
          <w:szCs w:val="16"/>
          <w:lang w:val="en-US"/>
        </w:rPr>
        <w:t>.</w:t>
      </w:r>
    </w:p>
    <w:p w14:paraId="4906B827" w14:textId="46990996" w:rsidR="004812BA" w:rsidRPr="006C3241" w:rsidRDefault="077E58F6" w:rsidP="077E58F6">
      <w:pPr>
        <w:tabs>
          <w:tab w:val="clear" w:pos="0"/>
          <w:tab w:val="num" w:pos="720"/>
        </w:tabs>
        <w:snapToGrid w:val="0"/>
        <w:spacing w:before="100" w:beforeAutospacing="1" w:after="100" w:afterAutospacing="1"/>
        <w:contextualSpacing/>
        <w:rPr>
          <w:b/>
          <w:bCs/>
          <w:lang w:val="en-US"/>
        </w:rPr>
      </w:pPr>
      <w:r w:rsidRPr="077E58F6">
        <w:rPr>
          <w:b/>
          <w:bCs/>
          <w:lang w:val="en-US"/>
        </w:rPr>
        <w:t>10 LVC Parties (out of total of 25 non-LVCs and LVCs)</w:t>
      </w:r>
    </w:p>
    <w:p w14:paraId="29B865EF" w14:textId="77777777" w:rsidR="00C874C1" w:rsidRDefault="00C874C1" w:rsidP="004812BA">
      <w:pPr>
        <w:snapToGrid w:val="0"/>
        <w:spacing w:before="100" w:beforeAutospacing="1" w:after="100" w:afterAutospacing="1"/>
        <w:contextualSpacing/>
        <w:rPr>
          <w:lang w:val="en-US"/>
        </w:rPr>
      </w:pPr>
    </w:p>
    <w:p w14:paraId="21D39998" w14:textId="6CA0236B" w:rsidR="004812BA" w:rsidRPr="006C3241" w:rsidRDefault="4BCEE662" w:rsidP="4BCEE662">
      <w:pPr>
        <w:snapToGrid w:val="0"/>
        <w:spacing w:before="100" w:beforeAutospacing="1" w:after="100" w:afterAutospacing="1"/>
        <w:contextualSpacing/>
        <w:rPr>
          <w:lang w:val="en-US"/>
        </w:rPr>
      </w:pPr>
      <w:r w:rsidRPr="4BCEE662">
        <w:rPr>
          <w:lang w:val="en-US"/>
        </w:rPr>
        <w:t>Out of 25 parties,</w:t>
      </w:r>
      <w:r w:rsidRPr="4BCEE662">
        <w:rPr>
          <w:b/>
          <w:bCs/>
          <w:lang w:val="en-US"/>
        </w:rPr>
        <w:t xml:space="preserve"> 10 are LVCs. </w:t>
      </w:r>
      <w:r w:rsidRPr="4BCEE662">
        <w:rPr>
          <w:lang w:val="en-US"/>
        </w:rPr>
        <w:t>For those</w:t>
      </w:r>
      <w:r w:rsidRPr="4BCEE662">
        <w:rPr>
          <w:b/>
          <w:bCs/>
          <w:lang w:val="en-US"/>
        </w:rPr>
        <w:t xml:space="preserve">, </w:t>
      </w:r>
      <w:r w:rsidRPr="4BCEE662">
        <w:rPr>
          <w:lang w:val="en-US"/>
        </w:rPr>
        <w:t xml:space="preserve">RTF estimated new funding considering a separate cost framework, as per ExCom Decision 74/50. New funding estimates are under </w:t>
      </w:r>
      <w:r w:rsidRPr="4BCEE662">
        <w:rPr>
          <w:b/>
          <w:bCs/>
          <w:lang w:val="en-US"/>
        </w:rPr>
        <w:t xml:space="preserve">Output 6 </w:t>
      </w:r>
      <w:r w:rsidRPr="4BCEE662">
        <w:rPr>
          <w:lang w:val="en-US"/>
        </w:rPr>
        <w:t xml:space="preserve">in </w:t>
      </w:r>
      <w:r w:rsidR="00D176CA">
        <w:rPr>
          <w:lang w:val="en-US"/>
        </w:rPr>
        <w:t>Figure A3</w:t>
      </w:r>
      <w:r w:rsidRPr="4BCEE662">
        <w:rPr>
          <w:lang w:val="en-US"/>
        </w:rPr>
        <w:t xml:space="preserve">. Based on the most recent reported data (2024), two parties have completed their phaseout processes. Considering the amounts already committed for the remaining eight countries, as well as the funding levels established under Decision 74/50 for phaseout, the total amount to be allocated to these countries is </w:t>
      </w:r>
      <w:r w:rsidRPr="00B3761D">
        <w:rPr>
          <w:b/>
          <w:bCs/>
          <w:lang w:val="en-US"/>
        </w:rPr>
        <w:t>US$ 2.56 million</w:t>
      </w:r>
      <w:r w:rsidRPr="4BCEE662">
        <w:rPr>
          <w:lang w:val="en-US"/>
        </w:rPr>
        <w:t>.</w:t>
      </w:r>
    </w:p>
    <w:p w14:paraId="22E02ACE" w14:textId="77777777" w:rsidR="00C874C1" w:rsidRDefault="00C874C1" w:rsidP="4E46A1B1">
      <w:pPr>
        <w:tabs>
          <w:tab w:val="clear" w:pos="0"/>
        </w:tabs>
        <w:snapToGrid w:val="0"/>
        <w:spacing w:before="100" w:beforeAutospacing="1" w:after="0" w:afterAutospacing="1"/>
        <w:contextualSpacing/>
        <w:rPr>
          <w:lang w:val="en-US"/>
        </w:rPr>
      </w:pPr>
    </w:p>
    <w:p w14:paraId="4DB82580" w14:textId="1E08A597" w:rsidR="004812BA" w:rsidRPr="006C3241" w:rsidRDefault="004812BA" w:rsidP="4E46A1B1">
      <w:pPr>
        <w:tabs>
          <w:tab w:val="clear" w:pos="0"/>
        </w:tabs>
        <w:snapToGrid w:val="0"/>
        <w:spacing w:before="100" w:beforeAutospacing="1" w:after="0" w:afterAutospacing="1"/>
        <w:contextualSpacing/>
        <w:rPr>
          <w:lang w:val="en-US"/>
        </w:rPr>
      </w:pPr>
      <w:r w:rsidRPr="006C3241">
        <w:rPr>
          <w:lang w:val="en-US"/>
        </w:rPr>
        <w:t xml:space="preserve">The </w:t>
      </w:r>
      <w:r w:rsidR="00C06EF2">
        <w:rPr>
          <w:lang w:val="en-US"/>
        </w:rPr>
        <w:t>t</w:t>
      </w:r>
      <w:r w:rsidRPr="006C3241">
        <w:rPr>
          <w:lang w:val="en-US"/>
        </w:rPr>
        <w:t xml:space="preserve">otal </w:t>
      </w:r>
      <w:r w:rsidR="00C06EF2">
        <w:rPr>
          <w:lang w:val="en-US"/>
        </w:rPr>
        <w:t>e</w:t>
      </w:r>
      <w:r w:rsidRPr="006C3241">
        <w:rPr>
          <w:lang w:val="en-US"/>
        </w:rPr>
        <w:t xml:space="preserve">stimated </w:t>
      </w:r>
      <w:r w:rsidR="00C06EF2">
        <w:rPr>
          <w:lang w:val="en-US"/>
        </w:rPr>
        <w:t>new</w:t>
      </w:r>
      <w:r w:rsidRPr="006C3241">
        <w:rPr>
          <w:lang w:val="en-US"/>
        </w:rPr>
        <w:t xml:space="preserve"> </w:t>
      </w:r>
      <w:r w:rsidR="00C06EF2">
        <w:rPr>
          <w:lang w:val="en-US"/>
        </w:rPr>
        <w:t>f</w:t>
      </w:r>
      <w:r w:rsidRPr="006C3241">
        <w:rPr>
          <w:lang w:val="en-US"/>
        </w:rPr>
        <w:t xml:space="preserve">unding for 25 parties (15 non-LVCs plus 10 LVCs) were calculated by adding the estimated funding for </w:t>
      </w:r>
      <w:r w:rsidR="00C06EF2">
        <w:rPr>
          <w:lang w:val="en-US"/>
        </w:rPr>
        <w:t>n</w:t>
      </w:r>
      <w:r w:rsidRPr="006C3241">
        <w:rPr>
          <w:lang w:val="en-US"/>
        </w:rPr>
        <w:t xml:space="preserve">on-LVCs (Output 4 </w:t>
      </w:r>
      <w:r w:rsidRPr="006C3241">
        <w:rPr>
          <w:u w:val="single"/>
          <w:lang w:val="en-US"/>
        </w:rPr>
        <w:t>or</w:t>
      </w:r>
      <w:r w:rsidRPr="006C3241">
        <w:rPr>
          <w:lang w:val="en-US"/>
        </w:rPr>
        <w:t xml:space="preserve"> 5) with the estimates for LVC parties (Output 6) and providing a range to parties based on </w:t>
      </w:r>
      <w:r w:rsidR="00DE3FC1">
        <w:rPr>
          <w:lang w:val="en-US"/>
        </w:rPr>
        <w:t>two</w:t>
      </w:r>
      <w:r w:rsidRPr="006C3241">
        <w:rPr>
          <w:lang w:val="en-US"/>
        </w:rPr>
        <w:t xml:space="preserve"> different </w:t>
      </w:r>
      <w:r w:rsidR="00DE3FC1">
        <w:rPr>
          <w:lang w:val="en-US"/>
        </w:rPr>
        <w:t xml:space="preserve">CE </w:t>
      </w:r>
      <w:r w:rsidRPr="006C3241">
        <w:rPr>
          <w:lang w:val="en-US"/>
        </w:rPr>
        <w:t xml:space="preserve">scenarios. </w:t>
      </w:r>
    </w:p>
    <w:p w14:paraId="2C836BB4" w14:textId="77777777" w:rsidR="004812BA" w:rsidRPr="006C3241" w:rsidRDefault="004812BA" w:rsidP="4E46A1B1">
      <w:pPr>
        <w:tabs>
          <w:tab w:val="clear" w:pos="0"/>
        </w:tabs>
        <w:snapToGrid w:val="0"/>
        <w:spacing w:before="100" w:beforeAutospacing="1" w:after="0" w:afterAutospacing="1"/>
        <w:contextualSpacing/>
        <w:rPr>
          <w:lang w:val="en-US"/>
        </w:rPr>
      </w:pPr>
    </w:p>
    <w:p w14:paraId="48C7A7D0" w14:textId="75892C0B" w:rsidR="004812BA" w:rsidRPr="006C3241" w:rsidRDefault="004812BA" w:rsidP="007B5160">
      <w:pPr>
        <w:tabs>
          <w:tab w:val="clear" w:pos="0"/>
        </w:tabs>
        <w:snapToGrid w:val="0"/>
        <w:spacing w:before="100" w:beforeAutospacing="1" w:after="0" w:afterAutospacing="1"/>
        <w:contextualSpacing/>
        <w:rPr>
          <w:color w:val="000000"/>
          <w:lang w:val="en-US"/>
        </w:rPr>
      </w:pPr>
      <w:r w:rsidRPr="006C3241">
        <w:rPr>
          <w:lang w:val="en-US"/>
        </w:rPr>
        <w:t xml:space="preserve">That is, the </w:t>
      </w:r>
      <w:r w:rsidR="00A14A58">
        <w:rPr>
          <w:lang w:val="en-US"/>
        </w:rPr>
        <w:t>t</w:t>
      </w:r>
      <w:r w:rsidRPr="4E46A1B1">
        <w:rPr>
          <w:lang w:val="en-US"/>
        </w:rPr>
        <w:t xml:space="preserve">otal </w:t>
      </w:r>
      <w:r w:rsidR="00A14A58">
        <w:rPr>
          <w:lang w:val="en-US"/>
        </w:rPr>
        <w:t>e</w:t>
      </w:r>
      <w:r w:rsidRPr="4E46A1B1">
        <w:rPr>
          <w:lang w:val="en-US"/>
        </w:rPr>
        <w:t xml:space="preserve">stimated </w:t>
      </w:r>
      <w:r w:rsidR="00A14A58">
        <w:rPr>
          <w:lang w:val="en-US"/>
        </w:rPr>
        <w:t>f</w:t>
      </w:r>
      <w:r w:rsidRPr="4E46A1B1">
        <w:rPr>
          <w:lang w:val="en-US"/>
        </w:rPr>
        <w:t>unding for 25 parties (which have eligible remaining consumption to be addressed to reach complete phaseout) is:</w:t>
      </w:r>
    </w:p>
    <w:p w14:paraId="0480C4FA" w14:textId="0658BC31" w:rsidR="004812BA" w:rsidRPr="006C3241" w:rsidRDefault="004812BA" w:rsidP="000E79CB">
      <w:pPr>
        <w:numPr>
          <w:ilvl w:val="0"/>
          <w:numId w:val="15"/>
        </w:numPr>
        <w:tabs>
          <w:tab w:val="clear" w:pos="0"/>
        </w:tabs>
        <w:snapToGrid w:val="0"/>
        <w:spacing w:beforeAutospacing="1" w:after="0" w:afterAutospacing="1"/>
        <w:ind w:left="0" w:firstLine="0"/>
        <w:contextualSpacing/>
        <w:jc w:val="both"/>
        <w:rPr>
          <w:b/>
          <w:bCs/>
          <w:lang w:val="en-US"/>
        </w:rPr>
      </w:pPr>
      <w:r w:rsidRPr="625649F6">
        <w:rPr>
          <w:b/>
          <w:bCs/>
          <w:lang w:val="en-US"/>
        </w:rPr>
        <w:t xml:space="preserve">For </w:t>
      </w:r>
      <w:r w:rsidR="00F45C3F">
        <w:rPr>
          <w:b/>
          <w:bCs/>
          <w:lang w:val="en-US"/>
        </w:rPr>
        <w:t xml:space="preserve">HCFC </w:t>
      </w:r>
      <w:r w:rsidRPr="625649F6">
        <w:rPr>
          <w:b/>
          <w:bCs/>
          <w:lang w:val="en-US"/>
        </w:rPr>
        <w:t>Scenario 1: US$ 372.90 million</w:t>
      </w:r>
    </w:p>
    <w:p w14:paraId="25834292" w14:textId="017A0543" w:rsidR="004812BA" w:rsidRPr="00A725BE" w:rsidRDefault="7B288DCE" w:rsidP="000E79CB">
      <w:pPr>
        <w:numPr>
          <w:ilvl w:val="0"/>
          <w:numId w:val="15"/>
        </w:numPr>
        <w:tabs>
          <w:tab w:val="clear" w:pos="0"/>
        </w:tabs>
        <w:snapToGrid w:val="0"/>
        <w:spacing w:beforeAutospacing="1" w:after="0" w:afterAutospacing="1"/>
        <w:ind w:left="0" w:firstLine="0"/>
        <w:contextualSpacing/>
        <w:jc w:val="both"/>
        <w:rPr>
          <w:color w:val="000000"/>
          <w:lang w:val="en-US"/>
        </w:rPr>
      </w:pPr>
      <w:r w:rsidRPr="7FC347E3">
        <w:rPr>
          <w:b/>
          <w:bCs/>
          <w:lang w:val="en-US"/>
        </w:rPr>
        <w:t xml:space="preserve">For </w:t>
      </w:r>
      <w:r w:rsidR="00F45C3F">
        <w:rPr>
          <w:b/>
          <w:bCs/>
          <w:lang w:val="en-US"/>
        </w:rPr>
        <w:t xml:space="preserve">HCFC </w:t>
      </w:r>
      <w:r w:rsidRPr="7FC347E3">
        <w:rPr>
          <w:b/>
          <w:bCs/>
          <w:lang w:val="en-US"/>
        </w:rPr>
        <w:t>Scenario 2: US$ 508.32 million</w:t>
      </w:r>
    </w:p>
    <w:p w14:paraId="2B8C577B" w14:textId="709BDCEE" w:rsidR="001C0E12" w:rsidRDefault="001C0E12" w:rsidP="008B1D41">
      <w:pPr>
        <w:tabs>
          <w:tab w:val="clear" w:pos="0"/>
        </w:tabs>
        <w:snapToGrid w:val="0"/>
        <w:spacing w:beforeAutospacing="1" w:after="0" w:afterAutospacing="1"/>
        <w:contextualSpacing/>
        <w:rPr>
          <w:lang w:val="en-US"/>
        </w:rPr>
      </w:pPr>
    </w:p>
    <w:p w14:paraId="15D3922F" w14:textId="7135D5F8" w:rsidR="00E51991" w:rsidRDefault="00E155D4" w:rsidP="00E51991">
      <w:pPr>
        <w:tabs>
          <w:tab w:val="clear" w:pos="0"/>
        </w:tabs>
        <w:snapToGrid w:val="0"/>
        <w:spacing w:beforeAutospacing="1" w:after="0" w:afterAutospacing="1"/>
        <w:contextualSpacing/>
        <w:rPr>
          <w:lang w:val="en-US"/>
        </w:rPr>
      </w:pPr>
      <w:r>
        <w:rPr>
          <w:color w:val="000000"/>
          <w:lang w:val="en-US"/>
        </w:rPr>
        <w:lastRenderedPageBreak/>
        <w:t>Chapter 2</w:t>
      </w:r>
      <w:r w:rsidR="00595795">
        <w:rPr>
          <w:color w:val="000000"/>
          <w:lang w:val="en-US"/>
        </w:rPr>
        <w:t xml:space="preserve"> provides the following</w:t>
      </w:r>
      <w:r w:rsidR="00B67376">
        <w:rPr>
          <w:color w:val="000000"/>
          <w:lang w:val="en-US"/>
        </w:rPr>
        <w:t xml:space="preserve"> summary Table A</w:t>
      </w:r>
      <w:r w:rsidR="00A1285D">
        <w:rPr>
          <w:color w:val="000000"/>
          <w:lang w:val="en-US"/>
        </w:rPr>
        <w:t>1.</w:t>
      </w:r>
      <w:r w:rsidR="00B67376">
        <w:rPr>
          <w:color w:val="000000"/>
          <w:lang w:val="en-US"/>
        </w:rPr>
        <w:t>5</w:t>
      </w:r>
      <w:r w:rsidR="00595795">
        <w:rPr>
          <w:color w:val="000000"/>
          <w:lang w:val="en-US"/>
        </w:rPr>
        <w:t xml:space="preserve"> for the</w:t>
      </w:r>
      <w:r w:rsidR="003B6A6E">
        <w:rPr>
          <w:color w:val="000000"/>
          <w:lang w:val="en-US"/>
        </w:rPr>
        <w:t xml:space="preserve"> total estimated funding for the HCFC consumption sector</w:t>
      </w:r>
      <w:r w:rsidR="001A5535">
        <w:rPr>
          <w:color w:val="000000"/>
          <w:lang w:val="en-US"/>
        </w:rPr>
        <w:t xml:space="preserve"> (including project preparation, verification, and </w:t>
      </w:r>
      <w:r w:rsidR="00D02C1C">
        <w:rPr>
          <w:color w:val="000000"/>
          <w:lang w:val="en-US"/>
        </w:rPr>
        <w:t>EE</w:t>
      </w:r>
      <w:r w:rsidR="00CC5EA5">
        <w:rPr>
          <w:color w:val="000000"/>
          <w:lang w:val="en-US"/>
        </w:rPr>
        <w:t xml:space="preserve"> funding)</w:t>
      </w:r>
      <w:r w:rsidR="001D1BF9">
        <w:rPr>
          <w:color w:val="000000"/>
          <w:lang w:val="en-US"/>
        </w:rPr>
        <w:t>. The ranges for the estimated funding for the HCFC consumption sector</w:t>
      </w:r>
      <w:r w:rsidR="00CC5EA5">
        <w:rPr>
          <w:color w:val="000000"/>
          <w:lang w:val="en-US"/>
        </w:rPr>
        <w:t xml:space="preserve"> for 2027-2029 and 2030-</w:t>
      </w:r>
      <w:r w:rsidR="005D7589">
        <w:rPr>
          <w:color w:val="000000"/>
          <w:lang w:val="en-US"/>
        </w:rPr>
        <w:t xml:space="preserve">2032 </w:t>
      </w:r>
      <w:r w:rsidR="001D1BF9">
        <w:rPr>
          <w:color w:val="000000"/>
          <w:lang w:val="en-US"/>
        </w:rPr>
        <w:t xml:space="preserve">are </w:t>
      </w:r>
      <w:r w:rsidR="00231CEA">
        <w:rPr>
          <w:color w:val="000000"/>
          <w:lang w:val="en-US"/>
        </w:rPr>
        <w:t>derived by a</w:t>
      </w:r>
      <w:r w:rsidR="008B1D41">
        <w:rPr>
          <w:color w:val="000000"/>
          <w:lang w:val="en-US"/>
        </w:rPr>
        <w:t>pplying the HCFC scenarios 1 and 2 based on historical versus cost guidelines CEs, respectively, and considering Decision</w:t>
      </w:r>
      <w:r w:rsidR="00231CEA">
        <w:rPr>
          <w:color w:val="000000"/>
          <w:lang w:val="en-US"/>
        </w:rPr>
        <w:t xml:space="preserve"> 62/17, and allocating </w:t>
      </w:r>
      <w:r w:rsidR="00802B5F">
        <w:rPr>
          <w:color w:val="000000"/>
          <w:lang w:val="en-US"/>
        </w:rPr>
        <w:t xml:space="preserve">funding resources 90% </w:t>
      </w:r>
      <w:r w:rsidR="00D44708">
        <w:rPr>
          <w:color w:val="000000"/>
          <w:lang w:val="en-US"/>
        </w:rPr>
        <w:t xml:space="preserve">to </w:t>
      </w:r>
      <w:r w:rsidR="00802B5F">
        <w:rPr>
          <w:color w:val="000000"/>
          <w:lang w:val="en-US"/>
        </w:rPr>
        <w:t>2027-2029 and 10%</w:t>
      </w:r>
      <w:r w:rsidR="00D44708">
        <w:rPr>
          <w:color w:val="000000"/>
          <w:lang w:val="en-US"/>
        </w:rPr>
        <w:t xml:space="preserve"> to 2030-2032.</w:t>
      </w:r>
      <w:r w:rsidR="00150592">
        <w:rPr>
          <w:color w:val="000000"/>
          <w:lang w:val="en-US"/>
        </w:rPr>
        <w:t xml:space="preserve"> </w:t>
      </w:r>
      <w:r w:rsidR="00E51991" w:rsidRPr="006C3241">
        <w:rPr>
          <w:lang w:val="en-US"/>
        </w:rPr>
        <w:t xml:space="preserve">RTF believes that this methodology provides a consistent and transparent basis for estimating remaining funding requirements for complete phaseout of HCFCs, using information available based on actual implementation experience and </w:t>
      </w:r>
      <w:r w:rsidR="00E51991" w:rsidRPr="56AC22A6">
        <w:rPr>
          <w:lang w:val="en-US"/>
        </w:rPr>
        <w:t>th</w:t>
      </w:r>
      <w:r w:rsidR="00E51991">
        <w:rPr>
          <w:lang w:val="en-US"/>
        </w:rPr>
        <w:t>e</w:t>
      </w:r>
      <w:r w:rsidR="00E51991" w:rsidRPr="006C3241">
        <w:rPr>
          <w:lang w:val="en-US"/>
        </w:rPr>
        <w:t xml:space="preserve"> policy ceilings defined by existing cost guidelines. </w:t>
      </w:r>
    </w:p>
    <w:p w14:paraId="55C1B6C5" w14:textId="77777777" w:rsidR="00E51991" w:rsidRDefault="00E51991" w:rsidP="008B1D41">
      <w:pPr>
        <w:tabs>
          <w:tab w:val="clear" w:pos="0"/>
        </w:tabs>
        <w:snapToGrid w:val="0"/>
        <w:spacing w:beforeAutospacing="1" w:after="0" w:afterAutospacing="1"/>
        <w:contextualSpacing/>
        <w:rPr>
          <w:color w:val="000000"/>
          <w:lang w:val="en-US"/>
        </w:rPr>
      </w:pPr>
    </w:p>
    <w:p w14:paraId="55C3F757" w14:textId="4C9657D4" w:rsidR="000D78AF" w:rsidRDefault="00725514" w:rsidP="002135B0">
      <w:pPr>
        <w:tabs>
          <w:tab w:val="clear" w:pos="0"/>
        </w:tabs>
        <w:snapToGrid w:val="0"/>
        <w:spacing w:beforeAutospacing="1" w:after="0" w:afterAutospacing="1"/>
        <w:ind w:left="1276" w:hanging="1276"/>
        <w:contextualSpacing/>
        <w:jc w:val="both"/>
        <w:rPr>
          <w:rFonts w:eastAsia="Calibri"/>
          <w:b/>
          <w:bCs/>
          <w:color w:val="000000"/>
          <w:lang w:val="en-US"/>
        </w:rPr>
      </w:pPr>
      <w:r w:rsidRPr="00E42C5E">
        <w:rPr>
          <w:rFonts w:eastAsiaTheme="minorHAnsi"/>
          <w:b/>
          <w:bCs/>
        </w:rPr>
        <w:t xml:space="preserve">Table </w:t>
      </w:r>
      <w:r>
        <w:rPr>
          <w:rFonts w:eastAsiaTheme="minorHAnsi"/>
          <w:b/>
          <w:bCs/>
        </w:rPr>
        <w:t>A</w:t>
      </w:r>
      <w:r w:rsidR="00A1285D">
        <w:rPr>
          <w:rFonts w:eastAsiaTheme="minorHAnsi"/>
          <w:b/>
          <w:bCs/>
        </w:rPr>
        <w:t>1.</w:t>
      </w:r>
      <w:r>
        <w:rPr>
          <w:rFonts w:eastAsiaTheme="minorHAnsi"/>
          <w:b/>
          <w:bCs/>
        </w:rPr>
        <w:t>5</w:t>
      </w:r>
      <w:r w:rsidR="00FF681F">
        <w:rPr>
          <w:rFonts w:eastAsiaTheme="minorHAnsi"/>
          <w:b/>
          <w:bCs/>
        </w:rPr>
        <w:t>:</w:t>
      </w:r>
      <w:r w:rsidRPr="00E42C5E">
        <w:rPr>
          <w:rFonts w:eastAsiaTheme="minorHAnsi"/>
          <w:b/>
          <w:bCs/>
        </w:rPr>
        <w:tab/>
      </w:r>
      <w:r>
        <w:rPr>
          <w:rFonts w:eastAsiaTheme="minorHAnsi"/>
          <w:b/>
          <w:bCs/>
        </w:rPr>
        <w:t xml:space="preserve">Range of </w:t>
      </w:r>
      <w:r>
        <w:rPr>
          <w:rFonts w:eastAsia="Calibri"/>
          <w:b/>
          <w:bCs/>
          <w:color w:val="000000"/>
          <w:lang w:val="en-US"/>
        </w:rPr>
        <w:t>e</w:t>
      </w:r>
      <w:r w:rsidRPr="004A7E0E">
        <w:rPr>
          <w:rFonts w:eastAsia="Calibri"/>
          <w:b/>
          <w:bCs/>
          <w:color w:val="000000"/>
          <w:lang w:val="en-US"/>
        </w:rPr>
        <w:t>stimate</w:t>
      </w:r>
      <w:r w:rsidR="0079210F">
        <w:rPr>
          <w:rFonts w:eastAsia="Calibri"/>
          <w:b/>
          <w:bCs/>
          <w:color w:val="000000"/>
          <w:lang w:val="en-US"/>
        </w:rPr>
        <w:t>d funding requirement for total HCFC consumption sector phase-out for 2027-2029 and 2030-2032</w:t>
      </w:r>
      <w:r>
        <w:rPr>
          <w:rFonts w:eastAsia="Calibri"/>
          <w:b/>
          <w:bCs/>
          <w:color w:val="000000"/>
          <w:lang w:val="en-US"/>
        </w:rPr>
        <w:t xml:space="preserve"> (US$ millions)</w:t>
      </w:r>
    </w:p>
    <w:p w14:paraId="00E97955" w14:textId="77777777" w:rsidR="00782EDF" w:rsidRDefault="00782EDF" w:rsidP="004A2E17">
      <w:pPr>
        <w:tabs>
          <w:tab w:val="clear" w:pos="0"/>
        </w:tabs>
        <w:snapToGrid w:val="0"/>
        <w:spacing w:beforeAutospacing="1" w:after="0" w:afterAutospacing="1"/>
        <w:ind w:left="1440" w:hanging="1440"/>
        <w:contextualSpacing/>
        <w:jc w:val="both"/>
        <w:rPr>
          <w:color w:val="00000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225"/>
        <w:gridCol w:w="1132"/>
        <w:gridCol w:w="1180"/>
        <w:gridCol w:w="1187"/>
        <w:gridCol w:w="1216"/>
        <w:gridCol w:w="1258"/>
      </w:tblGrid>
      <w:tr w:rsidR="0082603D" w:rsidRPr="0082603D" w14:paraId="70A72CD8" w14:textId="77777777" w:rsidTr="006315B9">
        <w:trPr>
          <w:trHeight w:val="498"/>
        </w:trPr>
        <w:tc>
          <w:tcPr>
            <w:tcW w:w="1034" w:type="pct"/>
            <w:vMerge w:val="restart"/>
            <w:shd w:val="clear" w:color="auto" w:fill="E2EFD9" w:themeFill="accent6" w:themeFillTint="33"/>
            <w:tcMar>
              <w:left w:w="108" w:type="dxa"/>
              <w:right w:w="108" w:type="dxa"/>
            </w:tcMar>
            <w:vAlign w:val="center"/>
          </w:tcPr>
          <w:p w14:paraId="62E66712"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HCFC CONSUMPTION SECTOR</w:t>
            </w:r>
          </w:p>
        </w:tc>
        <w:tc>
          <w:tcPr>
            <w:tcW w:w="1299" w:type="pct"/>
            <w:gridSpan w:val="2"/>
            <w:vMerge w:val="restart"/>
            <w:shd w:val="clear" w:color="auto" w:fill="E2EFD9" w:themeFill="accent6" w:themeFillTint="33"/>
            <w:tcMar>
              <w:left w:w="108" w:type="dxa"/>
              <w:right w:w="108" w:type="dxa"/>
            </w:tcMar>
          </w:tcPr>
          <w:p w14:paraId="3C0D168C"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2027-2029 and 2030-2032 Total Estimated Funding for Complete Phaseout</w:t>
            </w:r>
          </w:p>
        </w:tc>
        <w:tc>
          <w:tcPr>
            <w:tcW w:w="1304" w:type="pct"/>
            <w:gridSpan w:val="2"/>
            <w:shd w:val="clear" w:color="auto" w:fill="F7CAAC" w:themeFill="accent2" w:themeFillTint="66"/>
            <w:tcMar>
              <w:left w:w="108" w:type="dxa"/>
              <w:right w:w="108" w:type="dxa"/>
            </w:tcMar>
          </w:tcPr>
          <w:p w14:paraId="5D26E01C"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 xml:space="preserve">Proposed Resource Allocation  </w:t>
            </w:r>
          </w:p>
        </w:tc>
        <w:tc>
          <w:tcPr>
            <w:tcW w:w="1364" w:type="pct"/>
            <w:gridSpan w:val="2"/>
            <w:shd w:val="clear" w:color="auto" w:fill="FFE599" w:themeFill="accent4" w:themeFillTint="66"/>
            <w:tcMar>
              <w:left w:w="108" w:type="dxa"/>
              <w:right w:w="108" w:type="dxa"/>
            </w:tcMar>
          </w:tcPr>
          <w:p w14:paraId="3770778D"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 xml:space="preserve">Proposed Resource Allocation </w:t>
            </w:r>
          </w:p>
        </w:tc>
      </w:tr>
      <w:tr w:rsidR="0082603D" w:rsidRPr="0082603D" w14:paraId="0134BA2A" w14:textId="77777777" w:rsidTr="006315B9">
        <w:trPr>
          <w:trHeight w:val="498"/>
        </w:trPr>
        <w:tc>
          <w:tcPr>
            <w:tcW w:w="1034" w:type="pct"/>
            <w:vMerge/>
            <w:tcMar>
              <w:left w:w="108" w:type="dxa"/>
              <w:right w:w="108" w:type="dxa"/>
            </w:tcMar>
            <w:vAlign w:val="center"/>
          </w:tcPr>
          <w:p w14:paraId="58704564"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p>
        </w:tc>
        <w:tc>
          <w:tcPr>
            <w:tcW w:w="1299" w:type="pct"/>
            <w:gridSpan w:val="2"/>
            <w:vMerge/>
            <w:tcMar>
              <w:left w:w="108" w:type="dxa"/>
              <w:right w:w="108" w:type="dxa"/>
            </w:tcMar>
          </w:tcPr>
          <w:p w14:paraId="6622EEF5"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p>
        </w:tc>
        <w:tc>
          <w:tcPr>
            <w:tcW w:w="650" w:type="pct"/>
            <w:shd w:val="clear" w:color="auto" w:fill="F7CAAC" w:themeFill="accent2" w:themeFillTint="66"/>
            <w:tcMar>
              <w:left w:w="108" w:type="dxa"/>
              <w:right w:w="108" w:type="dxa"/>
            </w:tcMar>
            <w:vAlign w:val="center"/>
          </w:tcPr>
          <w:p w14:paraId="653620D7"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2027-2029</w:t>
            </w:r>
          </w:p>
        </w:tc>
        <w:tc>
          <w:tcPr>
            <w:tcW w:w="654" w:type="pct"/>
            <w:shd w:val="clear" w:color="auto" w:fill="F7CAAC" w:themeFill="accent2" w:themeFillTint="66"/>
            <w:tcMar>
              <w:left w:w="108" w:type="dxa"/>
              <w:right w:w="108" w:type="dxa"/>
            </w:tcMar>
            <w:vAlign w:val="center"/>
          </w:tcPr>
          <w:p w14:paraId="6896D143"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2030-2032</w:t>
            </w:r>
          </w:p>
        </w:tc>
        <w:tc>
          <w:tcPr>
            <w:tcW w:w="670" w:type="pct"/>
            <w:shd w:val="clear" w:color="auto" w:fill="FFE599"/>
            <w:tcMar>
              <w:left w:w="108" w:type="dxa"/>
              <w:right w:w="108" w:type="dxa"/>
            </w:tcMar>
            <w:vAlign w:val="center"/>
          </w:tcPr>
          <w:p w14:paraId="7CE6EC86"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2027-2029</w:t>
            </w:r>
          </w:p>
        </w:tc>
        <w:tc>
          <w:tcPr>
            <w:tcW w:w="693" w:type="pct"/>
            <w:shd w:val="clear" w:color="auto" w:fill="FFE599" w:themeFill="accent4" w:themeFillTint="66"/>
            <w:tcMar>
              <w:left w:w="108" w:type="dxa"/>
              <w:right w:w="108" w:type="dxa"/>
            </w:tcMar>
            <w:vAlign w:val="center"/>
          </w:tcPr>
          <w:p w14:paraId="420CD42E"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2030-2032</w:t>
            </w:r>
          </w:p>
        </w:tc>
      </w:tr>
      <w:tr w:rsidR="00CD40B0" w:rsidRPr="0082603D" w14:paraId="0987EB89" w14:textId="77777777" w:rsidTr="006315B9">
        <w:trPr>
          <w:trHeight w:val="60"/>
        </w:trPr>
        <w:tc>
          <w:tcPr>
            <w:tcW w:w="1034" w:type="pct"/>
            <w:vMerge/>
            <w:tcMar>
              <w:left w:w="108" w:type="dxa"/>
              <w:right w:w="108" w:type="dxa"/>
            </w:tcMar>
          </w:tcPr>
          <w:p w14:paraId="5ED67B61" w14:textId="77777777" w:rsidR="00CD40B0" w:rsidRPr="0082603D" w:rsidRDefault="00CD40B0" w:rsidP="0082603D">
            <w:pPr>
              <w:tabs>
                <w:tab w:val="clear" w:pos="0"/>
              </w:tabs>
              <w:spacing w:after="0" w:line="259" w:lineRule="auto"/>
              <w:rPr>
                <w:rFonts w:eastAsiaTheme="minorHAnsi"/>
                <w:b/>
                <w:bCs/>
                <w:color w:val="auto"/>
                <w:kern w:val="2"/>
                <w:sz w:val="20"/>
                <w:szCs w:val="20"/>
                <w:lang w:val="en-US"/>
                <w14:ligatures w14:val="standardContextual"/>
              </w:rPr>
            </w:pPr>
          </w:p>
        </w:tc>
        <w:tc>
          <w:tcPr>
            <w:tcW w:w="1299" w:type="pct"/>
            <w:gridSpan w:val="2"/>
            <w:shd w:val="clear" w:color="auto" w:fill="E2EFD9" w:themeFill="accent6" w:themeFillTint="33"/>
            <w:tcMar>
              <w:left w:w="108" w:type="dxa"/>
              <w:right w:w="108" w:type="dxa"/>
            </w:tcMar>
          </w:tcPr>
          <w:p w14:paraId="654812D3" w14:textId="77777777" w:rsidR="00CD40B0" w:rsidRPr="0082603D" w:rsidRDefault="00CD40B0"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 xml:space="preserve">2 Scenarios </w:t>
            </w:r>
          </w:p>
          <w:p w14:paraId="1907251C" w14:textId="77777777" w:rsidR="00CD40B0" w:rsidRPr="0082603D" w:rsidRDefault="00CD40B0"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Applying different CEs to manufacturing sectors</w:t>
            </w:r>
          </w:p>
        </w:tc>
        <w:tc>
          <w:tcPr>
            <w:tcW w:w="1304" w:type="pct"/>
            <w:gridSpan w:val="2"/>
            <w:shd w:val="clear" w:color="auto" w:fill="F7CAAC" w:themeFill="accent2" w:themeFillTint="66"/>
            <w:tcMar>
              <w:left w:w="108" w:type="dxa"/>
              <w:right w:w="108" w:type="dxa"/>
            </w:tcMar>
          </w:tcPr>
          <w:p w14:paraId="3D81F31B" w14:textId="77777777" w:rsidR="00CD40B0" w:rsidRPr="0082603D" w:rsidRDefault="00CD40B0" w:rsidP="0082603D">
            <w:pPr>
              <w:tabs>
                <w:tab w:val="clear" w:pos="0"/>
              </w:tabs>
              <w:spacing w:after="0" w:line="259" w:lineRule="auto"/>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 xml:space="preserve"> </w:t>
            </w:r>
          </w:p>
          <w:p w14:paraId="3612B631" w14:textId="41932D9C" w:rsidR="00CD40B0" w:rsidRPr="0082603D" w:rsidRDefault="00CD40B0" w:rsidP="00CD40B0">
            <w:pPr>
              <w:tabs>
                <w:tab w:val="clear" w:pos="0"/>
              </w:tabs>
              <w:spacing w:after="0" w:line="259" w:lineRule="auto"/>
              <w:jc w:val="center"/>
              <w:rPr>
                <w:rFonts w:eastAsiaTheme="minorHAnsi"/>
                <w:b/>
                <w:bCs/>
                <w:color w:val="auto"/>
                <w:kern w:val="2"/>
                <w:sz w:val="20"/>
                <w:szCs w:val="20"/>
                <w:lang w:val="en-US"/>
                <w14:ligatures w14:val="standardContextual"/>
              </w:rPr>
            </w:pPr>
            <w:r>
              <w:rPr>
                <w:rFonts w:eastAsiaTheme="minorHAnsi"/>
                <w:b/>
                <w:bCs/>
                <w:color w:val="auto"/>
                <w:kern w:val="2"/>
                <w:sz w:val="20"/>
                <w:szCs w:val="20"/>
                <w:lang w:val="en-US"/>
                <w14:ligatures w14:val="standardContextual"/>
              </w:rPr>
              <w:t>HCFC Scenario 1</w:t>
            </w:r>
            <w:r w:rsidRPr="0082603D">
              <w:rPr>
                <w:rFonts w:eastAsiaTheme="minorHAnsi"/>
                <w:b/>
                <w:bCs/>
                <w:color w:val="auto"/>
                <w:kern w:val="2"/>
                <w:sz w:val="20"/>
                <w:szCs w:val="20"/>
                <w:lang w:val="en-US"/>
                <w14:ligatures w14:val="standardContextual"/>
              </w:rPr>
              <w:t xml:space="preserve"> </w:t>
            </w:r>
          </w:p>
        </w:tc>
        <w:tc>
          <w:tcPr>
            <w:tcW w:w="1364" w:type="pct"/>
            <w:gridSpan w:val="2"/>
            <w:shd w:val="clear" w:color="auto" w:fill="FFE599" w:themeFill="accent4" w:themeFillTint="66"/>
            <w:tcMar>
              <w:left w:w="108" w:type="dxa"/>
              <w:right w:w="108" w:type="dxa"/>
            </w:tcMar>
          </w:tcPr>
          <w:p w14:paraId="322E4682" w14:textId="77777777" w:rsidR="00CD40B0" w:rsidRPr="0082603D" w:rsidRDefault="00CD40B0" w:rsidP="00066733">
            <w:pPr>
              <w:shd w:val="clear" w:color="auto" w:fill="FFE599" w:themeFill="accent4" w:themeFillTint="66"/>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 xml:space="preserve"> </w:t>
            </w:r>
          </w:p>
          <w:p w14:paraId="5F66E5BA" w14:textId="35743307" w:rsidR="00CD40B0" w:rsidRPr="0082603D" w:rsidRDefault="00CD40B0" w:rsidP="00066733">
            <w:pPr>
              <w:shd w:val="clear" w:color="auto" w:fill="FFE599" w:themeFill="accent4" w:themeFillTint="66"/>
              <w:tabs>
                <w:tab w:val="clear" w:pos="0"/>
              </w:tabs>
              <w:spacing w:after="0" w:line="259" w:lineRule="auto"/>
              <w:jc w:val="center"/>
              <w:rPr>
                <w:rFonts w:eastAsiaTheme="minorHAnsi"/>
                <w:b/>
                <w:bCs/>
                <w:color w:val="auto"/>
                <w:kern w:val="2"/>
                <w:sz w:val="20"/>
                <w:szCs w:val="20"/>
                <w:lang w:val="en-US"/>
                <w14:ligatures w14:val="standardContextual"/>
              </w:rPr>
            </w:pPr>
            <w:r>
              <w:rPr>
                <w:rFonts w:eastAsiaTheme="minorHAnsi"/>
                <w:b/>
                <w:bCs/>
                <w:color w:val="auto"/>
                <w:kern w:val="2"/>
                <w:sz w:val="20"/>
                <w:szCs w:val="20"/>
                <w:lang w:val="en-US"/>
                <w14:ligatures w14:val="standardContextual"/>
              </w:rPr>
              <w:t>HCFC Scenario 2</w:t>
            </w:r>
            <w:r w:rsidRPr="0082603D">
              <w:rPr>
                <w:rFonts w:eastAsiaTheme="minorHAnsi"/>
                <w:b/>
                <w:bCs/>
                <w:color w:val="auto"/>
                <w:kern w:val="2"/>
                <w:sz w:val="20"/>
                <w:szCs w:val="20"/>
                <w:lang w:val="en-US"/>
                <w14:ligatures w14:val="standardContextual"/>
              </w:rPr>
              <w:t xml:space="preserve"> </w:t>
            </w:r>
          </w:p>
        </w:tc>
      </w:tr>
      <w:tr w:rsidR="0082603D" w:rsidRPr="0082603D" w14:paraId="19D834FD" w14:textId="77777777" w:rsidTr="006315B9">
        <w:trPr>
          <w:trHeight w:val="180"/>
        </w:trPr>
        <w:tc>
          <w:tcPr>
            <w:tcW w:w="1034" w:type="pct"/>
            <w:vMerge/>
            <w:tcMar>
              <w:left w:w="108" w:type="dxa"/>
              <w:right w:w="108" w:type="dxa"/>
            </w:tcMar>
          </w:tcPr>
          <w:p w14:paraId="3E63ADE0" w14:textId="77777777" w:rsidR="0082603D" w:rsidRPr="0082603D" w:rsidRDefault="0082603D" w:rsidP="0082603D">
            <w:pPr>
              <w:tabs>
                <w:tab w:val="clear" w:pos="0"/>
              </w:tabs>
              <w:spacing w:after="0" w:line="259" w:lineRule="auto"/>
              <w:rPr>
                <w:rFonts w:eastAsiaTheme="minorHAnsi"/>
                <w:b/>
                <w:bCs/>
                <w:color w:val="auto"/>
                <w:kern w:val="2"/>
                <w:sz w:val="20"/>
                <w:szCs w:val="20"/>
                <w:lang w:val="en-US"/>
                <w14:ligatures w14:val="standardContextual"/>
              </w:rPr>
            </w:pPr>
          </w:p>
        </w:tc>
        <w:tc>
          <w:tcPr>
            <w:tcW w:w="675" w:type="pct"/>
            <w:shd w:val="clear" w:color="auto" w:fill="F7CAAC" w:themeFill="accent2" w:themeFillTint="66"/>
            <w:tcMar>
              <w:left w:w="108" w:type="dxa"/>
              <w:right w:w="108" w:type="dxa"/>
            </w:tcMar>
            <w:vAlign w:val="center"/>
          </w:tcPr>
          <w:p w14:paraId="111252AE" w14:textId="17A09188" w:rsidR="0082603D" w:rsidRPr="0082603D" w:rsidRDefault="0082603D" w:rsidP="0082603D">
            <w:pPr>
              <w:tabs>
                <w:tab w:val="clear" w:pos="0"/>
              </w:tabs>
              <w:spacing w:after="0" w:line="259" w:lineRule="auto"/>
              <w:jc w:val="center"/>
              <w:rPr>
                <w:rFonts w:eastAsiaTheme="minorEastAsia"/>
                <w:b/>
                <w:bCs/>
                <w:color w:val="auto"/>
                <w:kern w:val="2"/>
                <w:sz w:val="20"/>
                <w:szCs w:val="20"/>
                <w:lang w:val="en-US"/>
                <w14:ligatures w14:val="standardContextual"/>
              </w:rPr>
            </w:pPr>
            <w:r w:rsidRPr="625649F6">
              <w:rPr>
                <w:rFonts w:eastAsiaTheme="minorEastAsia"/>
                <w:b/>
                <w:bCs/>
                <w:color w:val="auto"/>
                <w:kern w:val="2"/>
                <w:sz w:val="20"/>
                <w:szCs w:val="20"/>
                <w:lang w:val="en-US"/>
                <w14:ligatures w14:val="standardContextual"/>
              </w:rPr>
              <w:t>Scenario 1</w:t>
            </w:r>
          </w:p>
        </w:tc>
        <w:tc>
          <w:tcPr>
            <w:tcW w:w="624" w:type="pct"/>
            <w:shd w:val="clear" w:color="auto" w:fill="FFE599" w:themeFill="accent4" w:themeFillTint="66"/>
            <w:tcMar>
              <w:left w:w="108" w:type="dxa"/>
              <w:right w:w="108" w:type="dxa"/>
            </w:tcMar>
            <w:vAlign w:val="center"/>
          </w:tcPr>
          <w:p w14:paraId="06FA8AB2" w14:textId="2BCBE5A7" w:rsidR="0082603D" w:rsidRPr="0082603D" w:rsidRDefault="0082603D" w:rsidP="0082603D">
            <w:pPr>
              <w:tabs>
                <w:tab w:val="clear" w:pos="0"/>
              </w:tabs>
              <w:spacing w:after="0" w:line="259" w:lineRule="auto"/>
              <w:jc w:val="center"/>
              <w:rPr>
                <w:rFonts w:eastAsiaTheme="minorEastAsia"/>
                <w:b/>
                <w:bCs/>
                <w:color w:val="auto"/>
                <w:kern w:val="2"/>
                <w:sz w:val="20"/>
                <w:szCs w:val="20"/>
                <w:lang w:val="en-US"/>
                <w14:ligatures w14:val="standardContextual"/>
              </w:rPr>
            </w:pPr>
            <w:r w:rsidRPr="625649F6">
              <w:rPr>
                <w:rFonts w:eastAsiaTheme="minorEastAsia"/>
                <w:b/>
                <w:bCs/>
                <w:color w:val="auto"/>
                <w:kern w:val="2"/>
                <w:sz w:val="20"/>
                <w:szCs w:val="20"/>
                <w:lang w:val="en-US"/>
                <w14:ligatures w14:val="standardContextual"/>
              </w:rPr>
              <w:t>Scenario</w:t>
            </w:r>
            <w:r w:rsidR="004D2282">
              <w:rPr>
                <w:rFonts w:eastAsiaTheme="minorEastAsia"/>
                <w:b/>
                <w:bCs/>
                <w:color w:val="auto"/>
                <w:kern w:val="2"/>
                <w:sz w:val="20"/>
                <w:szCs w:val="20"/>
                <w:lang w:val="en-US"/>
                <w14:ligatures w14:val="standardContextual"/>
              </w:rPr>
              <w:t xml:space="preserve"> </w:t>
            </w:r>
            <w:r w:rsidRPr="625649F6">
              <w:rPr>
                <w:rFonts w:eastAsiaTheme="minorEastAsia"/>
                <w:b/>
                <w:bCs/>
                <w:color w:val="auto"/>
                <w:kern w:val="2"/>
                <w:sz w:val="20"/>
                <w:szCs w:val="20"/>
                <w:lang w:val="en-US"/>
                <w14:ligatures w14:val="standardContextual"/>
              </w:rPr>
              <w:t>2</w:t>
            </w:r>
          </w:p>
        </w:tc>
        <w:tc>
          <w:tcPr>
            <w:tcW w:w="650" w:type="pct"/>
            <w:shd w:val="clear" w:color="auto" w:fill="F7CAAC" w:themeFill="accent2" w:themeFillTint="66"/>
            <w:tcMar>
              <w:left w:w="108" w:type="dxa"/>
              <w:right w:w="108" w:type="dxa"/>
            </w:tcMar>
          </w:tcPr>
          <w:p w14:paraId="3AB0FFCF" w14:textId="77777777" w:rsidR="0082603D" w:rsidRPr="0082603D" w:rsidRDefault="0082603D" w:rsidP="0082603D">
            <w:pPr>
              <w:tabs>
                <w:tab w:val="clear" w:pos="0"/>
              </w:tabs>
              <w:spacing w:after="0" w:line="259" w:lineRule="auto"/>
              <w:jc w:val="center"/>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90%</w:t>
            </w:r>
          </w:p>
        </w:tc>
        <w:tc>
          <w:tcPr>
            <w:tcW w:w="654" w:type="pct"/>
            <w:shd w:val="clear" w:color="auto" w:fill="F7CAAC" w:themeFill="accent2" w:themeFillTint="66"/>
            <w:tcMar>
              <w:left w:w="108" w:type="dxa"/>
              <w:right w:w="108" w:type="dxa"/>
            </w:tcMar>
          </w:tcPr>
          <w:p w14:paraId="7ED7F0DD" w14:textId="77777777" w:rsidR="0082603D" w:rsidRPr="0082603D" w:rsidRDefault="0082603D" w:rsidP="0082603D">
            <w:pPr>
              <w:tabs>
                <w:tab w:val="clear" w:pos="0"/>
              </w:tabs>
              <w:spacing w:after="0" w:line="259" w:lineRule="auto"/>
              <w:jc w:val="center"/>
              <w:rPr>
                <w:rFonts w:eastAsiaTheme="minorEastAsia"/>
                <w:b/>
                <w:bCs/>
                <w:color w:val="auto"/>
                <w:sz w:val="20"/>
                <w:szCs w:val="20"/>
                <w:lang w:val="en-US"/>
              </w:rPr>
            </w:pPr>
            <w:r w:rsidRPr="625649F6">
              <w:rPr>
                <w:rFonts w:eastAsiaTheme="minorEastAsia"/>
                <w:b/>
                <w:bCs/>
                <w:color w:val="auto"/>
                <w:kern w:val="2"/>
                <w:sz w:val="20"/>
                <w:szCs w:val="20"/>
                <w:lang w:val="en-US"/>
                <w14:ligatures w14:val="standardContextual"/>
              </w:rPr>
              <w:t>10%</w:t>
            </w:r>
          </w:p>
        </w:tc>
        <w:tc>
          <w:tcPr>
            <w:tcW w:w="670" w:type="pct"/>
            <w:shd w:val="clear" w:color="auto" w:fill="FFE599" w:themeFill="accent4" w:themeFillTint="66"/>
            <w:tcMar>
              <w:left w:w="108" w:type="dxa"/>
              <w:right w:w="108" w:type="dxa"/>
            </w:tcMar>
          </w:tcPr>
          <w:p w14:paraId="64CE1D39" w14:textId="77777777" w:rsidR="0082603D" w:rsidRPr="0082603D" w:rsidRDefault="0082603D" w:rsidP="0082603D">
            <w:pPr>
              <w:tabs>
                <w:tab w:val="clear" w:pos="0"/>
              </w:tabs>
              <w:spacing w:after="0" w:line="259" w:lineRule="auto"/>
              <w:jc w:val="center"/>
              <w:rPr>
                <w:rFonts w:eastAsiaTheme="minorEastAsia"/>
                <w:b/>
                <w:bCs/>
                <w:color w:val="auto"/>
                <w:sz w:val="20"/>
                <w:szCs w:val="20"/>
                <w:lang w:val="en-US"/>
              </w:rPr>
            </w:pPr>
            <w:r w:rsidRPr="625649F6">
              <w:rPr>
                <w:rFonts w:eastAsiaTheme="minorEastAsia"/>
                <w:b/>
                <w:bCs/>
                <w:color w:val="auto"/>
                <w:kern w:val="2"/>
                <w:sz w:val="20"/>
                <w:szCs w:val="20"/>
                <w:lang w:val="en-US"/>
                <w14:ligatures w14:val="standardContextual"/>
              </w:rPr>
              <w:t>90%</w:t>
            </w:r>
          </w:p>
        </w:tc>
        <w:tc>
          <w:tcPr>
            <w:tcW w:w="693" w:type="pct"/>
            <w:shd w:val="clear" w:color="auto" w:fill="FFE599" w:themeFill="accent4" w:themeFillTint="66"/>
            <w:tcMar>
              <w:left w:w="108" w:type="dxa"/>
              <w:right w:w="108" w:type="dxa"/>
            </w:tcMar>
          </w:tcPr>
          <w:p w14:paraId="18694712" w14:textId="77777777" w:rsidR="0082603D" w:rsidRPr="0082603D" w:rsidRDefault="0082603D" w:rsidP="0082603D">
            <w:pPr>
              <w:tabs>
                <w:tab w:val="clear" w:pos="0"/>
              </w:tabs>
              <w:spacing w:after="0" w:line="259" w:lineRule="auto"/>
              <w:jc w:val="center"/>
              <w:rPr>
                <w:rFonts w:eastAsiaTheme="minorEastAsia"/>
                <w:b/>
                <w:bCs/>
                <w:color w:val="auto"/>
                <w:kern w:val="2"/>
                <w:sz w:val="20"/>
                <w:szCs w:val="20"/>
                <w:lang w:val="en-US"/>
                <w14:ligatures w14:val="standardContextual"/>
              </w:rPr>
            </w:pPr>
            <w:r w:rsidRPr="625649F6">
              <w:rPr>
                <w:rFonts w:eastAsiaTheme="minorEastAsia"/>
                <w:b/>
                <w:bCs/>
                <w:color w:val="auto"/>
                <w:kern w:val="2"/>
                <w:sz w:val="20"/>
                <w:szCs w:val="20"/>
                <w:lang w:val="en-US"/>
                <w14:ligatures w14:val="standardContextual"/>
              </w:rPr>
              <w:t>10%</w:t>
            </w:r>
          </w:p>
        </w:tc>
      </w:tr>
      <w:tr w:rsidR="0082603D" w:rsidRPr="0082603D" w14:paraId="686D87A8" w14:textId="77777777" w:rsidTr="006315B9">
        <w:trPr>
          <w:trHeight w:val="180"/>
        </w:trPr>
        <w:tc>
          <w:tcPr>
            <w:tcW w:w="1034" w:type="pct"/>
            <w:shd w:val="clear" w:color="auto" w:fill="E2EFD9" w:themeFill="accent6" w:themeFillTint="33"/>
            <w:tcMar>
              <w:left w:w="108" w:type="dxa"/>
              <w:right w:w="108" w:type="dxa"/>
            </w:tcMar>
          </w:tcPr>
          <w:p w14:paraId="16759146" w14:textId="75135525" w:rsidR="0082603D" w:rsidRPr="0082603D" w:rsidRDefault="0082603D" w:rsidP="0082603D">
            <w:pPr>
              <w:tabs>
                <w:tab w:val="clear" w:pos="0"/>
              </w:tabs>
              <w:spacing w:after="0" w:line="259" w:lineRule="auto"/>
              <w:rPr>
                <w:rFonts w:eastAsiaTheme="minorHAnsi"/>
                <w:color w:val="auto"/>
                <w:kern w:val="2"/>
                <w:sz w:val="20"/>
                <w:szCs w:val="20"/>
                <w:lang w:val="en-US"/>
                <w14:ligatures w14:val="standardContextual"/>
              </w:rPr>
            </w:pPr>
            <w:r w:rsidRPr="001C0E12">
              <w:rPr>
                <w:rFonts w:eastAsiaTheme="minorHAnsi"/>
                <w:color w:val="auto"/>
                <w:kern w:val="2"/>
                <w:sz w:val="20"/>
                <w:szCs w:val="20"/>
                <w:lang w:val="en-US"/>
                <w14:ligatures w14:val="standardContextual"/>
              </w:rPr>
              <w:t xml:space="preserve">Funding Committed </w:t>
            </w:r>
            <w:r w:rsidRPr="0082603D">
              <w:rPr>
                <w:rFonts w:eastAsiaTheme="minorHAnsi"/>
                <w:color w:val="auto"/>
                <w:kern w:val="2"/>
                <w:sz w:val="20"/>
                <w:szCs w:val="20"/>
                <w:lang w:val="en-US"/>
                <w14:ligatures w14:val="standardContextual"/>
              </w:rPr>
              <w:t>for Approved HPMPs</w:t>
            </w:r>
          </w:p>
        </w:tc>
        <w:tc>
          <w:tcPr>
            <w:tcW w:w="675" w:type="pct"/>
            <w:shd w:val="clear" w:color="auto" w:fill="F7CAAC" w:themeFill="accent2" w:themeFillTint="66"/>
            <w:tcMar>
              <w:left w:w="108" w:type="dxa"/>
              <w:right w:w="108" w:type="dxa"/>
            </w:tcMar>
            <w:vAlign w:val="center"/>
          </w:tcPr>
          <w:p w14:paraId="3752E938"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98.19*</w:t>
            </w:r>
          </w:p>
        </w:tc>
        <w:tc>
          <w:tcPr>
            <w:tcW w:w="624" w:type="pct"/>
            <w:shd w:val="clear" w:color="auto" w:fill="FFE599" w:themeFill="accent4" w:themeFillTint="66"/>
            <w:tcMar>
              <w:left w:w="108" w:type="dxa"/>
              <w:right w:w="108" w:type="dxa"/>
            </w:tcMar>
            <w:vAlign w:val="center"/>
          </w:tcPr>
          <w:p w14:paraId="02C9EB6E"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98.19*</w:t>
            </w:r>
          </w:p>
        </w:tc>
        <w:tc>
          <w:tcPr>
            <w:tcW w:w="650" w:type="pct"/>
            <w:shd w:val="clear" w:color="auto" w:fill="F7CAAC" w:themeFill="accent2" w:themeFillTint="66"/>
            <w:tcMar>
              <w:left w:w="108" w:type="dxa"/>
              <w:right w:w="108" w:type="dxa"/>
            </w:tcMar>
            <w:vAlign w:val="center"/>
          </w:tcPr>
          <w:p w14:paraId="17598586"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78.06*</w:t>
            </w:r>
          </w:p>
        </w:tc>
        <w:tc>
          <w:tcPr>
            <w:tcW w:w="654" w:type="pct"/>
            <w:shd w:val="clear" w:color="auto" w:fill="F7CAAC" w:themeFill="accent2" w:themeFillTint="66"/>
            <w:tcMar>
              <w:left w:w="108" w:type="dxa"/>
              <w:right w:w="108" w:type="dxa"/>
            </w:tcMar>
            <w:vAlign w:val="center"/>
          </w:tcPr>
          <w:p w14:paraId="60641FC0"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20.13*</w:t>
            </w:r>
          </w:p>
        </w:tc>
        <w:tc>
          <w:tcPr>
            <w:tcW w:w="670" w:type="pct"/>
            <w:shd w:val="clear" w:color="auto" w:fill="FFE599" w:themeFill="accent4" w:themeFillTint="66"/>
            <w:tcMar>
              <w:left w:w="108" w:type="dxa"/>
              <w:right w:w="108" w:type="dxa"/>
            </w:tcMar>
            <w:vAlign w:val="center"/>
          </w:tcPr>
          <w:p w14:paraId="7C22F0D2"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78.06*</w:t>
            </w:r>
          </w:p>
        </w:tc>
        <w:tc>
          <w:tcPr>
            <w:tcW w:w="693" w:type="pct"/>
            <w:shd w:val="clear" w:color="auto" w:fill="FFE599" w:themeFill="accent4" w:themeFillTint="66"/>
            <w:tcMar>
              <w:left w:w="108" w:type="dxa"/>
              <w:right w:w="108" w:type="dxa"/>
            </w:tcMar>
            <w:vAlign w:val="center"/>
          </w:tcPr>
          <w:p w14:paraId="637DB3F4"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20.13*</w:t>
            </w:r>
          </w:p>
        </w:tc>
      </w:tr>
      <w:tr w:rsidR="0082603D" w:rsidRPr="0082603D" w14:paraId="7A1DAEE1" w14:textId="77777777" w:rsidTr="006315B9">
        <w:trPr>
          <w:trHeight w:val="180"/>
        </w:trPr>
        <w:tc>
          <w:tcPr>
            <w:tcW w:w="1034" w:type="pct"/>
            <w:shd w:val="clear" w:color="auto" w:fill="E2EFD9" w:themeFill="accent6" w:themeFillTint="33"/>
            <w:tcMar>
              <w:left w:w="108" w:type="dxa"/>
              <w:right w:w="108" w:type="dxa"/>
            </w:tcMar>
          </w:tcPr>
          <w:p w14:paraId="4CFA2713" w14:textId="77777777" w:rsidR="0082603D" w:rsidRPr="0082603D" w:rsidRDefault="0082603D" w:rsidP="0082603D">
            <w:pPr>
              <w:tabs>
                <w:tab w:val="clear" w:pos="0"/>
              </w:tabs>
              <w:spacing w:after="0" w:line="259" w:lineRule="auto"/>
              <w:rPr>
                <w:rFonts w:eastAsiaTheme="minorHAnsi"/>
                <w:color w:val="auto"/>
                <w:kern w:val="2"/>
                <w:sz w:val="20"/>
                <w:szCs w:val="20"/>
                <w:lang w:val="en-US"/>
                <w14:ligatures w14:val="standardContextual"/>
              </w:rPr>
            </w:pPr>
            <w:r w:rsidRPr="0082603D">
              <w:rPr>
                <w:rFonts w:eastAsiaTheme="minorHAnsi"/>
                <w:color w:val="auto"/>
                <w:kern w:val="2"/>
                <w:sz w:val="20"/>
                <w:szCs w:val="20"/>
                <w:lang w:val="en-US"/>
                <w14:ligatures w14:val="standardContextual"/>
              </w:rPr>
              <w:t>Estimated New Funding for Project Preparation (PRP)</w:t>
            </w:r>
          </w:p>
        </w:tc>
        <w:tc>
          <w:tcPr>
            <w:tcW w:w="675" w:type="pct"/>
            <w:shd w:val="clear" w:color="auto" w:fill="F7CAAC" w:themeFill="accent2" w:themeFillTint="66"/>
            <w:tcMar>
              <w:left w:w="108" w:type="dxa"/>
              <w:right w:w="108" w:type="dxa"/>
            </w:tcMar>
            <w:vAlign w:val="center"/>
          </w:tcPr>
          <w:p w14:paraId="33B9E516"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0.0438</w:t>
            </w:r>
          </w:p>
        </w:tc>
        <w:tc>
          <w:tcPr>
            <w:tcW w:w="624" w:type="pct"/>
            <w:shd w:val="clear" w:color="auto" w:fill="FFE599" w:themeFill="accent4" w:themeFillTint="66"/>
            <w:tcMar>
              <w:left w:w="108" w:type="dxa"/>
              <w:right w:w="108" w:type="dxa"/>
            </w:tcMar>
            <w:vAlign w:val="center"/>
          </w:tcPr>
          <w:p w14:paraId="7D964705"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0.0438</w:t>
            </w:r>
          </w:p>
        </w:tc>
        <w:tc>
          <w:tcPr>
            <w:tcW w:w="650" w:type="pct"/>
            <w:shd w:val="clear" w:color="auto" w:fill="F7CAAC" w:themeFill="accent2" w:themeFillTint="66"/>
            <w:tcMar>
              <w:left w:w="108" w:type="dxa"/>
              <w:right w:w="108" w:type="dxa"/>
            </w:tcMar>
            <w:vAlign w:val="center"/>
          </w:tcPr>
          <w:p w14:paraId="092F7658"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0.04</w:t>
            </w:r>
          </w:p>
        </w:tc>
        <w:tc>
          <w:tcPr>
            <w:tcW w:w="654" w:type="pct"/>
            <w:shd w:val="clear" w:color="auto" w:fill="F7CAAC" w:themeFill="accent2" w:themeFillTint="66"/>
            <w:tcMar>
              <w:left w:w="108" w:type="dxa"/>
              <w:right w:w="108" w:type="dxa"/>
            </w:tcMar>
            <w:vAlign w:val="center"/>
          </w:tcPr>
          <w:p w14:paraId="7CDBB441"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0.00</w:t>
            </w:r>
          </w:p>
        </w:tc>
        <w:tc>
          <w:tcPr>
            <w:tcW w:w="670" w:type="pct"/>
            <w:shd w:val="clear" w:color="auto" w:fill="FFE599" w:themeFill="accent4" w:themeFillTint="66"/>
            <w:tcMar>
              <w:left w:w="108" w:type="dxa"/>
              <w:right w:w="108" w:type="dxa"/>
            </w:tcMar>
            <w:vAlign w:val="center"/>
          </w:tcPr>
          <w:p w14:paraId="139F1ADA"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0.04</w:t>
            </w:r>
          </w:p>
        </w:tc>
        <w:tc>
          <w:tcPr>
            <w:tcW w:w="693" w:type="pct"/>
            <w:shd w:val="clear" w:color="auto" w:fill="FFE599" w:themeFill="accent4" w:themeFillTint="66"/>
            <w:tcMar>
              <w:left w:w="108" w:type="dxa"/>
              <w:right w:w="108" w:type="dxa"/>
            </w:tcMar>
            <w:vAlign w:val="center"/>
          </w:tcPr>
          <w:p w14:paraId="59D5CCC6"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0.00</w:t>
            </w:r>
          </w:p>
        </w:tc>
      </w:tr>
      <w:tr w:rsidR="0082603D" w:rsidRPr="0082603D" w14:paraId="763E9017" w14:textId="77777777" w:rsidTr="006315B9">
        <w:trPr>
          <w:trHeight w:val="60"/>
        </w:trPr>
        <w:tc>
          <w:tcPr>
            <w:tcW w:w="1034" w:type="pct"/>
            <w:shd w:val="clear" w:color="auto" w:fill="E2EFD9" w:themeFill="accent6" w:themeFillTint="33"/>
            <w:tcMar>
              <w:left w:w="108" w:type="dxa"/>
              <w:right w:w="108" w:type="dxa"/>
            </w:tcMar>
          </w:tcPr>
          <w:p w14:paraId="5FCADD9B" w14:textId="77777777" w:rsidR="0082603D" w:rsidRPr="0082603D" w:rsidRDefault="0082603D" w:rsidP="0082603D">
            <w:pPr>
              <w:tabs>
                <w:tab w:val="clear" w:pos="0"/>
              </w:tabs>
              <w:spacing w:after="0" w:line="259" w:lineRule="auto"/>
              <w:rPr>
                <w:rFonts w:eastAsiaTheme="minorHAnsi"/>
                <w:color w:val="auto"/>
                <w:kern w:val="2"/>
                <w:sz w:val="20"/>
                <w:szCs w:val="20"/>
                <w:lang w:val="en-US"/>
                <w14:ligatures w14:val="standardContextual"/>
              </w:rPr>
            </w:pPr>
            <w:r w:rsidRPr="0082603D">
              <w:rPr>
                <w:rFonts w:eastAsiaTheme="minorHAnsi"/>
                <w:color w:val="auto"/>
                <w:kern w:val="2"/>
                <w:sz w:val="20"/>
                <w:szCs w:val="20"/>
                <w:lang w:val="en-US"/>
                <w14:ligatures w14:val="standardContextual"/>
              </w:rPr>
              <w:t xml:space="preserve">Estimated New Funding to Address Remaining Consumption in 25 Parties for Complete Phaseout </w:t>
            </w:r>
          </w:p>
        </w:tc>
        <w:tc>
          <w:tcPr>
            <w:tcW w:w="675" w:type="pct"/>
            <w:shd w:val="clear" w:color="auto" w:fill="F7CAAC" w:themeFill="accent2" w:themeFillTint="66"/>
            <w:tcMar>
              <w:left w:w="108" w:type="dxa"/>
              <w:right w:w="108" w:type="dxa"/>
            </w:tcMar>
            <w:vAlign w:val="center"/>
          </w:tcPr>
          <w:p w14:paraId="04A4647F"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372.9</w:t>
            </w:r>
          </w:p>
        </w:tc>
        <w:tc>
          <w:tcPr>
            <w:tcW w:w="624" w:type="pct"/>
            <w:shd w:val="clear" w:color="auto" w:fill="FFE599" w:themeFill="accent4" w:themeFillTint="66"/>
            <w:tcMar>
              <w:left w:w="108" w:type="dxa"/>
              <w:right w:w="108" w:type="dxa"/>
            </w:tcMar>
            <w:vAlign w:val="center"/>
          </w:tcPr>
          <w:p w14:paraId="31AFFFCE"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508.32</w:t>
            </w:r>
          </w:p>
        </w:tc>
        <w:tc>
          <w:tcPr>
            <w:tcW w:w="650" w:type="pct"/>
            <w:shd w:val="clear" w:color="auto" w:fill="F7CAAC" w:themeFill="accent2" w:themeFillTint="66"/>
            <w:tcMar>
              <w:left w:w="108" w:type="dxa"/>
              <w:right w:w="108" w:type="dxa"/>
            </w:tcMar>
            <w:vAlign w:val="center"/>
          </w:tcPr>
          <w:p w14:paraId="47F546FF" w14:textId="77777777" w:rsidR="0082603D" w:rsidRPr="0082603D" w:rsidRDefault="0082603D" w:rsidP="0082603D">
            <w:pPr>
              <w:tabs>
                <w:tab w:val="clear" w:pos="0"/>
              </w:tabs>
              <w:spacing w:after="0" w:line="259" w:lineRule="auto"/>
              <w:jc w:val="right"/>
              <w:rPr>
                <w:rFonts w:eastAsiaTheme="minorHAnsi"/>
                <w:color w:val="auto"/>
                <w:kern w:val="2"/>
                <w:lang w:val="pt-BR"/>
                <w14:ligatures w14:val="standardContextual"/>
              </w:rPr>
            </w:pPr>
            <w:r w:rsidRPr="0082603D">
              <w:rPr>
                <w:rFonts w:eastAsiaTheme="minorHAnsi"/>
                <w:color w:val="auto"/>
                <w:kern w:val="2"/>
                <w:lang w:val="pt-BR"/>
                <w14:ligatures w14:val="standardContextual"/>
              </w:rPr>
              <w:t>335.61</w:t>
            </w:r>
          </w:p>
        </w:tc>
        <w:tc>
          <w:tcPr>
            <w:tcW w:w="654" w:type="pct"/>
            <w:shd w:val="clear" w:color="auto" w:fill="F7CAAC" w:themeFill="accent2" w:themeFillTint="66"/>
            <w:tcMar>
              <w:left w:w="108" w:type="dxa"/>
              <w:right w:w="108" w:type="dxa"/>
            </w:tcMar>
            <w:vAlign w:val="center"/>
          </w:tcPr>
          <w:p w14:paraId="27B17137" w14:textId="77777777" w:rsidR="0082603D" w:rsidRPr="0082603D" w:rsidRDefault="0082603D" w:rsidP="0082603D">
            <w:pPr>
              <w:tabs>
                <w:tab w:val="clear" w:pos="0"/>
              </w:tabs>
              <w:spacing w:after="0" w:line="259" w:lineRule="auto"/>
              <w:jc w:val="right"/>
              <w:rPr>
                <w:rFonts w:eastAsiaTheme="minorHAnsi"/>
                <w:color w:val="auto"/>
                <w:kern w:val="2"/>
                <w:lang w:val="pt-BR"/>
                <w14:ligatures w14:val="standardContextual"/>
              </w:rPr>
            </w:pPr>
            <w:r w:rsidRPr="0082603D">
              <w:rPr>
                <w:rFonts w:eastAsiaTheme="minorHAnsi"/>
                <w:color w:val="auto"/>
                <w:kern w:val="2"/>
                <w:lang w:val="pt-BR"/>
                <w14:ligatures w14:val="standardContextual"/>
              </w:rPr>
              <w:t>37.29</w:t>
            </w:r>
          </w:p>
        </w:tc>
        <w:tc>
          <w:tcPr>
            <w:tcW w:w="670" w:type="pct"/>
            <w:shd w:val="clear" w:color="auto" w:fill="FFE599" w:themeFill="accent4" w:themeFillTint="66"/>
            <w:tcMar>
              <w:left w:w="108" w:type="dxa"/>
              <w:right w:w="108" w:type="dxa"/>
            </w:tcMar>
            <w:vAlign w:val="center"/>
          </w:tcPr>
          <w:p w14:paraId="5D5116E2" w14:textId="77777777" w:rsidR="0082603D" w:rsidRPr="0082603D" w:rsidRDefault="0082603D" w:rsidP="0082603D">
            <w:pPr>
              <w:tabs>
                <w:tab w:val="clear" w:pos="0"/>
              </w:tabs>
              <w:spacing w:after="0" w:line="259" w:lineRule="auto"/>
              <w:jc w:val="right"/>
              <w:rPr>
                <w:rFonts w:eastAsiaTheme="minorHAnsi"/>
                <w:color w:val="auto"/>
                <w:kern w:val="2"/>
                <w:lang w:val="pt-BR"/>
                <w14:ligatures w14:val="standardContextual"/>
              </w:rPr>
            </w:pPr>
            <w:r w:rsidRPr="0082603D">
              <w:rPr>
                <w:rFonts w:eastAsiaTheme="minorHAnsi"/>
                <w:color w:val="auto"/>
                <w:kern w:val="2"/>
                <w:lang w:val="pt-BR"/>
                <w14:ligatures w14:val="standardContextual"/>
              </w:rPr>
              <w:t>457.49</w:t>
            </w:r>
          </w:p>
        </w:tc>
        <w:tc>
          <w:tcPr>
            <w:tcW w:w="693" w:type="pct"/>
            <w:shd w:val="clear" w:color="auto" w:fill="FFE599" w:themeFill="accent4" w:themeFillTint="66"/>
            <w:tcMar>
              <w:left w:w="108" w:type="dxa"/>
              <w:right w:w="108" w:type="dxa"/>
            </w:tcMar>
            <w:vAlign w:val="center"/>
          </w:tcPr>
          <w:p w14:paraId="0AE7B605" w14:textId="77777777" w:rsidR="0082603D" w:rsidRPr="0082603D" w:rsidRDefault="0082603D" w:rsidP="0082603D">
            <w:pPr>
              <w:tabs>
                <w:tab w:val="clear" w:pos="0"/>
              </w:tabs>
              <w:spacing w:after="0" w:line="259" w:lineRule="auto"/>
              <w:jc w:val="right"/>
              <w:rPr>
                <w:rFonts w:eastAsiaTheme="minorHAnsi"/>
                <w:color w:val="auto"/>
                <w:kern w:val="2"/>
                <w:lang w:val="pt-BR"/>
                <w14:ligatures w14:val="standardContextual"/>
              </w:rPr>
            </w:pPr>
            <w:r w:rsidRPr="0082603D">
              <w:rPr>
                <w:rFonts w:eastAsiaTheme="minorHAnsi"/>
                <w:color w:val="auto"/>
                <w:kern w:val="2"/>
                <w:lang w:val="pt-BR"/>
                <w14:ligatures w14:val="standardContextual"/>
              </w:rPr>
              <w:t>50.83</w:t>
            </w:r>
          </w:p>
        </w:tc>
      </w:tr>
      <w:tr w:rsidR="0082603D" w:rsidRPr="0082603D" w14:paraId="1E699023" w14:textId="77777777" w:rsidTr="006315B9">
        <w:trPr>
          <w:trHeight w:val="60"/>
        </w:trPr>
        <w:tc>
          <w:tcPr>
            <w:tcW w:w="1034" w:type="pct"/>
            <w:shd w:val="clear" w:color="auto" w:fill="E2EFD9" w:themeFill="accent6" w:themeFillTint="33"/>
            <w:tcMar>
              <w:left w:w="108" w:type="dxa"/>
              <w:right w:w="108" w:type="dxa"/>
            </w:tcMar>
          </w:tcPr>
          <w:p w14:paraId="592ABDFC" w14:textId="77777777" w:rsidR="0082603D" w:rsidRPr="0082603D" w:rsidRDefault="0082603D" w:rsidP="0082603D">
            <w:pPr>
              <w:tabs>
                <w:tab w:val="clear" w:pos="0"/>
              </w:tabs>
              <w:spacing w:after="0" w:line="259" w:lineRule="auto"/>
              <w:rPr>
                <w:rFonts w:eastAsiaTheme="minorHAnsi"/>
                <w:color w:val="auto"/>
                <w:kern w:val="2"/>
                <w:sz w:val="20"/>
                <w:szCs w:val="20"/>
                <w:lang w:val="en-US"/>
                <w14:ligatures w14:val="standardContextual"/>
              </w:rPr>
            </w:pPr>
            <w:r w:rsidRPr="0082603D">
              <w:rPr>
                <w:rFonts w:eastAsiaTheme="minorHAnsi"/>
                <w:color w:val="auto"/>
                <w:kern w:val="2"/>
                <w:sz w:val="20"/>
                <w:szCs w:val="20"/>
                <w:lang w:val="en-US"/>
                <w14:ligatures w14:val="standardContextual"/>
              </w:rPr>
              <w:t>Estimated New Funding for re-submission of 3 cancelled HPMPs</w:t>
            </w:r>
          </w:p>
        </w:tc>
        <w:tc>
          <w:tcPr>
            <w:tcW w:w="675" w:type="pct"/>
            <w:shd w:val="clear" w:color="auto" w:fill="F7CAAC" w:themeFill="accent2" w:themeFillTint="66"/>
            <w:tcMar>
              <w:left w:w="108" w:type="dxa"/>
              <w:right w:w="108" w:type="dxa"/>
            </w:tcMar>
            <w:vAlign w:val="center"/>
          </w:tcPr>
          <w:p w14:paraId="57C761A9"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pt-BR"/>
                <w14:ligatures w14:val="standardContextual"/>
              </w:rPr>
              <w:t>10.22</w:t>
            </w:r>
          </w:p>
        </w:tc>
        <w:tc>
          <w:tcPr>
            <w:tcW w:w="624" w:type="pct"/>
            <w:shd w:val="clear" w:color="auto" w:fill="FFE599" w:themeFill="accent4" w:themeFillTint="66"/>
            <w:tcMar>
              <w:left w:w="108" w:type="dxa"/>
              <w:right w:w="108" w:type="dxa"/>
            </w:tcMar>
            <w:vAlign w:val="center"/>
          </w:tcPr>
          <w:p w14:paraId="16FA6691"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pt-BR"/>
                <w14:ligatures w14:val="standardContextual"/>
              </w:rPr>
              <w:t>10.22</w:t>
            </w:r>
          </w:p>
        </w:tc>
        <w:tc>
          <w:tcPr>
            <w:tcW w:w="650" w:type="pct"/>
            <w:shd w:val="clear" w:color="auto" w:fill="F7CAAC" w:themeFill="accent2" w:themeFillTint="66"/>
            <w:tcMar>
              <w:left w:w="108" w:type="dxa"/>
              <w:right w:w="108" w:type="dxa"/>
            </w:tcMar>
            <w:vAlign w:val="center"/>
          </w:tcPr>
          <w:p w14:paraId="1F3D77CF" w14:textId="77777777" w:rsidR="0082603D" w:rsidRPr="0082603D" w:rsidRDefault="0082603D" w:rsidP="0082603D">
            <w:pPr>
              <w:tabs>
                <w:tab w:val="clear" w:pos="0"/>
              </w:tabs>
              <w:spacing w:after="0" w:line="259" w:lineRule="auto"/>
              <w:jc w:val="right"/>
              <w:rPr>
                <w:rFonts w:eastAsiaTheme="minorHAnsi"/>
                <w:color w:val="auto"/>
                <w:kern w:val="2"/>
                <w:lang w:val="pt-BR"/>
                <w14:ligatures w14:val="standardContextual"/>
              </w:rPr>
            </w:pPr>
            <w:r w:rsidRPr="0082603D">
              <w:rPr>
                <w:rFonts w:eastAsiaTheme="minorHAnsi"/>
                <w:color w:val="auto"/>
                <w:kern w:val="2"/>
                <w:lang w:val="pt-BR"/>
                <w14:ligatures w14:val="standardContextual"/>
              </w:rPr>
              <w:t>9.20</w:t>
            </w:r>
          </w:p>
        </w:tc>
        <w:tc>
          <w:tcPr>
            <w:tcW w:w="654" w:type="pct"/>
            <w:shd w:val="clear" w:color="auto" w:fill="F7CAAC" w:themeFill="accent2" w:themeFillTint="66"/>
            <w:tcMar>
              <w:left w:w="108" w:type="dxa"/>
              <w:right w:w="108" w:type="dxa"/>
            </w:tcMar>
            <w:vAlign w:val="center"/>
          </w:tcPr>
          <w:p w14:paraId="1429FD58" w14:textId="77777777" w:rsidR="0082603D" w:rsidRPr="0082603D" w:rsidRDefault="0082603D" w:rsidP="0082603D">
            <w:pPr>
              <w:tabs>
                <w:tab w:val="clear" w:pos="0"/>
              </w:tabs>
              <w:spacing w:after="0" w:line="259" w:lineRule="auto"/>
              <w:jc w:val="right"/>
              <w:rPr>
                <w:rFonts w:eastAsiaTheme="minorHAnsi"/>
                <w:color w:val="auto"/>
                <w:kern w:val="2"/>
                <w:lang w:val="pt-BR"/>
                <w14:ligatures w14:val="standardContextual"/>
              </w:rPr>
            </w:pPr>
            <w:r w:rsidRPr="0082603D">
              <w:rPr>
                <w:rFonts w:eastAsiaTheme="minorHAnsi"/>
                <w:color w:val="auto"/>
                <w:kern w:val="2"/>
                <w:lang w:val="pt-BR"/>
                <w14:ligatures w14:val="standardContextual"/>
              </w:rPr>
              <w:t>1.02</w:t>
            </w:r>
          </w:p>
        </w:tc>
        <w:tc>
          <w:tcPr>
            <w:tcW w:w="670" w:type="pct"/>
            <w:shd w:val="clear" w:color="auto" w:fill="FFE599" w:themeFill="accent4" w:themeFillTint="66"/>
            <w:tcMar>
              <w:left w:w="108" w:type="dxa"/>
              <w:right w:w="108" w:type="dxa"/>
            </w:tcMar>
            <w:vAlign w:val="center"/>
          </w:tcPr>
          <w:p w14:paraId="29E8D4D7" w14:textId="77777777" w:rsidR="0082603D" w:rsidRPr="0082603D" w:rsidRDefault="0082603D" w:rsidP="0082603D">
            <w:pPr>
              <w:tabs>
                <w:tab w:val="clear" w:pos="0"/>
              </w:tabs>
              <w:spacing w:after="0" w:line="259" w:lineRule="auto"/>
              <w:jc w:val="right"/>
              <w:rPr>
                <w:rFonts w:eastAsiaTheme="minorHAnsi"/>
                <w:color w:val="auto"/>
                <w:kern w:val="2"/>
                <w:lang w:val="pt-BR"/>
                <w14:ligatures w14:val="standardContextual"/>
              </w:rPr>
            </w:pPr>
            <w:r w:rsidRPr="0082603D">
              <w:rPr>
                <w:rFonts w:eastAsiaTheme="minorHAnsi"/>
                <w:color w:val="auto"/>
                <w:kern w:val="2"/>
                <w:lang w:val="pt-BR"/>
                <w14:ligatures w14:val="standardContextual"/>
              </w:rPr>
              <w:t>9.20</w:t>
            </w:r>
          </w:p>
        </w:tc>
        <w:tc>
          <w:tcPr>
            <w:tcW w:w="693" w:type="pct"/>
            <w:shd w:val="clear" w:color="auto" w:fill="FFE599" w:themeFill="accent4" w:themeFillTint="66"/>
            <w:tcMar>
              <w:left w:w="108" w:type="dxa"/>
              <w:right w:w="108" w:type="dxa"/>
            </w:tcMar>
            <w:vAlign w:val="center"/>
          </w:tcPr>
          <w:p w14:paraId="6439F499" w14:textId="77777777" w:rsidR="0082603D" w:rsidRPr="0082603D" w:rsidRDefault="0082603D" w:rsidP="0082603D">
            <w:pPr>
              <w:tabs>
                <w:tab w:val="clear" w:pos="0"/>
              </w:tabs>
              <w:spacing w:after="0" w:line="259" w:lineRule="auto"/>
              <w:jc w:val="right"/>
              <w:rPr>
                <w:rFonts w:eastAsiaTheme="minorHAnsi"/>
                <w:color w:val="auto"/>
                <w:kern w:val="2"/>
                <w:lang w:val="pt-BR"/>
                <w14:ligatures w14:val="standardContextual"/>
              </w:rPr>
            </w:pPr>
            <w:r w:rsidRPr="0082603D">
              <w:rPr>
                <w:rFonts w:eastAsiaTheme="minorHAnsi"/>
                <w:color w:val="auto"/>
                <w:kern w:val="2"/>
                <w:lang w:val="pt-BR"/>
                <w14:ligatures w14:val="standardContextual"/>
              </w:rPr>
              <w:t>1.02</w:t>
            </w:r>
          </w:p>
        </w:tc>
      </w:tr>
      <w:tr w:rsidR="0082603D" w:rsidRPr="0082603D" w14:paraId="0F592C28" w14:textId="77777777" w:rsidTr="006315B9">
        <w:trPr>
          <w:trHeight w:val="75"/>
        </w:trPr>
        <w:tc>
          <w:tcPr>
            <w:tcW w:w="1034" w:type="pct"/>
            <w:shd w:val="clear" w:color="auto" w:fill="E2EFD9" w:themeFill="accent6" w:themeFillTint="33"/>
            <w:tcMar>
              <w:left w:w="108" w:type="dxa"/>
              <w:right w:w="108" w:type="dxa"/>
            </w:tcMar>
          </w:tcPr>
          <w:p w14:paraId="52CB6089" w14:textId="77777777" w:rsidR="0082603D" w:rsidRPr="0082603D" w:rsidRDefault="0082603D" w:rsidP="0082603D">
            <w:pPr>
              <w:tabs>
                <w:tab w:val="clear" w:pos="0"/>
              </w:tabs>
              <w:spacing w:after="0" w:line="259" w:lineRule="auto"/>
              <w:rPr>
                <w:rFonts w:eastAsiaTheme="minorHAnsi"/>
                <w:color w:val="auto"/>
                <w:kern w:val="2"/>
                <w:sz w:val="20"/>
                <w:szCs w:val="20"/>
                <w:lang w:val="en-US"/>
                <w14:ligatures w14:val="standardContextual"/>
              </w:rPr>
            </w:pPr>
            <w:r w:rsidRPr="0082603D">
              <w:rPr>
                <w:rFonts w:eastAsiaTheme="minorHAnsi"/>
                <w:color w:val="auto"/>
                <w:kern w:val="2"/>
                <w:sz w:val="20"/>
                <w:szCs w:val="20"/>
                <w:lang w:val="en-US"/>
                <w14:ligatures w14:val="standardContextual"/>
              </w:rPr>
              <w:t>HCFC Verification Funding</w:t>
            </w:r>
          </w:p>
        </w:tc>
        <w:tc>
          <w:tcPr>
            <w:tcW w:w="675" w:type="pct"/>
            <w:shd w:val="clear" w:color="auto" w:fill="F7CAAC" w:themeFill="accent2" w:themeFillTint="66"/>
            <w:tcMar>
              <w:left w:w="108" w:type="dxa"/>
              <w:right w:w="108" w:type="dxa"/>
            </w:tcMar>
            <w:vAlign w:val="center"/>
          </w:tcPr>
          <w:p w14:paraId="5F434F18"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1.77</w:t>
            </w:r>
          </w:p>
        </w:tc>
        <w:tc>
          <w:tcPr>
            <w:tcW w:w="624" w:type="pct"/>
            <w:shd w:val="clear" w:color="auto" w:fill="FFE599" w:themeFill="accent4" w:themeFillTint="66"/>
            <w:tcMar>
              <w:left w:w="108" w:type="dxa"/>
              <w:right w:w="108" w:type="dxa"/>
            </w:tcMar>
            <w:vAlign w:val="center"/>
          </w:tcPr>
          <w:p w14:paraId="343E3811"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1.77</w:t>
            </w:r>
          </w:p>
        </w:tc>
        <w:tc>
          <w:tcPr>
            <w:tcW w:w="650" w:type="pct"/>
            <w:shd w:val="clear" w:color="auto" w:fill="F7CAAC" w:themeFill="accent2" w:themeFillTint="66"/>
            <w:tcMar>
              <w:left w:w="108" w:type="dxa"/>
              <w:right w:w="108" w:type="dxa"/>
            </w:tcMar>
            <w:vAlign w:val="center"/>
          </w:tcPr>
          <w:p w14:paraId="51F9B0AD"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1.59</w:t>
            </w:r>
          </w:p>
        </w:tc>
        <w:tc>
          <w:tcPr>
            <w:tcW w:w="654" w:type="pct"/>
            <w:shd w:val="clear" w:color="auto" w:fill="F7CAAC" w:themeFill="accent2" w:themeFillTint="66"/>
            <w:tcMar>
              <w:left w:w="108" w:type="dxa"/>
              <w:right w:w="108" w:type="dxa"/>
            </w:tcMar>
            <w:vAlign w:val="center"/>
          </w:tcPr>
          <w:p w14:paraId="72FBC824"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0.18</w:t>
            </w:r>
          </w:p>
        </w:tc>
        <w:tc>
          <w:tcPr>
            <w:tcW w:w="670" w:type="pct"/>
            <w:shd w:val="clear" w:color="auto" w:fill="FFE599" w:themeFill="accent4" w:themeFillTint="66"/>
            <w:tcMar>
              <w:left w:w="108" w:type="dxa"/>
              <w:right w:w="108" w:type="dxa"/>
            </w:tcMar>
            <w:vAlign w:val="center"/>
          </w:tcPr>
          <w:p w14:paraId="403A117A"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1.59</w:t>
            </w:r>
          </w:p>
        </w:tc>
        <w:tc>
          <w:tcPr>
            <w:tcW w:w="693" w:type="pct"/>
            <w:shd w:val="clear" w:color="auto" w:fill="FFE599" w:themeFill="accent4" w:themeFillTint="66"/>
            <w:tcMar>
              <w:left w:w="108" w:type="dxa"/>
              <w:right w:w="108" w:type="dxa"/>
            </w:tcMar>
            <w:vAlign w:val="center"/>
          </w:tcPr>
          <w:p w14:paraId="0EBD4DAA"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0.18</w:t>
            </w:r>
          </w:p>
        </w:tc>
      </w:tr>
      <w:tr w:rsidR="0082603D" w:rsidRPr="0082603D" w14:paraId="6786318E" w14:textId="77777777" w:rsidTr="006315B9">
        <w:trPr>
          <w:trHeight w:val="480"/>
        </w:trPr>
        <w:tc>
          <w:tcPr>
            <w:tcW w:w="1034" w:type="pct"/>
            <w:shd w:val="clear" w:color="auto" w:fill="E2EFD9" w:themeFill="accent6" w:themeFillTint="33"/>
            <w:tcMar>
              <w:left w:w="108" w:type="dxa"/>
              <w:right w:w="108" w:type="dxa"/>
            </w:tcMar>
          </w:tcPr>
          <w:p w14:paraId="6AFFB340" w14:textId="3EE408EC" w:rsidR="0082603D" w:rsidRPr="0082603D" w:rsidRDefault="0082603D" w:rsidP="0082603D">
            <w:pPr>
              <w:tabs>
                <w:tab w:val="clear" w:pos="0"/>
              </w:tabs>
              <w:spacing w:after="0" w:line="259" w:lineRule="auto"/>
              <w:rPr>
                <w:rFonts w:eastAsiaTheme="minorEastAsia"/>
                <w:color w:val="auto"/>
                <w:kern w:val="2"/>
                <w:sz w:val="20"/>
                <w:szCs w:val="20"/>
                <w:lang w:val="en-US"/>
                <w14:ligatures w14:val="standardContextual"/>
              </w:rPr>
            </w:pPr>
            <w:r w:rsidRPr="5AD5DB8B">
              <w:rPr>
                <w:rFonts w:eastAsiaTheme="minorEastAsia"/>
                <w:color w:val="auto"/>
                <w:kern w:val="2"/>
                <w:sz w:val="20"/>
                <w:szCs w:val="20"/>
                <w:lang w:val="en-US"/>
                <w14:ligatures w14:val="standardContextual"/>
              </w:rPr>
              <w:t xml:space="preserve">Energy Efficiency Funding for LVCs (Decision </w:t>
            </w:r>
            <w:r w:rsidRPr="5AD5DB8B">
              <w:rPr>
                <w:rFonts w:eastAsiaTheme="minorEastAsia"/>
                <w:kern w:val="2"/>
                <w:sz w:val="20"/>
                <w:szCs w:val="20"/>
                <w:lang w:val="en-US"/>
                <w14:ligatures w14:val="standardContextual"/>
              </w:rPr>
              <w:t>89/6)</w:t>
            </w:r>
          </w:p>
        </w:tc>
        <w:tc>
          <w:tcPr>
            <w:tcW w:w="675" w:type="pct"/>
            <w:shd w:val="clear" w:color="auto" w:fill="F7CAAC" w:themeFill="accent2" w:themeFillTint="66"/>
            <w:tcMar>
              <w:left w:w="108" w:type="dxa"/>
              <w:right w:w="108" w:type="dxa"/>
            </w:tcMar>
            <w:vAlign w:val="center"/>
          </w:tcPr>
          <w:p w14:paraId="6E8C8B58"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3.4</w:t>
            </w:r>
          </w:p>
        </w:tc>
        <w:tc>
          <w:tcPr>
            <w:tcW w:w="624" w:type="pct"/>
            <w:shd w:val="clear" w:color="auto" w:fill="FFE599" w:themeFill="accent4" w:themeFillTint="66"/>
            <w:tcMar>
              <w:left w:w="108" w:type="dxa"/>
              <w:right w:w="108" w:type="dxa"/>
            </w:tcMar>
            <w:vAlign w:val="center"/>
          </w:tcPr>
          <w:p w14:paraId="20CA9ACB"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3.4</w:t>
            </w:r>
          </w:p>
        </w:tc>
        <w:tc>
          <w:tcPr>
            <w:tcW w:w="650" w:type="pct"/>
            <w:shd w:val="clear" w:color="auto" w:fill="F7CAAC" w:themeFill="accent2" w:themeFillTint="66"/>
            <w:tcMar>
              <w:left w:w="108" w:type="dxa"/>
              <w:right w:w="108" w:type="dxa"/>
            </w:tcMar>
            <w:vAlign w:val="center"/>
          </w:tcPr>
          <w:p w14:paraId="17A11FE9"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3.06</w:t>
            </w:r>
          </w:p>
        </w:tc>
        <w:tc>
          <w:tcPr>
            <w:tcW w:w="654" w:type="pct"/>
            <w:shd w:val="clear" w:color="auto" w:fill="F7CAAC" w:themeFill="accent2" w:themeFillTint="66"/>
            <w:tcMar>
              <w:left w:w="108" w:type="dxa"/>
              <w:right w:w="108" w:type="dxa"/>
            </w:tcMar>
            <w:vAlign w:val="center"/>
          </w:tcPr>
          <w:p w14:paraId="1B51F009"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0.34</w:t>
            </w:r>
          </w:p>
        </w:tc>
        <w:tc>
          <w:tcPr>
            <w:tcW w:w="670" w:type="pct"/>
            <w:shd w:val="clear" w:color="auto" w:fill="FFE599" w:themeFill="accent4" w:themeFillTint="66"/>
            <w:tcMar>
              <w:left w:w="108" w:type="dxa"/>
              <w:right w:w="108" w:type="dxa"/>
            </w:tcMar>
            <w:vAlign w:val="center"/>
          </w:tcPr>
          <w:p w14:paraId="31723A33"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3.06</w:t>
            </w:r>
          </w:p>
        </w:tc>
        <w:tc>
          <w:tcPr>
            <w:tcW w:w="693" w:type="pct"/>
            <w:shd w:val="clear" w:color="auto" w:fill="FFE599" w:themeFill="accent4" w:themeFillTint="66"/>
            <w:tcMar>
              <w:left w:w="108" w:type="dxa"/>
              <w:right w:w="108" w:type="dxa"/>
            </w:tcMar>
            <w:vAlign w:val="center"/>
          </w:tcPr>
          <w:p w14:paraId="062F8176" w14:textId="77777777" w:rsidR="0082603D" w:rsidRPr="0082603D" w:rsidRDefault="0082603D" w:rsidP="0082603D">
            <w:pPr>
              <w:tabs>
                <w:tab w:val="clear" w:pos="0"/>
              </w:tabs>
              <w:spacing w:after="0" w:line="259" w:lineRule="auto"/>
              <w:jc w:val="right"/>
              <w:rPr>
                <w:rFonts w:eastAsiaTheme="minorHAnsi"/>
                <w:color w:val="auto"/>
                <w:kern w:val="2"/>
                <w:lang w:val="en-US"/>
                <w14:ligatures w14:val="standardContextual"/>
              </w:rPr>
            </w:pPr>
            <w:r w:rsidRPr="0082603D">
              <w:rPr>
                <w:rFonts w:eastAsiaTheme="minorHAnsi"/>
                <w:color w:val="auto"/>
                <w:kern w:val="2"/>
                <w:lang w:val="en-US"/>
                <w14:ligatures w14:val="standardContextual"/>
              </w:rPr>
              <w:t>0.34</w:t>
            </w:r>
          </w:p>
        </w:tc>
      </w:tr>
      <w:tr w:rsidR="0082603D" w:rsidRPr="0082603D" w14:paraId="79BDAFF7" w14:textId="77777777" w:rsidTr="006315B9">
        <w:trPr>
          <w:trHeight w:val="480"/>
        </w:trPr>
        <w:tc>
          <w:tcPr>
            <w:tcW w:w="1034" w:type="pct"/>
            <w:shd w:val="clear" w:color="auto" w:fill="FFFF00"/>
            <w:tcMar>
              <w:left w:w="108" w:type="dxa"/>
              <w:right w:w="108" w:type="dxa"/>
            </w:tcMar>
          </w:tcPr>
          <w:p w14:paraId="2227FC70" w14:textId="77777777" w:rsidR="0082603D" w:rsidRPr="0082603D" w:rsidRDefault="0082603D" w:rsidP="0082603D">
            <w:pPr>
              <w:tabs>
                <w:tab w:val="clear" w:pos="0"/>
              </w:tabs>
              <w:spacing w:after="0" w:line="259" w:lineRule="auto"/>
              <w:rPr>
                <w:rFonts w:eastAsiaTheme="minorHAnsi"/>
                <w:b/>
                <w:bCs/>
                <w:color w:val="auto"/>
                <w:kern w:val="2"/>
                <w:sz w:val="20"/>
                <w:szCs w:val="20"/>
                <w:lang w:val="en-US"/>
                <w14:ligatures w14:val="standardContextual"/>
              </w:rPr>
            </w:pPr>
            <w:r w:rsidRPr="0082603D">
              <w:rPr>
                <w:rFonts w:eastAsiaTheme="minorHAnsi"/>
                <w:b/>
                <w:bCs/>
                <w:color w:val="auto"/>
                <w:kern w:val="2"/>
                <w:sz w:val="20"/>
                <w:szCs w:val="20"/>
                <w:lang w:val="en-US"/>
                <w14:ligatures w14:val="standardContextual"/>
              </w:rPr>
              <w:t>Total for HCFC Consumption Sector</w:t>
            </w:r>
          </w:p>
        </w:tc>
        <w:tc>
          <w:tcPr>
            <w:tcW w:w="675" w:type="pct"/>
            <w:shd w:val="clear" w:color="auto" w:fill="FFFF00"/>
            <w:tcMar>
              <w:left w:w="108" w:type="dxa"/>
              <w:right w:w="108" w:type="dxa"/>
            </w:tcMar>
            <w:vAlign w:val="center"/>
          </w:tcPr>
          <w:p w14:paraId="730C2515" w14:textId="77777777" w:rsidR="0082603D" w:rsidRPr="0082603D" w:rsidRDefault="0082603D" w:rsidP="0082603D">
            <w:pPr>
              <w:tabs>
                <w:tab w:val="clear" w:pos="0"/>
              </w:tabs>
              <w:spacing w:after="0" w:line="259" w:lineRule="auto"/>
              <w:jc w:val="center"/>
              <w:rPr>
                <w:rFonts w:eastAsiaTheme="minorHAnsi"/>
                <w:b/>
                <w:bCs/>
                <w:color w:val="auto"/>
                <w:kern w:val="2"/>
                <w:highlight w:val="yellow"/>
                <w:lang w:val="en-US"/>
                <w14:ligatures w14:val="standardContextual"/>
              </w:rPr>
            </w:pPr>
            <w:r w:rsidRPr="0082603D">
              <w:rPr>
                <w:rFonts w:eastAsiaTheme="minorHAnsi"/>
                <w:b/>
                <w:bCs/>
                <w:color w:val="auto"/>
                <w:kern w:val="2"/>
                <w:lang w:val="en-US"/>
                <w14:ligatures w14:val="standardContextual"/>
              </w:rPr>
              <w:t>486.52</w:t>
            </w:r>
          </w:p>
        </w:tc>
        <w:tc>
          <w:tcPr>
            <w:tcW w:w="624" w:type="pct"/>
            <w:shd w:val="clear" w:color="auto" w:fill="FFFF00"/>
            <w:tcMar>
              <w:left w:w="108" w:type="dxa"/>
              <w:right w:w="108" w:type="dxa"/>
            </w:tcMar>
            <w:vAlign w:val="center"/>
          </w:tcPr>
          <w:p w14:paraId="33F79303" w14:textId="77777777" w:rsidR="0082603D" w:rsidRPr="0082603D" w:rsidRDefault="0082603D" w:rsidP="0082603D">
            <w:pPr>
              <w:tabs>
                <w:tab w:val="clear" w:pos="0"/>
              </w:tabs>
              <w:spacing w:after="0" w:line="259" w:lineRule="auto"/>
              <w:jc w:val="center"/>
              <w:rPr>
                <w:rFonts w:eastAsiaTheme="minorHAnsi"/>
                <w:b/>
                <w:bCs/>
                <w:color w:val="auto"/>
                <w:kern w:val="2"/>
                <w:lang w:val="en-US"/>
                <w14:ligatures w14:val="standardContextual"/>
              </w:rPr>
            </w:pPr>
            <w:r w:rsidRPr="0082603D">
              <w:rPr>
                <w:rFonts w:eastAsiaTheme="minorHAnsi"/>
                <w:b/>
                <w:bCs/>
                <w:color w:val="auto"/>
                <w:kern w:val="2"/>
                <w:lang w:val="en-US"/>
                <w14:ligatures w14:val="standardContextual"/>
              </w:rPr>
              <w:t>621.94</w:t>
            </w:r>
          </w:p>
        </w:tc>
        <w:tc>
          <w:tcPr>
            <w:tcW w:w="650" w:type="pct"/>
            <w:shd w:val="clear" w:color="auto" w:fill="FFFF00"/>
            <w:tcMar>
              <w:left w:w="108" w:type="dxa"/>
              <w:right w:w="108" w:type="dxa"/>
            </w:tcMar>
            <w:vAlign w:val="center"/>
          </w:tcPr>
          <w:p w14:paraId="3BCFA1A6" w14:textId="77777777" w:rsidR="0082603D" w:rsidRPr="0082603D" w:rsidRDefault="0082603D" w:rsidP="0082603D">
            <w:pPr>
              <w:tabs>
                <w:tab w:val="clear" w:pos="0"/>
              </w:tabs>
              <w:spacing w:after="0" w:line="259" w:lineRule="auto"/>
              <w:jc w:val="center"/>
              <w:rPr>
                <w:rFonts w:eastAsiaTheme="minorHAnsi"/>
                <w:b/>
                <w:bCs/>
                <w:color w:val="auto"/>
                <w:kern w:val="2"/>
                <w:lang w:val="en-US"/>
                <w14:ligatures w14:val="standardContextual"/>
              </w:rPr>
            </w:pPr>
            <w:r w:rsidRPr="0082603D">
              <w:rPr>
                <w:rFonts w:eastAsiaTheme="minorHAnsi"/>
                <w:b/>
                <w:bCs/>
                <w:color w:val="auto"/>
                <w:kern w:val="2"/>
                <w:lang w:val="en-US"/>
                <w14:ligatures w14:val="standardContextual"/>
              </w:rPr>
              <w:t>427.56</w:t>
            </w:r>
          </w:p>
        </w:tc>
        <w:tc>
          <w:tcPr>
            <w:tcW w:w="654" w:type="pct"/>
            <w:shd w:val="clear" w:color="auto" w:fill="FFFF00"/>
            <w:tcMar>
              <w:left w:w="108" w:type="dxa"/>
              <w:right w:w="108" w:type="dxa"/>
            </w:tcMar>
            <w:vAlign w:val="center"/>
          </w:tcPr>
          <w:p w14:paraId="277922B1" w14:textId="77777777" w:rsidR="0082603D" w:rsidRPr="0082603D" w:rsidRDefault="0082603D" w:rsidP="0082603D">
            <w:pPr>
              <w:tabs>
                <w:tab w:val="clear" w:pos="0"/>
              </w:tabs>
              <w:spacing w:after="0" w:line="259" w:lineRule="auto"/>
              <w:jc w:val="center"/>
              <w:rPr>
                <w:rFonts w:eastAsiaTheme="minorHAnsi"/>
                <w:b/>
                <w:bCs/>
                <w:color w:val="auto"/>
                <w:kern w:val="2"/>
                <w:lang w:val="en-US"/>
                <w14:ligatures w14:val="standardContextual"/>
              </w:rPr>
            </w:pPr>
            <w:r w:rsidRPr="0082603D">
              <w:rPr>
                <w:rFonts w:eastAsiaTheme="minorHAnsi"/>
                <w:b/>
                <w:bCs/>
                <w:color w:val="auto"/>
                <w:kern w:val="2"/>
                <w:lang w:val="en-US"/>
                <w14:ligatures w14:val="standardContextual"/>
              </w:rPr>
              <w:t>58.96</w:t>
            </w:r>
          </w:p>
        </w:tc>
        <w:tc>
          <w:tcPr>
            <w:tcW w:w="670" w:type="pct"/>
            <w:shd w:val="clear" w:color="auto" w:fill="FFFF00"/>
            <w:tcMar>
              <w:left w:w="108" w:type="dxa"/>
              <w:right w:w="108" w:type="dxa"/>
            </w:tcMar>
            <w:vAlign w:val="center"/>
          </w:tcPr>
          <w:p w14:paraId="6D349B6B" w14:textId="77777777" w:rsidR="0082603D" w:rsidRPr="0082603D" w:rsidRDefault="0082603D" w:rsidP="0082603D">
            <w:pPr>
              <w:tabs>
                <w:tab w:val="clear" w:pos="0"/>
              </w:tabs>
              <w:spacing w:after="0" w:line="259" w:lineRule="auto"/>
              <w:jc w:val="center"/>
              <w:rPr>
                <w:rFonts w:eastAsiaTheme="minorHAnsi"/>
                <w:b/>
                <w:bCs/>
                <w:color w:val="auto"/>
                <w:kern w:val="2"/>
                <w:lang w:val="en-US"/>
                <w14:ligatures w14:val="standardContextual"/>
              </w:rPr>
            </w:pPr>
            <w:r w:rsidRPr="0082603D">
              <w:rPr>
                <w:rFonts w:eastAsiaTheme="minorHAnsi"/>
                <w:b/>
                <w:bCs/>
                <w:color w:val="auto"/>
                <w:kern w:val="2"/>
                <w:lang w:val="en-US"/>
                <w14:ligatures w14:val="standardContextual"/>
              </w:rPr>
              <w:t>549.44</w:t>
            </w:r>
          </w:p>
        </w:tc>
        <w:tc>
          <w:tcPr>
            <w:tcW w:w="693" w:type="pct"/>
            <w:shd w:val="clear" w:color="auto" w:fill="FFFF00"/>
            <w:tcMar>
              <w:left w:w="108" w:type="dxa"/>
              <w:right w:w="108" w:type="dxa"/>
            </w:tcMar>
            <w:vAlign w:val="center"/>
          </w:tcPr>
          <w:p w14:paraId="163B3DC7" w14:textId="77777777" w:rsidR="0082603D" w:rsidRPr="0082603D" w:rsidRDefault="0082603D" w:rsidP="0082603D">
            <w:pPr>
              <w:tabs>
                <w:tab w:val="clear" w:pos="0"/>
              </w:tabs>
              <w:spacing w:after="0" w:line="259" w:lineRule="auto"/>
              <w:jc w:val="center"/>
              <w:rPr>
                <w:rFonts w:eastAsiaTheme="minorHAnsi"/>
                <w:b/>
                <w:bCs/>
                <w:color w:val="auto"/>
                <w:kern w:val="2"/>
                <w:lang w:val="en-US"/>
                <w14:ligatures w14:val="standardContextual"/>
              </w:rPr>
            </w:pPr>
            <w:r w:rsidRPr="0082603D">
              <w:rPr>
                <w:rFonts w:eastAsiaTheme="minorHAnsi"/>
                <w:b/>
                <w:bCs/>
                <w:color w:val="auto"/>
                <w:kern w:val="2"/>
                <w:lang w:val="en-US"/>
                <w14:ligatures w14:val="standardContextual"/>
              </w:rPr>
              <w:t>72.50</w:t>
            </w:r>
          </w:p>
        </w:tc>
      </w:tr>
    </w:tbl>
    <w:p w14:paraId="4156539F" w14:textId="77FABE49" w:rsidR="004812BA" w:rsidRDefault="004812BA" w:rsidP="471F763B">
      <w:pPr>
        <w:tabs>
          <w:tab w:val="clear" w:pos="0"/>
        </w:tabs>
        <w:spacing w:beforeAutospacing="1" w:afterAutospacing="1"/>
        <w:contextualSpacing/>
        <w:jc w:val="both"/>
        <w:rPr>
          <w:lang w:val="en-US"/>
        </w:rPr>
      </w:pPr>
    </w:p>
    <w:p w14:paraId="34BDAF6D" w14:textId="77777777" w:rsidR="00076DE2" w:rsidRDefault="00076DE2">
      <w:pPr>
        <w:tabs>
          <w:tab w:val="clear" w:pos="0"/>
        </w:tabs>
        <w:spacing w:after="0"/>
        <w:rPr>
          <w:shd w:val="clear" w:color="auto" w:fill="FFFFFF" w:themeFill="background1"/>
        </w:rPr>
        <w:sectPr w:rsidR="00076DE2" w:rsidSect="00A80F64">
          <w:type w:val="oddPage"/>
          <w:pgSz w:w="11906" w:h="16838"/>
          <w:pgMar w:top="1411" w:right="1411" w:bottom="1411" w:left="1411" w:header="708" w:footer="708" w:gutter="0"/>
          <w:cols w:space="708"/>
          <w:docGrid w:linePitch="360"/>
        </w:sectPr>
      </w:pPr>
    </w:p>
    <w:p w14:paraId="6834D96D" w14:textId="54382821" w:rsidR="004812BA" w:rsidRPr="004812BA" w:rsidRDefault="004812BA" w:rsidP="005D31A7">
      <w:pPr>
        <w:pStyle w:val="Heading1"/>
      </w:pPr>
      <w:bookmarkStart w:id="375" w:name="_Toc230099162"/>
      <w:r w:rsidRPr="008F459C">
        <w:rPr>
          <w:shd w:val="clear" w:color="auto" w:fill="FFFFFF" w:themeFill="background1"/>
        </w:rPr>
        <w:lastRenderedPageBreak/>
        <w:t>A</w:t>
      </w:r>
      <w:r w:rsidR="63BAC10C" w:rsidRPr="008F459C">
        <w:rPr>
          <w:shd w:val="clear" w:color="auto" w:fill="FFFFFF" w:themeFill="background1"/>
        </w:rPr>
        <w:t>NNEX</w:t>
      </w:r>
      <w:r w:rsidRPr="008F459C">
        <w:rPr>
          <w:shd w:val="clear" w:color="auto" w:fill="FFFFFF" w:themeFill="background1"/>
        </w:rPr>
        <w:t xml:space="preserve"> 2:</w:t>
      </w:r>
      <w:r w:rsidR="0016369E">
        <w:rPr>
          <w:shd w:val="clear" w:color="auto" w:fill="FFFFFF" w:themeFill="background1"/>
        </w:rPr>
        <w:t xml:space="preserve"> </w:t>
      </w:r>
      <w:r w:rsidRPr="008F459C">
        <w:rPr>
          <w:shd w:val="clear" w:color="auto" w:fill="FFFFFF" w:themeFill="background1"/>
        </w:rPr>
        <w:t xml:space="preserve">RTF </w:t>
      </w:r>
      <w:r w:rsidR="004A2E17">
        <w:rPr>
          <w:shd w:val="clear" w:color="auto" w:fill="FFFFFF" w:themeFill="background1"/>
        </w:rPr>
        <w:t>a</w:t>
      </w:r>
      <w:r w:rsidR="5B9FF861" w:rsidRPr="008F459C">
        <w:rPr>
          <w:shd w:val="clear" w:color="auto" w:fill="FFFFFF" w:themeFill="background1"/>
        </w:rPr>
        <w:t xml:space="preserve">nalysis and proposal for historical </w:t>
      </w:r>
      <w:r w:rsidR="004A2E17">
        <w:rPr>
          <w:shd w:val="clear" w:color="auto" w:fill="FFFFFF" w:themeFill="background1"/>
        </w:rPr>
        <w:t>CE</w:t>
      </w:r>
      <w:r w:rsidR="5B9FF861" w:rsidRPr="008F459C">
        <w:rPr>
          <w:shd w:val="clear" w:color="auto" w:fill="FFFFFF" w:themeFill="background1"/>
        </w:rPr>
        <w:t xml:space="preserve"> values to be applied to HCFC manufacturing sectors for a funding scenario</w:t>
      </w:r>
      <w:bookmarkEnd w:id="375"/>
    </w:p>
    <w:p w14:paraId="75302DB3" w14:textId="36280B12" w:rsidR="004812BA" w:rsidRDefault="006E056A" w:rsidP="004812BA">
      <w:pPr>
        <w:spacing w:after="0"/>
      </w:pPr>
      <w:r>
        <w:t xml:space="preserve">The </w:t>
      </w:r>
      <w:r w:rsidR="004812BA" w:rsidRPr="746C58CC">
        <w:t xml:space="preserve">RTF consulted with parties and </w:t>
      </w:r>
      <w:r w:rsidR="004812BA">
        <w:t>IA</w:t>
      </w:r>
      <w:r w:rsidR="00387CB2">
        <w:t>s</w:t>
      </w:r>
      <w:r w:rsidR="004812BA" w:rsidRPr="746C58CC">
        <w:t xml:space="preserve"> in its </w:t>
      </w:r>
      <w:r w:rsidR="00CC02AB">
        <w:t xml:space="preserve">efforts to identify </w:t>
      </w:r>
      <w:r w:rsidR="004812BA" w:rsidRPr="746C58CC">
        <w:t xml:space="preserve">robust CE values </w:t>
      </w:r>
      <w:r w:rsidR="00A364E0">
        <w:t xml:space="preserve">that could be </w:t>
      </w:r>
      <w:r w:rsidR="004812BA" w:rsidRPr="746C58CC">
        <w:t>use</w:t>
      </w:r>
      <w:r w:rsidR="008D067B">
        <w:t>d</w:t>
      </w:r>
      <w:r w:rsidR="004812BA" w:rsidRPr="746C58CC">
        <w:t xml:space="preserve"> </w:t>
      </w:r>
      <w:r w:rsidR="008D067B">
        <w:t xml:space="preserve">to </w:t>
      </w:r>
      <w:r w:rsidR="004812BA" w:rsidRPr="746C58CC">
        <w:t>establish average and historical CE</w:t>
      </w:r>
      <w:r w:rsidR="0069194C">
        <w:t xml:space="preserve"> range</w:t>
      </w:r>
      <w:r w:rsidR="004812BA" w:rsidRPr="746C58CC">
        <w:t xml:space="preserve">s </w:t>
      </w:r>
      <w:r w:rsidR="00B80EBA">
        <w:t>for funding estimates</w:t>
      </w:r>
      <w:r w:rsidR="004812BA" w:rsidRPr="746C58CC">
        <w:t xml:space="preserve">. </w:t>
      </w:r>
      <w:r w:rsidR="00086AB7">
        <w:t xml:space="preserve">Given </w:t>
      </w:r>
      <w:r w:rsidR="004812BA" w:rsidRPr="746C58CC">
        <w:t xml:space="preserve">the </w:t>
      </w:r>
      <w:r w:rsidR="00086AB7">
        <w:t xml:space="preserve">limited </w:t>
      </w:r>
      <w:r w:rsidR="004812BA" w:rsidRPr="746C58CC">
        <w:t>time</w:t>
      </w:r>
      <w:r w:rsidR="00086AB7">
        <w:t xml:space="preserve"> available</w:t>
      </w:r>
      <w:r w:rsidR="004812BA" w:rsidRPr="746C58CC">
        <w:t xml:space="preserve">, and </w:t>
      </w:r>
      <w:r w:rsidR="004321B2">
        <w:t xml:space="preserve">the availability constraints </w:t>
      </w:r>
      <w:r w:rsidR="00AD7E24">
        <w:t xml:space="preserve">of </w:t>
      </w:r>
      <w:r w:rsidR="004812BA" w:rsidRPr="746C58CC">
        <w:t>RTF experts</w:t>
      </w:r>
      <w:r w:rsidR="00AD7E24">
        <w:t>,</w:t>
      </w:r>
      <w:r w:rsidR="004812BA" w:rsidRPr="746C58CC">
        <w:t xml:space="preserve"> the </w:t>
      </w:r>
      <w:r w:rsidR="007E5564">
        <w:t xml:space="preserve">analysis </w:t>
      </w:r>
      <w:r w:rsidR="00617154">
        <w:t xml:space="preserve">relied primarily on </w:t>
      </w:r>
      <w:r w:rsidR="00291F74">
        <w:t xml:space="preserve">the </w:t>
      </w:r>
      <w:r w:rsidR="004812BA" w:rsidRPr="746C58CC">
        <w:t>information contain</w:t>
      </w:r>
      <w:r w:rsidR="00291F74">
        <w:t>ed</w:t>
      </w:r>
      <w:r w:rsidR="004812BA" w:rsidRPr="746C58CC">
        <w:t xml:space="preserve"> in document </w:t>
      </w:r>
      <w:r w:rsidR="008973A9">
        <w:t>UNEP</w:t>
      </w:r>
      <w:r w:rsidR="00F05032">
        <w:t>/O</w:t>
      </w:r>
      <w:r w:rsidR="00295FA6">
        <w:t>zL.Pro/</w:t>
      </w:r>
      <w:r w:rsidR="004812BA" w:rsidRPr="746C58CC">
        <w:t>ExCom</w:t>
      </w:r>
      <w:r w:rsidR="00584CB5">
        <w:t>/</w:t>
      </w:r>
      <w:r w:rsidR="004812BA" w:rsidRPr="746C58CC">
        <w:t xml:space="preserve">89/10/Rev1.     </w:t>
      </w:r>
    </w:p>
    <w:p w14:paraId="4C97BB87" w14:textId="77777777" w:rsidR="00D705D7" w:rsidRDefault="00D705D7" w:rsidP="004812BA">
      <w:pPr>
        <w:spacing w:after="0"/>
      </w:pPr>
    </w:p>
    <w:p w14:paraId="545627F5" w14:textId="28EB3949" w:rsidR="004812BA" w:rsidRDefault="00565382" w:rsidP="004812BA">
      <w:pPr>
        <w:spacing w:after="0"/>
      </w:pPr>
      <w:r>
        <w:t>The RTF found that the i</w:t>
      </w:r>
      <w:r w:rsidR="004812BA" w:rsidRPr="746C58CC">
        <w:t xml:space="preserve">nformation </w:t>
      </w:r>
      <w:r w:rsidR="00280747">
        <w:t xml:space="preserve">presented </w:t>
      </w:r>
      <w:r w:rsidR="004812BA" w:rsidRPr="746C58CC">
        <w:t xml:space="preserve">in the document was not always representative of all parties </w:t>
      </w:r>
      <w:r w:rsidR="00E658E1">
        <w:t xml:space="preserve">owing to </w:t>
      </w:r>
      <w:r w:rsidR="004812BA" w:rsidRPr="746C58CC">
        <w:t xml:space="preserve">the diversity of projects and applications </w:t>
      </w:r>
      <w:r w:rsidR="003F216C">
        <w:t xml:space="preserve">across </w:t>
      </w:r>
      <w:r w:rsidR="004812BA" w:rsidRPr="746C58CC">
        <w:t xml:space="preserve">different geographic regions, </w:t>
      </w:r>
      <w:r w:rsidR="00AC667E">
        <w:t xml:space="preserve">as well as </w:t>
      </w:r>
      <w:r w:rsidR="004812BA" w:rsidRPr="746C58CC">
        <w:t>difference in market</w:t>
      </w:r>
      <w:r w:rsidR="003E605B">
        <w:t xml:space="preserve"> condition</w:t>
      </w:r>
      <w:r w:rsidR="004812BA" w:rsidRPr="746C58CC">
        <w:t xml:space="preserve">s and </w:t>
      </w:r>
      <w:r w:rsidR="004369A0">
        <w:t xml:space="preserve">the </w:t>
      </w:r>
      <w:r w:rsidR="004812BA" w:rsidRPr="746C58CC">
        <w:t xml:space="preserve">structure and size of enterprises. </w:t>
      </w:r>
      <w:r w:rsidR="00607D5A">
        <w:t>I</w:t>
      </w:r>
      <w:r w:rsidR="004812BA" w:rsidRPr="746C58CC">
        <w:t>n s</w:t>
      </w:r>
      <w:r w:rsidR="007338AB">
        <w:t>everal</w:t>
      </w:r>
      <w:r w:rsidR="004812BA" w:rsidRPr="746C58CC">
        <w:t xml:space="preserve"> cases, </w:t>
      </w:r>
      <w:r w:rsidR="00CF1088">
        <w:t xml:space="preserve">the document combined </w:t>
      </w:r>
      <w:r w:rsidR="005456B7">
        <w:t xml:space="preserve">multiple </w:t>
      </w:r>
      <w:r w:rsidR="004812BA" w:rsidRPr="746C58CC">
        <w:t>manufacturing subsectors in</w:t>
      </w:r>
      <w:r w:rsidR="00B375C1">
        <w:t>to a single category</w:t>
      </w:r>
      <w:r w:rsidR="004812BA" w:rsidRPr="746C58CC">
        <w:t>, ma</w:t>
      </w:r>
      <w:r w:rsidR="00A20607">
        <w:t>king</w:t>
      </w:r>
      <w:r w:rsidR="004812BA" w:rsidRPr="746C58CC">
        <w:t xml:space="preserve"> it difficult to separate CE values for individual </w:t>
      </w:r>
      <w:r w:rsidR="00BC69E6">
        <w:t>subsectors</w:t>
      </w:r>
      <w:r w:rsidR="004812BA" w:rsidRPr="746C58CC">
        <w:t>.</w:t>
      </w:r>
    </w:p>
    <w:p w14:paraId="3EA531E8" w14:textId="77777777" w:rsidR="00D705D7" w:rsidRDefault="00D705D7" w:rsidP="004812BA">
      <w:pPr>
        <w:spacing w:after="0"/>
      </w:pPr>
    </w:p>
    <w:p w14:paraId="302600AB" w14:textId="11A5ABBB" w:rsidR="00BF3B7B" w:rsidRDefault="548BBB9B" w:rsidP="00BD26AD">
      <w:pPr>
        <w:spacing w:after="0"/>
      </w:pPr>
      <w:r>
        <w:t>Nevertheless</w:t>
      </w:r>
      <w:r w:rsidR="004812BA" w:rsidRPr="746C58CC">
        <w:t xml:space="preserve">, </w:t>
      </w:r>
      <w:r w:rsidR="00BF3B7B">
        <w:t xml:space="preserve">the </w:t>
      </w:r>
      <w:r w:rsidR="004812BA" w:rsidRPr="746C58CC">
        <w:t xml:space="preserve">RTF </w:t>
      </w:r>
      <w:r w:rsidR="00A8095F" w:rsidRPr="00A8095F">
        <w:t xml:space="preserve">reviewed </w:t>
      </w:r>
      <w:r w:rsidR="004812BA" w:rsidRPr="746C58CC">
        <w:t xml:space="preserve">document ExCom 89/10/Rev1 </w:t>
      </w:r>
      <w:r w:rsidR="00034543" w:rsidRPr="00034543">
        <w:t>in detail and</w:t>
      </w:r>
      <w:r w:rsidR="004812BA" w:rsidRPr="746C58CC">
        <w:t xml:space="preserve"> extract</w:t>
      </w:r>
      <w:r w:rsidR="00AC2A57">
        <w:t>ed</w:t>
      </w:r>
      <w:r w:rsidR="004812BA" w:rsidRPr="746C58CC">
        <w:t xml:space="preserve"> information </w:t>
      </w:r>
      <w:r w:rsidR="00AC2A57">
        <w:t xml:space="preserve">considered </w:t>
      </w:r>
      <w:r w:rsidR="005E1E35" w:rsidRPr="005E1E35">
        <w:t xml:space="preserve">sufficiently robust </w:t>
      </w:r>
      <w:r w:rsidR="004812BA" w:rsidRPr="746C58CC">
        <w:t>for the purpose of deriving</w:t>
      </w:r>
      <w:r w:rsidR="00E10D12">
        <w:t>,</w:t>
      </w:r>
      <w:r w:rsidR="004812BA" w:rsidRPr="746C58CC">
        <w:t xml:space="preserve"> a</w:t>
      </w:r>
      <w:r w:rsidR="00E10D12">
        <w:t>t</w:t>
      </w:r>
      <w:r w:rsidR="004812BA" w:rsidRPr="746C58CC">
        <w:t xml:space="preserve"> a minimum, average CE </w:t>
      </w:r>
      <w:r w:rsidR="00E10D12">
        <w:t xml:space="preserve">values </w:t>
      </w:r>
      <w:r w:rsidR="004812BA" w:rsidRPr="746C58CC">
        <w:t xml:space="preserve">for </w:t>
      </w:r>
      <w:r w:rsidR="00E10D12">
        <w:t xml:space="preserve">the </w:t>
      </w:r>
      <w:r w:rsidR="004812BA" w:rsidRPr="746C58CC">
        <w:t xml:space="preserve">RTF </w:t>
      </w:r>
      <w:r w:rsidR="00E10D12">
        <w:t>f</w:t>
      </w:r>
      <w:r w:rsidR="004812BA" w:rsidRPr="746C58CC">
        <w:t xml:space="preserve">unding </w:t>
      </w:r>
      <w:r w:rsidR="00E10D12">
        <w:t>estimates</w:t>
      </w:r>
      <w:r w:rsidR="004812BA" w:rsidRPr="746C58CC">
        <w:t xml:space="preserve">. </w:t>
      </w:r>
      <w:r w:rsidR="00E81A61">
        <w:t xml:space="preserve">The </w:t>
      </w:r>
      <w:r w:rsidR="004812BA" w:rsidRPr="746C58CC">
        <w:t xml:space="preserve">RTF also separated </w:t>
      </w:r>
      <w:r w:rsidR="000A3EAF">
        <w:t xml:space="preserve">projects in </w:t>
      </w:r>
      <w:r w:rsidR="004812BA" w:rsidRPr="746C58CC">
        <w:t>China from th</w:t>
      </w:r>
      <w:r w:rsidR="000205E3">
        <w:t>os</w:t>
      </w:r>
      <w:r w:rsidR="004812BA" w:rsidRPr="746C58CC">
        <w:t xml:space="preserve">e </w:t>
      </w:r>
      <w:r w:rsidR="000205E3">
        <w:t xml:space="preserve">in </w:t>
      </w:r>
      <w:r w:rsidR="004812BA" w:rsidRPr="746C58CC">
        <w:t xml:space="preserve">other parties </w:t>
      </w:r>
      <w:r w:rsidR="00F04232">
        <w:t xml:space="preserve">in order </w:t>
      </w:r>
      <w:r w:rsidR="004812BA" w:rsidRPr="746C58CC">
        <w:t xml:space="preserve">to avoid </w:t>
      </w:r>
      <w:r w:rsidR="0029078E">
        <w:t xml:space="preserve">deriving </w:t>
      </w:r>
      <w:r w:rsidR="004812BA" w:rsidRPr="746C58CC">
        <w:t xml:space="preserve">CE values that </w:t>
      </w:r>
      <w:r w:rsidR="003A76D5">
        <w:t xml:space="preserve">might </w:t>
      </w:r>
      <w:r w:rsidR="004812BA" w:rsidRPr="746C58CC">
        <w:t xml:space="preserve">not be representative of markets, </w:t>
      </w:r>
      <w:r w:rsidR="0054198D" w:rsidRPr="006C4C93">
        <w:t xml:space="preserve">enterprise </w:t>
      </w:r>
      <w:r w:rsidR="004812BA" w:rsidRPr="746C58CC">
        <w:t>structure</w:t>
      </w:r>
      <w:r w:rsidR="0054198D">
        <w:t>,</w:t>
      </w:r>
      <w:r w:rsidR="004812BA" w:rsidRPr="746C58CC">
        <w:t xml:space="preserve"> and size of enterprises</w:t>
      </w:r>
      <w:r w:rsidR="003A128B">
        <w:t>.</w:t>
      </w:r>
      <w:r w:rsidR="0069194C">
        <w:t xml:space="preserve"> </w:t>
      </w:r>
    </w:p>
    <w:p w14:paraId="4582022C" w14:textId="0C027F66" w:rsidR="004812BA" w:rsidRDefault="004812BA" w:rsidP="00306C70">
      <w:pPr>
        <w:spacing w:before="240"/>
      </w:pPr>
      <w:r>
        <w:t xml:space="preserve">Table </w:t>
      </w:r>
      <w:r w:rsidR="3AE912D3">
        <w:t>A2.1</w:t>
      </w:r>
      <w:r>
        <w:t xml:space="preserve"> below</w:t>
      </w:r>
      <w:r w:rsidRPr="746C58CC">
        <w:t xml:space="preserve"> present</w:t>
      </w:r>
      <w:r w:rsidR="00753B36">
        <w:t>s</w:t>
      </w:r>
      <w:r w:rsidRPr="746C58CC">
        <w:t xml:space="preserve"> </w:t>
      </w:r>
      <w:r w:rsidR="00EA6A74">
        <w:t xml:space="preserve">the </w:t>
      </w:r>
      <w:r w:rsidRPr="746C58CC">
        <w:t>RTF compilation of information extracted from ExCom 89/10/Rev1</w:t>
      </w:r>
      <w:r w:rsidR="0064463B">
        <w:t xml:space="preserve">. </w:t>
      </w:r>
      <w:r w:rsidR="00E176D0" w:rsidRPr="00E176D0">
        <w:t xml:space="preserve">Only projects that provided </w:t>
      </w:r>
      <w:r w:rsidRPr="746C58CC">
        <w:t xml:space="preserve">clear CEs </w:t>
      </w:r>
      <w:r w:rsidR="00495F17">
        <w:t xml:space="preserve">values </w:t>
      </w:r>
      <w:r w:rsidRPr="746C58CC">
        <w:t>for single sectors</w:t>
      </w:r>
      <w:r w:rsidR="00162485">
        <w:t xml:space="preserve"> were included</w:t>
      </w:r>
      <w:r w:rsidRPr="746C58CC">
        <w:t xml:space="preserve">, </w:t>
      </w:r>
      <w:r w:rsidR="00A16ADE">
        <w:t xml:space="preserve">while </w:t>
      </w:r>
      <w:r w:rsidRPr="746C58CC">
        <w:t xml:space="preserve">projects </w:t>
      </w:r>
      <w:r w:rsidR="00233A65">
        <w:t xml:space="preserve">covering </w:t>
      </w:r>
      <w:r w:rsidRPr="746C58CC">
        <w:t xml:space="preserve">multiple subsectors </w:t>
      </w:r>
      <w:r w:rsidR="007718BF">
        <w:t>were excluded</w:t>
      </w:r>
      <w:r w:rsidRPr="746C58CC">
        <w:t xml:space="preserve">. For instance, </w:t>
      </w:r>
      <w:r w:rsidR="001B308B">
        <w:t>projects that combined</w:t>
      </w:r>
      <w:r w:rsidRPr="746C58CC">
        <w:t xml:space="preserve"> </w:t>
      </w:r>
      <w:r w:rsidR="003D2454" w:rsidRPr="003D2454">
        <w:t xml:space="preserve">residential </w:t>
      </w:r>
      <w:r w:rsidR="00753B36">
        <w:t>AC</w:t>
      </w:r>
      <w:r w:rsidR="003D2454" w:rsidRPr="003D2454">
        <w:t xml:space="preserve"> with commercial </w:t>
      </w:r>
      <w:r w:rsidR="00753B36">
        <w:t>AC</w:t>
      </w:r>
      <w:r w:rsidR="003D2454" w:rsidRPr="003D2454">
        <w:t xml:space="preserve"> and refrigeration applications </w:t>
      </w:r>
      <w:r w:rsidR="00650DC9">
        <w:t xml:space="preserve">under a single </w:t>
      </w:r>
      <w:r w:rsidRPr="746C58CC">
        <w:t xml:space="preserve">CE </w:t>
      </w:r>
      <w:r w:rsidR="00B06D3F">
        <w:t>value</w:t>
      </w:r>
      <w:r w:rsidRPr="746C58CC">
        <w:t xml:space="preserve"> </w:t>
      </w:r>
      <w:r w:rsidR="00B5512A">
        <w:t xml:space="preserve">were not </w:t>
      </w:r>
      <w:r w:rsidR="00F07C06">
        <w:t>considered in th</w:t>
      </w:r>
      <w:r w:rsidR="0040006D">
        <w:t>e</w:t>
      </w:r>
      <w:r w:rsidR="00F07C06">
        <w:t xml:space="preserve"> analysis</w:t>
      </w:r>
      <w:r w:rsidRPr="746C58CC">
        <w:t xml:space="preserve">. </w:t>
      </w:r>
    </w:p>
    <w:p w14:paraId="279A28FA" w14:textId="6CC91D70" w:rsidR="004812BA" w:rsidRDefault="007A659C" w:rsidP="002135B0">
      <w:pPr>
        <w:tabs>
          <w:tab w:val="left" w:pos="1276"/>
        </w:tabs>
        <w:spacing w:after="120"/>
        <w:ind w:left="1276" w:hanging="1276"/>
        <w:rPr>
          <w:b/>
        </w:rPr>
      </w:pPr>
      <w:r w:rsidRPr="00E42C5E">
        <w:rPr>
          <w:rFonts w:eastAsiaTheme="minorHAnsi"/>
          <w:b/>
          <w:bCs/>
        </w:rPr>
        <w:t xml:space="preserve">Table </w:t>
      </w:r>
      <w:r>
        <w:rPr>
          <w:rFonts w:eastAsiaTheme="minorHAnsi"/>
          <w:b/>
          <w:bCs/>
        </w:rPr>
        <w:t>A2.1</w:t>
      </w:r>
      <w:r w:rsidR="00FF681F">
        <w:rPr>
          <w:rFonts w:eastAsiaTheme="minorHAnsi"/>
          <w:b/>
          <w:bCs/>
        </w:rPr>
        <w:t>:</w:t>
      </w:r>
      <w:r w:rsidRPr="00E42C5E">
        <w:rPr>
          <w:rFonts w:eastAsiaTheme="minorHAnsi"/>
          <w:b/>
          <w:bCs/>
        </w:rPr>
        <w:tab/>
      </w:r>
      <w:r w:rsidRPr="007A659C">
        <w:rPr>
          <w:rFonts w:eastAsia="Calibri"/>
          <w:b/>
          <w:bCs/>
          <w:color w:val="000000"/>
          <w:lang w:val="en-US"/>
        </w:rPr>
        <w:t>RTF Analysis of CE Information contained document ExCom 89/10/Rev1, “HCFC Phaseout Investment Projects in different Sectors in HPMPs Stage I and II</w:t>
      </w:r>
      <w:r w:rsidR="004B1C40">
        <w:rPr>
          <w:rFonts w:eastAsia="Calibri"/>
          <w:b/>
          <w:bCs/>
          <w:color w:val="000000"/>
          <w:lang w:val="en-US"/>
        </w:rPr>
        <w:t>”*</w:t>
      </w:r>
      <w:r w:rsidR="004812BA" w:rsidRPr="746C58CC">
        <w:rPr>
          <w:b/>
        </w:rPr>
        <w:t xml:space="preserve"> </w:t>
      </w:r>
    </w:p>
    <w:tbl>
      <w:tblPr>
        <w:tblStyle w:val="TableGrid"/>
        <w:tblW w:w="5000" w:type="pct"/>
        <w:tblLook w:val="04A0" w:firstRow="1" w:lastRow="0" w:firstColumn="1" w:lastColumn="0" w:noHBand="0" w:noVBand="1"/>
      </w:tblPr>
      <w:tblGrid>
        <w:gridCol w:w="2068"/>
        <w:gridCol w:w="1659"/>
        <w:gridCol w:w="2221"/>
        <w:gridCol w:w="1914"/>
        <w:gridCol w:w="1202"/>
      </w:tblGrid>
      <w:tr w:rsidR="004812BA" w:rsidRPr="00A362D4" w14:paraId="710739FB" w14:textId="77777777" w:rsidTr="002F7E59">
        <w:trPr>
          <w:trHeight w:val="702"/>
        </w:trPr>
        <w:tc>
          <w:tcPr>
            <w:tcW w:w="114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2D43D" w14:textId="77777777" w:rsidR="004812BA" w:rsidRPr="00A362D4" w:rsidRDefault="004812BA" w:rsidP="002F7E59">
            <w:pPr>
              <w:spacing w:before="120" w:after="120"/>
              <w:rPr>
                <w:b/>
                <w:bCs/>
                <w:sz w:val="20"/>
                <w:szCs w:val="20"/>
              </w:rPr>
            </w:pPr>
            <w:r w:rsidRPr="00A362D4">
              <w:rPr>
                <w:b/>
                <w:bCs/>
                <w:sz w:val="20"/>
                <w:szCs w:val="20"/>
              </w:rPr>
              <w:t>Parties (number of enterprises)</w:t>
            </w:r>
          </w:p>
        </w:tc>
        <w:tc>
          <w:tcPr>
            <w:tcW w:w="91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3504B3" w14:textId="77777777" w:rsidR="004812BA" w:rsidRPr="00A362D4" w:rsidRDefault="004812BA" w:rsidP="002F7E59">
            <w:pPr>
              <w:spacing w:before="120" w:after="120"/>
              <w:rPr>
                <w:b/>
                <w:bCs/>
                <w:sz w:val="20"/>
                <w:szCs w:val="20"/>
              </w:rPr>
            </w:pPr>
            <w:r w:rsidRPr="00A362D4">
              <w:rPr>
                <w:b/>
                <w:bCs/>
                <w:sz w:val="20"/>
                <w:szCs w:val="20"/>
              </w:rPr>
              <w:t xml:space="preserve">Manufacturing Sector </w:t>
            </w:r>
          </w:p>
        </w:tc>
        <w:tc>
          <w:tcPr>
            <w:tcW w:w="122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020705" w14:textId="77777777" w:rsidR="004812BA" w:rsidRPr="00A362D4" w:rsidRDefault="004812BA" w:rsidP="002F7E59">
            <w:pPr>
              <w:spacing w:before="120" w:after="120"/>
              <w:rPr>
                <w:b/>
                <w:bCs/>
                <w:sz w:val="20"/>
                <w:szCs w:val="20"/>
              </w:rPr>
            </w:pPr>
            <w:r w:rsidRPr="00A362D4">
              <w:rPr>
                <w:b/>
                <w:bCs/>
                <w:sz w:val="20"/>
                <w:szCs w:val="20"/>
              </w:rPr>
              <w:t>Replacement Technology</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D402F0" w14:textId="46B13C4A" w:rsidR="004812BA" w:rsidRPr="00A362D4" w:rsidRDefault="5B365E33" w:rsidP="002F7E59">
            <w:pPr>
              <w:spacing w:before="120" w:after="120"/>
              <w:rPr>
                <w:b/>
                <w:bCs/>
                <w:sz w:val="20"/>
                <w:szCs w:val="20"/>
              </w:rPr>
            </w:pPr>
            <w:r w:rsidRPr="00A362D4">
              <w:rPr>
                <w:b/>
                <w:bCs/>
                <w:sz w:val="20"/>
                <w:szCs w:val="20"/>
              </w:rPr>
              <w:t>CE Range (</w:t>
            </w:r>
            <w:r w:rsidR="308C2434" w:rsidRPr="00A362D4">
              <w:rPr>
                <w:b/>
                <w:bCs/>
                <w:sz w:val="20"/>
                <w:szCs w:val="20"/>
              </w:rPr>
              <w:t xml:space="preserve">project </w:t>
            </w:r>
            <w:r w:rsidRPr="00A362D4">
              <w:rPr>
                <w:b/>
                <w:bCs/>
                <w:sz w:val="20"/>
                <w:szCs w:val="20"/>
              </w:rPr>
              <w:t>with the lowest and the highest CE)</w:t>
            </w:r>
          </w:p>
        </w:tc>
        <w:tc>
          <w:tcPr>
            <w:tcW w:w="66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818CE6" w14:textId="77777777" w:rsidR="004812BA" w:rsidRPr="00A362D4" w:rsidRDefault="004812BA" w:rsidP="002F7E59">
            <w:pPr>
              <w:spacing w:before="120" w:after="120"/>
              <w:rPr>
                <w:b/>
                <w:bCs/>
                <w:sz w:val="20"/>
                <w:szCs w:val="20"/>
              </w:rPr>
            </w:pPr>
            <w:r w:rsidRPr="00A362D4">
              <w:rPr>
                <w:b/>
                <w:bCs/>
                <w:sz w:val="20"/>
                <w:szCs w:val="20"/>
              </w:rPr>
              <w:t>CE Average (US$/kg)</w:t>
            </w:r>
          </w:p>
        </w:tc>
      </w:tr>
      <w:tr w:rsidR="004812BA" w:rsidRPr="00A362D4" w14:paraId="6EC42FAA" w14:textId="77777777" w:rsidTr="002F7E59">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3D4837A3" w14:textId="77777777" w:rsidR="004812BA" w:rsidRPr="00A362D4" w:rsidRDefault="004812BA" w:rsidP="006233FA">
            <w:pPr>
              <w:rPr>
                <w:sz w:val="20"/>
                <w:szCs w:val="20"/>
              </w:rPr>
            </w:pPr>
            <w:r w:rsidRPr="00A362D4">
              <w:rPr>
                <w:sz w:val="20"/>
                <w:szCs w:val="20"/>
              </w:rPr>
              <w:t xml:space="preserve"> </w:t>
            </w:r>
          </w:p>
        </w:tc>
        <w:tc>
          <w:tcPr>
            <w:tcW w:w="915"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168B3FF5" w14:textId="77777777" w:rsidR="004812BA" w:rsidRPr="00A362D4" w:rsidRDefault="004812BA" w:rsidP="002F7E59">
            <w:pPr>
              <w:rPr>
                <w:b/>
                <w:sz w:val="20"/>
                <w:szCs w:val="20"/>
              </w:rPr>
            </w:pPr>
            <w:r w:rsidRPr="00A362D4">
              <w:rPr>
                <w:b/>
                <w:sz w:val="20"/>
                <w:szCs w:val="20"/>
              </w:rPr>
              <w:t>Air Conditioning</w:t>
            </w:r>
          </w:p>
        </w:tc>
        <w:tc>
          <w:tcPr>
            <w:tcW w:w="1225"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77216860" w14:textId="77777777" w:rsidR="004812BA" w:rsidRPr="00A362D4" w:rsidRDefault="004812BA" w:rsidP="002F7E59">
            <w:pPr>
              <w:rPr>
                <w:sz w:val="20"/>
                <w:szCs w:val="20"/>
              </w:rPr>
            </w:pPr>
            <w:r w:rsidRPr="00A362D4">
              <w:rPr>
                <w:sz w:val="20"/>
                <w:szCs w:val="20"/>
              </w:rPr>
              <w:t xml:space="preserve"> </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AE2AED" w14:textId="77777777" w:rsidR="004812BA" w:rsidRPr="00A362D4" w:rsidRDefault="004812BA" w:rsidP="002F7E59">
            <w:pPr>
              <w:rPr>
                <w:sz w:val="20"/>
                <w:szCs w:val="20"/>
              </w:rPr>
            </w:pPr>
            <w:r w:rsidRPr="00A362D4">
              <w:rPr>
                <w:sz w:val="20"/>
                <w:szCs w:val="20"/>
              </w:rPr>
              <w:t xml:space="preserve"> </w:t>
            </w:r>
          </w:p>
        </w:tc>
        <w:tc>
          <w:tcPr>
            <w:tcW w:w="66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4FB1B045" w14:textId="77777777" w:rsidR="004812BA" w:rsidRPr="00A362D4" w:rsidRDefault="004812BA" w:rsidP="002F7E59">
            <w:pPr>
              <w:rPr>
                <w:sz w:val="20"/>
                <w:szCs w:val="20"/>
              </w:rPr>
            </w:pPr>
            <w:r w:rsidRPr="00A362D4">
              <w:rPr>
                <w:sz w:val="20"/>
                <w:szCs w:val="20"/>
              </w:rPr>
              <w:t xml:space="preserve"> </w:t>
            </w:r>
          </w:p>
        </w:tc>
      </w:tr>
      <w:tr w:rsidR="004812BA" w:rsidRPr="00A362D4" w14:paraId="1123C4E8" w14:textId="77777777" w:rsidTr="002F7E59">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77657C79" w14:textId="77777777" w:rsidR="004812BA" w:rsidRPr="00A362D4" w:rsidRDefault="004812BA" w:rsidP="006233FA">
            <w:pPr>
              <w:rPr>
                <w:sz w:val="20"/>
                <w:szCs w:val="20"/>
              </w:rPr>
            </w:pPr>
            <w:r w:rsidRPr="00A362D4">
              <w:rPr>
                <w:sz w:val="20"/>
                <w:szCs w:val="20"/>
              </w:rPr>
              <w:t>9 parties, excluding China, (40 enterprises)</w:t>
            </w:r>
          </w:p>
        </w:tc>
        <w:tc>
          <w:tcPr>
            <w:tcW w:w="915"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0B652792" w14:textId="77777777" w:rsidR="004812BA" w:rsidRPr="00A362D4" w:rsidRDefault="004812BA" w:rsidP="002F7E59">
            <w:pPr>
              <w:rPr>
                <w:sz w:val="20"/>
                <w:szCs w:val="20"/>
              </w:rPr>
            </w:pPr>
            <w:r w:rsidRPr="00A362D4">
              <w:rPr>
                <w:sz w:val="20"/>
                <w:szCs w:val="20"/>
              </w:rPr>
              <w:t>Room AC</w:t>
            </w:r>
          </w:p>
        </w:tc>
        <w:tc>
          <w:tcPr>
            <w:tcW w:w="1225"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42ABB806" w14:textId="77777777" w:rsidR="004812BA" w:rsidRPr="00A362D4" w:rsidRDefault="004812BA" w:rsidP="002F7E59">
            <w:pPr>
              <w:rPr>
                <w:sz w:val="20"/>
                <w:szCs w:val="20"/>
              </w:rPr>
            </w:pPr>
            <w:r w:rsidRPr="00A362D4">
              <w:rPr>
                <w:sz w:val="20"/>
                <w:szCs w:val="20"/>
              </w:rPr>
              <w:t>HFC-32, R-410A, R-290</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BF898F" w14:textId="77777777" w:rsidR="004812BA" w:rsidRPr="00A362D4" w:rsidRDefault="004812BA" w:rsidP="002F7E59">
            <w:pPr>
              <w:rPr>
                <w:sz w:val="20"/>
                <w:szCs w:val="20"/>
              </w:rPr>
            </w:pPr>
            <w:r w:rsidRPr="00A362D4">
              <w:rPr>
                <w:sz w:val="20"/>
                <w:szCs w:val="20"/>
              </w:rPr>
              <w:t>6.14 – 15.71</w:t>
            </w:r>
          </w:p>
        </w:tc>
        <w:tc>
          <w:tcPr>
            <w:tcW w:w="66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5F0D0272" w14:textId="77777777" w:rsidR="004812BA" w:rsidRPr="00A362D4" w:rsidRDefault="004812BA" w:rsidP="002F7E59">
            <w:pPr>
              <w:rPr>
                <w:sz w:val="20"/>
                <w:szCs w:val="20"/>
              </w:rPr>
            </w:pPr>
            <w:r w:rsidRPr="00A362D4">
              <w:rPr>
                <w:sz w:val="20"/>
                <w:szCs w:val="20"/>
              </w:rPr>
              <w:t>10.05</w:t>
            </w:r>
          </w:p>
        </w:tc>
      </w:tr>
      <w:tr w:rsidR="004812BA" w:rsidRPr="00A362D4" w14:paraId="75815896" w14:textId="77777777" w:rsidTr="002F7E59">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2445A491" w14:textId="77777777" w:rsidR="004812BA" w:rsidRPr="00A362D4" w:rsidRDefault="004812BA" w:rsidP="006233FA">
            <w:pPr>
              <w:rPr>
                <w:sz w:val="20"/>
                <w:szCs w:val="20"/>
              </w:rPr>
            </w:pPr>
            <w:r w:rsidRPr="00A362D4">
              <w:rPr>
                <w:sz w:val="20"/>
                <w:szCs w:val="20"/>
              </w:rPr>
              <w:t>China (2 projects/# of enterprises TBD)</w:t>
            </w:r>
          </w:p>
        </w:tc>
        <w:tc>
          <w:tcPr>
            <w:tcW w:w="915"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1EC70F91" w14:textId="77777777" w:rsidR="004812BA" w:rsidRPr="00A362D4" w:rsidRDefault="004812BA" w:rsidP="002F7E59">
            <w:pPr>
              <w:rPr>
                <w:sz w:val="20"/>
                <w:szCs w:val="20"/>
              </w:rPr>
            </w:pPr>
            <w:r w:rsidRPr="00A362D4">
              <w:rPr>
                <w:sz w:val="20"/>
                <w:szCs w:val="20"/>
              </w:rPr>
              <w:t>Room AC</w:t>
            </w:r>
          </w:p>
        </w:tc>
        <w:tc>
          <w:tcPr>
            <w:tcW w:w="1225"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55ACECB1" w14:textId="77777777" w:rsidR="004812BA" w:rsidRPr="00A362D4" w:rsidRDefault="004812BA" w:rsidP="002F7E59">
            <w:pPr>
              <w:rPr>
                <w:sz w:val="20"/>
                <w:szCs w:val="20"/>
              </w:rPr>
            </w:pPr>
            <w:r w:rsidRPr="00A362D4">
              <w:rPr>
                <w:sz w:val="20"/>
                <w:szCs w:val="20"/>
              </w:rPr>
              <w:t>R-410A and R-290</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112EC" w14:textId="77777777" w:rsidR="004812BA" w:rsidRPr="00A362D4" w:rsidRDefault="004812BA" w:rsidP="002F7E59">
            <w:pPr>
              <w:rPr>
                <w:sz w:val="20"/>
                <w:szCs w:val="20"/>
              </w:rPr>
            </w:pPr>
            <w:r w:rsidRPr="00A362D4">
              <w:rPr>
                <w:sz w:val="20"/>
                <w:szCs w:val="20"/>
              </w:rPr>
              <w:t>1.63 – 8.68</w:t>
            </w:r>
          </w:p>
        </w:tc>
        <w:tc>
          <w:tcPr>
            <w:tcW w:w="66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vAlign w:val="center"/>
          </w:tcPr>
          <w:p w14:paraId="523FD2A8" w14:textId="77777777" w:rsidR="004812BA" w:rsidRPr="00A362D4" w:rsidRDefault="004812BA" w:rsidP="002F7E59">
            <w:pPr>
              <w:rPr>
                <w:sz w:val="20"/>
                <w:szCs w:val="20"/>
              </w:rPr>
            </w:pPr>
            <w:r w:rsidRPr="00A362D4">
              <w:rPr>
                <w:sz w:val="20"/>
                <w:szCs w:val="20"/>
              </w:rPr>
              <w:t>4.74</w:t>
            </w:r>
          </w:p>
        </w:tc>
      </w:tr>
      <w:tr w:rsidR="004812BA" w:rsidRPr="00A362D4" w14:paraId="7E4A9580" w14:textId="77777777" w:rsidTr="002F7E59">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8EAADB" w:themeFill="accent1" w:themeFillTint="99"/>
            <w:tcMar>
              <w:left w:w="108" w:type="dxa"/>
              <w:right w:w="108" w:type="dxa"/>
            </w:tcMar>
          </w:tcPr>
          <w:p w14:paraId="7E305F5C" w14:textId="77777777" w:rsidR="004812BA" w:rsidRPr="00A362D4" w:rsidRDefault="004812BA" w:rsidP="006233FA">
            <w:pPr>
              <w:rPr>
                <w:sz w:val="20"/>
                <w:szCs w:val="20"/>
              </w:rPr>
            </w:pPr>
            <w:r w:rsidRPr="00A362D4">
              <w:rPr>
                <w:sz w:val="20"/>
                <w:szCs w:val="20"/>
              </w:rPr>
              <w:t>2 parties excluding China, (6 enterprises)</w:t>
            </w:r>
          </w:p>
        </w:tc>
        <w:tc>
          <w:tcPr>
            <w:tcW w:w="915" w:type="pct"/>
            <w:tcBorders>
              <w:top w:val="single" w:sz="8" w:space="0" w:color="auto"/>
              <w:left w:val="single" w:sz="8" w:space="0" w:color="auto"/>
              <w:bottom w:val="single" w:sz="8" w:space="0" w:color="auto"/>
              <w:right w:val="single" w:sz="8" w:space="0" w:color="auto"/>
            </w:tcBorders>
            <w:shd w:val="clear" w:color="auto" w:fill="8EAADB" w:themeFill="accent1" w:themeFillTint="99"/>
            <w:tcMar>
              <w:left w:w="108" w:type="dxa"/>
              <w:right w:w="108" w:type="dxa"/>
            </w:tcMar>
            <w:vAlign w:val="center"/>
          </w:tcPr>
          <w:p w14:paraId="20C749C7" w14:textId="77777777" w:rsidR="004812BA" w:rsidRPr="00A362D4" w:rsidRDefault="004812BA" w:rsidP="002F7E59">
            <w:pPr>
              <w:rPr>
                <w:sz w:val="20"/>
                <w:szCs w:val="20"/>
              </w:rPr>
            </w:pPr>
            <w:r w:rsidRPr="00A362D4">
              <w:rPr>
                <w:sz w:val="20"/>
                <w:szCs w:val="20"/>
              </w:rPr>
              <w:t>Commercial AC</w:t>
            </w:r>
          </w:p>
        </w:tc>
        <w:tc>
          <w:tcPr>
            <w:tcW w:w="1225" w:type="pct"/>
            <w:tcBorders>
              <w:top w:val="single" w:sz="8" w:space="0" w:color="auto"/>
              <w:left w:val="single" w:sz="8" w:space="0" w:color="auto"/>
              <w:bottom w:val="single" w:sz="8" w:space="0" w:color="auto"/>
              <w:right w:val="single" w:sz="8" w:space="0" w:color="auto"/>
            </w:tcBorders>
            <w:shd w:val="clear" w:color="auto" w:fill="8EAADB" w:themeFill="accent1" w:themeFillTint="99"/>
            <w:tcMar>
              <w:left w:w="108" w:type="dxa"/>
              <w:right w:w="108" w:type="dxa"/>
            </w:tcMar>
            <w:vAlign w:val="center"/>
          </w:tcPr>
          <w:p w14:paraId="18662CCA" w14:textId="77777777" w:rsidR="004812BA" w:rsidRPr="00A362D4" w:rsidRDefault="004812BA" w:rsidP="002F7E59">
            <w:pPr>
              <w:rPr>
                <w:sz w:val="20"/>
                <w:szCs w:val="20"/>
              </w:rPr>
            </w:pPr>
            <w:r w:rsidRPr="00A362D4">
              <w:rPr>
                <w:sz w:val="20"/>
                <w:szCs w:val="20"/>
              </w:rPr>
              <w:t>HFC-32</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D0FE87" w14:textId="77777777" w:rsidR="004812BA" w:rsidRPr="00A362D4" w:rsidRDefault="004812BA" w:rsidP="002F7E59">
            <w:pPr>
              <w:rPr>
                <w:sz w:val="20"/>
                <w:szCs w:val="20"/>
              </w:rPr>
            </w:pPr>
            <w:r w:rsidRPr="00A362D4">
              <w:rPr>
                <w:sz w:val="20"/>
                <w:szCs w:val="20"/>
              </w:rPr>
              <w:t>10.33 – 31.84</w:t>
            </w:r>
          </w:p>
        </w:tc>
        <w:tc>
          <w:tcPr>
            <w:tcW w:w="663" w:type="pct"/>
            <w:tcBorders>
              <w:top w:val="single" w:sz="8" w:space="0" w:color="auto"/>
              <w:left w:val="single" w:sz="8" w:space="0" w:color="auto"/>
              <w:bottom w:val="single" w:sz="8" w:space="0" w:color="auto"/>
              <w:right w:val="single" w:sz="8" w:space="0" w:color="auto"/>
            </w:tcBorders>
            <w:shd w:val="clear" w:color="auto" w:fill="8EAADB" w:themeFill="accent1" w:themeFillTint="99"/>
            <w:tcMar>
              <w:left w:w="108" w:type="dxa"/>
              <w:right w:w="108" w:type="dxa"/>
            </w:tcMar>
            <w:vAlign w:val="center"/>
          </w:tcPr>
          <w:p w14:paraId="46C13CE9" w14:textId="77777777" w:rsidR="004812BA" w:rsidRPr="00A362D4" w:rsidRDefault="004812BA" w:rsidP="002F7E59">
            <w:pPr>
              <w:rPr>
                <w:sz w:val="20"/>
                <w:szCs w:val="20"/>
              </w:rPr>
            </w:pPr>
            <w:r w:rsidRPr="00A362D4">
              <w:rPr>
                <w:sz w:val="20"/>
                <w:szCs w:val="20"/>
              </w:rPr>
              <w:t>18.18</w:t>
            </w:r>
          </w:p>
        </w:tc>
      </w:tr>
      <w:tr w:rsidR="004812BA" w:rsidRPr="00A362D4" w14:paraId="33FB0613" w14:textId="77777777" w:rsidTr="002F7E59">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8EAADB" w:themeFill="accent1" w:themeFillTint="99"/>
            <w:tcMar>
              <w:left w:w="108" w:type="dxa"/>
              <w:right w:w="108" w:type="dxa"/>
            </w:tcMar>
          </w:tcPr>
          <w:p w14:paraId="0E564E0F" w14:textId="77777777" w:rsidR="004812BA" w:rsidRPr="00A362D4" w:rsidRDefault="004812BA" w:rsidP="006233FA">
            <w:pPr>
              <w:rPr>
                <w:sz w:val="20"/>
                <w:szCs w:val="20"/>
              </w:rPr>
            </w:pPr>
            <w:r w:rsidRPr="00A362D4">
              <w:rPr>
                <w:sz w:val="20"/>
                <w:szCs w:val="20"/>
              </w:rPr>
              <w:t>China (1 project /# enterprises TBD in another)</w:t>
            </w:r>
          </w:p>
        </w:tc>
        <w:tc>
          <w:tcPr>
            <w:tcW w:w="915" w:type="pct"/>
            <w:tcBorders>
              <w:top w:val="single" w:sz="8" w:space="0" w:color="auto"/>
              <w:left w:val="single" w:sz="8" w:space="0" w:color="auto"/>
              <w:bottom w:val="single" w:sz="8" w:space="0" w:color="auto"/>
              <w:right w:val="single" w:sz="8" w:space="0" w:color="auto"/>
            </w:tcBorders>
            <w:shd w:val="clear" w:color="auto" w:fill="8EAADB" w:themeFill="accent1" w:themeFillTint="99"/>
            <w:tcMar>
              <w:left w:w="108" w:type="dxa"/>
              <w:right w:w="108" w:type="dxa"/>
            </w:tcMar>
            <w:vAlign w:val="center"/>
          </w:tcPr>
          <w:p w14:paraId="1FFD40FC" w14:textId="77777777" w:rsidR="004812BA" w:rsidRPr="00A362D4" w:rsidRDefault="004812BA" w:rsidP="002F7E59">
            <w:pPr>
              <w:rPr>
                <w:sz w:val="20"/>
                <w:szCs w:val="20"/>
              </w:rPr>
            </w:pPr>
            <w:r w:rsidRPr="00A362D4">
              <w:rPr>
                <w:sz w:val="20"/>
                <w:szCs w:val="20"/>
              </w:rPr>
              <w:t>Commercial AC</w:t>
            </w:r>
          </w:p>
        </w:tc>
        <w:tc>
          <w:tcPr>
            <w:tcW w:w="1225" w:type="pct"/>
            <w:tcBorders>
              <w:top w:val="single" w:sz="8" w:space="0" w:color="auto"/>
              <w:left w:val="single" w:sz="8" w:space="0" w:color="auto"/>
              <w:bottom w:val="single" w:sz="8" w:space="0" w:color="auto"/>
              <w:right w:val="single" w:sz="8" w:space="0" w:color="auto"/>
            </w:tcBorders>
            <w:shd w:val="clear" w:color="auto" w:fill="8EAADB" w:themeFill="accent1" w:themeFillTint="99"/>
            <w:tcMar>
              <w:left w:w="108" w:type="dxa"/>
              <w:right w:w="108" w:type="dxa"/>
            </w:tcMar>
            <w:vAlign w:val="center"/>
          </w:tcPr>
          <w:p w14:paraId="51B2CB7A" w14:textId="77777777" w:rsidR="004812BA" w:rsidRPr="00A362D4" w:rsidRDefault="004812BA" w:rsidP="002F7E59">
            <w:pPr>
              <w:rPr>
                <w:sz w:val="20"/>
                <w:szCs w:val="20"/>
              </w:rPr>
            </w:pPr>
            <w:r w:rsidRPr="00A362D4">
              <w:rPr>
                <w:sz w:val="20"/>
                <w:szCs w:val="20"/>
              </w:rPr>
              <w:t>R-410A, HFC-32 and HFC-134a</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34EF8B" w14:textId="77777777" w:rsidR="004812BA" w:rsidRPr="00A362D4" w:rsidRDefault="004812BA" w:rsidP="002F7E59">
            <w:pPr>
              <w:rPr>
                <w:sz w:val="20"/>
                <w:szCs w:val="20"/>
              </w:rPr>
            </w:pPr>
            <w:r w:rsidRPr="00A362D4">
              <w:rPr>
                <w:sz w:val="20"/>
                <w:szCs w:val="20"/>
              </w:rPr>
              <w:t>No range</w:t>
            </w:r>
          </w:p>
        </w:tc>
        <w:tc>
          <w:tcPr>
            <w:tcW w:w="663" w:type="pct"/>
            <w:tcBorders>
              <w:top w:val="single" w:sz="8" w:space="0" w:color="auto"/>
              <w:left w:val="single" w:sz="8" w:space="0" w:color="auto"/>
              <w:bottom w:val="single" w:sz="8" w:space="0" w:color="auto"/>
              <w:right w:val="single" w:sz="8" w:space="0" w:color="auto"/>
            </w:tcBorders>
            <w:shd w:val="clear" w:color="auto" w:fill="8EAADB" w:themeFill="accent1" w:themeFillTint="99"/>
            <w:tcMar>
              <w:left w:w="108" w:type="dxa"/>
              <w:right w:w="108" w:type="dxa"/>
            </w:tcMar>
            <w:vAlign w:val="center"/>
          </w:tcPr>
          <w:p w14:paraId="30D69ABD" w14:textId="77777777" w:rsidR="004812BA" w:rsidRPr="00A362D4" w:rsidRDefault="004812BA" w:rsidP="002F7E59">
            <w:pPr>
              <w:rPr>
                <w:sz w:val="20"/>
                <w:szCs w:val="20"/>
              </w:rPr>
            </w:pPr>
            <w:r w:rsidRPr="00A362D4">
              <w:rPr>
                <w:sz w:val="20"/>
                <w:szCs w:val="20"/>
              </w:rPr>
              <w:t>4.79</w:t>
            </w:r>
          </w:p>
        </w:tc>
      </w:tr>
      <w:tr w:rsidR="004812BA" w:rsidRPr="00A362D4" w14:paraId="64373043"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4024D055" w14:textId="77777777" w:rsidR="004812BA" w:rsidRPr="00A362D4" w:rsidRDefault="004812BA" w:rsidP="006233FA">
            <w:pPr>
              <w:rPr>
                <w:sz w:val="20"/>
                <w:szCs w:val="20"/>
              </w:rPr>
            </w:pPr>
            <w:r w:rsidRPr="00A362D4">
              <w:rPr>
                <w:sz w:val="20"/>
                <w:szCs w:val="20"/>
              </w:rPr>
              <w:t xml:space="preserve"> </w:t>
            </w:r>
          </w:p>
        </w:tc>
        <w:tc>
          <w:tcPr>
            <w:tcW w:w="915"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5F592704" w14:textId="77777777" w:rsidR="004812BA" w:rsidRPr="00A362D4" w:rsidRDefault="004812BA" w:rsidP="006233FA">
            <w:pPr>
              <w:rPr>
                <w:b/>
                <w:sz w:val="20"/>
                <w:szCs w:val="20"/>
              </w:rPr>
            </w:pPr>
            <w:r w:rsidRPr="00A362D4">
              <w:rPr>
                <w:b/>
                <w:sz w:val="20"/>
                <w:szCs w:val="20"/>
              </w:rPr>
              <w:t>Refrigeration</w:t>
            </w:r>
          </w:p>
        </w:tc>
        <w:tc>
          <w:tcPr>
            <w:tcW w:w="1225"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A3AB1FF" w14:textId="77777777" w:rsidR="004812BA" w:rsidRPr="00A362D4" w:rsidRDefault="004812BA" w:rsidP="006233FA">
            <w:pPr>
              <w:rPr>
                <w:sz w:val="20"/>
                <w:szCs w:val="20"/>
              </w:rPr>
            </w:pPr>
            <w:r w:rsidRPr="00A362D4">
              <w:rPr>
                <w:sz w:val="20"/>
                <w:szCs w:val="20"/>
              </w:rPr>
              <w:t xml:space="preserve"> </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38CB72E8" w14:textId="77777777" w:rsidR="004812BA" w:rsidRPr="00A362D4" w:rsidRDefault="004812BA" w:rsidP="006233FA">
            <w:pPr>
              <w:rPr>
                <w:sz w:val="20"/>
                <w:szCs w:val="20"/>
              </w:rPr>
            </w:pPr>
            <w:r w:rsidRPr="00A362D4">
              <w:rPr>
                <w:sz w:val="20"/>
                <w:szCs w:val="20"/>
              </w:rPr>
              <w:t xml:space="preserve"> </w:t>
            </w:r>
          </w:p>
        </w:tc>
        <w:tc>
          <w:tcPr>
            <w:tcW w:w="663"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003FE14" w14:textId="77777777" w:rsidR="004812BA" w:rsidRPr="00A362D4" w:rsidRDefault="004812BA" w:rsidP="006233FA">
            <w:pPr>
              <w:rPr>
                <w:sz w:val="20"/>
                <w:szCs w:val="20"/>
              </w:rPr>
            </w:pPr>
            <w:r w:rsidRPr="00A362D4">
              <w:rPr>
                <w:sz w:val="20"/>
                <w:szCs w:val="20"/>
              </w:rPr>
              <w:t xml:space="preserve"> </w:t>
            </w:r>
          </w:p>
        </w:tc>
      </w:tr>
      <w:tr w:rsidR="004812BA" w:rsidRPr="00A362D4" w14:paraId="0511E542"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344362DE" w14:textId="77777777" w:rsidR="004812BA" w:rsidRPr="00A362D4" w:rsidRDefault="004812BA" w:rsidP="006233FA">
            <w:pPr>
              <w:rPr>
                <w:sz w:val="20"/>
                <w:szCs w:val="20"/>
              </w:rPr>
            </w:pPr>
            <w:r w:rsidRPr="00A362D4">
              <w:rPr>
                <w:sz w:val="20"/>
                <w:szCs w:val="20"/>
              </w:rPr>
              <w:t>6 parties, excluding China, (108</w:t>
            </w:r>
            <w:r w:rsidRPr="00A362D4">
              <w:rPr>
                <w:sz w:val="20"/>
                <w:szCs w:val="20"/>
                <w:vertAlign w:val="superscript"/>
              </w:rPr>
              <w:t>+</w:t>
            </w:r>
            <w:r w:rsidRPr="00A362D4">
              <w:rPr>
                <w:sz w:val="20"/>
                <w:szCs w:val="20"/>
              </w:rPr>
              <w:t xml:space="preserve"> enterprises)</w:t>
            </w:r>
          </w:p>
        </w:tc>
        <w:tc>
          <w:tcPr>
            <w:tcW w:w="915"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834A10A" w14:textId="77777777" w:rsidR="004812BA" w:rsidRPr="00A362D4" w:rsidRDefault="004812BA" w:rsidP="006233FA">
            <w:pPr>
              <w:rPr>
                <w:sz w:val="20"/>
                <w:szCs w:val="20"/>
              </w:rPr>
            </w:pPr>
            <w:r w:rsidRPr="00A362D4">
              <w:rPr>
                <w:sz w:val="20"/>
                <w:szCs w:val="20"/>
              </w:rPr>
              <w:t>Commercial Ref.</w:t>
            </w:r>
          </w:p>
        </w:tc>
        <w:tc>
          <w:tcPr>
            <w:tcW w:w="1225"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3612AD90" w14:textId="77777777" w:rsidR="004812BA" w:rsidRPr="00A362D4" w:rsidRDefault="004812BA" w:rsidP="006233FA">
            <w:pPr>
              <w:rPr>
                <w:sz w:val="20"/>
                <w:szCs w:val="20"/>
                <w:lang w:val="pt-BR"/>
              </w:rPr>
            </w:pPr>
            <w:r w:rsidRPr="00A362D4">
              <w:rPr>
                <w:sz w:val="20"/>
                <w:szCs w:val="20"/>
                <w:lang w:val="pt-BR"/>
              </w:rPr>
              <w:t>R-290, R-410A, R-404A, R-32/ CO</w:t>
            </w:r>
            <w:r w:rsidRPr="00A362D4">
              <w:rPr>
                <w:sz w:val="20"/>
                <w:szCs w:val="20"/>
                <w:vertAlign w:val="subscript"/>
                <w:lang w:val="pt-BR"/>
              </w:rPr>
              <w:t>2</w:t>
            </w:r>
            <w:r w:rsidRPr="00A362D4">
              <w:rPr>
                <w:sz w:val="20"/>
                <w:szCs w:val="20"/>
                <w:lang w:val="pt-BR"/>
              </w:rPr>
              <w:t>/ NH</w:t>
            </w:r>
            <w:r w:rsidRPr="00A362D4">
              <w:rPr>
                <w:sz w:val="20"/>
                <w:szCs w:val="20"/>
                <w:vertAlign w:val="subscript"/>
                <w:lang w:val="pt-BR"/>
              </w:rPr>
              <w:t>3</w:t>
            </w:r>
            <w:r w:rsidRPr="00A362D4">
              <w:rPr>
                <w:sz w:val="20"/>
                <w:szCs w:val="20"/>
                <w:lang w:val="pt-BR"/>
              </w:rPr>
              <w:t>/HC/ R600a/ CO</w:t>
            </w:r>
            <w:r w:rsidRPr="00A362D4">
              <w:rPr>
                <w:sz w:val="20"/>
                <w:szCs w:val="20"/>
                <w:vertAlign w:val="subscript"/>
                <w:lang w:val="pt-BR"/>
              </w:rPr>
              <w:t>2</w:t>
            </w:r>
            <w:r w:rsidRPr="00A362D4">
              <w:rPr>
                <w:sz w:val="20"/>
                <w:szCs w:val="20"/>
                <w:lang w:val="pt-BR"/>
              </w:rPr>
              <w:t xml:space="preserve">, </w:t>
            </w:r>
            <w:r w:rsidRPr="00A362D4">
              <w:rPr>
                <w:sz w:val="20"/>
                <w:szCs w:val="20"/>
                <w:lang w:val="pt-BR"/>
              </w:rPr>
              <w:lastRenderedPageBreak/>
              <w:t>HFOs pure/blends/low GWP</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0599383F" w14:textId="77777777" w:rsidR="004812BA" w:rsidRPr="00A362D4" w:rsidRDefault="004812BA" w:rsidP="006233FA">
            <w:pPr>
              <w:rPr>
                <w:sz w:val="20"/>
                <w:szCs w:val="20"/>
              </w:rPr>
            </w:pPr>
            <w:r w:rsidRPr="00A362D4">
              <w:rPr>
                <w:sz w:val="20"/>
                <w:szCs w:val="20"/>
              </w:rPr>
              <w:lastRenderedPageBreak/>
              <w:t>4.8 – 16.19</w:t>
            </w:r>
          </w:p>
        </w:tc>
        <w:tc>
          <w:tcPr>
            <w:tcW w:w="663"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620F6E93" w14:textId="77777777" w:rsidR="004812BA" w:rsidRPr="00A362D4" w:rsidRDefault="004812BA" w:rsidP="006233FA">
            <w:pPr>
              <w:rPr>
                <w:sz w:val="20"/>
                <w:szCs w:val="20"/>
              </w:rPr>
            </w:pPr>
            <w:r w:rsidRPr="00A362D4">
              <w:rPr>
                <w:sz w:val="20"/>
                <w:szCs w:val="20"/>
              </w:rPr>
              <w:t>10.96</w:t>
            </w:r>
          </w:p>
        </w:tc>
      </w:tr>
      <w:tr w:rsidR="004812BA" w:rsidRPr="00A362D4" w14:paraId="4CD1CA2F"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A94BF04" w14:textId="77777777" w:rsidR="004812BA" w:rsidRPr="00A362D4" w:rsidRDefault="004812BA" w:rsidP="006233FA">
            <w:pPr>
              <w:rPr>
                <w:sz w:val="20"/>
                <w:szCs w:val="20"/>
              </w:rPr>
            </w:pPr>
            <w:r w:rsidRPr="00A362D4">
              <w:rPr>
                <w:sz w:val="20"/>
                <w:szCs w:val="20"/>
              </w:rPr>
              <w:t>China (5 enterprises)</w:t>
            </w:r>
          </w:p>
        </w:tc>
        <w:tc>
          <w:tcPr>
            <w:tcW w:w="915"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5770AC1B" w14:textId="77777777" w:rsidR="004812BA" w:rsidRPr="00A362D4" w:rsidRDefault="004812BA" w:rsidP="006233FA">
            <w:pPr>
              <w:rPr>
                <w:sz w:val="20"/>
                <w:szCs w:val="20"/>
              </w:rPr>
            </w:pPr>
            <w:r w:rsidRPr="00A362D4">
              <w:rPr>
                <w:sz w:val="20"/>
                <w:szCs w:val="20"/>
              </w:rPr>
              <w:t>Commercial Ref.</w:t>
            </w:r>
          </w:p>
        </w:tc>
        <w:tc>
          <w:tcPr>
            <w:tcW w:w="1225"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88775BB" w14:textId="77777777" w:rsidR="004812BA" w:rsidRPr="00A362D4" w:rsidRDefault="004812BA" w:rsidP="006233FA">
            <w:pPr>
              <w:rPr>
                <w:sz w:val="20"/>
                <w:szCs w:val="20"/>
                <w:vertAlign w:val="subscript"/>
                <w:lang w:val="pl-PL"/>
              </w:rPr>
            </w:pPr>
            <w:r w:rsidRPr="00A362D4">
              <w:rPr>
                <w:sz w:val="20"/>
                <w:szCs w:val="20"/>
                <w:lang w:val="pl-PL"/>
              </w:rPr>
              <w:t>NH</w:t>
            </w:r>
            <w:r w:rsidRPr="00A362D4">
              <w:rPr>
                <w:sz w:val="20"/>
                <w:szCs w:val="20"/>
                <w:vertAlign w:val="subscript"/>
                <w:lang w:val="pl-PL"/>
              </w:rPr>
              <w:t>3</w:t>
            </w:r>
            <w:r w:rsidRPr="00A362D4">
              <w:rPr>
                <w:sz w:val="20"/>
                <w:szCs w:val="20"/>
                <w:lang w:val="pl-PL"/>
              </w:rPr>
              <w:t>/ CO</w:t>
            </w:r>
            <w:r w:rsidRPr="00A362D4">
              <w:rPr>
                <w:sz w:val="20"/>
                <w:szCs w:val="20"/>
                <w:vertAlign w:val="subscript"/>
                <w:lang w:val="pl-PL"/>
              </w:rPr>
              <w:t>2</w:t>
            </w:r>
            <w:r w:rsidRPr="00A362D4">
              <w:rPr>
                <w:sz w:val="20"/>
                <w:szCs w:val="20"/>
                <w:lang w:val="pl-PL"/>
              </w:rPr>
              <w:t>, NH</w:t>
            </w:r>
            <w:r w:rsidRPr="00A362D4">
              <w:rPr>
                <w:sz w:val="20"/>
                <w:szCs w:val="20"/>
                <w:vertAlign w:val="subscript"/>
                <w:lang w:val="pl-PL"/>
              </w:rPr>
              <w:t>3</w:t>
            </w:r>
            <w:r w:rsidRPr="00A362D4">
              <w:rPr>
                <w:sz w:val="20"/>
                <w:szCs w:val="20"/>
                <w:lang w:val="pl-PL"/>
              </w:rPr>
              <w:t>, HFC-134a, CO</w:t>
            </w:r>
            <w:r w:rsidRPr="00A362D4">
              <w:rPr>
                <w:sz w:val="20"/>
                <w:szCs w:val="20"/>
                <w:vertAlign w:val="subscript"/>
                <w:lang w:val="pl-PL"/>
              </w:rPr>
              <w:t>2</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1FBC4C52" w14:textId="77777777" w:rsidR="004812BA" w:rsidRPr="00A362D4" w:rsidRDefault="004812BA" w:rsidP="006233FA">
            <w:pPr>
              <w:rPr>
                <w:sz w:val="20"/>
                <w:szCs w:val="20"/>
              </w:rPr>
            </w:pPr>
            <w:r w:rsidRPr="00A362D4">
              <w:rPr>
                <w:sz w:val="20"/>
                <w:szCs w:val="20"/>
              </w:rPr>
              <w:t>No range</w:t>
            </w:r>
          </w:p>
        </w:tc>
        <w:tc>
          <w:tcPr>
            <w:tcW w:w="663" w:type="pct"/>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5C8A0E9" w14:textId="77777777" w:rsidR="004812BA" w:rsidRPr="00A362D4" w:rsidRDefault="004812BA" w:rsidP="006233FA">
            <w:pPr>
              <w:rPr>
                <w:sz w:val="20"/>
                <w:szCs w:val="20"/>
              </w:rPr>
            </w:pPr>
            <w:r w:rsidRPr="00A362D4">
              <w:rPr>
                <w:sz w:val="20"/>
                <w:szCs w:val="20"/>
              </w:rPr>
              <w:t>9.15</w:t>
            </w:r>
          </w:p>
        </w:tc>
      </w:tr>
      <w:tr w:rsidR="004812BA" w:rsidRPr="00A362D4" w14:paraId="78EFA223"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2746481D" w14:textId="77777777" w:rsidR="004812BA" w:rsidRPr="00A362D4" w:rsidRDefault="004812BA" w:rsidP="006233FA">
            <w:pPr>
              <w:rPr>
                <w:sz w:val="20"/>
                <w:szCs w:val="20"/>
              </w:rPr>
            </w:pPr>
            <w:r w:rsidRPr="00A362D4">
              <w:rPr>
                <w:sz w:val="20"/>
                <w:szCs w:val="20"/>
              </w:rPr>
              <w:t xml:space="preserve"> </w:t>
            </w:r>
          </w:p>
        </w:tc>
        <w:tc>
          <w:tcPr>
            <w:tcW w:w="915"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4E494E9C" w14:textId="77777777" w:rsidR="004812BA" w:rsidRPr="00A362D4" w:rsidRDefault="004812BA" w:rsidP="006233FA">
            <w:pPr>
              <w:rPr>
                <w:b/>
                <w:sz w:val="20"/>
                <w:szCs w:val="20"/>
              </w:rPr>
            </w:pPr>
            <w:r w:rsidRPr="00A362D4">
              <w:rPr>
                <w:b/>
                <w:sz w:val="20"/>
                <w:szCs w:val="20"/>
              </w:rPr>
              <w:t>Foam</w:t>
            </w:r>
          </w:p>
        </w:tc>
        <w:tc>
          <w:tcPr>
            <w:tcW w:w="1225"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6D599AD9" w14:textId="77777777" w:rsidR="004812BA" w:rsidRPr="00A362D4" w:rsidRDefault="004812BA" w:rsidP="006233FA">
            <w:pPr>
              <w:rPr>
                <w:sz w:val="20"/>
                <w:szCs w:val="20"/>
              </w:rPr>
            </w:pPr>
            <w:r w:rsidRPr="00A362D4">
              <w:rPr>
                <w:sz w:val="20"/>
                <w:szCs w:val="20"/>
              </w:rPr>
              <w:t xml:space="preserve"> </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2196716B" w14:textId="77777777" w:rsidR="004812BA" w:rsidRPr="00A362D4" w:rsidRDefault="004812BA" w:rsidP="006233FA">
            <w:pPr>
              <w:rPr>
                <w:sz w:val="20"/>
                <w:szCs w:val="20"/>
              </w:rPr>
            </w:pPr>
            <w:r w:rsidRPr="00A362D4">
              <w:rPr>
                <w:sz w:val="20"/>
                <w:szCs w:val="20"/>
              </w:rPr>
              <w:t xml:space="preserve"> </w:t>
            </w:r>
          </w:p>
        </w:tc>
        <w:tc>
          <w:tcPr>
            <w:tcW w:w="663"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2389CFA5" w14:textId="77777777" w:rsidR="004812BA" w:rsidRPr="00A362D4" w:rsidRDefault="004812BA" w:rsidP="006233FA">
            <w:pPr>
              <w:rPr>
                <w:sz w:val="20"/>
                <w:szCs w:val="20"/>
              </w:rPr>
            </w:pPr>
            <w:r w:rsidRPr="00A362D4">
              <w:rPr>
                <w:sz w:val="20"/>
                <w:szCs w:val="20"/>
              </w:rPr>
              <w:t xml:space="preserve"> </w:t>
            </w:r>
          </w:p>
        </w:tc>
      </w:tr>
      <w:tr w:rsidR="004812BA" w:rsidRPr="00A362D4" w14:paraId="5EA89D7C"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1C2C1792" w14:textId="77777777" w:rsidR="004812BA" w:rsidRPr="00A362D4" w:rsidRDefault="004812BA" w:rsidP="006233FA">
            <w:pPr>
              <w:rPr>
                <w:sz w:val="20"/>
                <w:szCs w:val="20"/>
              </w:rPr>
            </w:pPr>
            <w:r w:rsidRPr="00A362D4">
              <w:rPr>
                <w:sz w:val="20"/>
                <w:szCs w:val="20"/>
              </w:rPr>
              <w:t>46 parties, excluding China (900</w:t>
            </w:r>
            <w:r w:rsidRPr="00A362D4">
              <w:rPr>
                <w:sz w:val="20"/>
                <w:szCs w:val="20"/>
                <w:vertAlign w:val="superscript"/>
              </w:rPr>
              <w:t xml:space="preserve"> +</w:t>
            </w:r>
            <w:r w:rsidRPr="00A362D4">
              <w:rPr>
                <w:sz w:val="20"/>
                <w:szCs w:val="20"/>
              </w:rPr>
              <w:t xml:space="preserve"> enterprises)</w:t>
            </w:r>
          </w:p>
        </w:tc>
        <w:tc>
          <w:tcPr>
            <w:tcW w:w="915"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62910372" w14:textId="77777777" w:rsidR="004812BA" w:rsidRPr="00A362D4" w:rsidRDefault="004812BA" w:rsidP="006233FA">
            <w:pPr>
              <w:rPr>
                <w:sz w:val="20"/>
                <w:szCs w:val="20"/>
              </w:rPr>
            </w:pPr>
            <w:r w:rsidRPr="00A362D4">
              <w:rPr>
                <w:sz w:val="20"/>
                <w:szCs w:val="20"/>
              </w:rPr>
              <w:t>PU Foam</w:t>
            </w:r>
          </w:p>
        </w:tc>
        <w:tc>
          <w:tcPr>
            <w:tcW w:w="1225"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703E0A39" w14:textId="77777777" w:rsidR="004812BA" w:rsidRPr="00A362D4" w:rsidRDefault="004812BA" w:rsidP="006233FA">
            <w:pPr>
              <w:rPr>
                <w:sz w:val="20"/>
                <w:szCs w:val="20"/>
              </w:rPr>
            </w:pPr>
            <w:r w:rsidRPr="00A362D4">
              <w:rPr>
                <w:sz w:val="20"/>
                <w:szCs w:val="20"/>
              </w:rPr>
              <w:t>Cyclopentane/MF, Cyclopentane, Water/CO</w:t>
            </w:r>
            <w:r w:rsidRPr="00A362D4">
              <w:rPr>
                <w:sz w:val="20"/>
                <w:szCs w:val="20"/>
                <w:vertAlign w:val="subscript"/>
              </w:rPr>
              <w:t>2</w:t>
            </w:r>
            <w:r w:rsidRPr="00A362D4">
              <w:rPr>
                <w:sz w:val="20"/>
                <w:szCs w:val="20"/>
              </w:rPr>
              <w:t>, Pre-blended HC, HFO, MF, Pentane, Methylal, Cyclopentane and n-pentane, HFC-245fa</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171B166F" w14:textId="77777777" w:rsidR="004812BA" w:rsidRPr="00A362D4" w:rsidRDefault="004812BA" w:rsidP="006233FA">
            <w:pPr>
              <w:rPr>
                <w:sz w:val="20"/>
                <w:szCs w:val="20"/>
              </w:rPr>
            </w:pPr>
            <w:r w:rsidRPr="00A362D4">
              <w:rPr>
                <w:sz w:val="20"/>
                <w:szCs w:val="20"/>
              </w:rPr>
              <w:t>5.12 – 9.89</w:t>
            </w:r>
          </w:p>
        </w:tc>
        <w:tc>
          <w:tcPr>
            <w:tcW w:w="663"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05385F31" w14:textId="77777777" w:rsidR="004812BA" w:rsidRPr="00A362D4" w:rsidRDefault="004812BA" w:rsidP="006233FA">
            <w:pPr>
              <w:rPr>
                <w:sz w:val="20"/>
                <w:szCs w:val="20"/>
              </w:rPr>
            </w:pPr>
            <w:r w:rsidRPr="00A362D4">
              <w:rPr>
                <w:sz w:val="20"/>
                <w:szCs w:val="20"/>
              </w:rPr>
              <w:t>7.37</w:t>
            </w:r>
          </w:p>
        </w:tc>
      </w:tr>
      <w:tr w:rsidR="004812BA" w:rsidRPr="00A362D4" w14:paraId="7639FC88"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05AE9137" w14:textId="77777777" w:rsidR="004812BA" w:rsidRPr="00A362D4" w:rsidRDefault="004812BA" w:rsidP="006233FA">
            <w:pPr>
              <w:rPr>
                <w:sz w:val="20"/>
                <w:szCs w:val="20"/>
              </w:rPr>
            </w:pPr>
            <w:r w:rsidRPr="00A362D4">
              <w:rPr>
                <w:sz w:val="20"/>
                <w:szCs w:val="20"/>
              </w:rPr>
              <w:t>China (54+ enterprises in 2 projects)</w:t>
            </w:r>
          </w:p>
        </w:tc>
        <w:tc>
          <w:tcPr>
            <w:tcW w:w="915"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1505A56D" w14:textId="77777777" w:rsidR="004812BA" w:rsidRPr="00A362D4" w:rsidRDefault="004812BA" w:rsidP="006233FA">
            <w:pPr>
              <w:rPr>
                <w:sz w:val="20"/>
                <w:szCs w:val="20"/>
              </w:rPr>
            </w:pPr>
            <w:r w:rsidRPr="00A362D4">
              <w:rPr>
                <w:sz w:val="20"/>
                <w:szCs w:val="20"/>
              </w:rPr>
              <w:t>PU Foam</w:t>
            </w:r>
          </w:p>
        </w:tc>
        <w:tc>
          <w:tcPr>
            <w:tcW w:w="1225"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14A81427" w14:textId="77777777" w:rsidR="004812BA" w:rsidRPr="00A362D4" w:rsidRDefault="004812BA" w:rsidP="006233FA">
            <w:pPr>
              <w:rPr>
                <w:sz w:val="20"/>
                <w:szCs w:val="20"/>
              </w:rPr>
            </w:pPr>
            <w:r w:rsidRPr="00A362D4">
              <w:rPr>
                <w:sz w:val="20"/>
                <w:szCs w:val="20"/>
              </w:rPr>
              <w:t>Cyclopentane, Water, HFO</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0F19CF92" w14:textId="77777777" w:rsidR="004812BA" w:rsidRPr="00A362D4" w:rsidRDefault="004812BA" w:rsidP="006233FA">
            <w:pPr>
              <w:rPr>
                <w:sz w:val="20"/>
                <w:szCs w:val="20"/>
              </w:rPr>
            </w:pPr>
            <w:r w:rsidRPr="00A362D4">
              <w:rPr>
                <w:sz w:val="20"/>
                <w:szCs w:val="20"/>
              </w:rPr>
              <w:t>No range</w:t>
            </w:r>
          </w:p>
        </w:tc>
        <w:tc>
          <w:tcPr>
            <w:tcW w:w="663" w:type="pct"/>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tcPr>
          <w:p w14:paraId="6C3CDEBD" w14:textId="77777777" w:rsidR="004812BA" w:rsidRPr="00A362D4" w:rsidRDefault="004812BA" w:rsidP="006233FA">
            <w:pPr>
              <w:rPr>
                <w:sz w:val="20"/>
                <w:szCs w:val="20"/>
              </w:rPr>
            </w:pPr>
            <w:r w:rsidRPr="00A362D4">
              <w:rPr>
                <w:sz w:val="20"/>
                <w:szCs w:val="20"/>
              </w:rPr>
              <w:t>4.96</w:t>
            </w:r>
          </w:p>
        </w:tc>
      </w:tr>
      <w:tr w:rsidR="004812BA" w:rsidRPr="00A362D4" w14:paraId="1F2C7BAA" w14:textId="77777777" w:rsidTr="001F254C">
        <w:trPr>
          <w:trHeight w:val="1680"/>
        </w:trPr>
        <w:tc>
          <w:tcPr>
            <w:tcW w:w="1140"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2999E19F" w14:textId="77777777" w:rsidR="004812BA" w:rsidRPr="00A362D4" w:rsidRDefault="004812BA" w:rsidP="006233FA">
            <w:pPr>
              <w:rPr>
                <w:sz w:val="20"/>
                <w:szCs w:val="20"/>
                <w:lang w:val="pt-BR"/>
              </w:rPr>
            </w:pPr>
            <w:r w:rsidRPr="00A362D4">
              <w:rPr>
                <w:sz w:val="20"/>
                <w:szCs w:val="20"/>
                <w:lang w:val="pt-BR"/>
              </w:rPr>
              <w:t>8 parties, excluding China (19 enterprises)</w:t>
            </w:r>
          </w:p>
        </w:tc>
        <w:tc>
          <w:tcPr>
            <w:tcW w:w="915"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F71601D" w14:textId="77777777" w:rsidR="004812BA" w:rsidRPr="00A362D4" w:rsidRDefault="004812BA" w:rsidP="006233FA">
            <w:pPr>
              <w:rPr>
                <w:sz w:val="20"/>
                <w:szCs w:val="20"/>
                <w:lang w:val="pt-BR"/>
              </w:rPr>
            </w:pPr>
            <w:r w:rsidRPr="00A362D4">
              <w:rPr>
                <w:sz w:val="20"/>
                <w:szCs w:val="20"/>
                <w:lang w:val="pt-BR"/>
              </w:rPr>
              <w:t>XPS Foam</w:t>
            </w:r>
          </w:p>
        </w:tc>
        <w:tc>
          <w:tcPr>
            <w:tcW w:w="1225"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DF90918" w14:textId="41E6495B" w:rsidR="004812BA" w:rsidRPr="00A362D4" w:rsidRDefault="004812BA" w:rsidP="006233FA">
            <w:pPr>
              <w:rPr>
                <w:sz w:val="20"/>
                <w:szCs w:val="20"/>
                <w:lang w:val="en-US"/>
              </w:rPr>
            </w:pPr>
            <w:r w:rsidRPr="00A362D4">
              <w:rPr>
                <w:sz w:val="20"/>
                <w:szCs w:val="20"/>
                <w:lang w:val="en-US"/>
              </w:rPr>
              <w:t>CO</w:t>
            </w:r>
            <w:r w:rsidRPr="00A362D4">
              <w:rPr>
                <w:sz w:val="20"/>
                <w:szCs w:val="20"/>
                <w:vertAlign w:val="subscript"/>
                <w:lang w:val="en-US"/>
              </w:rPr>
              <w:t>2</w:t>
            </w:r>
            <w:r w:rsidRPr="00A362D4">
              <w:rPr>
                <w:sz w:val="20"/>
                <w:szCs w:val="20"/>
                <w:lang w:val="en-US"/>
              </w:rPr>
              <w:t>/DME/HFO, HFO/DME, HFC-152a, Isobutane, HFC-152a/DME, CO</w:t>
            </w:r>
            <w:r w:rsidRPr="00A362D4">
              <w:rPr>
                <w:sz w:val="20"/>
                <w:szCs w:val="20"/>
                <w:vertAlign w:val="subscript"/>
                <w:lang w:val="en-US"/>
              </w:rPr>
              <w:t>2</w:t>
            </w:r>
            <w:r w:rsidRPr="00A362D4">
              <w:rPr>
                <w:sz w:val="20"/>
                <w:szCs w:val="20"/>
                <w:lang w:val="en-US"/>
              </w:rPr>
              <w:t>/DME</w:t>
            </w:r>
          </w:p>
        </w:tc>
        <w:tc>
          <w:tcPr>
            <w:tcW w:w="1056"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5DEC439" w14:textId="77777777" w:rsidR="004812BA" w:rsidRPr="00A362D4" w:rsidRDefault="004812BA" w:rsidP="006233FA">
            <w:pPr>
              <w:rPr>
                <w:sz w:val="20"/>
                <w:szCs w:val="20"/>
                <w:lang w:val="en-US"/>
              </w:rPr>
            </w:pPr>
            <w:r w:rsidRPr="00A362D4">
              <w:rPr>
                <w:sz w:val="20"/>
                <w:szCs w:val="20"/>
                <w:lang w:val="en-US"/>
              </w:rPr>
              <w:t>2.14 – 13.24</w:t>
            </w:r>
          </w:p>
          <w:p w14:paraId="4E1A84C4" w14:textId="77777777" w:rsidR="004812BA" w:rsidRPr="00A362D4" w:rsidRDefault="004812BA" w:rsidP="006233FA">
            <w:pPr>
              <w:rPr>
                <w:sz w:val="20"/>
                <w:szCs w:val="20"/>
                <w:lang w:val="en-US"/>
              </w:rPr>
            </w:pPr>
            <w:r w:rsidRPr="00A362D4">
              <w:rPr>
                <w:sz w:val="20"/>
                <w:szCs w:val="20"/>
                <w:lang w:val="en-US"/>
              </w:rPr>
              <w:t xml:space="preserve"> </w:t>
            </w:r>
          </w:p>
        </w:tc>
        <w:tc>
          <w:tcPr>
            <w:tcW w:w="663"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6A6426AC" w14:textId="77777777" w:rsidR="004812BA" w:rsidRPr="00A362D4" w:rsidRDefault="004812BA" w:rsidP="006233FA">
            <w:pPr>
              <w:rPr>
                <w:sz w:val="20"/>
                <w:szCs w:val="20"/>
                <w:lang w:val="en-US"/>
              </w:rPr>
            </w:pPr>
            <w:r w:rsidRPr="00A362D4">
              <w:rPr>
                <w:sz w:val="20"/>
                <w:szCs w:val="20"/>
                <w:lang w:val="en-US"/>
              </w:rPr>
              <w:t>5.74</w:t>
            </w:r>
          </w:p>
        </w:tc>
      </w:tr>
      <w:tr w:rsidR="004812BA" w:rsidRPr="00A362D4" w14:paraId="5A59D9D8"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0890E0CF" w14:textId="77777777" w:rsidR="004812BA" w:rsidRPr="00A362D4" w:rsidRDefault="004812BA" w:rsidP="006233FA">
            <w:pPr>
              <w:rPr>
                <w:sz w:val="20"/>
                <w:szCs w:val="20"/>
                <w:lang w:val="en-US"/>
              </w:rPr>
            </w:pPr>
            <w:r w:rsidRPr="00A362D4">
              <w:rPr>
                <w:sz w:val="20"/>
                <w:szCs w:val="20"/>
                <w:lang w:val="en-US"/>
              </w:rPr>
              <w:t>China (149 enterprises)</w:t>
            </w:r>
          </w:p>
        </w:tc>
        <w:tc>
          <w:tcPr>
            <w:tcW w:w="915"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390D1395" w14:textId="77777777" w:rsidR="004812BA" w:rsidRPr="00A362D4" w:rsidRDefault="004812BA" w:rsidP="006233FA">
            <w:pPr>
              <w:rPr>
                <w:sz w:val="20"/>
                <w:szCs w:val="20"/>
                <w:lang w:val="en-US"/>
              </w:rPr>
            </w:pPr>
            <w:r w:rsidRPr="00A362D4">
              <w:rPr>
                <w:sz w:val="20"/>
                <w:szCs w:val="20"/>
                <w:lang w:val="en-US"/>
              </w:rPr>
              <w:t>XPS Foam</w:t>
            </w:r>
          </w:p>
        </w:tc>
        <w:tc>
          <w:tcPr>
            <w:tcW w:w="1225"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5B4FF50" w14:textId="77777777" w:rsidR="004812BA" w:rsidRPr="00A362D4" w:rsidRDefault="004812BA" w:rsidP="006233FA">
            <w:pPr>
              <w:rPr>
                <w:sz w:val="20"/>
                <w:szCs w:val="20"/>
                <w:lang w:val="en-US"/>
              </w:rPr>
            </w:pPr>
            <w:r w:rsidRPr="00A362D4">
              <w:rPr>
                <w:sz w:val="20"/>
                <w:szCs w:val="20"/>
                <w:lang w:val="en-US"/>
              </w:rPr>
              <w:t>CO</w:t>
            </w:r>
            <w:r w:rsidRPr="00A362D4">
              <w:rPr>
                <w:sz w:val="20"/>
                <w:szCs w:val="20"/>
                <w:vertAlign w:val="subscript"/>
                <w:lang w:val="en-US"/>
              </w:rPr>
              <w:t>2</w:t>
            </w:r>
            <w:r w:rsidRPr="00A362D4">
              <w:rPr>
                <w:sz w:val="20"/>
                <w:szCs w:val="20"/>
                <w:lang w:val="en-US"/>
              </w:rPr>
              <w:t>/DME</w:t>
            </w:r>
          </w:p>
        </w:tc>
        <w:tc>
          <w:tcPr>
            <w:tcW w:w="1056"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BB38524" w14:textId="77777777" w:rsidR="004812BA" w:rsidRPr="00A362D4" w:rsidRDefault="004812BA" w:rsidP="006233FA">
            <w:pPr>
              <w:rPr>
                <w:sz w:val="20"/>
                <w:szCs w:val="20"/>
                <w:lang w:val="en-US"/>
              </w:rPr>
            </w:pPr>
            <w:r w:rsidRPr="00A362D4">
              <w:rPr>
                <w:sz w:val="20"/>
                <w:szCs w:val="20"/>
                <w:lang w:val="en-US"/>
              </w:rPr>
              <w:t>4.68 – 4.72</w:t>
            </w:r>
          </w:p>
        </w:tc>
        <w:tc>
          <w:tcPr>
            <w:tcW w:w="663" w:type="pct"/>
            <w:tcBorders>
              <w:top w:val="single" w:sz="8" w:space="0" w:color="auto"/>
              <w:left w:val="single" w:sz="8" w:space="0" w:color="auto"/>
              <w:bottom w:val="single" w:sz="8" w:space="0" w:color="auto"/>
              <w:right w:val="single" w:sz="8" w:space="0" w:color="auto"/>
            </w:tcBorders>
            <w:shd w:val="clear" w:color="auto" w:fill="F7CAAC" w:themeFill="accent2" w:themeFillTint="66"/>
            <w:tcMar>
              <w:left w:w="108" w:type="dxa"/>
              <w:right w:w="108" w:type="dxa"/>
            </w:tcMar>
          </w:tcPr>
          <w:p w14:paraId="41079131" w14:textId="77777777" w:rsidR="004812BA" w:rsidRPr="00A362D4" w:rsidRDefault="004812BA" w:rsidP="006233FA">
            <w:pPr>
              <w:rPr>
                <w:sz w:val="20"/>
                <w:szCs w:val="20"/>
                <w:lang w:val="en-US"/>
              </w:rPr>
            </w:pPr>
            <w:r w:rsidRPr="00A362D4">
              <w:rPr>
                <w:sz w:val="20"/>
                <w:szCs w:val="20"/>
                <w:lang w:val="en-US"/>
              </w:rPr>
              <w:t>4.70</w:t>
            </w:r>
          </w:p>
        </w:tc>
      </w:tr>
      <w:tr w:rsidR="004812BA" w:rsidRPr="00A362D4" w14:paraId="1982FC61"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44071387" w14:textId="77777777" w:rsidR="004812BA" w:rsidRPr="00A362D4" w:rsidRDefault="004812BA" w:rsidP="006233FA">
            <w:pPr>
              <w:rPr>
                <w:sz w:val="20"/>
                <w:szCs w:val="20"/>
                <w:lang w:val="en-US"/>
              </w:rPr>
            </w:pPr>
            <w:r w:rsidRPr="00A362D4">
              <w:rPr>
                <w:sz w:val="20"/>
                <w:szCs w:val="20"/>
                <w:lang w:val="en-US"/>
              </w:rPr>
              <w:t xml:space="preserve"> </w:t>
            </w:r>
          </w:p>
        </w:tc>
        <w:tc>
          <w:tcPr>
            <w:tcW w:w="915"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5E84F6A3" w14:textId="77777777" w:rsidR="004812BA" w:rsidRPr="00A362D4" w:rsidRDefault="004812BA" w:rsidP="006233FA">
            <w:pPr>
              <w:rPr>
                <w:b/>
                <w:sz w:val="20"/>
                <w:szCs w:val="20"/>
              </w:rPr>
            </w:pPr>
            <w:r w:rsidRPr="00A362D4">
              <w:rPr>
                <w:b/>
                <w:sz w:val="20"/>
                <w:szCs w:val="20"/>
              </w:rPr>
              <w:t>Other Sectors</w:t>
            </w:r>
          </w:p>
        </w:tc>
        <w:tc>
          <w:tcPr>
            <w:tcW w:w="1225"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2DF6A7D4" w14:textId="62921D1E" w:rsidR="004812BA" w:rsidRPr="00A362D4" w:rsidRDefault="004812BA" w:rsidP="006233FA">
            <w:pPr>
              <w:rPr>
                <w:sz w:val="20"/>
                <w:szCs w:val="20"/>
              </w:rPr>
            </w:pP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6A9136F8" w14:textId="77777777" w:rsidR="004812BA" w:rsidRPr="00A362D4" w:rsidRDefault="004812BA" w:rsidP="006233FA">
            <w:pPr>
              <w:rPr>
                <w:sz w:val="20"/>
                <w:szCs w:val="20"/>
              </w:rPr>
            </w:pPr>
            <w:r w:rsidRPr="00A362D4">
              <w:rPr>
                <w:sz w:val="20"/>
                <w:szCs w:val="20"/>
              </w:rPr>
              <w:t xml:space="preserve"> </w:t>
            </w:r>
          </w:p>
        </w:tc>
        <w:tc>
          <w:tcPr>
            <w:tcW w:w="663"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5FF6C8D2" w14:textId="77777777" w:rsidR="004812BA" w:rsidRPr="00A362D4" w:rsidRDefault="004812BA" w:rsidP="006233FA">
            <w:pPr>
              <w:rPr>
                <w:sz w:val="20"/>
                <w:szCs w:val="20"/>
              </w:rPr>
            </w:pPr>
            <w:r w:rsidRPr="00A362D4">
              <w:rPr>
                <w:sz w:val="20"/>
                <w:szCs w:val="20"/>
              </w:rPr>
              <w:t xml:space="preserve"> </w:t>
            </w:r>
          </w:p>
        </w:tc>
      </w:tr>
      <w:tr w:rsidR="004812BA" w:rsidRPr="00A362D4" w14:paraId="023524CF"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5118D1C8" w14:textId="77777777" w:rsidR="004812BA" w:rsidRPr="00A362D4" w:rsidRDefault="004812BA" w:rsidP="006233FA">
            <w:pPr>
              <w:rPr>
                <w:sz w:val="20"/>
                <w:szCs w:val="20"/>
              </w:rPr>
            </w:pPr>
            <w:r w:rsidRPr="00A362D4">
              <w:rPr>
                <w:sz w:val="20"/>
                <w:szCs w:val="20"/>
              </w:rPr>
              <w:t>2 parties, excluding China (3 projects)</w:t>
            </w:r>
          </w:p>
        </w:tc>
        <w:tc>
          <w:tcPr>
            <w:tcW w:w="915"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4034B681" w14:textId="77777777" w:rsidR="004812BA" w:rsidRPr="00A362D4" w:rsidRDefault="004812BA" w:rsidP="006233FA">
            <w:pPr>
              <w:rPr>
                <w:sz w:val="20"/>
                <w:szCs w:val="20"/>
              </w:rPr>
            </w:pPr>
            <w:r w:rsidRPr="00A362D4">
              <w:rPr>
                <w:sz w:val="20"/>
                <w:szCs w:val="20"/>
              </w:rPr>
              <w:t>Solvents</w:t>
            </w:r>
          </w:p>
        </w:tc>
        <w:tc>
          <w:tcPr>
            <w:tcW w:w="1225"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414A4C54" w14:textId="77777777" w:rsidR="004812BA" w:rsidRPr="00A362D4" w:rsidRDefault="004812BA" w:rsidP="006233FA">
            <w:pPr>
              <w:rPr>
                <w:sz w:val="20"/>
                <w:szCs w:val="20"/>
                <w:lang w:val="it-IT"/>
              </w:rPr>
            </w:pPr>
            <w:r w:rsidRPr="00A362D4">
              <w:rPr>
                <w:sz w:val="20"/>
                <w:szCs w:val="20"/>
                <w:lang w:val="it-IT"/>
              </w:rPr>
              <w:t>HFC-365mfc, Perchloretylene/ HFC- 152a, HFO-1233zd(E))</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5A5F07B5" w14:textId="77777777" w:rsidR="004812BA" w:rsidRPr="00A362D4" w:rsidRDefault="004812BA" w:rsidP="006233FA">
            <w:pPr>
              <w:rPr>
                <w:sz w:val="20"/>
                <w:szCs w:val="20"/>
              </w:rPr>
            </w:pPr>
            <w:r w:rsidRPr="00A362D4">
              <w:rPr>
                <w:sz w:val="20"/>
                <w:szCs w:val="20"/>
              </w:rPr>
              <w:t>3.19 – 21.47</w:t>
            </w:r>
          </w:p>
          <w:p w14:paraId="0AB798C1" w14:textId="77777777" w:rsidR="004812BA" w:rsidRPr="00A362D4" w:rsidRDefault="004812BA" w:rsidP="006233FA">
            <w:pPr>
              <w:rPr>
                <w:sz w:val="20"/>
                <w:szCs w:val="20"/>
              </w:rPr>
            </w:pPr>
            <w:r w:rsidRPr="00A362D4">
              <w:rPr>
                <w:sz w:val="20"/>
                <w:szCs w:val="20"/>
              </w:rPr>
              <w:t xml:space="preserve"> </w:t>
            </w:r>
          </w:p>
        </w:tc>
        <w:tc>
          <w:tcPr>
            <w:tcW w:w="663"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406BCA1A" w14:textId="77777777" w:rsidR="004812BA" w:rsidRPr="00A362D4" w:rsidRDefault="004812BA" w:rsidP="006233FA">
            <w:pPr>
              <w:rPr>
                <w:sz w:val="20"/>
                <w:szCs w:val="20"/>
              </w:rPr>
            </w:pPr>
            <w:r w:rsidRPr="00A362D4">
              <w:rPr>
                <w:sz w:val="20"/>
                <w:szCs w:val="20"/>
              </w:rPr>
              <w:t>10.51</w:t>
            </w:r>
          </w:p>
        </w:tc>
      </w:tr>
      <w:tr w:rsidR="004812BA" w:rsidRPr="00A362D4" w14:paraId="124F0DE3"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4BD1D91D" w14:textId="77777777" w:rsidR="004812BA" w:rsidRPr="00A362D4" w:rsidRDefault="004812BA" w:rsidP="006233FA">
            <w:pPr>
              <w:rPr>
                <w:sz w:val="20"/>
                <w:szCs w:val="20"/>
              </w:rPr>
            </w:pPr>
            <w:r w:rsidRPr="00A362D4">
              <w:rPr>
                <w:sz w:val="20"/>
                <w:szCs w:val="20"/>
              </w:rPr>
              <w:t>China (5 projects)</w:t>
            </w:r>
          </w:p>
        </w:tc>
        <w:tc>
          <w:tcPr>
            <w:tcW w:w="915"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4C83050E" w14:textId="77777777" w:rsidR="004812BA" w:rsidRPr="00A362D4" w:rsidRDefault="004812BA" w:rsidP="006233FA">
            <w:pPr>
              <w:rPr>
                <w:sz w:val="20"/>
                <w:szCs w:val="20"/>
              </w:rPr>
            </w:pPr>
            <w:r w:rsidRPr="00A362D4">
              <w:rPr>
                <w:sz w:val="20"/>
                <w:szCs w:val="20"/>
              </w:rPr>
              <w:t>Solvents</w:t>
            </w:r>
          </w:p>
        </w:tc>
        <w:tc>
          <w:tcPr>
            <w:tcW w:w="1225"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5965BA8F" w14:textId="77777777" w:rsidR="004812BA" w:rsidRPr="00A362D4" w:rsidRDefault="004812BA" w:rsidP="006233FA">
            <w:pPr>
              <w:rPr>
                <w:sz w:val="20"/>
                <w:szCs w:val="20"/>
              </w:rPr>
            </w:pPr>
            <w:r w:rsidRPr="00A362D4">
              <w:rPr>
                <w:sz w:val="20"/>
                <w:szCs w:val="20"/>
              </w:rPr>
              <w:t>KC-6, HC, HFE, HC/HFE solvents, HC/HFE formulations</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2EB2DCF0" w14:textId="77777777" w:rsidR="004812BA" w:rsidRPr="00A362D4" w:rsidRDefault="004812BA" w:rsidP="006233FA">
            <w:pPr>
              <w:rPr>
                <w:sz w:val="20"/>
                <w:szCs w:val="20"/>
              </w:rPr>
            </w:pPr>
            <w:r w:rsidRPr="00A362D4">
              <w:rPr>
                <w:sz w:val="20"/>
                <w:szCs w:val="20"/>
              </w:rPr>
              <w:t>7.97 – 15.04</w:t>
            </w:r>
          </w:p>
        </w:tc>
        <w:tc>
          <w:tcPr>
            <w:tcW w:w="663"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1ED2A6A0" w14:textId="77777777" w:rsidR="004812BA" w:rsidRPr="00A362D4" w:rsidRDefault="004812BA" w:rsidP="006233FA">
            <w:pPr>
              <w:rPr>
                <w:sz w:val="20"/>
                <w:szCs w:val="20"/>
              </w:rPr>
            </w:pPr>
            <w:r w:rsidRPr="00A362D4">
              <w:rPr>
                <w:sz w:val="20"/>
                <w:szCs w:val="20"/>
              </w:rPr>
              <w:t>11.42</w:t>
            </w:r>
          </w:p>
        </w:tc>
      </w:tr>
      <w:tr w:rsidR="004812BA" w:rsidRPr="00A362D4" w14:paraId="640C302C" w14:textId="77777777" w:rsidTr="001F254C">
        <w:trPr>
          <w:trHeight w:val="300"/>
        </w:trPr>
        <w:tc>
          <w:tcPr>
            <w:tcW w:w="1140"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7DD4750F" w14:textId="77777777" w:rsidR="004812BA" w:rsidRPr="00A362D4" w:rsidRDefault="004812BA" w:rsidP="006233FA">
            <w:pPr>
              <w:rPr>
                <w:sz w:val="20"/>
                <w:szCs w:val="20"/>
              </w:rPr>
            </w:pPr>
            <w:r w:rsidRPr="00A362D4">
              <w:rPr>
                <w:sz w:val="20"/>
                <w:szCs w:val="20"/>
              </w:rPr>
              <w:t>1 party, 1 project on technical aerosol products</w:t>
            </w:r>
          </w:p>
        </w:tc>
        <w:tc>
          <w:tcPr>
            <w:tcW w:w="915"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5A9BB81C" w14:textId="77777777" w:rsidR="004812BA" w:rsidRPr="00A362D4" w:rsidRDefault="004812BA" w:rsidP="006233FA">
            <w:pPr>
              <w:rPr>
                <w:sz w:val="20"/>
                <w:szCs w:val="20"/>
              </w:rPr>
            </w:pPr>
            <w:r w:rsidRPr="00A362D4">
              <w:rPr>
                <w:sz w:val="20"/>
                <w:szCs w:val="20"/>
              </w:rPr>
              <w:t>Aerosol</w:t>
            </w:r>
          </w:p>
        </w:tc>
        <w:tc>
          <w:tcPr>
            <w:tcW w:w="1225"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22F2E729" w14:textId="77777777" w:rsidR="004812BA" w:rsidRPr="00A362D4" w:rsidRDefault="004812BA" w:rsidP="006233FA">
            <w:pPr>
              <w:rPr>
                <w:sz w:val="20"/>
                <w:szCs w:val="20"/>
              </w:rPr>
            </w:pPr>
            <w:r w:rsidRPr="00A362D4">
              <w:rPr>
                <w:sz w:val="20"/>
                <w:szCs w:val="20"/>
              </w:rPr>
              <w:t>HC, HFC-152a, HFC-134a, HFC-365mfc/HFC-227ea</w:t>
            </w:r>
          </w:p>
        </w:tc>
        <w:tc>
          <w:tcPr>
            <w:tcW w:w="1056" w:type="pct"/>
            <w:tcBorders>
              <w:top w:val="single" w:sz="8" w:space="0" w:color="auto"/>
              <w:left w:val="single" w:sz="8" w:space="0" w:color="auto"/>
              <w:bottom w:val="single" w:sz="8" w:space="0" w:color="auto"/>
              <w:right w:val="single" w:sz="8" w:space="0" w:color="auto"/>
            </w:tcBorders>
            <w:tcMar>
              <w:left w:w="108" w:type="dxa"/>
              <w:right w:w="108" w:type="dxa"/>
            </w:tcMar>
          </w:tcPr>
          <w:p w14:paraId="5B9AD354" w14:textId="77777777" w:rsidR="004812BA" w:rsidRPr="00A362D4" w:rsidRDefault="004812BA" w:rsidP="006233FA">
            <w:pPr>
              <w:rPr>
                <w:sz w:val="20"/>
                <w:szCs w:val="20"/>
              </w:rPr>
            </w:pPr>
            <w:r w:rsidRPr="00A362D4">
              <w:rPr>
                <w:sz w:val="20"/>
                <w:szCs w:val="20"/>
              </w:rPr>
              <w:t>No range</w:t>
            </w:r>
          </w:p>
        </w:tc>
        <w:tc>
          <w:tcPr>
            <w:tcW w:w="663" w:type="pct"/>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5DAA29A3" w14:textId="77777777" w:rsidR="004812BA" w:rsidRPr="00A362D4" w:rsidRDefault="004812BA" w:rsidP="006233FA">
            <w:pPr>
              <w:rPr>
                <w:sz w:val="20"/>
                <w:szCs w:val="20"/>
              </w:rPr>
            </w:pPr>
            <w:r w:rsidRPr="00A362D4">
              <w:rPr>
                <w:sz w:val="20"/>
                <w:szCs w:val="20"/>
              </w:rPr>
              <w:t>3.8</w:t>
            </w:r>
          </w:p>
        </w:tc>
      </w:tr>
    </w:tbl>
    <w:p w14:paraId="42A0FFA5" w14:textId="768CDDAF" w:rsidR="004812BA" w:rsidRPr="00A362D4" w:rsidRDefault="004812BA" w:rsidP="004812BA">
      <w:pPr>
        <w:rPr>
          <w:sz w:val="18"/>
          <w:szCs w:val="18"/>
        </w:rPr>
      </w:pPr>
      <w:r w:rsidRPr="00A362D4">
        <w:rPr>
          <w:sz w:val="18"/>
          <w:szCs w:val="18"/>
        </w:rPr>
        <w:t>*System house foam projects and demonstration projects in general were not included</w:t>
      </w:r>
    </w:p>
    <w:p w14:paraId="6BA48F80" w14:textId="6813F564" w:rsidR="16049BC7" w:rsidRDefault="16049BC7">
      <w:r>
        <w:br w:type="page"/>
      </w:r>
    </w:p>
    <w:p w14:paraId="794C2D6B" w14:textId="09684AEA" w:rsidR="004812BA" w:rsidRDefault="471F763B" w:rsidP="005D31A7">
      <w:pPr>
        <w:pStyle w:val="Heading1"/>
      </w:pPr>
      <w:bookmarkStart w:id="376" w:name="_Toc227477971"/>
      <w:bookmarkStart w:id="377" w:name="_Toc230099163"/>
      <w:r w:rsidRPr="471F763B">
        <w:lastRenderedPageBreak/>
        <w:t>ANNEX 3:</w:t>
      </w:r>
      <w:r w:rsidR="0016369E">
        <w:t xml:space="preserve"> </w:t>
      </w:r>
      <w:bookmarkEnd w:id="376"/>
      <w:r w:rsidRPr="471F763B">
        <w:t>Methodology for Filling Baseline Data Gaps</w:t>
      </w:r>
      <w:r w:rsidR="003414B7">
        <w:t xml:space="preserve"> </w:t>
      </w:r>
      <w:r w:rsidRPr="471F763B">
        <w:t>- Estimates and Assumptions</w:t>
      </w:r>
      <w:bookmarkEnd w:id="377"/>
      <w:r w:rsidRPr="471F763B">
        <w:t xml:space="preserve"> </w:t>
      </w:r>
    </w:p>
    <w:p w14:paraId="7A7765F7" w14:textId="50CC517B" w:rsidR="004812BA" w:rsidRDefault="5B365E33" w:rsidP="004812BA">
      <w:pPr>
        <w:tabs>
          <w:tab w:val="left" w:pos="7920"/>
        </w:tabs>
        <w:spacing w:after="0"/>
        <w:rPr>
          <w:rFonts w:eastAsia="Calibri"/>
          <w:lang w:val="en-US"/>
        </w:rPr>
      </w:pPr>
      <w:r w:rsidRPr="00183625">
        <w:rPr>
          <w:rFonts w:eastAsia="Calibri"/>
          <w:kern w:val="2"/>
          <w:lang w:val="en-US"/>
          <w14:ligatures w14:val="standardContextual"/>
        </w:rPr>
        <w:t xml:space="preserve">Parties that have ratified the </w:t>
      </w:r>
      <w:r w:rsidR="00912482">
        <w:rPr>
          <w:rFonts w:eastAsia="Calibri"/>
          <w:kern w:val="2"/>
          <w:lang w:val="en-US"/>
          <w14:ligatures w14:val="standardContextual"/>
        </w:rPr>
        <w:t>KA</w:t>
      </w:r>
      <w:r w:rsidRPr="00183625">
        <w:rPr>
          <w:rFonts w:eastAsia="Calibri"/>
          <w:kern w:val="2"/>
          <w:lang w:val="en-US"/>
          <w14:ligatures w14:val="standardContextual"/>
        </w:rPr>
        <w:t xml:space="preserve"> are required to report on the import, export, and production of HFCs and HCFCs to the </w:t>
      </w:r>
      <w:r w:rsidR="00185768">
        <w:rPr>
          <w:rFonts w:eastAsia="Calibri"/>
          <w:kern w:val="2"/>
          <w:lang w:val="en-US"/>
          <w14:ligatures w14:val="standardContextual"/>
        </w:rPr>
        <w:t>OS</w:t>
      </w:r>
      <w:r w:rsidRPr="00183625">
        <w:rPr>
          <w:rFonts w:eastAsia="Calibri"/>
          <w:kern w:val="2"/>
          <w:lang w:val="en-US"/>
          <w14:ligatures w14:val="standardContextual"/>
        </w:rPr>
        <w:t xml:space="preserve"> under A7. The list of</w:t>
      </w:r>
      <w:r w:rsidR="004812BA" w:rsidRPr="00183625">
        <w:rPr>
          <w:rFonts w:eastAsia="Calibri"/>
          <w:kern w:val="2"/>
          <w:lang w:val="en-US"/>
          <w14:ligatures w14:val="standardContextual"/>
        </w:rPr>
        <w:t xml:space="preserve"> </w:t>
      </w:r>
      <w:r w:rsidR="6E6AB37D" w:rsidRPr="00183625">
        <w:rPr>
          <w:rFonts w:eastAsia="Calibri"/>
          <w:kern w:val="2"/>
          <w:lang w:val="en-US"/>
          <w14:ligatures w14:val="standardContextual"/>
        </w:rPr>
        <w:t>A5</w:t>
      </w:r>
      <w:r w:rsidRPr="00183625">
        <w:rPr>
          <w:rFonts w:eastAsia="Calibri"/>
          <w:kern w:val="2"/>
          <w:lang w:val="en-US"/>
          <w14:ligatures w14:val="standardContextual"/>
        </w:rPr>
        <w:t xml:space="preserve"> parties that have ratified </w:t>
      </w:r>
      <w:r w:rsidR="008F4730">
        <w:rPr>
          <w:rFonts w:eastAsia="Calibri"/>
          <w:kern w:val="2"/>
          <w:lang w:val="en-US"/>
          <w14:ligatures w14:val="standardContextual"/>
        </w:rPr>
        <w:t xml:space="preserve">the </w:t>
      </w:r>
      <w:r w:rsidR="00912482">
        <w:rPr>
          <w:rFonts w:eastAsia="Calibri"/>
          <w:kern w:val="2"/>
          <w:lang w:val="en-US"/>
          <w14:ligatures w14:val="standardContextual"/>
        </w:rPr>
        <w:t>KA</w:t>
      </w:r>
      <w:r w:rsidR="00293B03">
        <w:rPr>
          <w:rFonts w:eastAsia="Calibri"/>
          <w:kern w:val="2"/>
          <w:lang w:val="en-US"/>
          <w14:ligatures w14:val="standardContextual"/>
        </w:rPr>
        <w:t xml:space="preserve"> </w:t>
      </w:r>
      <w:r w:rsidR="00930F12">
        <w:rPr>
          <w:rFonts w:eastAsia="Calibri"/>
          <w:kern w:val="2"/>
          <w:lang w:val="en-US"/>
          <w14:ligatures w14:val="standardContextual"/>
        </w:rPr>
        <w:t xml:space="preserve">continues to increase </w:t>
      </w:r>
      <w:r w:rsidRPr="00183625">
        <w:rPr>
          <w:rFonts w:eastAsia="Calibri"/>
          <w:kern w:val="2"/>
          <w:lang w:val="en-US"/>
          <w14:ligatures w14:val="standardContextual"/>
        </w:rPr>
        <w:t xml:space="preserve">rapidly. </w:t>
      </w:r>
      <w:r w:rsidRPr="00856E75">
        <w:rPr>
          <w:rFonts w:eastAsia="Calibri"/>
          <w:kern w:val="2"/>
          <w:lang w:val="en-US"/>
          <w14:ligatures w14:val="standardContextual"/>
        </w:rPr>
        <w:t xml:space="preserve">As </w:t>
      </w:r>
      <w:r w:rsidRPr="1AF1BDF4">
        <w:rPr>
          <w:rFonts w:eastAsia="Calibri"/>
          <w:lang w:val="en-US"/>
        </w:rPr>
        <w:t>of 8 April 2026, 119 A5 parties in G</w:t>
      </w:r>
      <w:r w:rsidR="008F4730">
        <w:rPr>
          <w:rFonts w:eastAsia="Calibri"/>
          <w:lang w:val="en-US"/>
        </w:rPr>
        <w:t>1</w:t>
      </w:r>
      <w:r w:rsidRPr="1AF1BDF4">
        <w:rPr>
          <w:rFonts w:eastAsia="Calibri"/>
          <w:lang w:val="en-US"/>
        </w:rPr>
        <w:t xml:space="preserve"> </w:t>
      </w:r>
      <w:r w:rsidRPr="00B566E5">
        <w:rPr>
          <w:rFonts w:eastAsia="Calibri"/>
          <w:lang w:val="en-US"/>
        </w:rPr>
        <w:t>and six A5 parties</w:t>
      </w:r>
      <w:r w:rsidRPr="1AF1BDF4">
        <w:rPr>
          <w:rFonts w:eastAsia="Calibri"/>
          <w:lang w:val="en-US"/>
        </w:rPr>
        <w:t xml:space="preserve"> in G2</w:t>
      </w:r>
      <w:r w:rsidR="004812BA" w:rsidRPr="1AF1BDF4">
        <w:rPr>
          <w:rStyle w:val="FootnoteReference"/>
          <w:rFonts w:eastAsia="Calibri"/>
          <w:lang w:val="en-US"/>
        </w:rPr>
        <w:footnoteReference w:id="106"/>
      </w:r>
      <w:r w:rsidRPr="1AF1BDF4">
        <w:rPr>
          <w:rFonts w:eastAsia="Calibri"/>
          <w:lang w:val="en-US"/>
        </w:rPr>
        <w:t xml:space="preserve"> ha</w:t>
      </w:r>
      <w:r w:rsidRPr="6F288DB5">
        <w:rPr>
          <w:rFonts w:eastAsia="Calibri"/>
          <w:lang w:val="en-US"/>
        </w:rPr>
        <w:t>d</w:t>
      </w:r>
      <w:r w:rsidRPr="1AF1BDF4">
        <w:rPr>
          <w:rFonts w:eastAsia="Calibri"/>
          <w:lang w:val="en-US"/>
        </w:rPr>
        <w:t xml:space="preserve"> ratified the </w:t>
      </w:r>
      <w:r w:rsidR="00912482">
        <w:rPr>
          <w:rFonts w:eastAsia="Calibri"/>
          <w:lang w:val="en-US"/>
        </w:rPr>
        <w:t>KA</w:t>
      </w:r>
      <w:r w:rsidRPr="1AF1BDF4">
        <w:rPr>
          <w:rFonts w:eastAsia="Calibri"/>
          <w:lang w:val="en-US"/>
        </w:rPr>
        <w:t>.</w:t>
      </w:r>
    </w:p>
    <w:p w14:paraId="60F5F4BF" w14:textId="77777777" w:rsidR="00513724" w:rsidRPr="00183625" w:rsidRDefault="00513724" w:rsidP="004812BA">
      <w:pPr>
        <w:tabs>
          <w:tab w:val="left" w:pos="7920"/>
        </w:tabs>
        <w:spacing w:after="0"/>
        <w:rPr>
          <w:rFonts w:eastAsia="Calibri"/>
          <w:kern w:val="2"/>
          <w:lang w:val="en-US"/>
          <w14:ligatures w14:val="standardContextual"/>
        </w:rPr>
      </w:pPr>
    </w:p>
    <w:p w14:paraId="518FBDEC" w14:textId="77777777" w:rsidR="004812BA" w:rsidRPr="00622FBA" w:rsidRDefault="004812BA" w:rsidP="00B53F2B">
      <w:pPr>
        <w:rPr>
          <w:b/>
          <w:bCs/>
          <w:kern w:val="2"/>
          <w:lang w:val="en-US"/>
          <w14:ligatures w14:val="standardContextual"/>
        </w:rPr>
      </w:pPr>
      <w:r w:rsidRPr="00622FBA">
        <w:rPr>
          <w:b/>
          <w:bCs/>
          <w:lang w:val="en-US"/>
        </w:rPr>
        <w:t>Baseline and Control Measures</w:t>
      </w:r>
    </w:p>
    <w:p w14:paraId="1275F70E" w14:textId="7837F4B2" w:rsidR="004812BA" w:rsidRPr="00183625" w:rsidRDefault="00EF0D85" w:rsidP="004812BA">
      <w:pPr>
        <w:tabs>
          <w:tab w:val="left" w:pos="7920"/>
        </w:tabs>
        <w:spacing w:after="0"/>
        <w:rPr>
          <w:rFonts w:eastAsia="Calibri"/>
          <w:kern w:val="2"/>
          <w:lang w:val="en-US"/>
          <w14:ligatures w14:val="standardContextual"/>
        </w:rPr>
      </w:pPr>
      <w:r w:rsidRPr="1AF1BDF4">
        <w:rPr>
          <w:rFonts w:eastAsia="Calibri"/>
          <w:lang w:val="en-US"/>
        </w:rPr>
        <w:t xml:space="preserve">For </w:t>
      </w:r>
      <w:r w:rsidR="004812BA" w:rsidRPr="00183625">
        <w:rPr>
          <w:rFonts w:eastAsia="Calibri"/>
          <w:kern w:val="2"/>
          <w:lang w:val="en-US"/>
          <w14:ligatures w14:val="standardContextual"/>
        </w:rPr>
        <w:t>A5 G1 part</w:t>
      </w:r>
      <w:r w:rsidR="00A57F6D" w:rsidRPr="1AF1BDF4">
        <w:rPr>
          <w:rFonts w:eastAsia="Calibri"/>
          <w:lang w:val="en-US"/>
        </w:rPr>
        <w:t>ies,</w:t>
      </w:r>
      <w:r w:rsidR="004812BA" w:rsidRPr="00183625">
        <w:rPr>
          <w:rFonts w:eastAsia="Calibri"/>
          <w:kern w:val="2"/>
          <w:lang w:val="en-US"/>
          <w14:ligatures w14:val="standardContextual"/>
        </w:rPr>
        <w:t xml:space="preserve"> </w:t>
      </w:r>
      <w:r w:rsidR="00912482">
        <w:rPr>
          <w:rFonts w:eastAsia="Calibri"/>
          <w:lang w:val="en-US"/>
        </w:rPr>
        <w:t>KA</w:t>
      </w:r>
      <w:r w:rsidR="00A57F6D" w:rsidRPr="1AF1BDF4">
        <w:rPr>
          <w:rFonts w:eastAsia="Calibri"/>
          <w:lang w:val="en-US"/>
        </w:rPr>
        <w:t xml:space="preserve"> </w:t>
      </w:r>
      <w:r w:rsidR="004812BA" w:rsidRPr="00183625">
        <w:rPr>
          <w:rFonts w:eastAsia="Calibri"/>
          <w:kern w:val="2"/>
          <w:lang w:val="en-US"/>
          <w14:ligatures w14:val="standardContextual"/>
        </w:rPr>
        <w:t xml:space="preserve">baselines are </w:t>
      </w:r>
      <w:r w:rsidR="00A57F6D" w:rsidRPr="1AF1BDF4">
        <w:rPr>
          <w:rFonts w:eastAsia="Calibri"/>
          <w:lang w:val="en-US"/>
        </w:rPr>
        <w:t xml:space="preserve">calculated as </w:t>
      </w:r>
      <w:r w:rsidR="004812BA" w:rsidRPr="00183625">
        <w:rPr>
          <w:rFonts w:eastAsia="Calibri"/>
          <w:kern w:val="2"/>
          <w:lang w:val="en-US"/>
          <w14:ligatures w14:val="standardContextual"/>
        </w:rPr>
        <w:t xml:space="preserve">an average </w:t>
      </w:r>
      <w:r w:rsidR="008A46F4" w:rsidRPr="1AF1BDF4">
        <w:rPr>
          <w:rFonts w:eastAsia="Calibri"/>
          <w:lang w:val="en-US"/>
        </w:rPr>
        <w:t xml:space="preserve">HFC </w:t>
      </w:r>
      <w:r w:rsidR="009F6C3E">
        <w:rPr>
          <w:rFonts w:eastAsia="Calibri"/>
          <w:kern w:val="2"/>
          <w:lang w:val="en-US"/>
          <w14:ligatures w14:val="standardContextual"/>
        </w:rPr>
        <w:t xml:space="preserve">consumption </w:t>
      </w:r>
      <w:r w:rsidR="008A46F4" w:rsidRPr="1AF1BDF4">
        <w:rPr>
          <w:rFonts w:eastAsia="Calibri"/>
          <w:lang w:val="en-US"/>
        </w:rPr>
        <w:t xml:space="preserve">for the years </w:t>
      </w:r>
      <w:r w:rsidR="004812BA" w:rsidRPr="00183625">
        <w:rPr>
          <w:rFonts w:eastAsia="Calibri"/>
          <w:kern w:val="2"/>
          <w:lang w:val="en-US"/>
          <w14:ligatures w14:val="standardContextual"/>
        </w:rPr>
        <w:t>2020</w:t>
      </w:r>
      <w:r w:rsidR="008A46F4" w:rsidRPr="1AF1BDF4">
        <w:rPr>
          <w:rFonts w:eastAsia="Calibri"/>
          <w:lang w:val="en-US"/>
        </w:rPr>
        <w:t>-</w:t>
      </w:r>
      <w:r w:rsidR="004812BA" w:rsidRPr="00183625">
        <w:rPr>
          <w:rFonts w:eastAsia="Calibri"/>
          <w:kern w:val="2"/>
          <w:lang w:val="en-US"/>
          <w14:ligatures w14:val="standardContextual"/>
        </w:rPr>
        <w:t>2022</w:t>
      </w:r>
      <w:r w:rsidR="001059A4" w:rsidRPr="1AF1BDF4">
        <w:rPr>
          <w:rFonts w:eastAsia="Calibri"/>
          <w:lang w:val="en-US"/>
        </w:rPr>
        <w:t>.</w:t>
      </w:r>
      <w:r w:rsidR="004812BA" w:rsidRPr="00183625">
        <w:rPr>
          <w:rFonts w:eastAsia="Calibri"/>
          <w:kern w:val="2"/>
          <w:lang w:val="en-US"/>
          <w14:ligatures w14:val="standardContextual"/>
        </w:rPr>
        <w:t xml:space="preserve"> HFC consumption </w:t>
      </w:r>
      <w:r w:rsidR="009F6C3E">
        <w:rPr>
          <w:rFonts w:eastAsia="Calibri"/>
          <w:kern w:val="2"/>
          <w:lang w:val="en-US"/>
          <w14:ligatures w14:val="standardContextual"/>
        </w:rPr>
        <w:t xml:space="preserve">is </w:t>
      </w:r>
      <w:r w:rsidR="001059A4" w:rsidRPr="1AF1BDF4">
        <w:rPr>
          <w:rFonts w:eastAsia="Calibri"/>
          <w:lang w:val="en-US"/>
        </w:rPr>
        <w:t xml:space="preserve">defined as </w:t>
      </w:r>
      <w:r w:rsidR="004812BA" w:rsidRPr="00183625">
        <w:rPr>
          <w:rFonts w:eastAsia="Calibri"/>
          <w:kern w:val="2"/>
          <w:lang w:val="en-US"/>
          <w14:ligatures w14:val="standardContextual"/>
        </w:rPr>
        <w:t>production plus import minus expor</w:t>
      </w:r>
      <w:r w:rsidR="004812BA">
        <w:rPr>
          <w:rFonts w:eastAsia="Calibri"/>
          <w:kern w:val="2"/>
          <w:lang w:val="en-US"/>
          <w14:ligatures w14:val="standardContextual"/>
        </w:rPr>
        <w:t>t</w:t>
      </w:r>
      <w:r w:rsidR="001059A4" w:rsidRPr="1AF1BDF4">
        <w:rPr>
          <w:rFonts w:eastAsia="Calibri"/>
          <w:lang w:val="en-US"/>
        </w:rPr>
        <w:t>,</w:t>
      </w:r>
      <w:r w:rsidR="00851C8E">
        <w:rPr>
          <w:rFonts w:eastAsia="Calibri"/>
          <w:kern w:val="2"/>
          <w:lang w:val="en-US"/>
          <w14:ligatures w14:val="standardContextual"/>
        </w:rPr>
        <w:t xml:space="preserve"> </w:t>
      </w:r>
      <w:r w:rsidR="001059A4" w:rsidRPr="1AF1BDF4">
        <w:rPr>
          <w:rFonts w:eastAsia="Calibri"/>
          <w:lang w:val="en-US"/>
        </w:rPr>
        <w:t xml:space="preserve">expressed </w:t>
      </w:r>
      <w:r w:rsidR="00851C8E">
        <w:rPr>
          <w:rFonts w:eastAsia="Calibri"/>
          <w:kern w:val="2"/>
          <w:lang w:val="en-US"/>
          <w14:ligatures w14:val="standardContextual"/>
        </w:rPr>
        <w:t xml:space="preserve">in metric </w:t>
      </w:r>
      <w:r w:rsidR="001F4A5F">
        <w:rPr>
          <w:rFonts w:eastAsia="Calibri"/>
          <w:kern w:val="2"/>
          <w:lang w:val="en-US"/>
          <w14:ligatures w14:val="standardContextual"/>
        </w:rPr>
        <w:t xml:space="preserve">tonnes </w:t>
      </w:r>
      <w:r w:rsidR="00BC0135" w:rsidRPr="1AF1BDF4">
        <w:rPr>
          <w:rFonts w:eastAsia="Calibri"/>
          <w:lang w:val="en-US"/>
        </w:rPr>
        <w:t xml:space="preserve">for each </w:t>
      </w:r>
      <w:r w:rsidR="001F4A5F">
        <w:rPr>
          <w:rFonts w:eastAsia="Calibri"/>
          <w:kern w:val="2"/>
          <w:lang w:val="en-US"/>
          <w14:ligatures w14:val="standardContextual"/>
        </w:rPr>
        <w:t xml:space="preserve">chemical </w:t>
      </w:r>
      <w:r w:rsidR="00BC0135" w:rsidRPr="1AF1BDF4">
        <w:rPr>
          <w:rFonts w:eastAsia="Calibri"/>
          <w:lang w:val="en-US"/>
        </w:rPr>
        <w:t xml:space="preserve">and </w:t>
      </w:r>
      <w:r w:rsidR="001F4A5F">
        <w:rPr>
          <w:rFonts w:eastAsia="Calibri"/>
          <w:kern w:val="2"/>
          <w:lang w:val="en-US"/>
          <w14:ligatures w14:val="standardContextual"/>
        </w:rPr>
        <w:t>multiplied b</w:t>
      </w:r>
      <w:r w:rsidR="00BC0135" w:rsidRPr="1AF1BDF4">
        <w:rPr>
          <w:rFonts w:eastAsia="Calibri"/>
          <w:lang w:val="en-US"/>
        </w:rPr>
        <w:t>y</w:t>
      </w:r>
      <w:r w:rsidR="001F4A5F">
        <w:rPr>
          <w:rFonts w:eastAsia="Calibri"/>
          <w:kern w:val="2"/>
          <w:lang w:val="en-US"/>
          <w14:ligatures w14:val="standardContextual"/>
        </w:rPr>
        <w:t xml:space="preserve"> </w:t>
      </w:r>
      <w:r w:rsidR="005019A4" w:rsidRPr="1AF1BDF4">
        <w:rPr>
          <w:rFonts w:eastAsia="Calibri"/>
          <w:lang w:val="en-US"/>
        </w:rPr>
        <w:t xml:space="preserve">the respective </w:t>
      </w:r>
      <w:r w:rsidR="004812BA" w:rsidRPr="00183625">
        <w:rPr>
          <w:rFonts w:eastAsia="Calibri"/>
          <w:kern w:val="2"/>
          <w:lang w:val="en-US"/>
          <w14:ligatures w14:val="standardContextual"/>
        </w:rPr>
        <w:t>GWP</w:t>
      </w:r>
      <w:r w:rsidR="001F7F6B">
        <w:rPr>
          <w:rFonts w:eastAsia="Calibri"/>
          <w:kern w:val="2"/>
          <w:lang w:val="en-US"/>
          <w14:ligatures w14:val="standardContextual"/>
        </w:rPr>
        <w:t xml:space="preserve"> </w:t>
      </w:r>
      <w:r w:rsidR="005019A4" w:rsidRPr="1AF1BDF4">
        <w:rPr>
          <w:rFonts w:eastAsia="Calibri"/>
          <w:lang w:val="en-US"/>
        </w:rPr>
        <w:t xml:space="preserve">to obtain </w:t>
      </w:r>
      <w:r w:rsidR="004812BA" w:rsidRPr="00183625">
        <w:rPr>
          <w:rFonts w:eastAsia="Calibri"/>
          <w:kern w:val="2"/>
          <w:lang w:val="en-US"/>
          <w14:ligatures w14:val="standardContextual"/>
        </w:rPr>
        <w:t>total carbon dioxide equivalent (CO</w:t>
      </w:r>
      <w:r w:rsidR="004812BA" w:rsidRPr="00183625">
        <w:rPr>
          <w:rFonts w:eastAsia="Calibri"/>
          <w:kern w:val="2"/>
          <w:vertAlign w:val="subscript"/>
          <w:lang w:val="en-US"/>
          <w14:ligatures w14:val="standardContextual"/>
        </w:rPr>
        <w:t>2</w:t>
      </w:r>
      <w:r w:rsidR="004812BA" w:rsidRPr="00183625">
        <w:rPr>
          <w:rFonts w:eastAsia="Calibri"/>
          <w:kern w:val="2"/>
          <w:lang w:val="en-US"/>
          <w14:ligatures w14:val="standardContextual"/>
        </w:rPr>
        <w:t>eq)</w:t>
      </w:r>
      <w:r w:rsidR="005019A4" w:rsidRPr="1AF1BDF4">
        <w:rPr>
          <w:rFonts w:eastAsia="Calibri"/>
          <w:lang w:val="en-US"/>
        </w:rPr>
        <w:t xml:space="preserve"> values</w:t>
      </w:r>
      <w:r w:rsidR="001F7F6B">
        <w:rPr>
          <w:rFonts w:eastAsia="Calibri"/>
          <w:kern w:val="2"/>
          <w:lang w:val="en-US"/>
          <w14:ligatures w14:val="standardContextual"/>
        </w:rPr>
        <w:t xml:space="preserve">. The </w:t>
      </w:r>
      <w:r w:rsidR="007E7920">
        <w:rPr>
          <w:rFonts w:eastAsia="Calibri"/>
          <w:kern w:val="2"/>
          <w:lang w:val="en-US"/>
          <w14:ligatures w14:val="standardContextual"/>
        </w:rPr>
        <w:t xml:space="preserve">average </w:t>
      </w:r>
      <w:r w:rsidR="001F7F6B" w:rsidRPr="00183625">
        <w:rPr>
          <w:rFonts w:eastAsia="Calibri"/>
          <w:kern w:val="2"/>
          <w:lang w:val="en-US"/>
          <w14:ligatures w14:val="standardContextual"/>
        </w:rPr>
        <w:t>CO</w:t>
      </w:r>
      <w:r w:rsidR="001F7F6B" w:rsidRPr="00183625">
        <w:rPr>
          <w:rFonts w:eastAsia="Calibri"/>
          <w:kern w:val="2"/>
          <w:vertAlign w:val="subscript"/>
          <w:lang w:val="en-US"/>
          <w14:ligatures w14:val="standardContextual"/>
        </w:rPr>
        <w:t>2</w:t>
      </w:r>
      <w:r w:rsidR="001F7F6B" w:rsidRPr="00183625">
        <w:rPr>
          <w:rFonts w:eastAsia="Calibri"/>
          <w:kern w:val="2"/>
          <w:lang w:val="en-US"/>
          <w14:ligatures w14:val="standardContextual"/>
        </w:rPr>
        <w:t>eq</w:t>
      </w:r>
      <w:r w:rsidR="001F7F6B">
        <w:rPr>
          <w:rFonts w:eastAsia="Calibri"/>
          <w:kern w:val="2"/>
          <w:lang w:val="en-US"/>
          <w14:ligatures w14:val="standardContextual"/>
        </w:rPr>
        <w:t xml:space="preserve"> </w:t>
      </w:r>
      <w:r w:rsidR="00A641B8" w:rsidRPr="1AF1BDF4">
        <w:rPr>
          <w:rFonts w:eastAsia="Calibri"/>
          <w:lang w:val="en-US"/>
        </w:rPr>
        <w:t xml:space="preserve">values for each </w:t>
      </w:r>
      <w:r w:rsidR="001F7F6B">
        <w:rPr>
          <w:rFonts w:eastAsia="Calibri"/>
          <w:kern w:val="2"/>
          <w:lang w:val="en-US"/>
          <w14:ligatures w14:val="standardContextual"/>
        </w:rPr>
        <w:t xml:space="preserve">chemical </w:t>
      </w:r>
      <w:r w:rsidR="00FC4521" w:rsidRPr="1AF1BDF4">
        <w:rPr>
          <w:rFonts w:eastAsia="Calibri"/>
          <w:lang w:val="en-US"/>
        </w:rPr>
        <w:t xml:space="preserve">are then </w:t>
      </w:r>
      <w:r w:rsidR="6EDCC13D" w:rsidRPr="1AF1BDF4">
        <w:rPr>
          <w:rFonts w:eastAsia="Calibri"/>
          <w:lang w:val="en-US"/>
        </w:rPr>
        <w:t>aggregated</w:t>
      </w:r>
      <w:r w:rsidR="00FC4521" w:rsidRPr="1AF1BDF4">
        <w:rPr>
          <w:rFonts w:eastAsia="Calibri"/>
          <w:lang w:val="en-US"/>
        </w:rPr>
        <w:t xml:space="preserve"> </w:t>
      </w:r>
      <w:r w:rsidR="00924D1D" w:rsidRPr="1AF1BDF4">
        <w:rPr>
          <w:rFonts w:eastAsia="Calibri"/>
          <w:lang w:val="en-US"/>
        </w:rPr>
        <w:t xml:space="preserve">to determine </w:t>
      </w:r>
      <w:r w:rsidR="007E7920">
        <w:rPr>
          <w:rFonts w:eastAsia="Calibri"/>
          <w:kern w:val="2"/>
          <w:lang w:val="en-US"/>
          <w14:ligatures w14:val="standardContextual"/>
        </w:rPr>
        <w:t xml:space="preserve">the HFC </w:t>
      </w:r>
      <w:r w:rsidR="006F0B4E">
        <w:rPr>
          <w:rFonts w:eastAsia="Calibri"/>
          <w:kern w:val="2"/>
          <w:lang w:val="en-US"/>
          <w14:ligatures w14:val="standardContextual"/>
        </w:rPr>
        <w:t xml:space="preserve">baseline </w:t>
      </w:r>
      <w:r w:rsidR="007E7920">
        <w:rPr>
          <w:rFonts w:eastAsia="Calibri"/>
          <w:kern w:val="2"/>
          <w:lang w:val="en-US"/>
          <w14:ligatures w14:val="standardContextual"/>
        </w:rPr>
        <w:t>component. The HFC</w:t>
      </w:r>
      <w:r w:rsidR="006F0B4E">
        <w:rPr>
          <w:rFonts w:eastAsia="Calibri"/>
          <w:kern w:val="2"/>
          <w:lang w:val="en-US"/>
          <w14:ligatures w14:val="standardContextual"/>
        </w:rPr>
        <w:t xml:space="preserve"> baseline component</w:t>
      </w:r>
      <w:r w:rsidR="00C403B5">
        <w:rPr>
          <w:rFonts w:eastAsia="Calibri"/>
          <w:kern w:val="2"/>
          <w:lang w:val="en-US"/>
          <w14:ligatures w14:val="standardContextual"/>
        </w:rPr>
        <w:t xml:space="preserve"> </w:t>
      </w:r>
      <w:r w:rsidR="006F0B4E">
        <w:rPr>
          <w:rFonts w:eastAsia="Calibri"/>
          <w:kern w:val="2"/>
          <w:lang w:val="en-US"/>
          <w14:ligatures w14:val="standardContextual"/>
        </w:rPr>
        <w:t>is</w:t>
      </w:r>
      <w:r w:rsidR="004812BA" w:rsidRPr="00183625" w:rsidDel="007261AF">
        <w:rPr>
          <w:rFonts w:eastAsia="Calibri"/>
          <w:kern w:val="2"/>
          <w:lang w:val="en-US"/>
          <w14:ligatures w14:val="standardContextual"/>
        </w:rPr>
        <w:t xml:space="preserve"> </w:t>
      </w:r>
      <w:r w:rsidR="00924D1D" w:rsidRPr="1AF1BDF4">
        <w:rPr>
          <w:rFonts w:eastAsia="Calibri"/>
          <w:lang w:val="en-US"/>
        </w:rPr>
        <w:t xml:space="preserve">subsequently </w:t>
      </w:r>
      <w:r w:rsidR="004812BA" w:rsidRPr="00183625">
        <w:rPr>
          <w:rFonts w:eastAsia="Calibri"/>
          <w:kern w:val="2"/>
          <w:lang w:val="en-US"/>
          <w14:ligatures w14:val="standardContextual"/>
        </w:rPr>
        <w:t xml:space="preserve">added to the </w:t>
      </w:r>
      <w:r w:rsidR="006F0B4E">
        <w:rPr>
          <w:rFonts w:eastAsia="Calibri"/>
          <w:kern w:val="2"/>
          <w:lang w:val="en-US"/>
          <w14:ligatures w14:val="standardContextual"/>
        </w:rPr>
        <w:t>HCFC baseline comp</w:t>
      </w:r>
      <w:r w:rsidR="00324F52">
        <w:rPr>
          <w:rFonts w:eastAsia="Calibri"/>
          <w:kern w:val="2"/>
          <w:lang w:val="en-US"/>
          <w14:ligatures w14:val="standardContextual"/>
        </w:rPr>
        <w:t>o</w:t>
      </w:r>
      <w:r w:rsidR="006F0B4E">
        <w:rPr>
          <w:rFonts w:eastAsia="Calibri"/>
          <w:kern w:val="2"/>
          <w:lang w:val="en-US"/>
          <w14:ligatures w14:val="standardContextual"/>
        </w:rPr>
        <w:t xml:space="preserve">nent, which is </w:t>
      </w:r>
      <w:r w:rsidR="00A83F7C" w:rsidRPr="1AF1BDF4">
        <w:rPr>
          <w:rFonts w:eastAsia="Calibri"/>
          <w:lang w:val="en-US"/>
        </w:rPr>
        <w:t xml:space="preserve">calculated as 65% of </w:t>
      </w:r>
      <w:r w:rsidR="006F0B4E">
        <w:rPr>
          <w:rFonts w:eastAsia="Calibri"/>
          <w:kern w:val="2"/>
          <w:lang w:val="en-US"/>
          <w14:ligatures w14:val="standardContextual"/>
        </w:rPr>
        <w:t xml:space="preserve">the weighted average </w:t>
      </w:r>
      <w:r w:rsidR="004812BA" w:rsidRPr="00183625">
        <w:rPr>
          <w:rFonts w:eastAsia="Calibri"/>
          <w:kern w:val="2"/>
          <w:lang w:val="en-US"/>
          <w14:ligatures w14:val="standardContextual"/>
        </w:rPr>
        <w:t>CO</w:t>
      </w:r>
      <w:r w:rsidR="004812BA" w:rsidRPr="00183625">
        <w:rPr>
          <w:rFonts w:eastAsia="Calibri"/>
          <w:kern w:val="2"/>
          <w:vertAlign w:val="subscript"/>
          <w:lang w:val="en-US"/>
          <w14:ligatures w14:val="standardContextual"/>
        </w:rPr>
        <w:t>2</w:t>
      </w:r>
      <w:r w:rsidR="004812BA" w:rsidRPr="00183625">
        <w:rPr>
          <w:rFonts w:eastAsia="Calibri"/>
          <w:kern w:val="2"/>
          <w:lang w:val="en-US"/>
          <w14:ligatures w14:val="standardContextual"/>
        </w:rPr>
        <w:t xml:space="preserve">eq </w:t>
      </w:r>
      <w:r w:rsidR="006B6EE5" w:rsidRPr="1AF1BDF4">
        <w:rPr>
          <w:rFonts w:eastAsia="Calibri"/>
          <w:lang w:val="en-US"/>
        </w:rPr>
        <w:t xml:space="preserve">value of </w:t>
      </w:r>
      <w:r w:rsidR="004812BA" w:rsidRPr="00183625">
        <w:rPr>
          <w:rFonts w:eastAsia="Calibri"/>
          <w:kern w:val="2"/>
          <w:lang w:val="en-US"/>
          <w14:ligatures w14:val="standardContextual"/>
        </w:rPr>
        <w:t xml:space="preserve">the chemicals used to establish </w:t>
      </w:r>
      <w:r w:rsidR="006B6EE5" w:rsidRPr="1AF1BDF4">
        <w:rPr>
          <w:rFonts w:eastAsia="Calibri"/>
          <w:lang w:val="en-US"/>
        </w:rPr>
        <w:t xml:space="preserve">the </w:t>
      </w:r>
      <w:r w:rsidR="004812BA" w:rsidRPr="00183625">
        <w:rPr>
          <w:rFonts w:eastAsia="Calibri"/>
          <w:kern w:val="2"/>
          <w:lang w:val="en-US"/>
          <w14:ligatures w14:val="standardContextual"/>
        </w:rPr>
        <w:t xml:space="preserve">HCFC baseline. </w:t>
      </w:r>
    </w:p>
    <w:p w14:paraId="52939247" w14:textId="77777777" w:rsidR="004812BA" w:rsidRDefault="004812BA" w:rsidP="004812BA">
      <w:pPr>
        <w:tabs>
          <w:tab w:val="left" w:pos="7920"/>
        </w:tabs>
        <w:spacing w:after="0"/>
        <w:rPr>
          <w:rFonts w:eastAsia="Calibri"/>
          <w:kern w:val="2"/>
          <w:lang w:val="en-US"/>
          <w14:ligatures w14:val="standardContextual"/>
        </w:rPr>
      </w:pPr>
    </w:p>
    <w:p w14:paraId="025F7E7F" w14:textId="312B18FE" w:rsidR="004812BA" w:rsidRDefault="00796613" w:rsidP="004812BA">
      <w:pPr>
        <w:tabs>
          <w:tab w:val="left" w:pos="7920"/>
        </w:tabs>
        <w:spacing w:after="0"/>
        <w:rPr>
          <w:rFonts w:eastAsia="Calibri"/>
          <w:kern w:val="2"/>
          <w:lang w:val="en-US"/>
          <w14:ligatures w14:val="standardContextual"/>
        </w:rPr>
      </w:pPr>
      <w:r>
        <w:rPr>
          <w:rFonts w:eastAsia="Calibri"/>
          <w:kern w:val="2"/>
          <w:lang w:val="en-US"/>
          <w14:ligatures w14:val="standardContextual"/>
        </w:rPr>
        <w:t>KA</w:t>
      </w:r>
      <w:r w:rsidR="00535265" w:rsidRPr="00535265">
        <w:rPr>
          <w:rFonts w:eastAsia="Calibri"/>
          <w:kern w:val="2"/>
          <w14:ligatures w14:val="standardContextual"/>
        </w:rPr>
        <w:t xml:space="preserve"> baselines for </w:t>
      </w:r>
      <w:r w:rsidR="004812BA">
        <w:rPr>
          <w:rFonts w:eastAsia="Calibri"/>
          <w:kern w:val="2"/>
          <w:lang w:val="en-US"/>
          <w14:ligatures w14:val="standardContextual"/>
        </w:rPr>
        <w:t xml:space="preserve">A5 </w:t>
      </w:r>
      <w:r w:rsidR="004812BA" w:rsidRPr="00183625">
        <w:rPr>
          <w:rFonts w:eastAsia="Calibri"/>
          <w:kern w:val="2"/>
          <w:lang w:val="en-US"/>
          <w14:ligatures w14:val="standardContextual"/>
        </w:rPr>
        <w:t>G2 part</w:t>
      </w:r>
      <w:r w:rsidR="00535265">
        <w:rPr>
          <w:rFonts w:eastAsia="Calibri"/>
          <w:kern w:val="2"/>
          <w:lang w:val="en-US"/>
          <w14:ligatures w14:val="standardContextual"/>
        </w:rPr>
        <w:t>ies</w:t>
      </w:r>
      <w:r w:rsidR="004812BA" w:rsidRPr="00183625">
        <w:rPr>
          <w:rFonts w:eastAsia="Calibri"/>
          <w:kern w:val="2"/>
          <w:lang w:val="en-US"/>
          <w14:ligatures w14:val="standardContextual"/>
        </w:rPr>
        <w:t xml:space="preserve"> are calculated </w:t>
      </w:r>
      <w:r w:rsidR="00CB56F0">
        <w:rPr>
          <w:rFonts w:eastAsia="Calibri"/>
          <w:kern w:val="2"/>
          <w:lang w:val="en-US"/>
          <w14:ligatures w14:val="standardContextual"/>
        </w:rPr>
        <w:t xml:space="preserve">using the same methodology as for </w:t>
      </w:r>
      <w:r w:rsidR="002C5CCA">
        <w:rPr>
          <w:rFonts w:eastAsia="Calibri"/>
          <w:kern w:val="2"/>
          <w:lang w:val="en-US"/>
          <w14:ligatures w14:val="standardContextual"/>
        </w:rPr>
        <w:t>G</w:t>
      </w:r>
      <w:r w:rsidR="00CB56F0">
        <w:rPr>
          <w:rFonts w:eastAsia="Calibri"/>
          <w:kern w:val="2"/>
          <w:lang w:val="en-US"/>
          <w14:ligatures w14:val="standardContextual"/>
        </w:rPr>
        <w:t>1 parties</w:t>
      </w:r>
      <w:r w:rsidR="004812BA" w:rsidRPr="00183625">
        <w:rPr>
          <w:rFonts w:eastAsia="Calibri"/>
          <w:kern w:val="2"/>
          <w:lang w:val="en-US"/>
          <w14:ligatures w14:val="standardContextual"/>
        </w:rPr>
        <w:t xml:space="preserve">, except that the </w:t>
      </w:r>
      <w:r w:rsidR="0005573A">
        <w:rPr>
          <w:rFonts w:eastAsia="Calibri"/>
          <w:kern w:val="2"/>
          <w:lang w:val="en-US"/>
          <w14:ligatures w14:val="standardContextual"/>
        </w:rPr>
        <w:t xml:space="preserve">baseline </w:t>
      </w:r>
      <w:r w:rsidR="004812BA" w:rsidRPr="00183625">
        <w:rPr>
          <w:rFonts w:eastAsia="Calibri"/>
          <w:kern w:val="2"/>
          <w:lang w:val="en-US"/>
          <w14:ligatures w14:val="standardContextual"/>
        </w:rPr>
        <w:t xml:space="preserve">period </w:t>
      </w:r>
      <w:r w:rsidR="00DF3D40">
        <w:rPr>
          <w:rFonts w:eastAsia="Calibri"/>
          <w:kern w:val="2"/>
          <w:lang w:val="en-US"/>
          <w14:ligatures w14:val="standardContextual"/>
        </w:rPr>
        <w:t xml:space="preserve">is based on the </w:t>
      </w:r>
      <w:r w:rsidR="009F6C3E">
        <w:rPr>
          <w:rFonts w:eastAsia="Calibri"/>
          <w:kern w:val="2"/>
          <w:lang w:val="en-US"/>
          <w14:ligatures w14:val="standardContextual"/>
        </w:rPr>
        <w:t xml:space="preserve">average </w:t>
      </w:r>
      <w:r w:rsidR="00DF3D40">
        <w:rPr>
          <w:rFonts w:eastAsia="Calibri"/>
          <w:kern w:val="2"/>
          <w:lang w:val="en-US"/>
          <w14:ligatures w14:val="standardContextual"/>
        </w:rPr>
        <w:t xml:space="preserve">HFC </w:t>
      </w:r>
      <w:r w:rsidR="009F6C3E">
        <w:rPr>
          <w:rFonts w:eastAsia="Calibri"/>
          <w:kern w:val="2"/>
          <w:lang w:val="en-US"/>
          <w14:ligatures w14:val="standardContextual"/>
        </w:rPr>
        <w:t>consumption</w:t>
      </w:r>
      <w:r w:rsidR="0063452B">
        <w:rPr>
          <w:rFonts w:eastAsia="Calibri"/>
          <w:kern w:val="2"/>
          <w:lang w:val="en-US"/>
          <w14:ligatures w14:val="standardContextual"/>
        </w:rPr>
        <w:t xml:space="preserve"> </w:t>
      </w:r>
      <w:r w:rsidR="00DF3D40">
        <w:rPr>
          <w:rFonts w:eastAsia="Calibri"/>
          <w:kern w:val="2"/>
          <w:lang w:val="en-US"/>
          <w14:ligatures w14:val="standardContextual"/>
        </w:rPr>
        <w:t xml:space="preserve">for the years </w:t>
      </w:r>
      <w:r w:rsidR="004812BA" w:rsidRPr="00183625">
        <w:rPr>
          <w:rFonts w:eastAsia="Calibri"/>
          <w:kern w:val="2"/>
          <w:lang w:val="en-US"/>
          <w14:ligatures w14:val="standardContextual"/>
        </w:rPr>
        <w:t>2024</w:t>
      </w:r>
      <w:r w:rsidR="00DF3D40">
        <w:rPr>
          <w:rFonts w:eastAsia="Calibri"/>
          <w:kern w:val="2"/>
          <w:lang w:val="en-US"/>
          <w14:ligatures w14:val="standardContextual"/>
        </w:rPr>
        <w:t>-</w:t>
      </w:r>
      <w:r w:rsidR="004812BA" w:rsidRPr="00183625">
        <w:rPr>
          <w:rFonts w:eastAsia="Calibri"/>
          <w:kern w:val="2"/>
          <w:lang w:val="en-US"/>
          <w14:ligatures w14:val="standardContextual"/>
        </w:rPr>
        <w:t>2026.</w:t>
      </w:r>
    </w:p>
    <w:p w14:paraId="11D348B5" w14:textId="77777777" w:rsidR="0040066C" w:rsidRPr="00183625" w:rsidRDefault="0040066C" w:rsidP="004812BA">
      <w:pPr>
        <w:tabs>
          <w:tab w:val="left" w:pos="7920"/>
        </w:tabs>
        <w:spacing w:after="0"/>
        <w:rPr>
          <w:rFonts w:eastAsia="Calibri"/>
          <w:kern w:val="2"/>
          <w:lang w:val="en-US"/>
          <w14:ligatures w14:val="standardContextual"/>
        </w:rPr>
      </w:pPr>
    </w:p>
    <w:p w14:paraId="2484734E" w14:textId="10C7770E" w:rsidR="004812BA" w:rsidRPr="00D44222" w:rsidRDefault="00B20B5F" w:rsidP="00524D45">
      <w:pPr>
        <w:rPr>
          <w:b/>
          <w:lang w:val="en-US"/>
        </w:rPr>
      </w:pPr>
      <w:r w:rsidRPr="001143A0">
        <w:rPr>
          <w:b/>
          <w:bCs/>
          <w:lang w:val="en-US"/>
        </w:rPr>
        <w:t xml:space="preserve">The </w:t>
      </w:r>
      <w:r w:rsidR="004812BA" w:rsidRPr="001143A0">
        <w:rPr>
          <w:b/>
          <w:bCs/>
          <w:lang w:val="en-US"/>
        </w:rPr>
        <w:t xml:space="preserve">HFC </w:t>
      </w:r>
      <w:r w:rsidRPr="001143A0">
        <w:rPr>
          <w:b/>
          <w:bCs/>
          <w:kern w:val="2"/>
          <w:lang w:val="en-US"/>
          <w14:ligatures w14:val="standardContextual"/>
        </w:rPr>
        <w:t>b</w:t>
      </w:r>
      <w:r w:rsidR="004812BA" w:rsidRPr="001143A0">
        <w:rPr>
          <w:b/>
          <w:bCs/>
          <w:kern w:val="2"/>
          <w:lang w:val="en-US"/>
          <w14:ligatures w14:val="standardContextual"/>
        </w:rPr>
        <w:t xml:space="preserve">aseline </w:t>
      </w:r>
      <w:r w:rsidR="00C513AD" w:rsidRPr="001143A0">
        <w:rPr>
          <w:b/>
          <w:bCs/>
          <w:kern w:val="2"/>
          <w:lang w:val="en-US"/>
          <w14:ligatures w14:val="standardContextual"/>
        </w:rPr>
        <w:t>f</w:t>
      </w:r>
      <w:r w:rsidR="004812BA" w:rsidRPr="001143A0">
        <w:rPr>
          <w:b/>
          <w:bCs/>
          <w:kern w:val="2"/>
          <w:lang w:val="en-US"/>
          <w14:ligatures w14:val="standardContextual"/>
        </w:rPr>
        <w:t>ormula</w:t>
      </w:r>
      <w:r w:rsidR="00C513AD" w:rsidRPr="001143A0">
        <w:rPr>
          <w:b/>
          <w:bCs/>
          <w:kern w:val="2"/>
          <w:lang w:val="en-US"/>
          <w14:ligatures w14:val="standardContextual"/>
        </w:rPr>
        <w:t>s</w:t>
      </w:r>
      <w:r>
        <w:rPr>
          <w:kern w:val="2"/>
          <w:lang w:val="en-US"/>
          <w14:ligatures w14:val="standardContextual"/>
        </w:rPr>
        <w:t xml:space="preserve"> are as follows:</w:t>
      </w:r>
    </w:p>
    <w:p w14:paraId="08482E6A" w14:textId="443998DB" w:rsidR="004812BA" w:rsidRPr="00183625" w:rsidRDefault="004812BA" w:rsidP="004812BA">
      <w:pPr>
        <w:tabs>
          <w:tab w:val="left" w:pos="7920"/>
        </w:tabs>
        <w:spacing w:after="160" w:line="259" w:lineRule="auto"/>
        <w:rPr>
          <w:rFonts w:eastAsia="Calibri"/>
          <w:kern w:val="2"/>
          <w:lang w:val="en-US"/>
          <w14:ligatures w14:val="standardContextual"/>
        </w:rPr>
      </w:pPr>
      <w:r w:rsidRPr="00183625">
        <w:rPr>
          <w:rFonts w:eastAsia="Calibri"/>
          <w:kern w:val="2"/>
          <w:lang w:val="en-US"/>
          <w14:ligatures w14:val="standardContextual"/>
        </w:rPr>
        <w:t>Group 1</w:t>
      </w:r>
      <w:r w:rsidR="00C513AD">
        <w:rPr>
          <w:rFonts w:eastAsia="Calibri"/>
          <w:kern w:val="2"/>
          <w:lang w:val="en-US"/>
          <w14:ligatures w14:val="standardContextual"/>
        </w:rPr>
        <w:t xml:space="preserve"> baseline</w:t>
      </w:r>
      <m:oMath>
        <m:r>
          <m:rPr>
            <m:sty m:val="p"/>
          </m:rPr>
          <w:rPr>
            <w:rFonts w:ascii="Cambria Math" w:eastAsia="Calibri" w:hAnsi="Cambria Math"/>
            <w:kern w:val="2"/>
            <w:lang w:val="en-US"/>
            <w14:ligatures w14:val="standardContextual"/>
          </w:rPr>
          <m:t> </m:t>
        </m:r>
        <m:r>
          <w:rPr>
            <w:rFonts w:ascii="Cambria Math" w:eastAsia="Calibri" w:hAnsi="Cambria Math"/>
            <w:kern w:val="2"/>
            <w:lang w:val="en-US"/>
            <w14:ligatures w14:val="standardContextual"/>
          </w:rPr>
          <m:t>=</m:t>
        </m:r>
      </m:oMath>
      <w:r w:rsidRPr="00183625">
        <w:rPr>
          <w:rFonts w:eastAsia="Calibri"/>
          <w:kern w:val="2"/>
          <w:lang w:val="en-US"/>
          <w14:ligatures w14:val="standardContextual"/>
        </w:rPr>
        <w:t xml:space="preserve"> </w:t>
      </w:r>
      <m:oMath>
        <m:d>
          <m:dPr>
            <m:ctrlPr>
              <w:rPr>
                <w:rFonts w:ascii="Cambria Math" w:eastAsia="Calibri" w:hAnsi="Cambria Math"/>
                <w:i/>
                <w:iCs/>
                <w:kern w:val="2"/>
                <w:lang w:val="en-US"/>
                <w14:ligatures w14:val="standardContextual"/>
              </w:rPr>
            </m:ctrlPr>
          </m:dPr>
          <m:e>
            <m:r>
              <m:rPr>
                <m:nor/>
              </m:rPr>
              <w:rPr>
                <w:rFonts w:eastAsia="Calibri"/>
                <w:kern w:val="2"/>
                <w:lang w:val="en-US"/>
                <w14:ligatures w14:val="standardContextual"/>
              </w:rPr>
              <m:t>100%</m:t>
            </m:r>
            <m:r>
              <w:rPr>
                <w:rFonts w:ascii="Cambria Math" w:eastAsia="Calibri" w:hAnsi="Cambria Math"/>
                <w:kern w:val="2"/>
                <w:lang w:val="en-US"/>
                <w14:ligatures w14:val="standardContextual"/>
              </w:rPr>
              <m:t>×</m:t>
            </m:r>
            <m:f>
              <m:fPr>
                <m:ctrlPr>
                  <w:rPr>
                    <w:rFonts w:ascii="Cambria Math" w:eastAsia="Calibri" w:hAnsi="Cambria Math"/>
                    <w:i/>
                    <w:iCs/>
                    <w:kern w:val="2"/>
                    <w:lang w:val="en-US"/>
                    <w14:ligatures w14:val="standardContextual"/>
                  </w:rPr>
                </m:ctrlPr>
              </m:fPr>
              <m:num>
                <m:r>
                  <w:rPr>
                    <w:rFonts w:ascii="Cambria Math" w:eastAsia="Calibri" w:hAnsi="Cambria Math"/>
                    <w:kern w:val="2"/>
                    <w:lang w:val="en-US"/>
                    <w14:ligatures w14:val="standardContextual"/>
                  </w:rPr>
                  <m:t>HFC 2020+HFC 2021+HFC 2022</m:t>
                </m:r>
              </m:num>
              <m:den>
                <m:r>
                  <w:rPr>
                    <w:rFonts w:ascii="Cambria Math" w:eastAsia="Calibri" w:hAnsi="Cambria Math"/>
                    <w:kern w:val="2"/>
                    <w:lang w:val="en-US"/>
                    <w14:ligatures w14:val="standardContextual"/>
                  </w:rPr>
                  <m:t>3</m:t>
                </m:r>
              </m:den>
            </m:f>
          </m:e>
        </m:d>
        <m:r>
          <w:rPr>
            <w:rFonts w:ascii="Cambria Math" w:eastAsia="Calibri" w:hAnsi="Cambria Math"/>
            <w:kern w:val="2"/>
            <w:lang w:val="en-US"/>
            <w14:ligatures w14:val="standardContextual"/>
          </w:rPr>
          <m:t> </m:t>
        </m:r>
      </m:oMath>
      <w:r w:rsidRPr="00183625">
        <w:rPr>
          <w:rFonts w:eastAsia="Calibri"/>
          <w:kern w:val="2"/>
          <w:lang w:val="en-US"/>
          <w14:ligatures w14:val="standardContextual"/>
        </w:rPr>
        <w:t xml:space="preserve">+   </w:t>
      </w:r>
      <m:oMath>
        <m:d>
          <m:dPr>
            <m:ctrlPr>
              <w:rPr>
                <w:rFonts w:ascii="Cambria Math" w:eastAsia="Calibri" w:hAnsi="Cambria Math"/>
                <w:i/>
                <w:iCs/>
                <w:kern w:val="2"/>
                <w:lang w:val="en-US"/>
                <w14:ligatures w14:val="standardContextual"/>
              </w:rPr>
            </m:ctrlPr>
          </m:dPr>
          <m:e>
            <m:r>
              <w:rPr>
                <w:rFonts w:ascii="Cambria Math" w:eastAsia="Calibri" w:hAnsi="Cambria Math"/>
                <w:kern w:val="2"/>
                <w:lang w:val="en-US"/>
                <w14:ligatures w14:val="standardContextual"/>
              </w:rPr>
              <m:t>65%×HCFC Baseline</m:t>
            </m:r>
          </m:e>
        </m:d>
      </m:oMath>
    </w:p>
    <w:p w14:paraId="54295007" w14:textId="15695225" w:rsidR="004812BA" w:rsidRPr="00183625" w:rsidRDefault="004812BA" w:rsidP="004812BA">
      <w:pPr>
        <w:tabs>
          <w:tab w:val="left" w:pos="7920"/>
        </w:tabs>
        <w:spacing w:after="160" w:line="259" w:lineRule="auto"/>
        <w:rPr>
          <w:rFonts w:eastAsia="Calibri"/>
          <w:kern w:val="2"/>
          <w:lang w:val="en-US"/>
          <w14:ligatures w14:val="standardContextual"/>
        </w:rPr>
      </w:pPr>
      <w:r w:rsidRPr="00183625">
        <w:rPr>
          <w:rFonts w:eastAsia="Calibri"/>
          <w:kern w:val="2"/>
          <w:lang w:val="en-US"/>
          <w14:ligatures w14:val="standardContextual"/>
        </w:rPr>
        <w:t>Group 2</w:t>
      </w:r>
      <w:r w:rsidR="00C513AD">
        <w:rPr>
          <w:rFonts w:eastAsia="Calibri"/>
          <w:kern w:val="2"/>
          <w:lang w:val="en-US"/>
          <w14:ligatures w14:val="standardContextual"/>
        </w:rPr>
        <w:t xml:space="preserve"> baseline</w:t>
      </w:r>
      <w:r w:rsidRPr="00183625">
        <w:rPr>
          <w:rFonts w:eastAsia="Calibri"/>
          <w:kern w:val="2"/>
          <w:lang w:val="en-US"/>
          <w14:ligatures w14:val="standardContextual"/>
        </w:rPr>
        <w:t xml:space="preserve"> </w:t>
      </w:r>
      <m:oMath>
        <m:r>
          <w:rPr>
            <w:rFonts w:ascii="Cambria Math" w:eastAsia="Calibri" w:hAnsi="Cambria Math"/>
            <w:kern w:val="2"/>
            <w:lang w:val="en-US"/>
            <w14:ligatures w14:val="standardContextual"/>
          </w:rPr>
          <m:t>=</m:t>
        </m:r>
        <m:d>
          <m:dPr>
            <m:ctrlPr>
              <w:rPr>
                <w:rFonts w:ascii="Cambria Math" w:eastAsia="Calibri" w:hAnsi="Cambria Math"/>
                <w:i/>
                <w:iCs/>
                <w:kern w:val="2"/>
                <w:lang w:val="en-US"/>
                <w14:ligatures w14:val="standardContextual"/>
              </w:rPr>
            </m:ctrlPr>
          </m:dPr>
          <m:e>
            <m:r>
              <m:rPr>
                <m:nor/>
              </m:rPr>
              <w:rPr>
                <w:rFonts w:eastAsia="Calibri"/>
                <w:kern w:val="2"/>
                <w:lang w:val="en-US"/>
                <w14:ligatures w14:val="standardContextual"/>
              </w:rPr>
              <m:t>100%</m:t>
            </m:r>
            <m:r>
              <w:rPr>
                <w:rFonts w:ascii="Cambria Math" w:eastAsia="Calibri" w:hAnsi="Cambria Math"/>
                <w:kern w:val="2"/>
                <w:lang w:val="en-US"/>
                <w14:ligatures w14:val="standardContextual"/>
              </w:rPr>
              <m:t>×</m:t>
            </m:r>
            <m:f>
              <m:fPr>
                <m:ctrlPr>
                  <w:rPr>
                    <w:rFonts w:ascii="Cambria Math" w:eastAsia="Calibri" w:hAnsi="Cambria Math"/>
                    <w:i/>
                    <w:iCs/>
                    <w:kern w:val="2"/>
                    <w:lang w:val="en-US"/>
                    <w14:ligatures w14:val="standardContextual"/>
                  </w:rPr>
                </m:ctrlPr>
              </m:fPr>
              <m:num>
                <m:r>
                  <w:rPr>
                    <w:rFonts w:ascii="Cambria Math" w:eastAsia="Calibri" w:hAnsi="Cambria Math"/>
                    <w:kern w:val="2"/>
                    <w:lang w:val="en-US"/>
                    <w14:ligatures w14:val="standardContextual"/>
                  </w:rPr>
                  <m:t>HFC 2024+HFC 2025+HFC 2026</m:t>
                </m:r>
              </m:num>
              <m:den>
                <m:r>
                  <w:rPr>
                    <w:rFonts w:ascii="Cambria Math" w:eastAsia="Calibri" w:hAnsi="Cambria Math"/>
                    <w:kern w:val="2"/>
                    <w:lang w:val="en-US"/>
                    <w14:ligatures w14:val="standardContextual"/>
                  </w:rPr>
                  <m:t>3</m:t>
                </m:r>
              </m:den>
            </m:f>
          </m:e>
        </m:d>
      </m:oMath>
      <w:r w:rsidRPr="00183625">
        <w:rPr>
          <w:rFonts w:eastAsia="Calibri"/>
          <w:kern w:val="2"/>
          <w:lang w:val="en-US"/>
          <w14:ligatures w14:val="standardContextual"/>
        </w:rPr>
        <w:t xml:space="preserve">  + </w:t>
      </w:r>
      <m:oMath>
        <m:d>
          <m:dPr>
            <m:ctrlPr>
              <w:rPr>
                <w:rFonts w:ascii="Cambria Math" w:eastAsia="Calibri" w:hAnsi="Cambria Math"/>
                <w:i/>
                <w:iCs/>
                <w:kern w:val="2"/>
                <w:lang w:val="en-US"/>
                <w14:ligatures w14:val="standardContextual"/>
              </w:rPr>
            </m:ctrlPr>
          </m:dPr>
          <m:e>
            <m:r>
              <w:rPr>
                <w:rFonts w:ascii="Cambria Math" w:eastAsia="Calibri" w:hAnsi="Cambria Math"/>
                <w:kern w:val="2"/>
                <w:lang w:val="en-US"/>
                <w14:ligatures w14:val="standardContextual"/>
              </w:rPr>
              <m:t>65%×HCFC Baseline</m:t>
            </m:r>
          </m:e>
        </m:d>
      </m:oMath>
    </w:p>
    <w:p w14:paraId="4FF00D3C" w14:textId="528D0414" w:rsidR="004812BA" w:rsidRDefault="004812BA" w:rsidP="004812BA">
      <w:pPr>
        <w:tabs>
          <w:tab w:val="left" w:pos="7920"/>
        </w:tabs>
        <w:spacing w:after="160" w:line="259" w:lineRule="auto"/>
        <w:rPr>
          <w:rFonts w:eastAsia="Calibri"/>
          <w:kern w:val="2"/>
          <w:lang w:val="en-US"/>
          <w14:ligatures w14:val="standardContextual"/>
        </w:rPr>
      </w:pPr>
      <w:r w:rsidRPr="00183625">
        <w:rPr>
          <w:rFonts w:eastAsia="Calibri"/>
          <w:kern w:val="2"/>
          <w:lang w:val="en-US"/>
          <w14:ligatures w14:val="standardContextual"/>
        </w:rPr>
        <w:t xml:space="preserve">The baseline periods and </w:t>
      </w:r>
      <w:r w:rsidR="00507401" w:rsidRPr="00507401">
        <w:rPr>
          <w:rFonts w:eastAsia="Calibri"/>
          <w:kern w:val="2"/>
          <w:lang w:val="en-US"/>
          <w14:ligatures w14:val="standardContextual"/>
        </w:rPr>
        <w:t>corresponding</w:t>
      </w:r>
      <w:r w:rsidR="00507401">
        <w:rPr>
          <w:rFonts w:eastAsia="Calibri"/>
          <w:kern w:val="2"/>
          <w:lang w:val="en-US"/>
          <w14:ligatures w14:val="standardContextual"/>
        </w:rPr>
        <w:t xml:space="preserve"> </w:t>
      </w:r>
      <w:r w:rsidRPr="00183625">
        <w:rPr>
          <w:rFonts w:eastAsia="Calibri"/>
          <w:kern w:val="2"/>
          <w:lang w:val="en-US"/>
          <w14:ligatures w14:val="standardContextual"/>
        </w:rPr>
        <w:t xml:space="preserve">control targets for both G1 and </w:t>
      </w:r>
      <w:r w:rsidR="00507401">
        <w:rPr>
          <w:rFonts w:eastAsia="Calibri"/>
          <w:kern w:val="2"/>
          <w:lang w:val="en-US"/>
          <w14:ligatures w14:val="standardContextual"/>
        </w:rPr>
        <w:t>G</w:t>
      </w:r>
      <w:r w:rsidRPr="00183625">
        <w:rPr>
          <w:rFonts w:eastAsia="Calibri"/>
          <w:kern w:val="2"/>
          <w:lang w:val="en-US"/>
          <w14:ligatures w14:val="standardContextual"/>
        </w:rPr>
        <w:t xml:space="preserve">2 </w:t>
      </w:r>
      <w:r w:rsidR="00507401">
        <w:rPr>
          <w:rFonts w:eastAsia="Calibri"/>
          <w:kern w:val="2"/>
          <w:lang w:val="en-US"/>
          <w14:ligatures w14:val="standardContextual"/>
        </w:rPr>
        <w:t xml:space="preserve">parties </w:t>
      </w:r>
      <w:r w:rsidRPr="00183625">
        <w:rPr>
          <w:rFonts w:eastAsia="Calibri"/>
          <w:kern w:val="2"/>
          <w:lang w:val="en-US"/>
          <w14:ligatures w14:val="standardContextual"/>
        </w:rPr>
        <w:t xml:space="preserve">are </w:t>
      </w:r>
      <w:r w:rsidR="00507401">
        <w:rPr>
          <w:rFonts w:eastAsia="Calibri"/>
          <w:kern w:val="2"/>
          <w:lang w:val="en-US"/>
          <w14:ligatures w14:val="standardContextual"/>
        </w:rPr>
        <w:t xml:space="preserve">presented </w:t>
      </w:r>
      <w:r w:rsidRPr="00183625">
        <w:rPr>
          <w:rFonts w:eastAsia="Calibri"/>
          <w:kern w:val="2"/>
          <w:lang w:val="en-US"/>
          <w14:ligatures w14:val="standardContextual"/>
        </w:rPr>
        <w:t>below.</w:t>
      </w:r>
    </w:p>
    <w:p w14:paraId="473897D4" w14:textId="08E98EDB" w:rsidR="004812BA" w:rsidRPr="00CA471D" w:rsidRDefault="00CA471D" w:rsidP="002135B0">
      <w:pPr>
        <w:tabs>
          <w:tab w:val="left" w:pos="1276"/>
        </w:tabs>
        <w:spacing w:after="120"/>
        <w:ind w:left="1411" w:hanging="1411"/>
        <w:rPr>
          <w:b/>
        </w:rPr>
      </w:pPr>
      <w:r w:rsidRPr="00E42C5E">
        <w:rPr>
          <w:rFonts w:eastAsiaTheme="minorHAnsi"/>
          <w:b/>
          <w:bCs/>
        </w:rPr>
        <w:t xml:space="preserve">Table </w:t>
      </w:r>
      <w:r>
        <w:rPr>
          <w:rFonts w:eastAsiaTheme="minorHAnsi"/>
          <w:b/>
          <w:bCs/>
        </w:rPr>
        <w:t>A3.1</w:t>
      </w:r>
      <w:r w:rsidR="00FF681F">
        <w:rPr>
          <w:rFonts w:eastAsiaTheme="minorHAnsi"/>
          <w:b/>
          <w:bCs/>
        </w:rPr>
        <w:t>:</w:t>
      </w:r>
      <w:r w:rsidRPr="00E42C5E">
        <w:rPr>
          <w:rFonts w:eastAsiaTheme="minorHAnsi"/>
          <w:b/>
          <w:bCs/>
        </w:rPr>
        <w:tab/>
      </w:r>
      <w:r w:rsidRPr="00CA471D">
        <w:rPr>
          <w:rFonts w:eastAsia="Calibri"/>
          <w:b/>
          <w:bCs/>
          <w:color w:val="000000"/>
          <w:lang w:val="en-US"/>
        </w:rPr>
        <w:t>Baseline periods and control targets</w:t>
      </w:r>
    </w:p>
    <w:tbl>
      <w:tblPr>
        <w:tblStyle w:val="TableGrid12"/>
        <w:tblW w:w="5000" w:type="pct"/>
        <w:tblLook w:val="04A0" w:firstRow="1" w:lastRow="0" w:firstColumn="1" w:lastColumn="0" w:noHBand="0" w:noVBand="1"/>
      </w:tblPr>
      <w:tblGrid>
        <w:gridCol w:w="2070"/>
        <w:gridCol w:w="3628"/>
        <w:gridCol w:w="3376"/>
      </w:tblGrid>
      <w:tr w:rsidR="004812BA" w:rsidRPr="00183625" w14:paraId="31E4BC32" w14:textId="77777777" w:rsidTr="001E05E8">
        <w:trPr>
          <w:trHeight w:val="256"/>
        </w:trPr>
        <w:tc>
          <w:tcPr>
            <w:tcW w:w="1141" w:type="pct"/>
            <w:shd w:val="clear" w:color="auto" w:fill="C5E0B3"/>
          </w:tcPr>
          <w:p w14:paraId="61258278" w14:textId="77777777" w:rsidR="004812BA" w:rsidRPr="00183625" w:rsidRDefault="004812BA" w:rsidP="006233FA">
            <w:pPr>
              <w:tabs>
                <w:tab w:val="left" w:pos="7920"/>
              </w:tabs>
              <w:spacing w:after="0"/>
              <w:rPr>
                <w:b/>
                <w:lang w:val="en-US"/>
              </w:rPr>
            </w:pPr>
          </w:p>
        </w:tc>
        <w:tc>
          <w:tcPr>
            <w:tcW w:w="1999" w:type="pct"/>
            <w:shd w:val="clear" w:color="auto" w:fill="B4C6E7"/>
          </w:tcPr>
          <w:p w14:paraId="770B295B" w14:textId="77777777" w:rsidR="004812BA" w:rsidRPr="00183625" w:rsidRDefault="004812BA" w:rsidP="006233FA">
            <w:pPr>
              <w:tabs>
                <w:tab w:val="left" w:pos="7920"/>
              </w:tabs>
              <w:spacing w:after="0"/>
              <w:rPr>
                <w:b/>
                <w:i/>
                <w:lang w:val="en-US"/>
              </w:rPr>
            </w:pPr>
            <w:r w:rsidRPr="00183625">
              <w:rPr>
                <w:b/>
                <w:i/>
                <w:lang w:val="en-US"/>
              </w:rPr>
              <w:t>A5 Group 1</w:t>
            </w:r>
          </w:p>
        </w:tc>
        <w:tc>
          <w:tcPr>
            <w:tcW w:w="1860" w:type="pct"/>
            <w:shd w:val="clear" w:color="auto" w:fill="F4B083"/>
          </w:tcPr>
          <w:p w14:paraId="023E7A41" w14:textId="77777777" w:rsidR="004812BA" w:rsidRPr="00183625" w:rsidRDefault="004812BA" w:rsidP="006233FA">
            <w:pPr>
              <w:tabs>
                <w:tab w:val="left" w:pos="7920"/>
              </w:tabs>
              <w:spacing w:after="0"/>
              <w:rPr>
                <w:b/>
                <w:i/>
                <w:lang w:val="en-US"/>
              </w:rPr>
            </w:pPr>
            <w:r w:rsidRPr="00183625">
              <w:rPr>
                <w:b/>
                <w:i/>
                <w:lang w:val="en-US"/>
              </w:rPr>
              <w:t>A5 Group 2</w:t>
            </w:r>
          </w:p>
        </w:tc>
      </w:tr>
      <w:tr w:rsidR="004812BA" w:rsidRPr="00183625" w14:paraId="59996BF6" w14:textId="77777777" w:rsidTr="001E05E8">
        <w:trPr>
          <w:trHeight w:val="256"/>
        </w:trPr>
        <w:tc>
          <w:tcPr>
            <w:tcW w:w="1141" w:type="pct"/>
            <w:shd w:val="clear" w:color="auto" w:fill="C5E0B3"/>
          </w:tcPr>
          <w:p w14:paraId="2F14A6EE" w14:textId="77777777" w:rsidR="004812BA" w:rsidRPr="00183625" w:rsidRDefault="004812BA" w:rsidP="006233FA">
            <w:pPr>
              <w:tabs>
                <w:tab w:val="left" w:pos="7920"/>
              </w:tabs>
              <w:spacing w:after="0"/>
              <w:rPr>
                <w:b/>
                <w:lang w:val="en-US"/>
              </w:rPr>
            </w:pPr>
            <w:r w:rsidRPr="00183625">
              <w:rPr>
                <w:b/>
                <w:lang w:val="en-US"/>
              </w:rPr>
              <w:t>Baseline</w:t>
            </w:r>
          </w:p>
        </w:tc>
        <w:tc>
          <w:tcPr>
            <w:tcW w:w="1999" w:type="pct"/>
            <w:shd w:val="clear" w:color="auto" w:fill="B4C6E7"/>
          </w:tcPr>
          <w:p w14:paraId="4654BDFF" w14:textId="77777777" w:rsidR="004812BA" w:rsidRPr="00183625" w:rsidRDefault="004812BA" w:rsidP="006233FA">
            <w:pPr>
              <w:tabs>
                <w:tab w:val="left" w:pos="7920"/>
              </w:tabs>
              <w:spacing w:after="0"/>
              <w:rPr>
                <w:lang w:val="en-US"/>
              </w:rPr>
            </w:pPr>
            <w:r w:rsidRPr="00183625">
              <w:rPr>
                <w:lang w:val="en-US"/>
              </w:rPr>
              <w:t>2020-2022</w:t>
            </w:r>
          </w:p>
        </w:tc>
        <w:tc>
          <w:tcPr>
            <w:tcW w:w="1860" w:type="pct"/>
            <w:shd w:val="clear" w:color="auto" w:fill="F4B083"/>
          </w:tcPr>
          <w:p w14:paraId="3C09A8B1" w14:textId="77777777" w:rsidR="004812BA" w:rsidRPr="00183625" w:rsidRDefault="004812BA" w:rsidP="006233FA">
            <w:pPr>
              <w:tabs>
                <w:tab w:val="left" w:pos="7920"/>
              </w:tabs>
              <w:spacing w:after="0"/>
              <w:rPr>
                <w:lang w:val="en-US"/>
              </w:rPr>
            </w:pPr>
            <w:r w:rsidRPr="00183625">
              <w:rPr>
                <w:lang w:val="en-US"/>
              </w:rPr>
              <w:t>2024-2026</w:t>
            </w:r>
          </w:p>
        </w:tc>
      </w:tr>
      <w:tr w:rsidR="004812BA" w:rsidRPr="00183625" w14:paraId="4803B7E8" w14:textId="77777777" w:rsidTr="001E05E8">
        <w:trPr>
          <w:trHeight w:val="512"/>
        </w:trPr>
        <w:tc>
          <w:tcPr>
            <w:tcW w:w="1141" w:type="pct"/>
            <w:shd w:val="clear" w:color="auto" w:fill="C5E0B3"/>
          </w:tcPr>
          <w:p w14:paraId="6DCF9827" w14:textId="77777777" w:rsidR="004812BA" w:rsidRPr="00183625" w:rsidRDefault="004812BA" w:rsidP="006233FA">
            <w:pPr>
              <w:tabs>
                <w:tab w:val="left" w:pos="7920"/>
              </w:tabs>
              <w:spacing w:after="0"/>
              <w:rPr>
                <w:b/>
                <w:lang w:val="en-US"/>
              </w:rPr>
            </w:pPr>
            <w:r w:rsidRPr="00183625">
              <w:rPr>
                <w:b/>
                <w:lang w:val="en-US"/>
              </w:rPr>
              <w:t>Formula</w:t>
            </w:r>
          </w:p>
        </w:tc>
        <w:tc>
          <w:tcPr>
            <w:tcW w:w="1999" w:type="pct"/>
            <w:shd w:val="clear" w:color="auto" w:fill="B4C6E7"/>
          </w:tcPr>
          <w:p w14:paraId="500CFD90" w14:textId="77777777" w:rsidR="004812BA" w:rsidRPr="00183625" w:rsidRDefault="004812BA" w:rsidP="006233FA">
            <w:pPr>
              <w:tabs>
                <w:tab w:val="left" w:pos="7920"/>
              </w:tabs>
              <w:spacing w:after="0"/>
              <w:rPr>
                <w:lang w:val="en-US"/>
              </w:rPr>
            </w:pPr>
            <w:r w:rsidRPr="00183625">
              <w:rPr>
                <w:lang w:val="en-US"/>
              </w:rPr>
              <w:t>Average HFC consumption</w:t>
            </w:r>
          </w:p>
        </w:tc>
        <w:tc>
          <w:tcPr>
            <w:tcW w:w="1860" w:type="pct"/>
            <w:shd w:val="clear" w:color="auto" w:fill="F4B083"/>
          </w:tcPr>
          <w:p w14:paraId="1D685EA6" w14:textId="77777777" w:rsidR="004812BA" w:rsidRPr="00183625" w:rsidRDefault="004812BA" w:rsidP="006233FA">
            <w:pPr>
              <w:tabs>
                <w:tab w:val="left" w:pos="7920"/>
              </w:tabs>
              <w:spacing w:after="0"/>
              <w:rPr>
                <w:lang w:val="en-US"/>
              </w:rPr>
            </w:pPr>
            <w:r w:rsidRPr="00183625">
              <w:rPr>
                <w:lang w:val="en-US"/>
              </w:rPr>
              <w:t>Average HFC consumption</w:t>
            </w:r>
          </w:p>
        </w:tc>
      </w:tr>
      <w:tr w:rsidR="004812BA" w:rsidRPr="00183625" w14:paraId="22696AC2" w14:textId="77777777" w:rsidTr="001E05E8">
        <w:trPr>
          <w:trHeight w:val="256"/>
        </w:trPr>
        <w:tc>
          <w:tcPr>
            <w:tcW w:w="1141" w:type="pct"/>
            <w:shd w:val="clear" w:color="auto" w:fill="C5E0B3"/>
          </w:tcPr>
          <w:p w14:paraId="51B3228F" w14:textId="77777777" w:rsidR="004812BA" w:rsidRPr="00183625" w:rsidRDefault="004812BA" w:rsidP="006233FA">
            <w:pPr>
              <w:tabs>
                <w:tab w:val="left" w:pos="7920"/>
              </w:tabs>
              <w:spacing w:after="0"/>
              <w:rPr>
                <w:b/>
                <w:lang w:val="en-US"/>
              </w:rPr>
            </w:pPr>
            <w:r w:rsidRPr="00183625">
              <w:rPr>
                <w:b/>
                <w:lang w:val="en-US"/>
              </w:rPr>
              <w:t>HCFC</w:t>
            </w:r>
          </w:p>
        </w:tc>
        <w:tc>
          <w:tcPr>
            <w:tcW w:w="1999" w:type="pct"/>
            <w:shd w:val="clear" w:color="auto" w:fill="B4C6E7"/>
          </w:tcPr>
          <w:p w14:paraId="6041BBA3" w14:textId="77777777" w:rsidR="004812BA" w:rsidRPr="00183625" w:rsidRDefault="004812BA" w:rsidP="006233FA">
            <w:pPr>
              <w:tabs>
                <w:tab w:val="left" w:pos="7920"/>
              </w:tabs>
              <w:spacing w:after="0"/>
              <w:rPr>
                <w:lang w:val="en-US"/>
              </w:rPr>
            </w:pPr>
            <w:r w:rsidRPr="00183625">
              <w:rPr>
                <w:lang w:val="en-US"/>
              </w:rPr>
              <w:t>65% baseline</w:t>
            </w:r>
          </w:p>
        </w:tc>
        <w:tc>
          <w:tcPr>
            <w:tcW w:w="1860" w:type="pct"/>
            <w:shd w:val="clear" w:color="auto" w:fill="F4B083"/>
          </w:tcPr>
          <w:p w14:paraId="54C84770" w14:textId="77777777" w:rsidR="004812BA" w:rsidRPr="00183625" w:rsidRDefault="004812BA" w:rsidP="006233FA">
            <w:pPr>
              <w:tabs>
                <w:tab w:val="left" w:pos="7920"/>
              </w:tabs>
              <w:spacing w:after="0"/>
              <w:rPr>
                <w:lang w:val="en-US"/>
              </w:rPr>
            </w:pPr>
            <w:r w:rsidRPr="00183625">
              <w:rPr>
                <w:lang w:val="en-US"/>
              </w:rPr>
              <w:t>65% baseline</w:t>
            </w:r>
          </w:p>
        </w:tc>
      </w:tr>
      <w:tr w:rsidR="004812BA" w:rsidRPr="00183625" w14:paraId="4A98EA42" w14:textId="77777777" w:rsidTr="001E05E8">
        <w:trPr>
          <w:trHeight w:val="256"/>
        </w:trPr>
        <w:tc>
          <w:tcPr>
            <w:tcW w:w="1141" w:type="pct"/>
            <w:shd w:val="clear" w:color="auto" w:fill="C5E0B3"/>
          </w:tcPr>
          <w:p w14:paraId="41314A80" w14:textId="77777777" w:rsidR="004812BA" w:rsidRPr="00183625" w:rsidRDefault="004812BA" w:rsidP="006233FA">
            <w:pPr>
              <w:tabs>
                <w:tab w:val="left" w:pos="7920"/>
              </w:tabs>
              <w:spacing w:after="0"/>
              <w:rPr>
                <w:b/>
                <w:lang w:val="en-US"/>
              </w:rPr>
            </w:pPr>
            <w:r w:rsidRPr="00183625">
              <w:rPr>
                <w:b/>
                <w:lang w:val="en-US"/>
              </w:rPr>
              <w:t>Freeze</w:t>
            </w:r>
          </w:p>
        </w:tc>
        <w:tc>
          <w:tcPr>
            <w:tcW w:w="1999" w:type="pct"/>
            <w:shd w:val="clear" w:color="auto" w:fill="B4C6E7"/>
          </w:tcPr>
          <w:p w14:paraId="1B03E8EB" w14:textId="77777777" w:rsidR="004812BA" w:rsidRPr="00183625" w:rsidRDefault="004812BA" w:rsidP="006233FA">
            <w:pPr>
              <w:tabs>
                <w:tab w:val="left" w:pos="7920"/>
              </w:tabs>
              <w:spacing w:after="0"/>
              <w:rPr>
                <w:lang w:val="en-US"/>
              </w:rPr>
            </w:pPr>
            <w:r w:rsidRPr="00183625">
              <w:rPr>
                <w:lang w:val="en-US"/>
              </w:rPr>
              <w:t>2024</w:t>
            </w:r>
          </w:p>
        </w:tc>
        <w:tc>
          <w:tcPr>
            <w:tcW w:w="1860" w:type="pct"/>
            <w:shd w:val="clear" w:color="auto" w:fill="F4B083"/>
          </w:tcPr>
          <w:p w14:paraId="000B3FBD" w14:textId="77777777" w:rsidR="004812BA" w:rsidRPr="00183625" w:rsidRDefault="004812BA" w:rsidP="006233FA">
            <w:pPr>
              <w:tabs>
                <w:tab w:val="left" w:pos="7920"/>
              </w:tabs>
              <w:spacing w:after="0"/>
              <w:rPr>
                <w:lang w:val="en-US"/>
              </w:rPr>
            </w:pPr>
            <w:r w:rsidRPr="00183625">
              <w:rPr>
                <w:lang w:val="en-US"/>
              </w:rPr>
              <w:t xml:space="preserve">2028 </w:t>
            </w:r>
          </w:p>
        </w:tc>
      </w:tr>
      <w:tr w:rsidR="004812BA" w:rsidRPr="00183625" w14:paraId="54539FE8" w14:textId="77777777" w:rsidTr="001E05E8">
        <w:trPr>
          <w:trHeight w:val="243"/>
        </w:trPr>
        <w:tc>
          <w:tcPr>
            <w:tcW w:w="1141" w:type="pct"/>
            <w:shd w:val="clear" w:color="auto" w:fill="C5E0B3"/>
          </w:tcPr>
          <w:p w14:paraId="675FD372" w14:textId="77777777" w:rsidR="004812BA" w:rsidRPr="00183625" w:rsidRDefault="004812BA" w:rsidP="006233FA">
            <w:pPr>
              <w:tabs>
                <w:tab w:val="left" w:pos="7920"/>
              </w:tabs>
              <w:spacing w:after="0"/>
              <w:rPr>
                <w:b/>
                <w:lang w:val="en-US"/>
              </w:rPr>
            </w:pPr>
            <w:r w:rsidRPr="00183625">
              <w:rPr>
                <w:b/>
                <w:lang w:val="en-US"/>
              </w:rPr>
              <w:t>1</w:t>
            </w:r>
            <w:r w:rsidRPr="00183625">
              <w:rPr>
                <w:b/>
                <w:vertAlign w:val="superscript"/>
                <w:lang w:val="en-US"/>
              </w:rPr>
              <w:t>st</w:t>
            </w:r>
            <w:r w:rsidRPr="00183625">
              <w:rPr>
                <w:b/>
                <w:lang w:val="en-US"/>
              </w:rPr>
              <w:t xml:space="preserve"> step</w:t>
            </w:r>
          </w:p>
        </w:tc>
        <w:tc>
          <w:tcPr>
            <w:tcW w:w="1999" w:type="pct"/>
            <w:shd w:val="clear" w:color="auto" w:fill="B4C6E7"/>
          </w:tcPr>
          <w:p w14:paraId="623FB259" w14:textId="77777777" w:rsidR="004812BA" w:rsidRPr="00183625" w:rsidRDefault="004812BA" w:rsidP="006233FA">
            <w:pPr>
              <w:tabs>
                <w:tab w:val="left" w:pos="7920"/>
              </w:tabs>
              <w:spacing w:after="0"/>
              <w:rPr>
                <w:lang w:val="en-US"/>
              </w:rPr>
            </w:pPr>
            <w:r w:rsidRPr="00183625">
              <w:rPr>
                <w:lang w:val="en-US"/>
              </w:rPr>
              <w:t>2029 – 10%</w:t>
            </w:r>
          </w:p>
        </w:tc>
        <w:tc>
          <w:tcPr>
            <w:tcW w:w="1860" w:type="pct"/>
            <w:shd w:val="clear" w:color="auto" w:fill="F4B083"/>
          </w:tcPr>
          <w:p w14:paraId="40A9FCCA" w14:textId="77777777" w:rsidR="004812BA" w:rsidRPr="00183625" w:rsidRDefault="004812BA" w:rsidP="006233FA">
            <w:pPr>
              <w:tabs>
                <w:tab w:val="left" w:pos="7920"/>
              </w:tabs>
              <w:spacing w:after="0"/>
              <w:rPr>
                <w:lang w:val="en-US"/>
              </w:rPr>
            </w:pPr>
            <w:r w:rsidRPr="00183625">
              <w:rPr>
                <w:lang w:val="en-US"/>
              </w:rPr>
              <w:t>2032 – 10%</w:t>
            </w:r>
          </w:p>
        </w:tc>
      </w:tr>
      <w:tr w:rsidR="004812BA" w:rsidRPr="00183625" w14:paraId="1547FE84" w14:textId="77777777" w:rsidTr="001E05E8">
        <w:trPr>
          <w:trHeight w:val="256"/>
        </w:trPr>
        <w:tc>
          <w:tcPr>
            <w:tcW w:w="1141" w:type="pct"/>
            <w:shd w:val="clear" w:color="auto" w:fill="C5E0B3"/>
          </w:tcPr>
          <w:p w14:paraId="272A6EE9" w14:textId="77777777" w:rsidR="004812BA" w:rsidRPr="00183625" w:rsidRDefault="004812BA" w:rsidP="006233FA">
            <w:pPr>
              <w:tabs>
                <w:tab w:val="left" w:pos="7920"/>
              </w:tabs>
              <w:spacing w:after="0"/>
              <w:rPr>
                <w:b/>
                <w:lang w:val="en-US"/>
              </w:rPr>
            </w:pPr>
            <w:r w:rsidRPr="00183625">
              <w:rPr>
                <w:b/>
                <w:lang w:val="en-US"/>
              </w:rPr>
              <w:t>2</w:t>
            </w:r>
            <w:r w:rsidRPr="00183625">
              <w:rPr>
                <w:b/>
                <w:vertAlign w:val="superscript"/>
                <w:lang w:val="en-US"/>
              </w:rPr>
              <w:t>nd</w:t>
            </w:r>
            <w:r w:rsidRPr="00183625">
              <w:rPr>
                <w:b/>
                <w:lang w:val="en-US"/>
              </w:rPr>
              <w:t xml:space="preserve"> step</w:t>
            </w:r>
          </w:p>
        </w:tc>
        <w:tc>
          <w:tcPr>
            <w:tcW w:w="1999" w:type="pct"/>
            <w:shd w:val="clear" w:color="auto" w:fill="B4C6E7"/>
          </w:tcPr>
          <w:p w14:paraId="21ED9C24" w14:textId="77777777" w:rsidR="004812BA" w:rsidRPr="00183625" w:rsidRDefault="004812BA" w:rsidP="006233FA">
            <w:pPr>
              <w:tabs>
                <w:tab w:val="left" w:pos="7920"/>
              </w:tabs>
              <w:spacing w:after="0"/>
              <w:rPr>
                <w:lang w:val="en-US"/>
              </w:rPr>
            </w:pPr>
            <w:r w:rsidRPr="00183625">
              <w:rPr>
                <w:lang w:val="en-US"/>
              </w:rPr>
              <w:t>2035 – 30%</w:t>
            </w:r>
          </w:p>
        </w:tc>
        <w:tc>
          <w:tcPr>
            <w:tcW w:w="1860" w:type="pct"/>
            <w:shd w:val="clear" w:color="auto" w:fill="F4B083"/>
          </w:tcPr>
          <w:p w14:paraId="338BCD19" w14:textId="77777777" w:rsidR="004812BA" w:rsidRPr="00183625" w:rsidRDefault="004812BA" w:rsidP="006233FA">
            <w:pPr>
              <w:tabs>
                <w:tab w:val="left" w:pos="7920"/>
              </w:tabs>
              <w:spacing w:after="0"/>
              <w:rPr>
                <w:lang w:val="en-US"/>
              </w:rPr>
            </w:pPr>
            <w:r w:rsidRPr="00183625">
              <w:rPr>
                <w:lang w:val="en-US"/>
              </w:rPr>
              <w:t>2037 – 20%</w:t>
            </w:r>
          </w:p>
        </w:tc>
      </w:tr>
      <w:tr w:rsidR="004812BA" w:rsidRPr="00183625" w14:paraId="1E26FFCD" w14:textId="77777777" w:rsidTr="001E05E8">
        <w:trPr>
          <w:trHeight w:val="256"/>
        </w:trPr>
        <w:tc>
          <w:tcPr>
            <w:tcW w:w="1141" w:type="pct"/>
            <w:shd w:val="clear" w:color="auto" w:fill="C5E0B3"/>
          </w:tcPr>
          <w:p w14:paraId="05FBDDE8" w14:textId="77777777" w:rsidR="004812BA" w:rsidRPr="00183625" w:rsidRDefault="004812BA" w:rsidP="006233FA">
            <w:pPr>
              <w:tabs>
                <w:tab w:val="left" w:pos="7920"/>
              </w:tabs>
              <w:spacing w:after="0"/>
              <w:rPr>
                <w:b/>
                <w:lang w:val="en-US"/>
              </w:rPr>
            </w:pPr>
            <w:r w:rsidRPr="00183625">
              <w:rPr>
                <w:b/>
                <w:lang w:val="en-US"/>
              </w:rPr>
              <w:t>3</w:t>
            </w:r>
            <w:r w:rsidRPr="00183625">
              <w:rPr>
                <w:b/>
                <w:vertAlign w:val="superscript"/>
                <w:lang w:val="en-US"/>
              </w:rPr>
              <w:t>rd</w:t>
            </w:r>
            <w:r w:rsidRPr="00183625">
              <w:rPr>
                <w:b/>
                <w:lang w:val="en-US"/>
              </w:rPr>
              <w:t xml:space="preserve"> step</w:t>
            </w:r>
          </w:p>
        </w:tc>
        <w:tc>
          <w:tcPr>
            <w:tcW w:w="1999" w:type="pct"/>
            <w:shd w:val="clear" w:color="auto" w:fill="B4C6E7"/>
          </w:tcPr>
          <w:p w14:paraId="2A7CB97E" w14:textId="77777777" w:rsidR="004812BA" w:rsidRPr="00183625" w:rsidRDefault="004812BA" w:rsidP="006233FA">
            <w:pPr>
              <w:tabs>
                <w:tab w:val="left" w:pos="7920"/>
              </w:tabs>
              <w:spacing w:after="0"/>
              <w:rPr>
                <w:lang w:val="en-US"/>
              </w:rPr>
            </w:pPr>
            <w:r w:rsidRPr="00183625">
              <w:rPr>
                <w:lang w:val="en-US"/>
              </w:rPr>
              <w:t>2040 – 50%</w:t>
            </w:r>
          </w:p>
        </w:tc>
        <w:tc>
          <w:tcPr>
            <w:tcW w:w="1860" w:type="pct"/>
            <w:shd w:val="clear" w:color="auto" w:fill="F4B083"/>
          </w:tcPr>
          <w:p w14:paraId="0DE4D0B2" w14:textId="77777777" w:rsidR="004812BA" w:rsidRPr="00183625" w:rsidRDefault="004812BA" w:rsidP="006233FA">
            <w:pPr>
              <w:tabs>
                <w:tab w:val="left" w:pos="7920"/>
              </w:tabs>
              <w:spacing w:after="0"/>
              <w:rPr>
                <w:lang w:val="en-US"/>
              </w:rPr>
            </w:pPr>
            <w:r w:rsidRPr="00183625">
              <w:rPr>
                <w:lang w:val="en-US"/>
              </w:rPr>
              <w:t>2042 – 30%</w:t>
            </w:r>
          </w:p>
        </w:tc>
      </w:tr>
      <w:tr w:rsidR="004812BA" w:rsidRPr="00183625" w14:paraId="488CAC35" w14:textId="77777777" w:rsidTr="001E05E8">
        <w:trPr>
          <w:trHeight w:val="256"/>
        </w:trPr>
        <w:tc>
          <w:tcPr>
            <w:tcW w:w="1141" w:type="pct"/>
            <w:shd w:val="clear" w:color="auto" w:fill="C5E0B3"/>
          </w:tcPr>
          <w:p w14:paraId="59302BB8" w14:textId="77777777" w:rsidR="004812BA" w:rsidRPr="00183625" w:rsidRDefault="004812BA" w:rsidP="006233FA">
            <w:pPr>
              <w:tabs>
                <w:tab w:val="left" w:pos="7920"/>
              </w:tabs>
              <w:spacing w:after="0"/>
              <w:rPr>
                <w:b/>
                <w:lang w:val="en-US"/>
              </w:rPr>
            </w:pPr>
            <w:r w:rsidRPr="00183625">
              <w:rPr>
                <w:b/>
                <w:lang w:val="en-US"/>
              </w:rPr>
              <w:t>4</w:t>
            </w:r>
            <w:r w:rsidRPr="00183625">
              <w:rPr>
                <w:b/>
                <w:vertAlign w:val="superscript"/>
                <w:lang w:val="en-US"/>
              </w:rPr>
              <w:t>th</w:t>
            </w:r>
            <w:r w:rsidRPr="00183625">
              <w:rPr>
                <w:b/>
                <w:lang w:val="en-US"/>
              </w:rPr>
              <w:t xml:space="preserve"> step </w:t>
            </w:r>
          </w:p>
        </w:tc>
        <w:tc>
          <w:tcPr>
            <w:tcW w:w="1999" w:type="pct"/>
            <w:shd w:val="clear" w:color="auto" w:fill="B4C6E7"/>
          </w:tcPr>
          <w:p w14:paraId="280A204A" w14:textId="77777777" w:rsidR="004812BA" w:rsidRPr="00183625" w:rsidRDefault="004812BA" w:rsidP="006233FA">
            <w:pPr>
              <w:tabs>
                <w:tab w:val="left" w:pos="7920"/>
              </w:tabs>
              <w:spacing w:after="0"/>
              <w:rPr>
                <w:lang w:val="en-US"/>
              </w:rPr>
            </w:pPr>
            <w:r w:rsidRPr="00183625">
              <w:rPr>
                <w:lang w:val="en-US"/>
              </w:rPr>
              <w:t>2045 – 80%</w:t>
            </w:r>
          </w:p>
        </w:tc>
        <w:tc>
          <w:tcPr>
            <w:tcW w:w="1860" w:type="pct"/>
            <w:shd w:val="clear" w:color="auto" w:fill="F4B083"/>
          </w:tcPr>
          <w:p w14:paraId="278586AF" w14:textId="77777777" w:rsidR="004812BA" w:rsidRPr="00183625" w:rsidRDefault="004812BA" w:rsidP="006233FA">
            <w:pPr>
              <w:tabs>
                <w:tab w:val="left" w:pos="7920"/>
              </w:tabs>
              <w:spacing w:after="0"/>
              <w:rPr>
                <w:lang w:val="en-US"/>
              </w:rPr>
            </w:pPr>
            <w:r w:rsidRPr="00183625">
              <w:rPr>
                <w:lang w:val="en-US"/>
              </w:rPr>
              <w:t>2047 – 85%</w:t>
            </w:r>
          </w:p>
        </w:tc>
      </w:tr>
    </w:tbl>
    <w:p w14:paraId="10F3B3DF" w14:textId="77777777" w:rsidR="00264FCD" w:rsidRDefault="00264FCD" w:rsidP="00B53F2B">
      <w:pPr>
        <w:rPr>
          <w:b/>
          <w:bCs/>
          <w:i/>
          <w:iCs/>
          <w:sz w:val="24"/>
          <w:szCs w:val="24"/>
          <w:lang w:val="en-US"/>
        </w:rPr>
      </w:pPr>
    </w:p>
    <w:p w14:paraId="7AA49A15" w14:textId="213BDF56" w:rsidR="004812BA" w:rsidRPr="00622FBA" w:rsidRDefault="004812BA" w:rsidP="00B53F2B">
      <w:pPr>
        <w:rPr>
          <w:b/>
          <w:bCs/>
          <w:sz w:val="24"/>
          <w:szCs w:val="24"/>
          <w:lang w:val="en-US"/>
        </w:rPr>
      </w:pPr>
      <w:r w:rsidRPr="00622FBA">
        <w:rPr>
          <w:b/>
          <w:bCs/>
          <w:sz w:val="24"/>
          <w:szCs w:val="24"/>
          <w:lang w:val="en-US"/>
        </w:rPr>
        <w:t>Data Gaps</w:t>
      </w:r>
      <w:r w:rsidR="017A1D62" w:rsidRPr="00622FBA">
        <w:rPr>
          <w:b/>
          <w:bCs/>
          <w:sz w:val="24"/>
          <w:szCs w:val="24"/>
          <w:lang w:val="en-US"/>
        </w:rPr>
        <w:t xml:space="preserve"> </w:t>
      </w:r>
    </w:p>
    <w:p w14:paraId="7B6337A9" w14:textId="4EE00956" w:rsidR="000A1C76" w:rsidRPr="00183625" w:rsidRDefault="34774729" w:rsidP="60B95D79">
      <w:pPr>
        <w:spacing w:after="160" w:line="259" w:lineRule="auto"/>
        <w:rPr>
          <w:rFonts w:eastAsia="Calibri"/>
          <w:b/>
          <w:bCs/>
          <w:color w:val="auto"/>
          <w:kern w:val="2"/>
          <w:highlight w:val="yellow"/>
          <w:lang w:val="en-US"/>
          <w14:ligatures w14:val="standardContextual"/>
        </w:rPr>
      </w:pPr>
      <w:r w:rsidRPr="2637F848">
        <w:rPr>
          <w:rFonts w:eastAsia="Calibri"/>
          <w:color w:val="auto"/>
        </w:rPr>
        <w:t>A</w:t>
      </w:r>
      <w:r w:rsidRPr="4AF65A38">
        <w:rPr>
          <w:rFonts w:eastAsia="Calibri"/>
          <w:kern w:val="2"/>
          <w14:ligatures w14:val="standardContextual"/>
        </w:rPr>
        <w:t>s</w:t>
      </w:r>
      <w:r w:rsidR="001031D3" w:rsidRPr="4AF65A38">
        <w:rPr>
          <w:rFonts w:eastAsia="Calibri"/>
          <w:kern w:val="2"/>
          <w14:ligatures w14:val="standardContextual"/>
        </w:rPr>
        <w:t xml:space="preserve"> </w:t>
      </w:r>
      <w:r w:rsidR="001031D3" w:rsidRPr="1D7C58C3">
        <w:rPr>
          <w:rFonts w:eastAsia="Calibri"/>
          <w:kern w:val="2"/>
          <w14:ligatures w14:val="standardContextual"/>
        </w:rPr>
        <w:t xml:space="preserve">of </w:t>
      </w:r>
      <w:r w:rsidR="00827514" w:rsidRPr="1D7C58C3">
        <w:rPr>
          <w:rFonts w:eastAsia="Calibri"/>
        </w:rPr>
        <w:t>6</w:t>
      </w:r>
      <w:r w:rsidR="007E47EA" w:rsidRPr="1D7C58C3">
        <w:rPr>
          <w:rFonts w:eastAsia="Calibri"/>
        </w:rPr>
        <w:t xml:space="preserve"> Ma</w:t>
      </w:r>
      <w:r w:rsidR="00827514" w:rsidRPr="1D7C58C3">
        <w:rPr>
          <w:rFonts w:eastAsia="Calibri"/>
        </w:rPr>
        <w:t>y</w:t>
      </w:r>
      <w:r w:rsidR="001031D3" w:rsidRPr="1D7C58C3">
        <w:rPr>
          <w:rFonts w:eastAsia="Calibri"/>
          <w:kern w:val="2"/>
          <w14:ligatures w14:val="standardContextual"/>
        </w:rPr>
        <w:t xml:space="preserve"> 202</w:t>
      </w:r>
      <w:r w:rsidR="001031D3" w:rsidRPr="1D7C58C3">
        <w:rPr>
          <w:rFonts w:eastAsia="Calibri"/>
        </w:rPr>
        <w:t>6</w:t>
      </w:r>
      <w:r w:rsidR="001031D3" w:rsidRPr="1D7C58C3">
        <w:rPr>
          <w:rFonts w:eastAsia="Calibri"/>
          <w:kern w:val="2"/>
          <w14:ligatures w14:val="standardContextual"/>
        </w:rPr>
        <w:t>,</w:t>
      </w:r>
      <w:r w:rsidR="005B3162" w:rsidRPr="1D7C58C3">
        <w:rPr>
          <w:rFonts w:eastAsia="Calibri"/>
          <w:kern w:val="2"/>
          <w14:ligatures w14:val="standardContextual"/>
        </w:rPr>
        <w:t xml:space="preserve"> </w:t>
      </w:r>
      <w:r w:rsidR="0059226A" w:rsidRPr="1D7C58C3">
        <w:rPr>
          <w:rFonts w:eastAsia="Calibri"/>
          <w:kern w:val="2"/>
          <w14:ligatures w14:val="standardContextual"/>
        </w:rPr>
        <w:t>113 eligible</w:t>
      </w:r>
      <w:r w:rsidR="00BE4946" w:rsidRPr="1D7C58C3">
        <w:rPr>
          <w:rFonts w:eastAsia="Calibri"/>
          <w:kern w:val="2"/>
          <w14:ligatures w14:val="standardContextual"/>
        </w:rPr>
        <w:t xml:space="preserve"> </w:t>
      </w:r>
      <w:r w:rsidR="001031D3" w:rsidRPr="1D7C58C3">
        <w:rPr>
          <w:rFonts w:eastAsia="Calibri"/>
          <w:kern w:val="2"/>
          <w14:ligatures w14:val="standardContextual"/>
        </w:rPr>
        <w:t>A5</w:t>
      </w:r>
      <w:r w:rsidR="001031D3" w:rsidRPr="4AF65A38">
        <w:rPr>
          <w:rFonts w:eastAsia="Calibri"/>
          <w:kern w:val="2"/>
          <w14:ligatures w14:val="standardContextual"/>
        </w:rPr>
        <w:t xml:space="preserve"> parties in G1 </w:t>
      </w:r>
      <w:r w:rsidR="00BE4946" w:rsidRPr="4AF65A38">
        <w:rPr>
          <w:rFonts w:eastAsia="Calibri"/>
          <w:kern w:val="2"/>
          <w14:ligatures w14:val="standardContextual"/>
        </w:rPr>
        <w:t xml:space="preserve">had </w:t>
      </w:r>
      <w:r w:rsidR="00773690" w:rsidRPr="4AF65A38">
        <w:rPr>
          <w:rFonts w:eastAsia="Calibri"/>
          <w:kern w:val="2"/>
          <w14:ligatures w14:val="standardContextual"/>
        </w:rPr>
        <w:t>provided HFC baseline data</w:t>
      </w:r>
      <w:r w:rsidR="00CF73B7" w:rsidRPr="4AF65A38">
        <w:rPr>
          <w:rFonts w:eastAsia="Calibri"/>
          <w:kern w:val="2"/>
          <w14:ligatures w14:val="standardContextual"/>
        </w:rPr>
        <w:t xml:space="preserve"> to the </w:t>
      </w:r>
      <w:r w:rsidR="00185768">
        <w:rPr>
          <w:rFonts w:eastAsia="Calibri"/>
          <w:kern w:val="2"/>
          <w14:ligatures w14:val="standardContextual"/>
        </w:rPr>
        <w:t>OS</w:t>
      </w:r>
      <w:r w:rsidR="00773690" w:rsidRPr="4AF65A38">
        <w:rPr>
          <w:rFonts w:eastAsia="Calibri"/>
          <w:kern w:val="2"/>
          <w14:ligatures w14:val="standardContextual"/>
        </w:rPr>
        <w:t>.</w:t>
      </w:r>
      <w:r w:rsidR="008707C5" w:rsidRPr="4AF65A38">
        <w:rPr>
          <w:rFonts w:eastAsia="Calibri"/>
          <w:kern w:val="2"/>
          <w14:ligatures w14:val="standardContextual"/>
        </w:rPr>
        <w:t xml:space="preserve"> </w:t>
      </w:r>
      <w:r w:rsidR="00046879">
        <w:rPr>
          <w:rFonts w:eastAsia="Calibri"/>
          <w:kern w:val="2"/>
          <w14:ligatures w14:val="standardContextual"/>
        </w:rPr>
        <w:t>11</w:t>
      </w:r>
      <w:r w:rsidR="00E37480" w:rsidRPr="4AF65A38">
        <w:rPr>
          <w:rFonts w:eastAsia="Calibri"/>
          <w:kern w:val="2"/>
          <w14:ligatures w14:val="standardContextual"/>
        </w:rPr>
        <w:t xml:space="preserve"> parties </w:t>
      </w:r>
      <w:r w:rsidR="002D4DDC" w:rsidRPr="4AF65A38">
        <w:rPr>
          <w:rFonts w:eastAsia="Calibri"/>
          <w:kern w:val="2"/>
          <w14:ligatures w14:val="standardContextual"/>
        </w:rPr>
        <w:t xml:space="preserve">reported </w:t>
      </w:r>
      <w:r w:rsidR="00E37480" w:rsidRPr="4AF65A38">
        <w:rPr>
          <w:rFonts w:eastAsia="Calibri"/>
          <w:kern w:val="2"/>
          <w14:ligatures w14:val="standardContextual"/>
        </w:rPr>
        <w:t xml:space="preserve">some </w:t>
      </w:r>
      <w:r w:rsidR="002D4DDC" w:rsidRPr="4AF65A38">
        <w:rPr>
          <w:rFonts w:eastAsia="Calibri"/>
          <w:kern w:val="2"/>
          <w14:ligatures w14:val="standardContextual"/>
        </w:rPr>
        <w:t xml:space="preserve">HFC use </w:t>
      </w:r>
      <w:r w:rsidR="00AF5FAD" w:rsidRPr="4AF65A38">
        <w:rPr>
          <w:rFonts w:eastAsia="Calibri"/>
          <w:kern w:val="2"/>
          <w14:ligatures w14:val="standardContextual"/>
        </w:rPr>
        <w:t xml:space="preserve">through the A7 </w:t>
      </w:r>
      <w:r w:rsidR="006F63E6">
        <w:rPr>
          <w:rFonts w:eastAsia="Calibri"/>
          <w:kern w:val="2"/>
          <w14:ligatures w14:val="standardContextual"/>
        </w:rPr>
        <w:t xml:space="preserve">reporting </w:t>
      </w:r>
      <w:r w:rsidR="00C8392A">
        <w:rPr>
          <w:rFonts w:eastAsia="Calibri"/>
          <w:kern w:val="2"/>
          <w14:ligatures w14:val="standardContextual"/>
        </w:rPr>
        <w:t xml:space="preserve">portal, with </w:t>
      </w:r>
      <w:r w:rsidR="0023378E" w:rsidRPr="60B95D79">
        <w:rPr>
          <w:rFonts w:eastAsia="Calibri"/>
        </w:rPr>
        <w:t xml:space="preserve">a complete dataset </w:t>
      </w:r>
      <w:r w:rsidR="00DD5211" w:rsidRPr="4AF65A38">
        <w:rPr>
          <w:rFonts w:eastAsia="Calibri"/>
          <w:kern w:val="2"/>
          <w14:ligatures w14:val="standardContextual"/>
        </w:rPr>
        <w:t xml:space="preserve">sufficient </w:t>
      </w:r>
      <w:r w:rsidR="0023378E" w:rsidRPr="4AF65A38">
        <w:rPr>
          <w:rFonts w:eastAsia="Calibri"/>
          <w:kern w:val="2"/>
          <w14:ligatures w14:val="standardContextual"/>
        </w:rPr>
        <w:t>to establish baselines</w:t>
      </w:r>
      <w:r w:rsidR="00C65AB3" w:rsidRPr="4AF65A38">
        <w:rPr>
          <w:rFonts w:eastAsia="Calibri"/>
          <w:kern w:val="2"/>
          <w14:ligatures w14:val="standardContextual"/>
        </w:rPr>
        <w:t xml:space="preserve">. </w:t>
      </w:r>
      <w:r w:rsidR="00DD5211" w:rsidRPr="4AF65A38">
        <w:rPr>
          <w:rFonts w:eastAsia="Calibri"/>
          <w:kern w:val="2"/>
          <w14:ligatures w14:val="standardContextual"/>
        </w:rPr>
        <w:t xml:space="preserve">An additional </w:t>
      </w:r>
      <w:r w:rsidR="00872E76" w:rsidRPr="4AF65A38">
        <w:rPr>
          <w:rFonts w:eastAsia="Calibri"/>
          <w:kern w:val="2"/>
          <w14:ligatures w14:val="standardContextual"/>
        </w:rPr>
        <w:t>1</w:t>
      </w:r>
      <w:r w:rsidR="00AF5FAD" w:rsidRPr="4AF65A38">
        <w:rPr>
          <w:rFonts w:eastAsia="Calibri"/>
          <w:kern w:val="2"/>
          <w14:ligatures w14:val="standardContextual"/>
        </w:rPr>
        <w:t>3</w:t>
      </w:r>
      <w:r w:rsidR="002D4DDC" w:rsidRPr="4AF65A38">
        <w:rPr>
          <w:rFonts w:eastAsia="Calibri"/>
          <w:kern w:val="2"/>
          <w14:ligatures w14:val="standardContextual"/>
        </w:rPr>
        <w:t xml:space="preserve"> parties </w:t>
      </w:r>
      <w:r w:rsidR="00872E76" w:rsidRPr="4AF65A38">
        <w:rPr>
          <w:rFonts w:eastAsia="Calibri"/>
          <w:kern w:val="2"/>
          <w14:ligatures w14:val="standardContextual"/>
        </w:rPr>
        <w:t>had not</w:t>
      </w:r>
      <w:r w:rsidR="002D4DDC" w:rsidRPr="4AF65A38">
        <w:rPr>
          <w:rFonts w:eastAsia="Calibri"/>
          <w:kern w:val="2"/>
          <w14:ligatures w14:val="standardContextual"/>
        </w:rPr>
        <w:t xml:space="preserve"> reported </w:t>
      </w:r>
      <w:r w:rsidR="0042715E" w:rsidRPr="4AF65A38">
        <w:rPr>
          <w:rFonts w:eastAsia="Calibri"/>
          <w:kern w:val="2"/>
          <w14:ligatures w14:val="standardContextual"/>
        </w:rPr>
        <w:t xml:space="preserve">any </w:t>
      </w:r>
      <w:r w:rsidR="002D4DDC" w:rsidRPr="4AF65A38">
        <w:rPr>
          <w:rFonts w:eastAsia="Calibri"/>
          <w:kern w:val="2"/>
          <w14:ligatures w14:val="standardContextual"/>
        </w:rPr>
        <w:t xml:space="preserve">HFC </w:t>
      </w:r>
      <w:r w:rsidR="00872E76" w:rsidRPr="4AF65A38">
        <w:rPr>
          <w:rFonts w:eastAsia="Calibri"/>
          <w:kern w:val="2"/>
          <w14:ligatures w14:val="standardContextual"/>
        </w:rPr>
        <w:t>data through the A7 portal</w:t>
      </w:r>
      <w:r w:rsidR="00D52C95" w:rsidRPr="4AF65A38">
        <w:rPr>
          <w:rFonts w:eastAsia="Calibri"/>
          <w:kern w:val="2"/>
          <w14:ligatures w14:val="standardContextual"/>
        </w:rPr>
        <w:t>.</w:t>
      </w:r>
      <w:r w:rsidR="1C6C452E" w:rsidRPr="4AF65A38">
        <w:rPr>
          <w:rFonts w:eastAsia="Calibri"/>
          <w:kern w:val="2"/>
          <w14:ligatures w14:val="standardContextual"/>
        </w:rPr>
        <w:t xml:space="preserve"> </w:t>
      </w:r>
      <w:r w:rsidR="002A02C9" w:rsidRPr="4AF65A38">
        <w:rPr>
          <w:rFonts w:eastAsia="Calibri"/>
          <w:kern w:val="2"/>
          <w14:ligatures w14:val="standardContextual"/>
        </w:rPr>
        <w:t>As</w:t>
      </w:r>
      <w:r w:rsidR="002A02C9">
        <w:rPr>
          <w:rFonts w:eastAsia="Calibri"/>
          <w:kern w:val="2"/>
          <w14:ligatures w14:val="standardContextual"/>
        </w:rPr>
        <w:t xml:space="preserve"> the </w:t>
      </w:r>
      <w:r w:rsidR="00C65AB3" w:rsidRPr="4AF65A38">
        <w:rPr>
          <w:rFonts w:eastAsia="Calibri"/>
          <w:kern w:val="2"/>
          <w14:ligatures w14:val="standardContextual"/>
        </w:rPr>
        <w:t xml:space="preserve">baseline years </w:t>
      </w:r>
      <w:r w:rsidR="002A02C9">
        <w:rPr>
          <w:rFonts w:eastAsia="Calibri"/>
          <w:kern w:val="2"/>
          <w14:ligatures w14:val="standardContextual"/>
        </w:rPr>
        <w:t xml:space="preserve">for G2 parties </w:t>
      </w:r>
      <w:r w:rsidR="6BCF911A" w:rsidRPr="60B95D79">
        <w:rPr>
          <w:rFonts w:eastAsia="Calibri"/>
        </w:rPr>
        <w:t>are still to be determined</w:t>
      </w:r>
      <w:r w:rsidR="00E86D88">
        <w:rPr>
          <w:rFonts w:eastAsia="Calibri"/>
        </w:rPr>
        <w:t>, their b</w:t>
      </w:r>
      <w:r w:rsidR="008707C5" w:rsidRPr="4AF65A38">
        <w:rPr>
          <w:rFonts w:eastAsia="Calibri"/>
          <w:kern w:val="2"/>
          <w14:ligatures w14:val="standardContextual"/>
        </w:rPr>
        <w:t>aselines were</w:t>
      </w:r>
      <w:r w:rsidR="00681FBB" w:rsidRPr="4AF65A38">
        <w:rPr>
          <w:rFonts w:eastAsia="Calibri"/>
          <w:kern w:val="2"/>
          <w14:ligatures w14:val="standardContextual"/>
        </w:rPr>
        <w:t xml:space="preserve"> estimated</w:t>
      </w:r>
      <w:r w:rsidR="00E86D88">
        <w:rPr>
          <w:rFonts w:eastAsia="Calibri"/>
          <w:kern w:val="2"/>
          <w14:ligatures w14:val="standardContextual"/>
        </w:rPr>
        <w:t xml:space="preserve"> by RTF</w:t>
      </w:r>
      <w:r w:rsidR="00DD4DD2" w:rsidRPr="60B95D79">
        <w:rPr>
          <w:rFonts w:eastAsia="Calibri"/>
        </w:rPr>
        <w:t>.</w:t>
      </w:r>
    </w:p>
    <w:p w14:paraId="6C792756" w14:textId="1D8D27DD" w:rsidR="00244AF2" w:rsidRPr="00622FBA" w:rsidRDefault="00244AF2" w:rsidP="004812BA">
      <w:pPr>
        <w:spacing w:after="160" w:line="259" w:lineRule="auto"/>
        <w:rPr>
          <w:rFonts w:eastAsia="Calibri"/>
          <w:b/>
          <w:bCs/>
          <w:i/>
          <w:iCs/>
          <w:kern w:val="2"/>
          <w:lang w:val="en-US"/>
          <w14:ligatures w14:val="standardContextual"/>
        </w:rPr>
      </w:pPr>
      <w:r w:rsidRPr="00622FBA">
        <w:rPr>
          <w:rFonts w:eastAsia="Calibri"/>
          <w:b/>
          <w:bCs/>
          <w:i/>
          <w:iCs/>
          <w:kern w:val="2"/>
          <w:lang w:val="en-US"/>
          <w14:ligatures w14:val="standardContextual"/>
        </w:rPr>
        <w:lastRenderedPageBreak/>
        <w:t>HFC Data Analysis</w:t>
      </w:r>
    </w:p>
    <w:p w14:paraId="5241F0FC" w14:textId="03129D02" w:rsidR="004812BA" w:rsidRPr="00183625" w:rsidRDefault="00FC225E" w:rsidP="004812BA">
      <w:pPr>
        <w:spacing w:after="160" w:line="259" w:lineRule="auto"/>
        <w:rPr>
          <w:rFonts w:eastAsia="Calibri"/>
          <w:kern w:val="2"/>
          <w:lang w:val="en-US"/>
          <w14:ligatures w14:val="standardContextual"/>
        </w:rPr>
      </w:pPr>
      <w:r w:rsidRPr="00474E27">
        <w:rPr>
          <w:rFonts w:eastAsia="Calibri"/>
          <w:noProof/>
          <w:lang w:val="en-US"/>
        </w:rPr>
        <mc:AlternateContent>
          <mc:Choice Requires="wps">
            <w:drawing>
              <wp:anchor distT="45720" distB="45720" distL="114300" distR="114300" simplePos="0" relativeHeight="251658244" behindDoc="0" locked="0" layoutInCell="1" allowOverlap="1" wp14:anchorId="07DF0E2C" wp14:editId="11103C5A">
                <wp:simplePos x="0" y="0"/>
                <wp:positionH relativeFrom="margin">
                  <wp:align>left</wp:align>
                </wp:positionH>
                <wp:positionV relativeFrom="paragraph">
                  <wp:posOffset>590502</wp:posOffset>
                </wp:positionV>
                <wp:extent cx="5684520" cy="3277870"/>
                <wp:effectExtent l="0" t="0" r="11430" b="17780"/>
                <wp:wrapSquare wrapText="bothSides"/>
                <wp:docPr id="516450353" name="Text Box 516450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808" cy="3278037"/>
                        </a:xfrm>
                        <a:prstGeom prst="rect">
                          <a:avLst/>
                        </a:prstGeom>
                        <a:solidFill>
                          <a:srgbClr val="FFFFFF"/>
                        </a:solidFill>
                        <a:ln w="9525">
                          <a:solidFill>
                            <a:srgbClr val="000000"/>
                          </a:solidFill>
                          <a:miter lim="800000"/>
                          <a:headEnd/>
                          <a:tailEnd/>
                        </a:ln>
                      </wps:spPr>
                      <wps:txbx>
                        <w:txbxContent>
                          <w:p w14:paraId="2D7A5B33" w14:textId="714168DF" w:rsidR="00CA471D" w:rsidRPr="00CA471D" w:rsidRDefault="00CA471D" w:rsidP="002135B0">
                            <w:pPr>
                              <w:tabs>
                                <w:tab w:val="left" w:pos="1276"/>
                              </w:tabs>
                              <w:spacing w:after="120"/>
                              <w:ind w:left="1276" w:hanging="1276"/>
                              <w:rPr>
                                <w:b/>
                              </w:rPr>
                            </w:pPr>
                            <w:r w:rsidRPr="00E42C5E">
                              <w:rPr>
                                <w:rFonts w:eastAsiaTheme="minorHAnsi"/>
                                <w:b/>
                                <w:bCs/>
                              </w:rPr>
                              <w:t xml:space="preserve">Table </w:t>
                            </w:r>
                            <w:r>
                              <w:rPr>
                                <w:rFonts w:eastAsiaTheme="minorHAnsi"/>
                                <w:b/>
                                <w:bCs/>
                              </w:rPr>
                              <w:t>A3.2</w:t>
                            </w:r>
                            <w:r w:rsidR="00FF681F">
                              <w:rPr>
                                <w:rFonts w:eastAsiaTheme="minorHAnsi"/>
                                <w:b/>
                                <w:bCs/>
                              </w:rPr>
                              <w:t>:</w:t>
                            </w:r>
                            <w:r w:rsidRPr="00E42C5E">
                              <w:rPr>
                                <w:rFonts w:eastAsiaTheme="minorHAnsi"/>
                                <w:b/>
                                <w:bCs/>
                              </w:rPr>
                              <w:tab/>
                            </w:r>
                            <w:r w:rsidRPr="00CA471D">
                              <w:rPr>
                                <w:rFonts w:eastAsia="Calibri"/>
                                <w:b/>
                                <w:bCs/>
                                <w:color w:val="000000"/>
                                <w:lang w:val="en-US"/>
                              </w:rPr>
                              <w:t>Parties with A7 reporting for some, but not all, A7 HFC data but not all three years to estimate the HFC portion of the baseline</w:t>
                            </w:r>
                          </w:p>
                          <w:p w14:paraId="2B5C58CA" w14:textId="77777777" w:rsidR="004812BA" w:rsidRDefault="004812BA" w:rsidP="004812BA">
                            <w:r>
                              <w:rPr>
                                <w:noProof/>
                              </w:rPr>
                              <w:drawing>
                                <wp:inline distT="0" distB="0" distL="0" distR="0" wp14:anchorId="10C70551" wp14:editId="11CBBD13">
                                  <wp:extent cx="5503974" cy="2639683"/>
                                  <wp:effectExtent l="0" t="0" r="1905" b="8890"/>
                                  <wp:docPr id="141645905" name="Picture 1416459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6">
                                            <a:extLst>
                                              <a:ext uri="{28A0092B-C50C-407E-A947-70E740481C1C}">
                                                <a14:useLocalDpi xmlns:a14="http://schemas.microsoft.com/office/drawing/2010/main" val="0"/>
                                              </a:ext>
                                            </a:extLst>
                                          </a:blip>
                                          <a:stretch>
                                            <a:fillRect/>
                                          </a:stretch>
                                        </pic:blipFill>
                                        <pic:spPr>
                                          <a:xfrm>
                                            <a:off x="0" y="0"/>
                                            <a:ext cx="5506118" cy="26407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B2828AC">
              <v:shapetype id="_x0000_t202" coordsize="21600,21600" o:spt="202" path="m,l,21600r21600,l21600,xe" w14:anchorId="07DF0E2C">
                <v:stroke joinstyle="miter"/>
                <v:path gradientshapeok="t" o:connecttype="rect"/>
              </v:shapetype>
              <v:shape id="Text Box 516450353" style="position:absolute;margin-left:0;margin-top:46.5pt;width:447.6pt;height:258.1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">
                <v:textbox>
                  <w:txbxContent>
                    <w:p w:rsidRPr="00CA471D" w:rsidR="00CA471D" w:rsidP="002135B0" w:rsidRDefault="00CA471D" w14:paraId="01745E49" w14:textId="714168DF">
                      <w:pPr>
                        <w:tabs>
                          <w:tab w:val="left" w:pos="1276"/>
                        </w:tabs>
                        <w:spacing w:after="120"/>
                        <w:ind w:left="1276" w:hanging="1276"/>
                        <w:rPr>
                          <w:b/>
                        </w:rPr>
                      </w:pPr>
                      <w:r w:rsidRPr="00E42C5E">
                        <w:rPr>
                          <w:rFonts w:eastAsiaTheme="minorHAnsi"/>
                          <w:b/>
                          <w:bCs/>
                        </w:rPr>
                        <w:t xml:space="preserve">Table </w:t>
                      </w:r>
                      <w:r>
                        <w:rPr>
                          <w:rFonts w:eastAsiaTheme="minorHAnsi"/>
                          <w:b/>
                          <w:bCs/>
                        </w:rPr>
                        <w:t>A3.2</w:t>
                      </w:r>
                      <w:r w:rsidR="00FF681F">
                        <w:rPr>
                          <w:rFonts w:eastAsiaTheme="minorHAnsi"/>
                          <w:b/>
                          <w:bCs/>
                        </w:rPr>
                        <w:t>:</w:t>
                      </w:r>
                      <w:r w:rsidRPr="00E42C5E">
                        <w:rPr>
                          <w:rFonts w:eastAsiaTheme="minorHAnsi"/>
                          <w:b/>
                          <w:bCs/>
                        </w:rPr>
                        <w:tab/>
                      </w:r>
                      <w:r w:rsidRPr="00CA471D">
                        <w:rPr>
                          <w:rFonts w:eastAsia="Calibri"/>
                          <w:b/>
                          <w:bCs/>
                          <w:color w:val="000000"/>
                          <w:lang w:val="en-US"/>
                        </w:rPr>
                        <w:t>Parties with A7 reporting for some, but not all, A7 HFC data but not all three years to estimate the HFC portion of the baseline</w:t>
                      </w:r>
                    </w:p>
                    <w:p w:rsidR="004812BA" w:rsidP="004812BA" w:rsidRDefault="004812BA" w14:paraId="672A6659" w14:textId="77777777">
                      <w:r>
                        <w:rPr>
                          <w:noProof/>
                        </w:rPr>
                        <w:drawing>
                          <wp:inline distT="0" distB="0" distL="0" distR="0" wp14:anchorId="1D25E1FF" wp14:editId="11CBBD13">
                            <wp:extent cx="5503974" cy="2639683"/>
                            <wp:effectExtent l="0" t="0" r="1905" b="8890"/>
                            <wp:docPr id="1150182899" name="Picture 1416459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7">
                                      <a:extLst>
                                        <a:ext uri="{28A0092B-C50C-407E-A947-70E740481C1C}">
                                          <a14:useLocalDpi xmlns:a14="http://schemas.microsoft.com/office/drawing/2010/main" val="0"/>
                                        </a:ext>
                                      </a:extLst>
                                    </a:blip>
                                    <a:stretch>
                                      <a:fillRect/>
                                    </a:stretch>
                                  </pic:blipFill>
                                  <pic:spPr>
                                    <a:xfrm>
                                      <a:off x="0" y="0"/>
                                      <a:ext cx="5506118" cy="2640711"/>
                                    </a:xfrm>
                                    <a:prstGeom prst="rect">
                                      <a:avLst/>
                                    </a:prstGeom>
                                  </pic:spPr>
                                </pic:pic>
                              </a:graphicData>
                            </a:graphic>
                          </wp:inline>
                        </w:drawing>
                      </w:r>
                    </w:p>
                  </w:txbxContent>
                </v:textbox>
                <w10:wrap type="square" anchorx="margin"/>
              </v:shape>
            </w:pict>
          </mc:Fallback>
        </mc:AlternateContent>
      </w:r>
      <w:r w:rsidR="00F4001A">
        <w:rPr>
          <w:rFonts w:eastAsia="Calibri"/>
          <w:kern w:val="2"/>
          <w:lang w:val="en-US"/>
          <w14:ligatures w14:val="standardContextual"/>
        </w:rPr>
        <w:t>Before estimating costs</w:t>
      </w:r>
      <w:r w:rsidR="00244AF2">
        <w:rPr>
          <w:rFonts w:eastAsia="Calibri"/>
          <w:kern w:val="2"/>
          <w:lang w:val="en-US"/>
          <w14:ligatures w14:val="standardContextual"/>
        </w:rPr>
        <w:t>, the</w:t>
      </w:r>
      <w:r w:rsidR="004812BA" w:rsidRPr="00183625">
        <w:rPr>
          <w:rFonts w:eastAsia="Calibri"/>
          <w:kern w:val="2"/>
          <w:lang w:val="en-US"/>
          <w14:ligatures w14:val="standardContextual"/>
        </w:rPr>
        <w:t xml:space="preserve"> RTF analyzed several datasets, as </w:t>
      </w:r>
      <w:r w:rsidR="009403E9">
        <w:rPr>
          <w:rFonts w:eastAsia="Calibri"/>
          <w:kern w:val="2"/>
          <w:lang w:val="en-US"/>
          <w14:ligatures w14:val="standardContextual"/>
        </w:rPr>
        <w:t>summarised</w:t>
      </w:r>
      <w:r w:rsidR="00DB250C">
        <w:rPr>
          <w:rFonts w:eastAsia="Calibri"/>
          <w:kern w:val="2"/>
          <w:lang w:val="en-US"/>
          <w14:ligatures w14:val="standardContextual"/>
        </w:rPr>
        <w:t xml:space="preserve"> </w:t>
      </w:r>
      <w:r w:rsidR="004812BA" w:rsidRPr="00183625">
        <w:rPr>
          <w:rFonts w:eastAsia="Calibri"/>
          <w:kern w:val="2"/>
          <w:lang w:val="en-US"/>
          <w14:ligatures w14:val="standardContextual"/>
        </w:rPr>
        <w:t xml:space="preserve">in </w:t>
      </w:r>
      <w:r w:rsidR="004812BA" w:rsidRPr="00355C0A">
        <w:rPr>
          <w:rFonts w:eastAsia="Calibri"/>
          <w:kern w:val="2"/>
          <w:lang w:val="en-US"/>
          <w14:ligatures w14:val="standardContextual"/>
        </w:rPr>
        <w:t xml:space="preserve">Table </w:t>
      </w:r>
      <w:r w:rsidR="004812BA" w:rsidRPr="00355C0A">
        <w:rPr>
          <w:rFonts w:eastAsia="Calibri"/>
          <w:lang w:val="en-US"/>
        </w:rPr>
        <w:t>A</w:t>
      </w:r>
      <w:r>
        <w:rPr>
          <w:rFonts w:eastAsia="Calibri"/>
          <w:lang w:val="en-US"/>
        </w:rPr>
        <w:t>3.2</w:t>
      </w:r>
      <w:r w:rsidR="004812BA" w:rsidRPr="00183625">
        <w:rPr>
          <w:rFonts w:eastAsia="Calibri"/>
          <w:kern w:val="2"/>
          <w:lang w:val="en-US"/>
          <w14:ligatures w14:val="standardContextual"/>
        </w:rPr>
        <w:t xml:space="preserve"> below</w:t>
      </w:r>
      <w:r w:rsidR="002B3041">
        <w:rPr>
          <w:rFonts w:eastAsia="Calibri"/>
          <w:kern w:val="2"/>
          <w:lang w:val="en-US"/>
          <w14:ligatures w14:val="standardContextual"/>
        </w:rPr>
        <w:t>,</w:t>
      </w:r>
      <w:r w:rsidR="004812BA" w:rsidRPr="00183625">
        <w:rPr>
          <w:rFonts w:eastAsia="Calibri"/>
          <w:kern w:val="2"/>
          <w:lang w:val="en-US"/>
          <w14:ligatures w14:val="standardContextual"/>
        </w:rPr>
        <w:t xml:space="preserve"> to ensure that the most detailed and complete </w:t>
      </w:r>
      <w:r w:rsidR="004812BA">
        <w:rPr>
          <w:rFonts w:eastAsia="Calibri"/>
          <w:kern w:val="2"/>
          <w:lang w:val="en-US"/>
          <w14:ligatures w14:val="standardContextual"/>
        </w:rPr>
        <w:t>data</w:t>
      </w:r>
      <w:r w:rsidR="002B3041">
        <w:rPr>
          <w:rFonts w:eastAsia="Calibri"/>
          <w:kern w:val="2"/>
          <w:lang w:val="en-US"/>
          <w14:ligatures w14:val="standardContextual"/>
        </w:rPr>
        <w:t>/information</w:t>
      </w:r>
      <w:r w:rsidR="004812BA">
        <w:rPr>
          <w:rFonts w:eastAsia="Calibri"/>
          <w:kern w:val="2"/>
          <w:lang w:val="en-US"/>
          <w14:ligatures w14:val="standardContextual"/>
        </w:rPr>
        <w:t xml:space="preserve"> </w:t>
      </w:r>
      <w:r w:rsidR="00F2451C">
        <w:rPr>
          <w:rFonts w:eastAsia="Calibri"/>
          <w:kern w:val="2"/>
          <w:lang w:val="en-US"/>
          <w14:ligatures w14:val="standardContextual"/>
        </w:rPr>
        <w:t>available was</w:t>
      </w:r>
      <w:r w:rsidR="004812BA" w:rsidRPr="00183625">
        <w:rPr>
          <w:rFonts w:eastAsia="Calibri"/>
          <w:kern w:val="2"/>
          <w:lang w:val="en-US"/>
          <w14:ligatures w14:val="standardContextual"/>
        </w:rPr>
        <w:t xml:space="preserve"> used in developing baseline estimates. </w:t>
      </w:r>
    </w:p>
    <w:p w14:paraId="46C6DE65" w14:textId="56FDE10B" w:rsidR="004812BA" w:rsidRDefault="004812BA" w:rsidP="004812BA">
      <w:pPr>
        <w:spacing w:after="160" w:line="259" w:lineRule="auto"/>
        <w:rPr>
          <w:rFonts w:eastAsia="Calibri"/>
          <w:lang w:val="en-US"/>
        </w:rPr>
      </w:pPr>
      <w:r w:rsidRPr="1AB6E3AA">
        <w:rPr>
          <w:rFonts w:eastAsia="Calibri"/>
          <w:lang w:val="en-US"/>
        </w:rPr>
        <w:t xml:space="preserve">Some parties </w:t>
      </w:r>
      <w:r w:rsidRPr="00183625">
        <w:rPr>
          <w:rFonts w:eastAsia="Calibri"/>
          <w:kern w:val="2"/>
          <w:lang w:val="en-US"/>
          <w14:ligatures w14:val="standardContextual"/>
        </w:rPr>
        <w:t>provided</w:t>
      </w:r>
      <w:r w:rsidRPr="004E3844">
        <w:rPr>
          <w:rFonts w:eastAsia="Calibri"/>
          <w:kern w:val="2"/>
          <w:lang w:val="en-US"/>
          <w14:ligatures w14:val="standardContextual"/>
        </w:rPr>
        <w:t xml:space="preserve"> </w:t>
      </w:r>
      <w:r w:rsidR="00F2451C">
        <w:rPr>
          <w:rFonts w:eastAsia="Calibri"/>
          <w:kern w:val="2"/>
          <w:lang w:val="en-US"/>
          <w14:ligatures w14:val="standardContextual"/>
        </w:rPr>
        <w:t xml:space="preserve">HFC </w:t>
      </w:r>
      <w:r w:rsidRPr="004E3844">
        <w:rPr>
          <w:rFonts w:eastAsia="Calibri"/>
          <w:kern w:val="2"/>
          <w:lang w:val="en-US"/>
          <w14:ligatures w14:val="standardContextual"/>
        </w:rPr>
        <w:t xml:space="preserve">data </w:t>
      </w:r>
      <w:r w:rsidR="00F2451C">
        <w:rPr>
          <w:rFonts w:eastAsia="Calibri"/>
          <w:kern w:val="2"/>
          <w:lang w:val="en-US"/>
          <w14:ligatures w14:val="standardContextual"/>
        </w:rPr>
        <w:t>through</w:t>
      </w:r>
      <w:r w:rsidRPr="004E3844">
        <w:rPr>
          <w:rFonts w:eastAsia="Calibri"/>
          <w:kern w:val="2"/>
          <w:lang w:val="en-US"/>
          <w14:ligatures w14:val="standardContextual"/>
        </w:rPr>
        <w:t xml:space="preserve"> CP </w:t>
      </w:r>
      <w:r w:rsidR="00FB7B87">
        <w:rPr>
          <w:rFonts w:eastAsia="Calibri"/>
          <w:kern w:val="2"/>
          <w:lang w:val="en-US"/>
          <w14:ligatures w14:val="standardContextual"/>
        </w:rPr>
        <w:t xml:space="preserve">reporting to </w:t>
      </w:r>
      <w:r w:rsidRPr="004E3844">
        <w:rPr>
          <w:rFonts w:eastAsia="Calibri"/>
          <w:kern w:val="2"/>
          <w:lang w:val="en-US"/>
          <w14:ligatures w14:val="standardContextual"/>
        </w:rPr>
        <w:t>the MLF</w:t>
      </w:r>
      <w:r w:rsidR="00C52732">
        <w:rPr>
          <w:rFonts w:eastAsia="Calibri"/>
          <w:kern w:val="2"/>
          <w:lang w:val="en-US"/>
          <w14:ligatures w14:val="standardContextual"/>
        </w:rPr>
        <w:t>S</w:t>
      </w:r>
      <w:r w:rsidR="00FB7B87">
        <w:rPr>
          <w:rFonts w:eastAsia="Calibri"/>
          <w:kern w:val="2"/>
          <w:lang w:val="en-US"/>
          <w14:ligatures w14:val="standardContextual"/>
        </w:rPr>
        <w:t>,</w:t>
      </w:r>
      <w:r>
        <w:rPr>
          <w:rFonts w:eastAsia="Calibri"/>
          <w:kern w:val="2"/>
          <w:lang w:val="en-US"/>
          <w14:ligatures w14:val="standardContextual"/>
        </w:rPr>
        <w:t xml:space="preserve"> while others reported </w:t>
      </w:r>
      <w:r w:rsidR="00767D7B">
        <w:rPr>
          <w:rFonts w:eastAsia="Calibri"/>
          <w:kern w:val="2"/>
          <w:lang w:val="en-US"/>
          <w14:ligatures w14:val="standardContextual"/>
        </w:rPr>
        <w:t xml:space="preserve">HFC data under </w:t>
      </w:r>
      <w:r w:rsidRPr="004E3844">
        <w:rPr>
          <w:rFonts w:eastAsia="Calibri"/>
          <w:kern w:val="2"/>
          <w:lang w:val="en-US"/>
          <w14:ligatures w14:val="standardContextual"/>
        </w:rPr>
        <w:t>A7</w:t>
      </w:r>
      <w:r>
        <w:rPr>
          <w:rFonts w:eastAsia="Calibri"/>
          <w:kern w:val="2"/>
          <w:lang w:val="en-US"/>
          <w14:ligatures w14:val="standardContextual"/>
        </w:rPr>
        <w:t xml:space="preserve"> </w:t>
      </w:r>
      <w:r w:rsidR="00767D7B">
        <w:rPr>
          <w:rFonts w:eastAsia="Calibri"/>
          <w:kern w:val="2"/>
          <w:lang w:val="en-US"/>
          <w14:ligatures w14:val="standardContextual"/>
        </w:rPr>
        <w:t>r</w:t>
      </w:r>
      <w:r>
        <w:rPr>
          <w:rFonts w:eastAsia="Calibri"/>
          <w:kern w:val="2"/>
          <w:lang w:val="en-US"/>
          <w14:ligatures w14:val="standardContextual"/>
        </w:rPr>
        <w:t xml:space="preserve">eporting </w:t>
      </w:r>
      <w:r w:rsidR="00767D7B">
        <w:rPr>
          <w:rFonts w:eastAsia="Calibri"/>
          <w:kern w:val="2"/>
          <w:lang w:val="en-US"/>
          <w14:ligatures w14:val="standardContextual"/>
        </w:rPr>
        <w:t>requirements</w:t>
      </w:r>
      <w:r>
        <w:rPr>
          <w:rFonts w:eastAsia="Calibri"/>
          <w:kern w:val="2"/>
          <w:lang w:val="en-US"/>
          <w14:ligatures w14:val="standardContextual"/>
        </w:rPr>
        <w:t xml:space="preserve">. </w:t>
      </w:r>
      <w:r w:rsidR="00F27F0B">
        <w:rPr>
          <w:rFonts w:eastAsia="Calibri"/>
          <w:kern w:val="2"/>
          <w:lang w:val="en-US"/>
          <w14:ligatures w14:val="standardContextual"/>
        </w:rPr>
        <w:t xml:space="preserve">Many </w:t>
      </w:r>
      <w:r>
        <w:rPr>
          <w:rFonts w:eastAsia="Calibri"/>
          <w:kern w:val="2"/>
          <w:lang w:val="en-US"/>
          <w14:ligatures w14:val="standardContextual"/>
        </w:rPr>
        <w:t xml:space="preserve">parties </w:t>
      </w:r>
      <w:r w:rsidRPr="1AB6E3AA">
        <w:rPr>
          <w:rFonts w:eastAsia="Calibri"/>
          <w:lang w:val="en-US"/>
        </w:rPr>
        <w:t>reported both sets</w:t>
      </w:r>
      <w:r w:rsidR="00AB05A7">
        <w:rPr>
          <w:rFonts w:eastAsia="Calibri"/>
          <w:lang w:val="en-US"/>
        </w:rPr>
        <w:t xml:space="preserve"> of data</w:t>
      </w:r>
      <w:r w:rsidRPr="1AB6E3AA">
        <w:rPr>
          <w:rFonts w:eastAsia="Calibri"/>
          <w:lang w:val="en-US"/>
        </w:rPr>
        <w:t xml:space="preserve">, </w:t>
      </w:r>
      <w:r w:rsidR="00C23855">
        <w:rPr>
          <w:rFonts w:eastAsia="Calibri"/>
          <w:lang w:val="en-US"/>
        </w:rPr>
        <w:t xml:space="preserve">whereas </w:t>
      </w:r>
      <w:r w:rsidRPr="1AB6E3AA">
        <w:rPr>
          <w:rFonts w:eastAsia="Calibri"/>
          <w:lang w:val="en-US"/>
        </w:rPr>
        <w:t xml:space="preserve">others </w:t>
      </w:r>
      <w:r w:rsidR="00C23855">
        <w:rPr>
          <w:rFonts w:eastAsia="Calibri"/>
          <w:lang w:val="en-US"/>
        </w:rPr>
        <w:t xml:space="preserve">were </w:t>
      </w:r>
      <w:r w:rsidRPr="1AB6E3AA">
        <w:rPr>
          <w:rFonts w:eastAsia="Calibri"/>
          <w:lang w:val="en-US"/>
        </w:rPr>
        <w:t xml:space="preserve">not </w:t>
      </w:r>
      <w:r w:rsidR="00C23855">
        <w:rPr>
          <w:rFonts w:eastAsia="Calibri"/>
          <w:lang w:val="en-US"/>
        </w:rPr>
        <w:t xml:space="preserve">yet </w:t>
      </w:r>
      <w:r w:rsidRPr="1AB6E3AA">
        <w:rPr>
          <w:rFonts w:eastAsia="Calibri"/>
          <w:lang w:val="en-US"/>
        </w:rPr>
        <w:t>required</w:t>
      </w:r>
      <w:r>
        <w:rPr>
          <w:rFonts w:eastAsia="Calibri"/>
          <w:kern w:val="2"/>
          <w:lang w:val="en-US"/>
          <w14:ligatures w14:val="standardContextual"/>
        </w:rPr>
        <w:t xml:space="preserve"> to report because they </w:t>
      </w:r>
      <w:r w:rsidRPr="1AB6E3AA">
        <w:rPr>
          <w:rFonts w:eastAsia="Calibri"/>
          <w:lang w:val="en-US"/>
        </w:rPr>
        <w:t xml:space="preserve">have not ratified </w:t>
      </w:r>
      <w:r w:rsidR="00244AF2">
        <w:rPr>
          <w:rFonts w:eastAsia="Calibri"/>
          <w:lang w:val="en-US"/>
        </w:rPr>
        <w:t xml:space="preserve">the </w:t>
      </w:r>
      <w:r w:rsidR="00796613">
        <w:rPr>
          <w:rFonts w:eastAsia="Calibri"/>
          <w:lang w:val="en-US"/>
        </w:rPr>
        <w:t>KA</w:t>
      </w:r>
      <w:r w:rsidR="00244AF2">
        <w:rPr>
          <w:rFonts w:eastAsia="Calibri"/>
          <w:lang w:val="en-US"/>
        </w:rPr>
        <w:t xml:space="preserve"> </w:t>
      </w:r>
      <w:r w:rsidRPr="1AB6E3AA">
        <w:rPr>
          <w:rFonts w:eastAsia="Calibri"/>
          <w:lang w:val="en-US"/>
        </w:rPr>
        <w:t xml:space="preserve">or </w:t>
      </w:r>
      <w:r w:rsidR="00B552A3">
        <w:rPr>
          <w:rFonts w:eastAsia="Calibri"/>
          <w:lang w:val="en-US"/>
        </w:rPr>
        <w:t xml:space="preserve">belonged to </w:t>
      </w:r>
      <w:r>
        <w:rPr>
          <w:rFonts w:eastAsia="Calibri"/>
          <w:kern w:val="2"/>
          <w:lang w:val="en-US"/>
          <w14:ligatures w14:val="standardContextual"/>
        </w:rPr>
        <w:t xml:space="preserve">the G2 </w:t>
      </w:r>
      <w:r w:rsidR="00B552A3">
        <w:rPr>
          <w:rFonts w:eastAsia="Calibri"/>
          <w:kern w:val="2"/>
          <w:lang w:val="en-US"/>
          <w14:ligatures w14:val="standardContextual"/>
        </w:rPr>
        <w:t>compliance schedule</w:t>
      </w:r>
      <w:r>
        <w:rPr>
          <w:rFonts w:eastAsia="Calibri"/>
          <w:kern w:val="2"/>
          <w:lang w:val="en-US"/>
          <w14:ligatures w14:val="standardContextual"/>
        </w:rPr>
        <w:t xml:space="preserve">. </w:t>
      </w:r>
    </w:p>
    <w:p w14:paraId="21DACBC9" w14:textId="6B311F00" w:rsidR="004812BA" w:rsidRPr="00535ECD" w:rsidRDefault="004D0F0D" w:rsidP="004D0F0D">
      <w:pPr>
        <w:spacing w:after="160" w:line="259" w:lineRule="auto"/>
        <w:rPr>
          <w:rFonts w:eastAsia="Calibri"/>
          <w:b/>
          <w:bCs/>
          <w:i/>
          <w:iCs/>
          <w:kern w:val="2"/>
          <w:lang w:val="en-US"/>
          <w14:ligatures w14:val="standardContextual"/>
        </w:rPr>
      </w:pPr>
      <w:r w:rsidRPr="00535ECD">
        <w:rPr>
          <w:rFonts w:eastAsia="Calibri"/>
          <w:b/>
          <w:bCs/>
          <w:i/>
          <w:iCs/>
          <w:kern w:val="2"/>
          <w:lang w:val="en-US"/>
          <w14:ligatures w14:val="standardContextual"/>
        </w:rPr>
        <w:t>P</w:t>
      </w:r>
      <w:r w:rsidR="004812BA" w:rsidRPr="00535ECD">
        <w:rPr>
          <w:rFonts w:eastAsia="Calibri"/>
          <w:b/>
          <w:bCs/>
          <w:i/>
          <w:iCs/>
          <w:kern w:val="2"/>
          <w:lang w:val="en-US"/>
          <w14:ligatures w14:val="standardContextual"/>
        </w:rPr>
        <w:t>arties with complete data sets</w:t>
      </w:r>
    </w:p>
    <w:p w14:paraId="61C8B48F" w14:textId="19391B4F" w:rsidR="004812BA" w:rsidRDefault="00D201FC" w:rsidP="004812BA">
      <w:pPr>
        <w:spacing w:after="160" w:line="259" w:lineRule="auto"/>
        <w:rPr>
          <w:rFonts w:eastAsia="Calibri"/>
          <w:kern w:val="2"/>
          <w:lang w:val="en-US"/>
          <w14:ligatures w14:val="standardContextual"/>
        </w:rPr>
      </w:pPr>
      <w:r>
        <w:rPr>
          <w:rFonts w:eastAsia="Calibri"/>
          <w:kern w:val="2"/>
          <w:lang w:val="en-US"/>
          <w14:ligatures w14:val="standardContextual"/>
        </w:rPr>
        <w:t xml:space="preserve">A total of </w:t>
      </w:r>
      <w:r w:rsidR="00244AF2">
        <w:rPr>
          <w:rFonts w:eastAsia="Calibri"/>
          <w:kern w:val="2"/>
          <w:lang w:val="en-US"/>
          <w14:ligatures w14:val="standardContextual"/>
        </w:rPr>
        <w:t>113 G1</w:t>
      </w:r>
      <w:r w:rsidR="004812BA" w:rsidRPr="00183625">
        <w:rPr>
          <w:rFonts w:eastAsia="Calibri"/>
          <w:kern w:val="2"/>
          <w:lang w:val="en-US"/>
          <w14:ligatures w14:val="standardContextual"/>
        </w:rPr>
        <w:t xml:space="preserve"> </w:t>
      </w:r>
      <w:r>
        <w:rPr>
          <w:rFonts w:eastAsia="Calibri"/>
          <w:kern w:val="2"/>
          <w:lang w:val="en-US"/>
          <w14:ligatures w14:val="standardContextual"/>
        </w:rPr>
        <w:t xml:space="preserve">A5 </w:t>
      </w:r>
      <w:r w:rsidR="00FB7C66">
        <w:rPr>
          <w:rFonts w:eastAsia="Calibri"/>
          <w:kern w:val="2"/>
          <w:lang w:val="en-US"/>
          <w14:ligatures w14:val="standardContextual"/>
        </w:rPr>
        <w:t xml:space="preserve">parties </w:t>
      </w:r>
      <w:r w:rsidR="004812BA" w:rsidRPr="00183625">
        <w:rPr>
          <w:rFonts w:eastAsia="Calibri"/>
          <w:kern w:val="2"/>
          <w:lang w:val="en-US"/>
          <w14:ligatures w14:val="standardContextual"/>
        </w:rPr>
        <w:t xml:space="preserve">provided sufficient </w:t>
      </w:r>
      <w:r w:rsidR="00D87520">
        <w:rPr>
          <w:rFonts w:eastAsia="Calibri"/>
          <w:kern w:val="2"/>
          <w:lang w:val="en-US"/>
          <w14:ligatures w14:val="standardContextual"/>
        </w:rPr>
        <w:t xml:space="preserve">HFC consumption </w:t>
      </w:r>
      <w:r w:rsidR="004812BA" w:rsidRPr="00183625">
        <w:rPr>
          <w:rFonts w:eastAsia="Calibri"/>
          <w:kern w:val="2"/>
          <w:lang w:val="en-US"/>
          <w14:ligatures w14:val="standardContextual"/>
        </w:rPr>
        <w:t xml:space="preserve">data for 2020, 2021, and 2022 to calculate the HFC </w:t>
      </w:r>
      <w:r w:rsidR="00D87520">
        <w:rPr>
          <w:rFonts w:eastAsia="Calibri"/>
          <w:kern w:val="2"/>
          <w:lang w:val="en-US"/>
          <w14:ligatures w14:val="standardContextual"/>
        </w:rPr>
        <w:t xml:space="preserve">component </w:t>
      </w:r>
      <w:r w:rsidR="004812BA" w:rsidRPr="00183625">
        <w:rPr>
          <w:rFonts w:eastAsia="Calibri"/>
          <w:kern w:val="2"/>
          <w:lang w:val="en-US"/>
          <w14:ligatures w14:val="standardContextual"/>
        </w:rPr>
        <w:t xml:space="preserve">of their baselines. For parties </w:t>
      </w:r>
      <w:r w:rsidR="00583C6B">
        <w:rPr>
          <w:rFonts w:eastAsia="Calibri"/>
          <w:kern w:val="2"/>
          <w:lang w:val="en-US"/>
          <w14:ligatures w14:val="standardContextual"/>
        </w:rPr>
        <w:t xml:space="preserve">reporting complete </w:t>
      </w:r>
      <w:r w:rsidR="004812BA" w:rsidRPr="00183625">
        <w:rPr>
          <w:rFonts w:eastAsia="Calibri"/>
          <w:kern w:val="2"/>
          <w:lang w:val="en-US"/>
          <w14:ligatures w14:val="standardContextual"/>
        </w:rPr>
        <w:t>three</w:t>
      </w:r>
      <w:r w:rsidR="006D4CD5">
        <w:rPr>
          <w:rFonts w:eastAsia="Calibri"/>
          <w:kern w:val="2"/>
          <w:lang w:val="en-US"/>
          <w14:ligatures w14:val="standardContextual"/>
        </w:rPr>
        <w:t>-</w:t>
      </w:r>
      <w:r w:rsidR="004812BA" w:rsidRPr="00183625">
        <w:rPr>
          <w:rFonts w:eastAsia="Calibri"/>
          <w:kern w:val="2"/>
          <w:lang w:val="en-US"/>
          <w14:ligatures w14:val="standardContextual"/>
        </w:rPr>
        <w:t>year</w:t>
      </w:r>
      <w:r w:rsidR="00583C6B">
        <w:rPr>
          <w:rFonts w:eastAsia="Calibri"/>
          <w:kern w:val="2"/>
          <w:lang w:val="en-US"/>
          <w14:ligatures w14:val="standardContextual"/>
        </w:rPr>
        <w:t xml:space="preserve"> </w:t>
      </w:r>
      <w:r w:rsidR="00EA46EB">
        <w:rPr>
          <w:rFonts w:eastAsia="Calibri"/>
          <w:kern w:val="2"/>
          <w:lang w:val="en-US"/>
          <w14:ligatures w14:val="standardContextual"/>
        </w:rPr>
        <w:t>dataset</w:t>
      </w:r>
      <w:r w:rsidR="004812BA" w:rsidRPr="00183625">
        <w:rPr>
          <w:rFonts w:eastAsia="Calibri"/>
          <w:kern w:val="2"/>
          <w:lang w:val="en-US"/>
          <w14:ligatures w14:val="standardContextual"/>
        </w:rPr>
        <w:t xml:space="preserve">s, the RTF used that </w:t>
      </w:r>
      <w:r w:rsidR="00EA46EB">
        <w:rPr>
          <w:rFonts w:eastAsia="Calibri"/>
          <w:kern w:val="2"/>
          <w:lang w:val="en-US"/>
          <w14:ligatures w14:val="standardContextual"/>
        </w:rPr>
        <w:t xml:space="preserve">reported </w:t>
      </w:r>
      <w:r w:rsidR="004812BA" w:rsidRPr="00183625">
        <w:rPr>
          <w:rFonts w:eastAsia="Calibri"/>
          <w:kern w:val="2"/>
          <w:lang w:val="en-US"/>
          <w14:ligatures w14:val="standardContextual"/>
        </w:rPr>
        <w:t xml:space="preserve">data to calculate the HFC baseline </w:t>
      </w:r>
      <w:r w:rsidR="0045196C">
        <w:rPr>
          <w:rFonts w:eastAsia="Calibri"/>
          <w:kern w:val="2"/>
          <w:lang w:val="en-US"/>
          <w14:ligatures w14:val="standardContextual"/>
        </w:rPr>
        <w:t xml:space="preserve">on a </w:t>
      </w:r>
      <w:r w:rsidR="004812BA" w:rsidRPr="00183625">
        <w:rPr>
          <w:rFonts w:eastAsia="Calibri"/>
          <w:kern w:val="2"/>
          <w:lang w:val="en-US"/>
          <w14:ligatures w14:val="standardContextual"/>
        </w:rPr>
        <w:t>party</w:t>
      </w:r>
      <w:r w:rsidR="0045196C">
        <w:rPr>
          <w:rFonts w:eastAsia="Calibri"/>
          <w:kern w:val="2"/>
          <w:lang w:val="en-US"/>
          <w14:ligatures w14:val="standardContextual"/>
        </w:rPr>
        <w:t>-by-party basis</w:t>
      </w:r>
      <w:r w:rsidR="004812BA">
        <w:rPr>
          <w:rFonts w:eastAsia="Calibri"/>
          <w:kern w:val="2"/>
          <w:lang w:val="en-US"/>
          <w14:ligatures w14:val="standardContextual"/>
        </w:rPr>
        <w:t xml:space="preserve"> and </w:t>
      </w:r>
      <w:r w:rsidR="0045196C">
        <w:rPr>
          <w:rFonts w:eastAsia="Calibri"/>
          <w:kern w:val="2"/>
          <w:lang w:val="en-US"/>
          <w14:ligatures w14:val="standardContextual"/>
        </w:rPr>
        <w:t>cross</w:t>
      </w:r>
      <w:r w:rsidR="00E411C8">
        <w:rPr>
          <w:rFonts w:eastAsia="Calibri"/>
          <w:kern w:val="2"/>
          <w:lang w:val="en-US"/>
          <w14:ligatures w14:val="standardContextual"/>
        </w:rPr>
        <w:t>-</w:t>
      </w:r>
      <w:r w:rsidR="004812BA">
        <w:rPr>
          <w:rFonts w:eastAsia="Calibri"/>
          <w:kern w:val="2"/>
          <w:lang w:val="en-US"/>
          <w14:ligatures w14:val="standardContextual"/>
        </w:rPr>
        <w:t xml:space="preserve">checked </w:t>
      </w:r>
      <w:r w:rsidR="00E411C8">
        <w:rPr>
          <w:rFonts w:eastAsia="Calibri"/>
          <w:kern w:val="2"/>
          <w:lang w:val="en-US"/>
          <w14:ligatures w14:val="standardContextual"/>
        </w:rPr>
        <w:t xml:space="preserve">the results </w:t>
      </w:r>
      <w:r w:rsidR="004812BA">
        <w:rPr>
          <w:rFonts w:eastAsia="Calibri"/>
          <w:kern w:val="2"/>
          <w:lang w:val="en-US"/>
          <w14:ligatures w14:val="standardContextual"/>
        </w:rPr>
        <w:t xml:space="preserve">against baseline </w:t>
      </w:r>
      <w:r w:rsidR="00E411C8">
        <w:rPr>
          <w:rFonts w:eastAsia="Calibri"/>
          <w:kern w:val="2"/>
          <w:lang w:val="en-US"/>
          <w14:ligatures w14:val="standardContextual"/>
        </w:rPr>
        <w:t xml:space="preserve">values </w:t>
      </w:r>
      <w:r w:rsidR="004812BA">
        <w:rPr>
          <w:rFonts w:eastAsia="Calibri"/>
          <w:kern w:val="2"/>
          <w:lang w:val="en-US"/>
          <w14:ligatures w14:val="standardContextual"/>
        </w:rPr>
        <w:t>reported on the OS website.</w:t>
      </w:r>
    </w:p>
    <w:p w14:paraId="1AF8B185" w14:textId="434BBE85" w:rsidR="004812BA" w:rsidRPr="00ED5DDF" w:rsidRDefault="004812BA" w:rsidP="00ED5DDF">
      <w:pPr>
        <w:rPr>
          <w:b/>
          <w:bCs/>
          <w:i/>
          <w:iCs/>
          <w:lang w:val="en-US"/>
        </w:rPr>
      </w:pPr>
      <w:r w:rsidRPr="00ED5DDF">
        <w:rPr>
          <w:b/>
          <w:bCs/>
          <w:i/>
          <w:iCs/>
          <w:lang w:val="en-US"/>
        </w:rPr>
        <w:t>Addressing Data Gaps</w:t>
      </w:r>
      <w:r w:rsidR="46F6A6D7" w:rsidRPr="00ED5DDF">
        <w:rPr>
          <w:b/>
          <w:bCs/>
          <w:i/>
          <w:iCs/>
          <w:lang w:val="en-US"/>
        </w:rPr>
        <w:t xml:space="preserve"> </w:t>
      </w:r>
    </w:p>
    <w:p w14:paraId="51BF0C3D" w14:textId="731F6136" w:rsidR="004812BA" w:rsidRPr="00ED5DDF" w:rsidRDefault="004812BA" w:rsidP="00ED5DDF">
      <w:pPr>
        <w:pStyle w:val="ListParagraph"/>
        <w:rPr>
          <w:rFonts w:eastAsia="Calibri"/>
          <w:b/>
          <w:bCs/>
          <w:i/>
          <w:iCs/>
        </w:rPr>
      </w:pPr>
      <w:r w:rsidRPr="00ED5DDF">
        <w:rPr>
          <w:b/>
          <w:bCs/>
          <w:i/>
          <w:iCs/>
        </w:rPr>
        <w:t>Parties with A7 reporting some, but not all</w:t>
      </w:r>
      <w:r w:rsidR="00025328">
        <w:rPr>
          <w:b/>
          <w:bCs/>
          <w:i/>
          <w:iCs/>
        </w:rPr>
        <w:t>,</w:t>
      </w:r>
      <w:r w:rsidRPr="00ED5DDF">
        <w:rPr>
          <w:b/>
          <w:bCs/>
          <w:i/>
          <w:iCs/>
        </w:rPr>
        <w:t xml:space="preserve"> A7 HFC data for baseline</w:t>
      </w:r>
    </w:p>
    <w:p w14:paraId="29456098" w14:textId="4E5A8E51" w:rsidR="004812BA" w:rsidRDefault="5B365E33" w:rsidP="004812BA">
      <w:pPr>
        <w:spacing w:after="160" w:line="259" w:lineRule="auto"/>
        <w:rPr>
          <w:rFonts w:eastAsia="Calibri"/>
          <w:vertAlign w:val="superscript"/>
          <w:lang w:val="en-US"/>
        </w:rPr>
      </w:pPr>
      <w:r w:rsidRPr="60E9D570">
        <w:rPr>
          <w:rFonts w:eastAsia="Calibri"/>
          <w:lang w:val="en-US"/>
        </w:rPr>
        <w:t xml:space="preserve">For parties </w:t>
      </w:r>
      <w:r w:rsidR="006D4CD5">
        <w:rPr>
          <w:rFonts w:eastAsia="Calibri"/>
          <w:lang w:val="en-US"/>
        </w:rPr>
        <w:t xml:space="preserve">that </w:t>
      </w:r>
      <w:r w:rsidR="005B1D7A">
        <w:rPr>
          <w:rFonts w:eastAsia="Calibri"/>
          <w:lang w:val="en-US"/>
        </w:rPr>
        <w:t xml:space="preserve">reported </w:t>
      </w:r>
      <w:r w:rsidR="000E64A0" w:rsidRPr="6FA71381">
        <w:rPr>
          <w:rFonts w:eastAsia="Calibri"/>
          <w:lang w:val="en-US"/>
        </w:rPr>
        <w:t xml:space="preserve">partial </w:t>
      </w:r>
      <w:r w:rsidRPr="60E9D570">
        <w:rPr>
          <w:rFonts w:eastAsia="Calibri"/>
          <w:lang w:val="en-US"/>
        </w:rPr>
        <w:t>HFC</w:t>
      </w:r>
      <w:r w:rsidR="000E64A0" w:rsidRPr="6FA71381">
        <w:rPr>
          <w:rFonts w:eastAsia="Calibri"/>
          <w:lang w:val="en-US"/>
        </w:rPr>
        <w:t xml:space="preserve"> </w:t>
      </w:r>
      <w:r w:rsidRPr="60E9D570">
        <w:rPr>
          <w:rFonts w:eastAsia="Calibri"/>
          <w:lang w:val="en-US"/>
        </w:rPr>
        <w:t xml:space="preserve">data </w:t>
      </w:r>
      <w:r w:rsidR="005B1D7A">
        <w:rPr>
          <w:rFonts w:eastAsia="Calibri"/>
          <w:lang w:val="en-US"/>
        </w:rPr>
        <w:t xml:space="preserve">under A7 but did not provide </w:t>
      </w:r>
      <w:r w:rsidR="002F7687">
        <w:rPr>
          <w:rFonts w:eastAsia="Calibri"/>
          <w:lang w:val="en-US"/>
        </w:rPr>
        <w:t xml:space="preserve">complete datasets for all baseline years, missing values were estimated </w:t>
      </w:r>
      <w:r w:rsidRPr="60E9D570">
        <w:rPr>
          <w:rFonts w:eastAsia="Calibri"/>
          <w:lang w:val="en-US"/>
        </w:rPr>
        <w:t>using national Gross Domestic Product (GDP) growth rates</w:t>
      </w:r>
      <w:r w:rsidRPr="6F288DB5">
        <w:rPr>
          <w:rFonts w:eastAsia="Calibri"/>
          <w:lang w:val="en-US"/>
        </w:rPr>
        <w:t xml:space="preserve"> to </w:t>
      </w:r>
      <w:r w:rsidR="0086680B">
        <w:rPr>
          <w:rFonts w:eastAsia="Calibri"/>
          <w:lang w:val="en-US"/>
        </w:rPr>
        <w:t xml:space="preserve">extrapolate </w:t>
      </w:r>
      <w:r w:rsidRPr="6F288DB5">
        <w:rPr>
          <w:rFonts w:eastAsia="Calibri"/>
          <w:lang w:val="en-US"/>
        </w:rPr>
        <w:t>consumption</w:t>
      </w:r>
      <w:r w:rsidR="004812BA" w:rsidRPr="345AB129">
        <w:rPr>
          <w:rFonts w:eastAsia="Calibri"/>
          <w:vertAlign w:val="superscript"/>
          <w:lang w:val="en-US"/>
        </w:rPr>
        <w:footnoteReference w:id="107"/>
      </w:r>
      <w:r w:rsidRPr="0C0EDD92">
        <w:rPr>
          <w:rFonts w:eastAsia="Calibri"/>
          <w:vertAlign w:val="superscript"/>
          <w:lang w:val="en-US"/>
        </w:rPr>
        <w:t xml:space="preserve"> </w:t>
      </w:r>
      <w:r w:rsidRPr="599401A6">
        <w:rPr>
          <w:rFonts w:eastAsia="Calibri"/>
          <w:kern w:val="2"/>
          <w:lang w:val="en-US"/>
          <w14:ligatures w14:val="standardContextual"/>
        </w:rPr>
        <w:t xml:space="preserve">for </w:t>
      </w:r>
      <w:r w:rsidR="005A7E6B">
        <w:rPr>
          <w:rFonts w:eastAsia="Calibri"/>
          <w:kern w:val="2"/>
          <w:lang w:val="en-US"/>
          <w14:ligatures w14:val="standardContextual"/>
        </w:rPr>
        <w:t xml:space="preserve">the relevant </w:t>
      </w:r>
      <w:r w:rsidRPr="599401A6">
        <w:rPr>
          <w:rFonts w:eastAsia="Calibri"/>
          <w:kern w:val="2"/>
          <w:lang w:val="en-US"/>
          <w14:ligatures w14:val="standardContextual"/>
        </w:rPr>
        <w:t>earlier and later periods.</w:t>
      </w:r>
      <w:r w:rsidRPr="599401A6">
        <w:rPr>
          <w:rFonts w:eastAsia="Calibri"/>
          <w:vertAlign w:val="superscript"/>
          <w:lang w:val="en-US"/>
        </w:rPr>
        <w:t xml:space="preserve"> </w:t>
      </w:r>
    </w:p>
    <w:p w14:paraId="0F59BB73" w14:textId="77777777" w:rsidR="009A6B30" w:rsidRPr="00183625" w:rsidRDefault="009A6B30" w:rsidP="004812BA">
      <w:pPr>
        <w:spacing w:after="160" w:line="259" w:lineRule="auto"/>
        <w:rPr>
          <w:rFonts w:eastAsia="Calibri"/>
          <w:b/>
          <w:bCs/>
          <w:lang w:val="en-US"/>
        </w:rPr>
      </w:pPr>
    </w:p>
    <w:p w14:paraId="55F72163" w14:textId="0A07E0DB" w:rsidR="004812BA" w:rsidRPr="00ED5DDF" w:rsidDel="009D7664" w:rsidRDefault="004812BA" w:rsidP="00036298">
      <w:pPr>
        <w:pStyle w:val="ListParagraph"/>
        <w:keepNext/>
        <w:ind w:left="714" w:hanging="357"/>
        <w:rPr>
          <w:b/>
          <w:bCs/>
          <w:i/>
          <w:iCs/>
        </w:rPr>
      </w:pPr>
      <w:r w:rsidRPr="00ED5DDF">
        <w:rPr>
          <w:b/>
          <w:bCs/>
          <w:i/>
          <w:iCs/>
        </w:rPr>
        <w:lastRenderedPageBreak/>
        <w:t xml:space="preserve">Parties not yet required to report </w:t>
      </w:r>
    </w:p>
    <w:p w14:paraId="0B677170" w14:textId="4B200773" w:rsidR="00A0579E" w:rsidRDefault="005F6209" w:rsidP="004812BA">
      <w:pPr>
        <w:spacing w:after="160" w:line="259" w:lineRule="auto"/>
        <w:rPr>
          <w:rFonts w:eastAsia="Calibri"/>
          <w:kern w:val="2"/>
          <w:lang w:val="en-US"/>
          <w14:ligatures w14:val="standardContextual"/>
        </w:rPr>
      </w:pPr>
      <w:r w:rsidRPr="00183625">
        <w:rPr>
          <w:rFonts w:eastAsia="Calibri"/>
          <w:kern w:val="2"/>
          <w:lang w:val="en-US"/>
          <w14:ligatures w14:val="standardContextual"/>
        </w:rPr>
        <w:t xml:space="preserve">For parties that have not reported any HFC data for </w:t>
      </w:r>
      <w:r w:rsidRPr="6F288DB5">
        <w:rPr>
          <w:rFonts w:eastAsia="Calibri"/>
          <w:lang w:val="en-US"/>
        </w:rPr>
        <w:t>any</w:t>
      </w:r>
      <w:r w:rsidRPr="00183625">
        <w:rPr>
          <w:rFonts w:eastAsia="Calibri"/>
          <w:kern w:val="2"/>
          <w:lang w:val="en-US"/>
          <w14:ligatures w14:val="standardContextual"/>
        </w:rPr>
        <w:t xml:space="preserve"> baseline year, the RTF </w:t>
      </w:r>
      <w:r w:rsidR="00A04FD6" w:rsidRPr="00A04FD6">
        <w:rPr>
          <w:rFonts w:eastAsia="Calibri"/>
          <w:kern w:val="2"/>
          <w14:ligatures w14:val="standardContextual"/>
        </w:rPr>
        <w:t xml:space="preserve">applied a proxy estimation approach. </w:t>
      </w:r>
      <w:r w:rsidR="00AA71EB" w:rsidRPr="00AA71EB">
        <w:rPr>
          <w:rFonts w:eastAsia="Calibri"/>
          <w:kern w:val="2"/>
          <w14:ligatures w14:val="standardContextual"/>
        </w:rPr>
        <w:t xml:space="preserve">This involved using </w:t>
      </w:r>
      <w:r w:rsidRPr="00183625">
        <w:rPr>
          <w:rFonts w:eastAsia="Calibri"/>
          <w:kern w:val="2"/>
          <w:lang w:val="en-US"/>
          <w14:ligatures w14:val="standardContextual"/>
        </w:rPr>
        <w:t>year</w:t>
      </w:r>
      <w:r w:rsidR="00AA71EB">
        <w:rPr>
          <w:rFonts w:eastAsia="Calibri"/>
          <w:kern w:val="2"/>
          <w:lang w:val="en-US"/>
          <w14:ligatures w14:val="standardContextual"/>
        </w:rPr>
        <w:t>-on-</w:t>
      </w:r>
      <w:r w:rsidRPr="00183625">
        <w:rPr>
          <w:rFonts w:eastAsia="Calibri"/>
          <w:kern w:val="2"/>
          <w:lang w:val="en-US"/>
          <w14:ligatures w14:val="standardContextual"/>
        </w:rPr>
        <w:t>year change</w:t>
      </w:r>
      <w:r w:rsidR="00AA71EB">
        <w:rPr>
          <w:rFonts w:eastAsia="Calibri"/>
          <w:kern w:val="2"/>
          <w:lang w:val="en-US"/>
          <w14:ligatures w14:val="standardContextual"/>
        </w:rPr>
        <w:t>s</w:t>
      </w:r>
      <w:r w:rsidRPr="00183625">
        <w:rPr>
          <w:rFonts w:eastAsia="Calibri"/>
          <w:kern w:val="2"/>
          <w:lang w:val="en-US"/>
          <w14:ligatures w14:val="standardContextual"/>
        </w:rPr>
        <w:t xml:space="preserve"> in </w:t>
      </w:r>
      <w:r w:rsidRPr="6F288DB5">
        <w:rPr>
          <w:rFonts w:eastAsia="Calibri"/>
          <w:lang w:val="en-US"/>
        </w:rPr>
        <w:t xml:space="preserve">national </w:t>
      </w:r>
      <w:r w:rsidR="0077275B">
        <w:rPr>
          <w:rFonts w:eastAsia="Calibri"/>
          <w:kern w:val="2"/>
          <w:lang w:val="en-US"/>
          <w14:ligatures w14:val="standardContextual"/>
        </w:rPr>
        <w:t>GDP</w:t>
      </w:r>
      <w:r w:rsidRPr="00183625">
        <w:rPr>
          <w:rFonts w:eastAsia="Calibri"/>
          <w:kern w:val="2"/>
          <w:vertAlign w:val="superscript"/>
          <w:lang w:val="en-US"/>
          <w14:ligatures w14:val="standardContextual"/>
        </w:rPr>
        <w:footnoteReference w:id="108"/>
      </w:r>
      <w:r w:rsidRPr="00183625">
        <w:rPr>
          <w:rFonts w:eastAsia="Calibri"/>
          <w:kern w:val="2"/>
          <w:lang w:val="en-US"/>
          <w14:ligatures w14:val="standardContextual"/>
        </w:rPr>
        <w:t xml:space="preserve"> to extrapolate reported HCFC baseline data</w:t>
      </w:r>
      <w:r w:rsidR="00A04696">
        <w:rPr>
          <w:rFonts w:eastAsia="Calibri"/>
          <w:kern w:val="2"/>
          <w:lang w:val="en-US"/>
          <w14:ligatures w14:val="standardContextual"/>
        </w:rPr>
        <w:t>, thereby</w:t>
      </w:r>
      <w:r w:rsidRPr="00183625">
        <w:rPr>
          <w:rFonts w:eastAsia="Calibri"/>
          <w:kern w:val="2"/>
          <w:lang w:val="en-US"/>
          <w14:ligatures w14:val="standardContextual"/>
        </w:rPr>
        <w:t xml:space="preserve"> estimat</w:t>
      </w:r>
      <w:r w:rsidR="00A04696">
        <w:rPr>
          <w:rFonts w:eastAsia="Calibri"/>
          <w:kern w:val="2"/>
          <w:lang w:val="en-US"/>
          <w14:ligatures w14:val="standardContextual"/>
        </w:rPr>
        <w:t>ing</w:t>
      </w:r>
      <w:r w:rsidRPr="00183625">
        <w:rPr>
          <w:rFonts w:eastAsia="Calibri"/>
          <w:kern w:val="2"/>
          <w:lang w:val="en-US"/>
          <w14:ligatures w14:val="standardContextual"/>
        </w:rPr>
        <w:t xml:space="preserve"> </w:t>
      </w:r>
      <w:r w:rsidR="00A730BB">
        <w:rPr>
          <w:rFonts w:eastAsia="Calibri"/>
          <w:kern w:val="2"/>
          <w:lang w:val="en-US"/>
          <w14:ligatures w14:val="standardContextual"/>
        </w:rPr>
        <w:t>a business-as-usual (BAU) trajectory</w:t>
      </w:r>
      <w:r w:rsidR="006C4049">
        <w:rPr>
          <w:rFonts w:eastAsia="Calibri"/>
          <w:kern w:val="2"/>
          <w:lang w:val="en-US"/>
          <w14:ligatures w14:val="standardContextual"/>
        </w:rPr>
        <w:t xml:space="preserve"> </w:t>
      </w:r>
      <w:r w:rsidRPr="00183625">
        <w:rPr>
          <w:rFonts w:eastAsia="Calibri"/>
          <w:kern w:val="2"/>
          <w:lang w:val="en-US"/>
          <w14:ligatures w14:val="standardContextual"/>
        </w:rPr>
        <w:t xml:space="preserve">for refrigerants and foam blowing agents from 2010 through baseline </w:t>
      </w:r>
      <w:r w:rsidR="006C4049">
        <w:rPr>
          <w:rFonts w:eastAsia="Calibri"/>
          <w:kern w:val="2"/>
          <w:lang w:val="en-US"/>
          <w14:ligatures w14:val="standardContextual"/>
        </w:rPr>
        <w:t>period</w:t>
      </w:r>
      <w:r w:rsidRPr="00183625">
        <w:rPr>
          <w:rFonts w:eastAsia="Calibri"/>
          <w:kern w:val="2"/>
          <w:lang w:val="en-US"/>
          <w14:ligatures w14:val="standardContextual"/>
        </w:rPr>
        <w:t xml:space="preserve">. Actual HCFC </w:t>
      </w:r>
      <w:r w:rsidR="00F9330E">
        <w:rPr>
          <w:rFonts w:eastAsia="Calibri"/>
          <w:kern w:val="2"/>
          <w:lang w:val="en-US"/>
          <w14:ligatures w14:val="standardContextual"/>
        </w:rPr>
        <w:t xml:space="preserve">consumption was then </w:t>
      </w:r>
      <w:r w:rsidRPr="00183625">
        <w:rPr>
          <w:rFonts w:eastAsia="Calibri"/>
          <w:kern w:val="2"/>
          <w:lang w:val="en-US"/>
          <w14:ligatures w14:val="standardContextual"/>
        </w:rPr>
        <w:t xml:space="preserve">subtracted from the projected BAU </w:t>
      </w:r>
      <w:r w:rsidR="003A1F19">
        <w:rPr>
          <w:rFonts w:eastAsia="Calibri"/>
          <w:kern w:val="2"/>
          <w:lang w:val="en-US"/>
          <w14:ligatures w14:val="standardContextual"/>
        </w:rPr>
        <w:t>scenario</w:t>
      </w:r>
      <w:r w:rsidRPr="00183625">
        <w:rPr>
          <w:rFonts w:eastAsia="Calibri"/>
          <w:kern w:val="2"/>
          <w:lang w:val="en-US"/>
          <w14:ligatures w14:val="standardContextual"/>
        </w:rPr>
        <w:t xml:space="preserve"> for the baseline years</w:t>
      </w:r>
      <w:r w:rsidR="00D9048C">
        <w:rPr>
          <w:rFonts w:eastAsia="Calibri"/>
          <w:kern w:val="2"/>
          <w:lang w:val="en-US"/>
          <w14:ligatures w14:val="standardContextual"/>
        </w:rPr>
        <w:t>,</w:t>
      </w:r>
      <w:r w:rsidRPr="00183625">
        <w:rPr>
          <w:rFonts w:eastAsia="Calibri"/>
          <w:kern w:val="2"/>
          <w:lang w:val="en-US"/>
          <w14:ligatures w14:val="standardContextual"/>
        </w:rPr>
        <w:t xml:space="preserve"> </w:t>
      </w:r>
      <w:r w:rsidR="00D9048C">
        <w:rPr>
          <w:rFonts w:eastAsia="Calibri"/>
          <w:kern w:val="2"/>
          <w:lang w:val="en-US"/>
          <w14:ligatures w14:val="standardContextual"/>
        </w:rPr>
        <w:t xml:space="preserve">with the difference </w:t>
      </w:r>
      <w:r w:rsidR="00CE1A4F">
        <w:rPr>
          <w:rFonts w:eastAsia="Calibri"/>
          <w:kern w:val="2"/>
          <w:lang w:val="en-US"/>
          <w14:ligatures w14:val="standardContextual"/>
        </w:rPr>
        <w:t xml:space="preserve">assumed </w:t>
      </w:r>
      <w:r w:rsidR="00D9048C">
        <w:rPr>
          <w:rFonts w:eastAsia="Calibri"/>
          <w:kern w:val="2"/>
          <w:lang w:val="en-US"/>
          <w14:ligatures w14:val="standardContextual"/>
        </w:rPr>
        <w:t xml:space="preserve">to </w:t>
      </w:r>
      <w:r w:rsidR="00CE1A4F">
        <w:rPr>
          <w:rFonts w:eastAsia="Calibri"/>
          <w:kern w:val="2"/>
          <w:lang w:val="en-US"/>
          <w14:ligatures w14:val="standardContextual"/>
        </w:rPr>
        <w:t>ha</w:t>
      </w:r>
      <w:r w:rsidR="00C04E34">
        <w:rPr>
          <w:rFonts w:eastAsia="Calibri"/>
          <w:kern w:val="2"/>
          <w:lang w:val="en-US"/>
          <w14:ligatures w14:val="standardContextual"/>
        </w:rPr>
        <w:t>ve</w:t>
      </w:r>
      <w:r w:rsidR="00CE1A4F">
        <w:rPr>
          <w:rFonts w:eastAsia="Calibri"/>
          <w:kern w:val="2"/>
          <w:lang w:val="en-US"/>
          <w14:ligatures w14:val="standardContextual"/>
        </w:rPr>
        <w:t xml:space="preserve"> </w:t>
      </w:r>
      <w:r w:rsidR="005D0B0B">
        <w:rPr>
          <w:rFonts w:eastAsia="Calibri"/>
          <w:kern w:val="2"/>
          <w:lang w:val="en-US"/>
          <w14:ligatures w14:val="standardContextual"/>
        </w:rPr>
        <w:t xml:space="preserve">been </w:t>
      </w:r>
      <w:r w:rsidR="00CE1A4F">
        <w:rPr>
          <w:rFonts w:eastAsia="Calibri"/>
          <w:kern w:val="2"/>
          <w:lang w:val="en-US"/>
          <w14:ligatures w14:val="standardContextual"/>
        </w:rPr>
        <w:t xml:space="preserve">converted </w:t>
      </w:r>
      <w:r w:rsidR="00C04E34">
        <w:rPr>
          <w:rFonts w:eastAsia="Calibri"/>
          <w:kern w:val="2"/>
          <w:lang w:val="en-US"/>
          <w14:ligatures w14:val="standardContextual"/>
        </w:rPr>
        <w:t xml:space="preserve">either </w:t>
      </w:r>
      <w:r w:rsidR="00CE1A4F">
        <w:rPr>
          <w:rFonts w:eastAsia="Calibri"/>
          <w:kern w:val="2"/>
          <w:lang w:val="en-US"/>
          <w14:ligatures w14:val="standardContextual"/>
        </w:rPr>
        <w:t xml:space="preserve">to </w:t>
      </w:r>
      <w:r w:rsidR="00B66D7F">
        <w:rPr>
          <w:rFonts w:eastAsia="Calibri"/>
          <w:kern w:val="2"/>
          <w:lang w:val="en-US"/>
          <w14:ligatures w14:val="standardContextual"/>
        </w:rPr>
        <w:t>HFC</w:t>
      </w:r>
      <w:r w:rsidR="00C04E34">
        <w:rPr>
          <w:rFonts w:eastAsia="Calibri"/>
          <w:kern w:val="2"/>
          <w:lang w:val="en-US"/>
          <w14:ligatures w14:val="standardContextual"/>
        </w:rPr>
        <w:t>s</w:t>
      </w:r>
      <w:r w:rsidR="00B66D7F">
        <w:rPr>
          <w:rFonts w:eastAsia="Calibri"/>
          <w:kern w:val="2"/>
          <w:lang w:val="en-US"/>
          <w14:ligatures w14:val="standardContextual"/>
        </w:rPr>
        <w:t xml:space="preserve"> or </w:t>
      </w:r>
      <w:r w:rsidR="00C04E34">
        <w:rPr>
          <w:rFonts w:eastAsia="Calibri"/>
          <w:kern w:val="2"/>
          <w:lang w:val="en-US"/>
          <w14:ligatures w14:val="standardContextual"/>
        </w:rPr>
        <w:t xml:space="preserve">to other </w:t>
      </w:r>
      <w:r w:rsidR="00CE1A4F">
        <w:rPr>
          <w:rFonts w:eastAsia="Calibri"/>
          <w:kern w:val="2"/>
          <w:lang w:val="en-US"/>
          <w14:ligatures w14:val="standardContextual"/>
        </w:rPr>
        <w:t>non-ODS alternative</w:t>
      </w:r>
      <w:r w:rsidR="000141A4">
        <w:rPr>
          <w:rFonts w:eastAsia="Calibri"/>
          <w:kern w:val="2"/>
          <w:lang w:val="en-US"/>
          <w14:ligatures w14:val="standardContextual"/>
        </w:rPr>
        <w:t>s</w:t>
      </w:r>
      <w:r w:rsidRPr="00183625">
        <w:rPr>
          <w:rFonts w:eastAsia="Calibri"/>
          <w:kern w:val="2"/>
          <w:lang w:val="en-US"/>
          <w14:ligatures w14:val="standardContextual"/>
        </w:rPr>
        <w:t xml:space="preserve">. </w:t>
      </w:r>
    </w:p>
    <w:p w14:paraId="04C8C802" w14:textId="54206F8B" w:rsidR="004812BA" w:rsidRDefault="00870173" w:rsidP="004812BA">
      <w:pPr>
        <w:spacing w:after="160" w:line="259" w:lineRule="auto"/>
        <w:rPr>
          <w:rFonts w:eastAsia="Calibri"/>
          <w:kern w:val="2"/>
          <w:lang w:val="en-US"/>
          <w14:ligatures w14:val="standardContextual"/>
        </w:rPr>
      </w:pPr>
      <w:r w:rsidRPr="00183625">
        <w:rPr>
          <w:rFonts w:eastAsia="Calibri"/>
          <w:b/>
          <w:bCs/>
          <w:noProof/>
          <w:kern w:val="2"/>
          <w:lang w:val="en-US"/>
          <w14:ligatures w14:val="standardContextual"/>
        </w:rPr>
        <mc:AlternateContent>
          <mc:Choice Requires="wps">
            <w:drawing>
              <wp:anchor distT="45720" distB="45720" distL="114300" distR="114300" simplePos="0" relativeHeight="251658240" behindDoc="0" locked="0" layoutInCell="1" allowOverlap="1" wp14:anchorId="440C7DD6" wp14:editId="7ADBFBE5">
                <wp:simplePos x="0" y="0"/>
                <wp:positionH relativeFrom="margin">
                  <wp:align>left</wp:align>
                </wp:positionH>
                <wp:positionV relativeFrom="paragraph">
                  <wp:posOffset>851236</wp:posOffset>
                </wp:positionV>
                <wp:extent cx="5589905" cy="2501265"/>
                <wp:effectExtent l="0" t="0" r="10795" b="133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2501265"/>
                        </a:xfrm>
                        <a:prstGeom prst="rect">
                          <a:avLst/>
                        </a:prstGeom>
                        <a:solidFill>
                          <a:srgbClr val="FFFFFF"/>
                        </a:solidFill>
                        <a:ln w="9525">
                          <a:solidFill>
                            <a:srgbClr val="000000"/>
                          </a:solidFill>
                          <a:miter lim="800000"/>
                          <a:headEnd/>
                          <a:tailEnd/>
                        </a:ln>
                      </wps:spPr>
                      <wps:txbx>
                        <w:txbxContent>
                          <w:p w14:paraId="13A2EB63" w14:textId="31F7586E" w:rsidR="000C24B4" w:rsidRPr="00CA471D" w:rsidRDefault="000C24B4" w:rsidP="002135B0">
                            <w:pPr>
                              <w:tabs>
                                <w:tab w:val="left" w:pos="1276"/>
                              </w:tabs>
                              <w:spacing w:after="120"/>
                              <w:ind w:left="1276" w:hanging="1276"/>
                              <w:rPr>
                                <w:b/>
                              </w:rPr>
                            </w:pPr>
                            <w:r w:rsidRPr="00E42C5E">
                              <w:rPr>
                                <w:rFonts w:eastAsiaTheme="minorHAnsi"/>
                                <w:b/>
                                <w:bCs/>
                              </w:rPr>
                              <w:t xml:space="preserve">Table </w:t>
                            </w:r>
                            <w:r>
                              <w:rPr>
                                <w:rFonts w:eastAsiaTheme="minorHAnsi"/>
                                <w:b/>
                                <w:bCs/>
                              </w:rPr>
                              <w:t>A3.3</w:t>
                            </w:r>
                            <w:r w:rsidR="00FF681F">
                              <w:rPr>
                                <w:rFonts w:eastAsiaTheme="minorHAnsi"/>
                                <w:b/>
                                <w:bCs/>
                              </w:rPr>
                              <w:t>:</w:t>
                            </w:r>
                            <w:r w:rsidRPr="00E42C5E">
                              <w:rPr>
                                <w:rFonts w:eastAsiaTheme="minorHAnsi"/>
                                <w:b/>
                                <w:bCs/>
                              </w:rPr>
                              <w:tab/>
                            </w:r>
                            <w:r w:rsidRPr="000C24B4">
                              <w:rPr>
                                <w:rFonts w:eastAsia="Calibri"/>
                                <w:b/>
                                <w:bCs/>
                                <w:color w:val="000000"/>
                                <w:lang w:val="en-US"/>
                              </w:rPr>
                              <w:t>Filling data gaps for parties that have not yet been required to report with only HCFC data available</w:t>
                            </w:r>
                          </w:p>
                          <w:p w14:paraId="72856D5F" w14:textId="77777777" w:rsidR="004812BA" w:rsidRDefault="004812BA" w:rsidP="004812BA">
                            <w:r w:rsidRPr="004D6844">
                              <w:rPr>
                                <w:noProof/>
                              </w:rPr>
                              <w:drawing>
                                <wp:inline distT="0" distB="0" distL="0" distR="0" wp14:anchorId="03C1C7EE" wp14:editId="21DC835A">
                                  <wp:extent cx="5409486" cy="1958196"/>
                                  <wp:effectExtent l="0" t="0" r="1270" b="0"/>
                                  <wp:docPr id="1612227626" name="Picture 161222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9652" cy="19618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C4BE56A">
              <v:shape id="Text Box 11" style="position:absolute;margin-left:0;margin-top:67.05pt;width:440.15pt;height:196.9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" w14:anchorId="440C7DD6">
                <v:textbox>
                  <w:txbxContent>
                    <w:p w:rsidRPr="00CA471D" w:rsidR="000C24B4" w:rsidP="002135B0" w:rsidRDefault="000C24B4" w14:paraId="14B16848" w14:textId="31F7586E">
                      <w:pPr>
                        <w:tabs>
                          <w:tab w:val="left" w:pos="1276"/>
                        </w:tabs>
                        <w:spacing w:after="120"/>
                        <w:ind w:left="1276" w:hanging="1276"/>
                        <w:rPr>
                          <w:b/>
                        </w:rPr>
                      </w:pPr>
                      <w:r w:rsidRPr="00E42C5E">
                        <w:rPr>
                          <w:rFonts w:eastAsiaTheme="minorHAnsi"/>
                          <w:b/>
                          <w:bCs/>
                        </w:rPr>
                        <w:t xml:space="preserve">Table </w:t>
                      </w:r>
                      <w:r>
                        <w:rPr>
                          <w:rFonts w:eastAsiaTheme="minorHAnsi"/>
                          <w:b/>
                          <w:bCs/>
                        </w:rPr>
                        <w:t>A3.3</w:t>
                      </w:r>
                      <w:r w:rsidR="00FF681F">
                        <w:rPr>
                          <w:rFonts w:eastAsiaTheme="minorHAnsi"/>
                          <w:b/>
                          <w:bCs/>
                        </w:rPr>
                        <w:t>:</w:t>
                      </w:r>
                      <w:r w:rsidRPr="00E42C5E">
                        <w:rPr>
                          <w:rFonts w:eastAsiaTheme="minorHAnsi"/>
                          <w:b/>
                          <w:bCs/>
                        </w:rPr>
                        <w:tab/>
                      </w:r>
                      <w:r w:rsidRPr="000C24B4">
                        <w:rPr>
                          <w:rFonts w:eastAsia="Calibri"/>
                          <w:b/>
                          <w:bCs/>
                          <w:color w:val="000000"/>
                          <w:lang w:val="en-US"/>
                        </w:rPr>
                        <w:t>Filling data gaps for parties that have not yet been required to report with only HCFC data available</w:t>
                      </w:r>
                    </w:p>
                    <w:p w:rsidR="004812BA" w:rsidP="004812BA" w:rsidRDefault="004812BA" w14:paraId="0A37501D" w14:textId="77777777">
                      <w:r w:rsidRPr="004D6844">
                        <w:rPr>
                          <w:noProof/>
                        </w:rPr>
                        <w:drawing>
                          <wp:inline distT="0" distB="0" distL="0" distR="0" wp14:anchorId="63FBC32A" wp14:editId="21DC835A">
                            <wp:extent cx="5409486" cy="1958196"/>
                            <wp:effectExtent l="0" t="0" r="1270" b="0"/>
                            <wp:docPr id="1686704968" name="Picture 161222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9652" cy="1961876"/>
                                    </a:xfrm>
                                    <a:prstGeom prst="rect">
                                      <a:avLst/>
                                    </a:prstGeom>
                                    <a:noFill/>
                                    <a:ln>
                                      <a:noFill/>
                                    </a:ln>
                                  </pic:spPr>
                                </pic:pic>
                              </a:graphicData>
                            </a:graphic>
                          </wp:inline>
                        </w:drawing>
                      </w:r>
                    </w:p>
                  </w:txbxContent>
                </v:textbox>
                <w10:wrap type="square" anchorx="margin"/>
              </v:shape>
            </w:pict>
          </mc:Fallback>
        </mc:AlternateContent>
      </w:r>
      <w:r w:rsidR="005D0B0B">
        <w:rPr>
          <w:rFonts w:eastAsia="Calibri"/>
          <w:kern w:val="2"/>
          <w:lang w:val="en-US"/>
          <w14:ligatures w14:val="standardContextual"/>
        </w:rPr>
        <w:t>The</w:t>
      </w:r>
      <w:r w:rsidR="005F6209" w:rsidRPr="00183625">
        <w:rPr>
          <w:rFonts w:eastAsia="Calibri"/>
          <w:kern w:val="2"/>
          <w:lang w:val="en-US"/>
          <w14:ligatures w14:val="standardContextual"/>
        </w:rPr>
        <w:t xml:space="preserve"> conversion factors from HCFCs to HFCs</w:t>
      </w:r>
      <w:r w:rsidR="000141A4">
        <w:rPr>
          <w:rFonts w:eastAsia="Calibri"/>
          <w:kern w:val="2"/>
          <w:lang w:val="en-US"/>
          <w14:ligatures w14:val="standardContextual"/>
        </w:rPr>
        <w:t>,</w:t>
      </w:r>
      <w:r w:rsidR="005F6209" w:rsidRPr="00183625">
        <w:rPr>
          <w:rFonts w:eastAsia="Calibri"/>
          <w:kern w:val="2"/>
          <w:lang w:val="en-US"/>
          <w14:ligatures w14:val="standardContextual"/>
        </w:rPr>
        <w:t xml:space="preserve"> </w:t>
      </w:r>
      <w:r w:rsidR="000141A4">
        <w:rPr>
          <w:rFonts w:eastAsia="Calibri"/>
          <w:kern w:val="2"/>
          <w:lang w:val="en-US"/>
          <w14:ligatures w14:val="standardContextual"/>
        </w:rPr>
        <w:t xml:space="preserve">as presented </w:t>
      </w:r>
      <w:r w:rsidR="005F6209" w:rsidRPr="00183625">
        <w:rPr>
          <w:rFonts w:eastAsia="Calibri"/>
          <w:kern w:val="2"/>
          <w:lang w:val="en-US"/>
          <w14:ligatures w14:val="standardContextual"/>
        </w:rPr>
        <w:t xml:space="preserve">in </w:t>
      </w:r>
      <w:r w:rsidR="005F6209" w:rsidRPr="6F288DB5">
        <w:rPr>
          <w:rFonts w:eastAsia="Calibri"/>
          <w:b/>
          <w:bCs/>
          <w:lang w:val="en-US"/>
        </w:rPr>
        <w:t>Table</w:t>
      </w:r>
      <w:r w:rsidR="0056311E">
        <w:rPr>
          <w:rFonts w:eastAsia="Calibri"/>
          <w:b/>
          <w:bCs/>
          <w:lang w:val="en-US"/>
        </w:rPr>
        <w:t>s</w:t>
      </w:r>
      <w:r w:rsidR="005F6209" w:rsidRPr="6F288DB5">
        <w:rPr>
          <w:rFonts w:eastAsia="Calibri"/>
          <w:b/>
          <w:bCs/>
          <w:lang w:val="en-US"/>
        </w:rPr>
        <w:t xml:space="preserve"> A</w:t>
      </w:r>
      <w:r w:rsidR="004A6264">
        <w:rPr>
          <w:rFonts w:eastAsia="Calibri"/>
          <w:b/>
          <w:bCs/>
          <w:lang w:val="en-US"/>
        </w:rPr>
        <w:t>3.</w:t>
      </w:r>
      <w:r w:rsidR="00A0579E">
        <w:rPr>
          <w:rFonts w:eastAsia="Calibri"/>
          <w:b/>
          <w:bCs/>
          <w:lang w:val="en-US"/>
        </w:rPr>
        <w:t>3</w:t>
      </w:r>
      <w:r w:rsidR="004A6264">
        <w:rPr>
          <w:rFonts w:eastAsia="Calibri"/>
          <w:b/>
          <w:bCs/>
          <w:lang w:val="en-US"/>
        </w:rPr>
        <w:t>-3.</w:t>
      </w:r>
      <w:r w:rsidR="0056311E">
        <w:rPr>
          <w:rFonts w:eastAsia="Calibri"/>
          <w:b/>
          <w:bCs/>
          <w:lang w:val="en-US"/>
        </w:rPr>
        <w:t>4</w:t>
      </w:r>
      <w:r w:rsidR="00B621B4">
        <w:rPr>
          <w:rFonts w:eastAsia="Calibri"/>
          <w:b/>
          <w:bCs/>
          <w:lang w:val="en-US"/>
        </w:rPr>
        <w:t>,</w:t>
      </w:r>
      <w:r w:rsidR="005F6209" w:rsidRPr="6F288DB5">
        <w:rPr>
          <w:rFonts w:eastAsia="Calibri"/>
          <w:b/>
          <w:bCs/>
          <w:lang w:val="en-US"/>
        </w:rPr>
        <w:t xml:space="preserve"> </w:t>
      </w:r>
      <w:r w:rsidR="005F6209" w:rsidRPr="00183625">
        <w:rPr>
          <w:rFonts w:eastAsia="Calibri"/>
          <w:kern w:val="2"/>
          <w:lang w:val="en-US"/>
          <w14:ligatures w14:val="standardContextual"/>
        </w:rPr>
        <w:t>w</w:t>
      </w:r>
      <w:r w:rsidR="00291E33">
        <w:rPr>
          <w:rFonts w:eastAsia="Calibri"/>
          <w:kern w:val="2"/>
          <w:lang w:val="en-US"/>
          <w14:ligatures w14:val="standardContextual"/>
        </w:rPr>
        <w:t>ere</w:t>
      </w:r>
      <w:r w:rsidR="005F6209" w:rsidRPr="00183625">
        <w:rPr>
          <w:rFonts w:eastAsia="Calibri"/>
          <w:kern w:val="2"/>
          <w:lang w:val="en-US"/>
          <w14:ligatures w14:val="standardContextual"/>
        </w:rPr>
        <w:t xml:space="preserve"> used to estimate HFC consumption in </w:t>
      </w:r>
      <w:r w:rsidR="00B621B4">
        <w:rPr>
          <w:rFonts w:eastAsia="Calibri"/>
          <w:kern w:val="2"/>
          <w:lang w:val="en-US"/>
          <w14:ligatures w14:val="standardContextual"/>
        </w:rPr>
        <w:t xml:space="preserve">the </w:t>
      </w:r>
      <w:r w:rsidR="005F6209" w:rsidRPr="3A8F7DA8">
        <w:rPr>
          <w:rFonts w:eastAsia="Calibri"/>
          <w:lang w:val="en-US"/>
        </w:rPr>
        <w:t>baseline years</w:t>
      </w:r>
      <w:r w:rsidR="005F6209" w:rsidRPr="00183625">
        <w:rPr>
          <w:rFonts w:eastAsia="Calibri"/>
          <w:kern w:val="2"/>
          <w:lang w:val="en-US"/>
          <w14:ligatures w14:val="standardContextual"/>
        </w:rPr>
        <w:t xml:space="preserve"> based on the </w:t>
      </w:r>
      <w:r w:rsidR="00224B04">
        <w:rPr>
          <w:rFonts w:eastAsia="Calibri"/>
          <w:kern w:val="2"/>
          <w:lang w:val="en-US"/>
          <w14:ligatures w14:val="standardContextual"/>
        </w:rPr>
        <w:t xml:space="preserve">adjusted </w:t>
      </w:r>
      <w:r w:rsidR="005F6209" w:rsidRPr="00183625">
        <w:rPr>
          <w:rFonts w:eastAsia="Calibri"/>
          <w:kern w:val="2"/>
          <w:lang w:val="en-US"/>
          <w14:ligatures w14:val="standardContextual"/>
        </w:rPr>
        <w:t xml:space="preserve">BAU HCFC </w:t>
      </w:r>
      <w:r w:rsidR="00224B04">
        <w:rPr>
          <w:rFonts w:eastAsia="Calibri"/>
          <w:kern w:val="2"/>
          <w:lang w:val="en-US"/>
          <w14:ligatures w14:val="standardContextual"/>
        </w:rPr>
        <w:t>values</w:t>
      </w:r>
      <w:r w:rsidR="00D366AC">
        <w:rPr>
          <w:rFonts w:eastAsia="Calibri"/>
          <w:kern w:val="2"/>
          <w:lang w:val="en-US"/>
          <w14:ligatures w14:val="standardContextual"/>
        </w:rPr>
        <w:t xml:space="preserve">, not of </w:t>
      </w:r>
      <w:r w:rsidR="005F6209" w:rsidRPr="00183625">
        <w:rPr>
          <w:rFonts w:eastAsia="Calibri"/>
          <w:kern w:val="2"/>
          <w:lang w:val="en-US"/>
          <w14:ligatures w14:val="standardContextual"/>
        </w:rPr>
        <w:t>continued use of HCFC</w:t>
      </w:r>
      <w:r w:rsidR="00D366AC">
        <w:rPr>
          <w:rFonts w:eastAsia="Calibri"/>
          <w:kern w:val="2"/>
          <w:lang w:val="en-US"/>
          <w14:ligatures w14:val="standardContextual"/>
        </w:rPr>
        <w:t>s</w:t>
      </w:r>
      <w:r w:rsidR="005F6209" w:rsidRPr="00183625">
        <w:rPr>
          <w:rFonts w:eastAsia="Calibri"/>
          <w:kern w:val="2"/>
          <w:lang w:val="en-US"/>
          <w14:ligatures w14:val="standardContextual"/>
        </w:rPr>
        <w:t>.</w:t>
      </w:r>
      <w:r w:rsidR="005F6209" w:rsidRPr="6F288DB5">
        <w:rPr>
          <w:rFonts w:eastAsia="Calibri"/>
          <w:lang w:val="en-US"/>
        </w:rPr>
        <w:t xml:space="preserve"> An </w:t>
      </w:r>
      <w:r w:rsidR="00D366AC">
        <w:rPr>
          <w:rFonts w:eastAsia="Calibri"/>
          <w:lang w:val="en-US"/>
        </w:rPr>
        <w:t xml:space="preserve">illustrative </w:t>
      </w:r>
      <w:r w:rsidR="005F6209" w:rsidRPr="6F288DB5">
        <w:rPr>
          <w:rFonts w:eastAsia="Calibri"/>
          <w:lang w:val="en-US"/>
        </w:rPr>
        <w:t xml:space="preserve">example </w:t>
      </w:r>
      <w:r w:rsidR="00D366AC">
        <w:rPr>
          <w:rFonts w:eastAsia="Calibri"/>
          <w:lang w:val="en-US"/>
        </w:rPr>
        <w:t xml:space="preserve">of this methodology is provided in </w:t>
      </w:r>
      <w:r w:rsidR="005F6209" w:rsidRPr="00870173">
        <w:rPr>
          <w:rFonts w:eastAsia="Calibri"/>
          <w:b/>
          <w:bCs/>
          <w:lang w:val="en-US"/>
        </w:rPr>
        <w:t>Table A</w:t>
      </w:r>
      <w:r w:rsidR="00C87E6C" w:rsidRPr="00870173">
        <w:rPr>
          <w:rFonts w:eastAsia="Calibri"/>
          <w:b/>
          <w:bCs/>
          <w:lang w:val="en-US"/>
        </w:rPr>
        <w:t>3.5</w:t>
      </w:r>
      <w:r w:rsidR="005F6209" w:rsidRPr="00902D14">
        <w:rPr>
          <w:rFonts w:eastAsia="Calibri"/>
          <w:lang w:val="en-US"/>
        </w:rPr>
        <w:t>.</w:t>
      </w:r>
      <w:r w:rsidR="005F6209" w:rsidRPr="00902D14">
        <w:rPr>
          <w:rFonts w:eastAsia="Calibri"/>
          <w:kern w:val="2"/>
          <w:lang w:val="en-US"/>
          <w14:ligatures w14:val="standardContextual"/>
        </w:rPr>
        <w:t xml:space="preserve"> </w:t>
      </w:r>
      <w:r w:rsidR="00FF49D4" w:rsidRPr="00902D14">
        <w:rPr>
          <w:rFonts w:eastAsia="Calibri"/>
          <w:kern w:val="2"/>
          <w:lang w:val="en-US"/>
          <w14:ligatures w14:val="standardContextual"/>
        </w:rPr>
        <w:t>The</w:t>
      </w:r>
      <w:r w:rsidR="00FF49D4" w:rsidRPr="00183625">
        <w:rPr>
          <w:rFonts w:eastAsia="Calibri"/>
          <w:kern w:val="2"/>
          <w:lang w:val="en-US"/>
          <w14:ligatures w14:val="standardContextual"/>
        </w:rPr>
        <w:t xml:space="preserve"> </w:t>
      </w:r>
      <w:r w:rsidR="00107DF2">
        <w:rPr>
          <w:rFonts w:eastAsia="Calibri"/>
          <w:kern w:val="2"/>
          <w:lang w:val="en-US"/>
          <w14:ligatures w14:val="standardContextual"/>
        </w:rPr>
        <w:t xml:space="preserve">resulting </w:t>
      </w:r>
      <w:r w:rsidR="00FF49D4" w:rsidRPr="00183625">
        <w:rPr>
          <w:rFonts w:eastAsia="Calibri"/>
          <w:kern w:val="2"/>
          <w:lang w:val="en-US"/>
          <w14:ligatures w14:val="standardContextual"/>
        </w:rPr>
        <w:t xml:space="preserve">HFC estimates were </w:t>
      </w:r>
      <w:r w:rsidR="00107DF2">
        <w:rPr>
          <w:rFonts w:eastAsia="Calibri"/>
          <w:kern w:val="2"/>
          <w:lang w:val="en-US"/>
          <w14:ligatures w14:val="standardContextual"/>
        </w:rPr>
        <w:t xml:space="preserve">then </w:t>
      </w:r>
      <w:r w:rsidR="00FF49D4" w:rsidRPr="00183625">
        <w:rPr>
          <w:rFonts w:eastAsia="Calibri"/>
          <w:kern w:val="2"/>
          <w:lang w:val="en-US"/>
          <w14:ligatures w14:val="standardContextual"/>
        </w:rPr>
        <w:t xml:space="preserve">used </w:t>
      </w:r>
      <w:r w:rsidR="00107DF2">
        <w:rPr>
          <w:rFonts w:eastAsia="Calibri"/>
          <w:kern w:val="2"/>
          <w:lang w:val="en-US"/>
          <w14:ligatures w14:val="standardContextual"/>
        </w:rPr>
        <w:t>as</w:t>
      </w:r>
      <w:r w:rsidR="00FA0A49">
        <w:rPr>
          <w:rFonts w:eastAsia="Calibri"/>
          <w:kern w:val="2"/>
          <w:lang w:val="en-US"/>
          <w14:ligatures w14:val="standardContextual"/>
        </w:rPr>
        <w:t xml:space="preserve"> </w:t>
      </w:r>
      <w:r w:rsidR="00107DF2">
        <w:rPr>
          <w:rFonts w:eastAsia="Calibri"/>
          <w:kern w:val="2"/>
          <w:lang w:val="en-US"/>
          <w14:ligatures w14:val="standardContextual"/>
        </w:rPr>
        <w:t xml:space="preserve">a substitute for </w:t>
      </w:r>
      <w:r w:rsidR="00DD6C4C">
        <w:rPr>
          <w:rFonts w:eastAsia="Calibri"/>
          <w:kern w:val="2"/>
          <w:lang w:val="en-US"/>
          <w14:ligatures w14:val="standardContextual"/>
        </w:rPr>
        <w:t xml:space="preserve">the missing </w:t>
      </w:r>
      <w:r w:rsidR="00FF49D4" w:rsidRPr="00183625">
        <w:rPr>
          <w:rFonts w:eastAsia="Calibri"/>
          <w:kern w:val="2"/>
          <w:lang w:val="en-US"/>
          <w14:ligatures w14:val="standardContextual"/>
        </w:rPr>
        <w:t xml:space="preserve">HFC </w:t>
      </w:r>
      <w:r w:rsidR="00DD6C4C">
        <w:rPr>
          <w:rFonts w:eastAsia="Calibri"/>
          <w:kern w:val="2"/>
          <w:lang w:val="en-US"/>
          <w14:ligatures w14:val="standardContextual"/>
        </w:rPr>
        <w:t>component</w:t>
      </w:r>
      <w:r w:rsidR="00FF49D4" w:rsidRPr="00183625">
        <w:rPr>
          <w:rFonts w:eastAsia="Calibri"/>
          <w:kern w:val="2"/>
          <w:lang w:val="en-US"/>
          <w14:ligatures w14:val="standardContextual"/>
        </w:rPr>
        <w:t xml:space="preserve"> of the baseline.</w:t>
      </w:r>
    </w:p>
    <w:p w14:paraId="1B08AD2D" w14:textId="576D2360" w:rsidR="004812BA" w:rsidRPr="00183625" w:rsidRDefault="00FA0A49" w:rsidP="004812BA">
      <w:pPr>
        <w:spacing w:after="160" w:line="259" w:lineRule="auto"/>
        <w:rPr>
          <w:rFonts w:eastAsia="Calibri"/>
          <w:b/>
          <w:bCs/>
          <w:kern w:val="2"/>
          <w:highlight w:val="yellow"/>
          <w:lang w:val="en-US"/>
          <w14:ligatures w14:val="standardContextual"/>
        </w:rPr>
      </w:pPr>
      <w:r>
        <w:rPr>
          <w:noProof/>
        </w:rPr>
        <w:lastRenderedPageBreak/>
        <mc:AlternateContent>
          <mc:Choice Requires="wps">
            <w:drawing>
              <wp:inline distT="45720" distB="45720" distL="114300" distR="114300" wp14:anchorId="10776D02" wp14:editId="4143A302">
                <wp:extent cx="5589905" cy="3010619"/>
                <wp:effectExtent l="0" t="0" r="10795" b="18415"/>
                <wp:docPr id="795967061" name="Text Box 795967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3010619"/>
                        </a:xfrm>
                        <a:prstGeom prst="rect">
                          <a:avLst/>
                        </a:prstGeom>
                        <a:solidFill>
                          <a:srgbClr val="FFFFFF"/>
                        </a:solidFill>
                        <a:ln w="9525">
                          <a:solidFill>
                            <a:srgbClr val="000000"/>
                          </a:solidFill>
                          <a:miter lim="800000"/>
                          <a:headEnd/>
                          <a:tailEnd/>
                        </a:ln>
                      </wps:spPr>
                      <wps:txbx>
                        <w:txbxContent>
                          <w:p w14:paraId="41E9D435" w14:textId="464CFEF9" w:rsidR="00FA0A49" w:rsidRPr="00CA471D" w:rsidRDefault="00FA0A49" w:rsidP="002135B0">
                            <w:pPr>
                              <w:tabs>
                                <w:tab w:val="left" w:pos="1276"/>
                              </w:tabs>
                              <w:spacing w:after="120"/>
                              <w:ind w:left="1276" w:hanging="1276"/>
                              <w:rPr>
                                <w:b/>
                              </w:rPr>
                            </w:pPr>
                            <w:r w:rsidRPr="00E42C5E">
                              <w:rPr>
                                <w:rFonts w:eastAsiaTheme="minorHAnsi"/>
                                <w:b/>
                                <w:bCs/>
                              </w:rPr>
                              <w:t xml:space="preserve">Table </w:t>
                            </w:r>
                            <w:r>
                              <w:rPr>
                                <w:rFonts w:eastAsiaTheme="minorHAnsi"/>
                                <w:b/>
                                <w:bCs/>
                              </w:rPr>
                              <w:t>A3.4</w:t>
                            </w:r>
                            <w:r w:rsidR="00FF681F">
                              <w:rPr>
                                <w:rFonts w:eastAsiaTheme="minorHAnsi"/>
                                <w:b/>
                                <w:bCs/>
                              </w:rPr>
                              <w:t>:</w:t>
                            </w:r>
                            <w:r w:rsidRPr="00E42C5E">
                              <w:rPr>
                                <w:rFonts w:eastAsiaTheme="minorHAnsi"/>
                                <w:b/>
                                <w:bCs/>
                              </w:rPr>
                              <w:tab/>
                            </w:r>
                            <w:r w:rsidRPr="00775854">
                              <w:rPr>
                                <w:rFonts w:eastAsia="Calibri"/>
                                <w:b/>
                                <w:bCs/>
                                <w:color w:val="000000"/>
                                <w:lang w:val="en-US"/>
                              </w:rPr>
                              <w:t>Filling data gaps for parties that have not yet been required to report: HCFC conversion factors to HFCs</w:t>
                            </w:r>
                          </w:p>
                          <w:tbl>
                            <w:tblPr>
                              <w:tblW w:w="6846" w:type="dxa"/>
                              <w:tblInd w:w="-5" w:type="dxa"/>
                              <w:tblLook w:val="04A0" w:firstRow="1" w:lastRow="0" w:firstColumn="1" w:lastColumn="0" w:noHBand="0" w:noVBand="1"/>
                            </w:tblPr>
                            <w:tblGrid>
                              <w:gridCol w:w="2654"/>
                              <w:gridCol w:w="1284"/>
                              <w:gridCol w:w="860"/>
                              <w:gridCol w:w="1076"/>
                              <w:gridCol w:w="1147"/>
                            </w:tblGrid>
                            <w:tr w:rsidR="00FA0A49" w:rsidRPr="00A05B96" w14:paraId="357D9F5F"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27ED7C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Factors used for substituting reported A7 HCFC data with HFCs for baseline estimates</w:t>
                                  </w:r>
                                </w:p>
                              </w:tc>
                              <w:tc>
                                <w:tcPr>
                                  <w:tcW w:w="1969" w:type="dxa"/>
                                  <w:gridSpan w:val="2"/>
                                  <w:tcBorders>
                                    <w:top w:val="single" w:sz="4" w:space="0" w:color="auto"/>
                                    <w:left w:val="nil"/>
                                    <w:bottom w:val="single" w:sz="4" w:space="0" w:color="auto"/>
                                    <w:right w:val="single" w:sz="4" w:space="0" w:color="auto"/>
                                  </w:tcBorders>
                                  <w:shd w:val="clear" w:color="auto" w:fill="D9E2F3"/>
                                  <w:noWrap/>
                                  <w:vAlign w:val="bottom"/>
                                  <w:hideMark/>
                                </w:tcPr>
                                <w:p w14:paraId="17290E64" w14:textId="77777777" w:rsidR="00FA0A49" w:rsidRPr="00A05B96" w:rsidRDefault="00FA0A49">
                                  <w:pPr>
                                    <w:spacing w:after="0"/>
                                    <w:jc w:val="center"/>
                                    <w:rPr>
                                      <w:rFonts w:ascii="Calibri" w:hAnsi="Calibri" w:cs="Calibri"/>
                                      <w:color w:val="000000"/>
                                      <w:sz w:val="20"/>
                                      <w:szCs w:val="20"/>
                                    </w:rPr>
                                  </w:pPr>
                                  <w:r w:rsidRPr="00A05B96">
                                    <w:rPr>
                                      <w:rFonts w:ascii="Calibri" w:hAnsi="Calibri" w:cs="Calibri"/>
                                      <w:color w:val="000000"/>
                                      <w:sz w:val="20"/>
                                      <w:szCs w:val="20"/>
                                    </w:rPr>
                                    <w:t>HCFC-22</w:t>
                                  </w:r>
                                </w:p>
                                <w:p w14:paraId="1D19DA09" w14:textId="77777777" w:rsidR="00FA0A49" w:rsidRPr="00A05B96" w:rsidRDefault="00FA0A49">
                                  <w:pPr>
                                    <w:spacing w:after="0"/>
                                    <w:jc w:val="center"/>
                                    <w:rPr>
                                      <w:rFonts w:ascii="Calibri" w:hAnsi="Calibri" w:cs="Calibri"/>
                                      <w:color w:val="000000"/>
                                      <w:sz w:val="20"/>
                                      <w:szCs w:val="20"/>
                                    </w:rPr>
                                  </w:pPr>
                                </w:p>
                              </w:tc>
                              <w:tc>
                                <w:tcPr>
                                  <w:tcW w:w="1076" w:type="dxa"/>
                                  <w:tcBorders>
                                    <w:top w:val="single" w:sz="4" w:space="0" w:color="auto"/>
                                    <w:left w:val="nil"/>
                                    <w:bottom w:val="single" w:sz="4" w:space="0" w:color="auto"/>
                                    <w:right w:val="single" w:sz="4" w:space="0" w:color="auto"/>
                                  </w:tcBorders>
                                  <w:shd w:val="clear" w:color="auto" w:fill="D9E2F3"/>
                                  <w:noWrap/>
                                  <w:vAlign w:val="bottom"/>
                                  <w:hideMark/>
                                </w:tcPr>
                                <w:p w14:paraId="03CE5E98"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HCFC-141b</w:t>
                                  </w:r>
                                </w:p>
                              </w:tc>
                              <w:tc>
                                <w:tcPr>
                                  <w:tcW w:w="1147" w:type="dxa"/>
                                  <w:tcBorders>
                                    <w:top w:val="single" w:sz="4" w:space="0" w:color="auto"/>
                                    <w:left w:val="nil"/>
                                    <w:bottom w:val="single" w:sz="4" w:space="0" w:color="auto"/>
                                    <w:right w:val="single" w:sz="4" w:space="0" w:color="auto"/>
                                  </w:tcBorders>
                                  <w:shd w:val="clear" w:color="auto" w:fill="D9E2F3"/>
                                  <w:noWrap/>
                                  <w:vAlign w:val="bottom"/>
                                  <w:hideMark/>
                                </w:tcPr>
                                <w:p w14:paraId="1F0FA01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HCFC-142b</w:t>
                                  </w:r>
                                </w:p>
                              </w:tc>
                            </w:tr>
                            <w:tr w:rsidR="00FA0A49" w:rsidRPr="00A05B96" w14:paraId="3B51E2A0"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center"/>
                                  <w:hideMark/>
                                </w:tcPr>
                                <w:p w14:paraId="2F57D382" w14:textId="77777777" w:rsidR="00FA0A49" w:rsidRPr="00A05B96" w:rsidRDefault="00FA0A49">
                                  <w:pPr>
                                    <w:spacing w:after="0"/>
                                    <w:ind w:firstLineChars="400" w:firstLine="800"/>
                                    <w:rPr>
                                      <w:rFonts w:ascii="Calibri" w:hAnsi="Calibri" w:cs="Calibri"/>
                                      <w:color w:val="000000"/>
                                      <w:sz w:val="20"/>
                                      <w:szCs w:val="20"/>
                                    </w:rPr>
                                  </w:pPr>
                                </w:p>
                              </w:tc>
                              <w:tc>
                                <w:tcPr>
                                  <w:tcW w:w="1108" w:type="dxa"/>
                                  <w:tcBorders>
                                    <w:top w:val="nil"/>
                                    <w:left w:val="nil"/>
                                    <w:bottom w:val="single" w:sz="4" w:space="0" w:color="auto"/>
                                    <w:right w:val="single" w:sz="4" w:space="0" w:color="auto"/>
                                  </w:tcBorders>
                                  <w:noWrap/>
                                  <w:vAlign w:val="bottom"/>
                                  <w:hideMark/>
                                </w:tcPr>
                                <w:p w14:paraId="5759ED74" w14:textId="77777777" w:rsidR="00FA0A49" w:rsidRPr="00A05B96" w:rsidRDefault="00FA0A49" w:rsidP="00775854">
                                  <w:pPr>
                                    <w:spacing w:after="0"/>
                                    <w:jc w:val="center"/>
                                    <w:rPr>
                                      <w:rFonts w:ascii="Calibri" w:hAnsi="Calibri" w:cs="Calibri"/>
                                      <w:color w:val="000000"/>
                                      <w:sz w:val="20"/>
                                      <w:szCs w:val="20"/>
                                    </w:rPr>
                                  </w:pPr>
                                  <w:r w:rsidRPr="00A05B96">
                                    <w:rPr>
                                      <w:rFonts w:ascii="Calibri" w:hAnsi="Calibri" w:cs="Calibri"/>
                                      <w:color w:val="000000"/>
                                      <w:sz w:val="20"/>
                                      <w:szCs w:val="20"/>
                                    </w:rPr>
                                    <w:t>Commercial Refrigeration</w:t>
                                  </w:r>
                                </w:p>
                              </w:tc>
                              <w:tc>
                                <w:tcPr>
                                  <w:tcW w:w="860" w:type="dxa"/>
                                  <w:tcBorders>
                                    <w:top w:val="nil"/>
                                    <w:left w:val="nil"/>
                                    <w:bottom w:val="single" w:sz="4" w:space="0" w:color="auto"/>
                                    <w:right w:val="single" w:sz="4" w:space="0" w:color="auto"/>
                                  </w:tcBorders>
                                  <w:noWrap/>
                                  <w:vAlign w:val="bottom"/>
                                  <w:hideMark/>
                                </w:tcPr>
                                <w:p w14:paraId="2FF76311" w14:textId="77777777" w:rsidR="00FA0A49" w:rsidRPr="00A05B96" w:rsidRDefault="00FA0A49" w:rsidP="00775854">
                                  <w:pPr>
                                    <w:spacing w:after="0"/>
                                    <w:jc w:val="center"/>
                                    <w:rPr>
                                      <w:rFonts w:ascii="Calibri" w:hAnsi="Calibri" w:cs="Calibri"/>
                                      <w:color w:val="000000"/>
                                      <w:sz w:val="20"/>
                                      <w:szCs w:val="20"/>
                                    </w:rPr>
                                  </w:pPr>
                                  <w:r w:rsidRPr="00A05B96">
                                    <w:rPr>
                                      <w:rFonts w:ascii="Calibri" w:hAnsi="Calibri" w:cs="Calibri"/>
                                      <w:color w:val="000000"/>
                                      <w:sz w:val="20"/>
                                      <w:szCs w:val="20"/>
                                    </w:rPr>
                                    <w:t>AC</w:t>
                                  </w:r>
                                </w:p>
                              </w:tc>
                              <w:tc>
                                <w:tcPr>
                                  <w:tcW w:w="1076" w:type="dxa"/>
                                  <w:tcBorders>
                                    <w:top w:val="nil"/>
                                    <w:left w:val="nil"/>
                                    <w:bottom w:val="single" w:sz="4" w:space="0" w:color="auto"/>
                                    <w:right w:val="single" w:sz="4" w:space="0" w:color="auto"/>
                                  </w:tcBorders>
                                  <w:noWrap/>
                                  <w:vAlign w:val="bottom"/>
                                  <w:hideMark/>
                                </w:tcPr>
                                <w:p w14:paraId="40A05A8B" w14:textId="77777777" w:rsidR="00FA0A49" w:rsidRPr="00A05B96" w:rsidRDefault="00FA0A49" w:rsidP="00775854">
                                  <w:pPr>
                                    <w:spacing w:after="0"/>
                                    <w:jc w:val="center"/>
                                    <w:rPr>
                                      <w:rFonts w:ascii="Calibri" w:hAnsi="Calibri" w:cs="Calibri"/>
                                      <w:color w:val="000000"/>
                                      <w:sz w:val="20"/>
                                      <w:szCs w:val="20"/>
                                    </w:rPr>
                                  </w:pPr>
                                  <w:r w:rsidRPr="00A05B96">
                                    <w:rPr>
                                      <w:rFonts w:ascii="Calibri" w:hAnsi="Calibri" w:cs="Calibri"/>
                                      <w:color w:val="000000"/>
                                      <w:sz w:val="20"/>
                                      <w:szCs w:val="20"/>
                                    </w:rPr>
                                    <w:t>FBA</w:t>
                                  </w:r>
                                </w:p>
                              </w:tc>
                              <w:tc>
                                <w:tcPr>
                                  <w:tcW w:w="1147" w:type="dxa"/>
                                  <w:tcBorders>
                                    <w:top w:val="nil"/>
                                    <w:left w:val="nil"/>
                                    <w:bottom w:val="single" w:sz="4" w:space="0" w:color="auto"/>
                                    <w:right w:val="single" w:sz="4" w:space="0" w:color="auto"/>
                                  </w:tcBorders>
                                  <w:noWrap/>
                                  <w:vAlign w:val="bottom"/>
                                  <w:hideMark/>
                                </w:tcPr>
                                <w:p w14:paraId="62BE5864" w14:textId="77777777" w:rsidR="00FA0A49" w:rsidRPr="00A05B96" w:rsidRDefault="00FA0A49" w:rsidP="00775854">
                                  <w:pPr>
                                    <w:spacing w:after="0"/>
                                    <w:jc w:val="center"/>
                                    <w:rPr>
                                      <w:rFonts w:ascii="Calibri" w:hAnsi="Calibri" w:cs="Calibri"/>
                                      <w:color w:val="000000"/>
                                      <w:sz w:val="20"/>
                                      <w:szCs w:val="20"/>
                                    </w:rPr>
                                  </w:pPr>
                                  <w:r w:rsidRPr="00A05B96">
                                    <w:rPr>
                                      <w:rFonts w:ascii="Calibri" w:hAnsi="Calibri" w:cs="Calibri"/>
                                      <w:color w:val="000000"/>
                                      <w:sz w:val="20"/>
                                      <w:szCs w:val="20"/>
                                    </w:rPr>
                                    <w:t>XPS</w:t>
                                  </w:r>
                                </w:p>
                              </w:tc>
                            </w:tr>
                            <w:tr w:rsidR="00FA0A49" w:rsidRPr="00A05B96" w14:paraId="0FCB04B1"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4F6FD5FD"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HFC-125</w:t>
                                  </w:r>
                                </w:p>
                              </w:tc>
                              <w:tc>
                                <w:tcPr>
                                  <w:tcW w:w="1108" w:type="dxa"/>
                                  <w:tcBorders>
                                    <w:top w:val="nil"/>
                                    <w:left w:val="nil"/>
                                    <w:bottom w:val="single" w:sz="4" w:space="0" w:color="auto"/>
                                    <w:right w:val="single" w:sz="4" w:space="0" w:color="auto"/>
                                  </w:tcBorders>
                                  <w:noWrap/>
                                  <w:vAlign w:val="bottom"/>
                                  <w:hideMark/>
                                </w:tcPr>
                                <w:p w14:paraId="107117CA"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12%</w:t>
                                  </w:r>
                                </w:p>
                              </w:tc>
                              <w:tc>
                                <w:tcPr>
                                  <w:tcW w:w="860" w:type="dxa"/>
                                  <w:tcBorders>
                                    <w:top w:val="nil"/>
                                    <w:left w:val="nil"/>
                                    <w:bottom w:val="single" w:sz="4" w:space="0" w:color="auto"/>
                                    <w:right w:val="single" w:sz="4" w:space="0" w:color="auto"/>
                                  </w:tcBorders>
                                  <w:noWrap/>
                                  <w:vAlign w:val="bottom"/>
                                  <w:hideMark/>
                                </w:tcPr>
                                <w:p w14:paraId="5DAA61CB"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33%</w:t>
                                  </w:r>
                                </w:p>
                              </w:tc>
                              <w:tc>
                                <w:tcPr>
                                  <w:tcW w:w="1076" w:type="dxa"/>
                                  <w:tcBorders>
                                    <w:top w:val="nil"/>
                                    <w:left w:val="nil"/>
                                    <w:bottom w:val="single" w:sz="4" w:space="0" w:color="auto"/>
                                    <w:right w:val="single" w:sz="4" w:space="0" w:color="auto"/>
                                  </w:tcBorders>
                                  <w:noWrap/>
                                  <w:vAlign w:val="bottom"/>
                                  <w:hideMark/>
                                </w:tcPr>
                                <w:p w14:paraId="6C76988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1CC6C04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139B87E2"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7A7FA3CF"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HFC-134a</w:t>
                                  </w:r>
                                </w:p>
                              </w:tc>
                              <w:tc>
                                <w:tcPr>
                                  <w:tcW w:w="1108" w:type="dxa"/>
                                  <w:tcBorders>
                                    <w:top w:val="nil"/>
                                    <w:left w:val="nil"/>
                                    <w:bottom w:val="single" w:sz="4" w:space="0" w:color="auto"/>
                                    <w:right w:val="single" w:sz="4" w:space="0" w:color="auto"/>
                                  </w:tcBorders>
                                  <w:noWrap/>
                                  <w:vAlign w:val="bottom"/>
                                  <w:hideMark/>
                                </w:tcPr>
                                <w:p w14:paraId="0DBC2E2B"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3%</w:t>
                                  </w:r>
                                </w:p>
                              </w:tc>
                              <w:tc>
                                <w:tcPr>
                                  <w:tcW w:w="860" w:type="dxa"/>
                                  <w:tcBorders>
                                    <w:top w:val="nil"/>
                                    <w:left w:val="nil"/>
                                    <w:bottom w:val="single" w:sz="4" w:space="0" w:color="auto"/>
                                    <w:right w:val="single" w:sz="4" w:space="0" w:color="auto"/>
                                  </w:tcBorders>
                                  <w:noWrap/>
                                  <w:vAlign w:val="bottom"/>
                                  <w:hideMark/>
                                </w:tcPr>
                                <w:p w14:paraId="0743E5B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52D14D6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4292C4FA"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5%</w:t>
                                  </w:r>
                                </w:p>
                              </w:tc>
                            </w:tr>
                            <w:tr w:rsidR="00FA0A49" w:rsidRPr="00A05B96" w14:paraId="36159364"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50B8B381"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HFC-143</w:t>
                                  </w:r>
                                </w:p>
                              </w:tc>
                              <w:tc>
                                <w:tcPr>
                                  <w:tcW w:w="1108" w:type="dxa"/>
                                  <w:tcBorders>
                                    <w:top w:val="nil"/>
                                    <w:left w:val="nil"/>
                                    <w:bottom w:val="single" w:sz="4" w:space="0" w:color="auto"/>
                                    <w:right w:val="single" w:sz="4" w:space="0" w:color="auto"/>
                                  </w:tcBorders>
                                  <w:noWrap/>
                                  <w:vAlign w:val="bottom"/>
                                  <w:hideMark/>
                                </w:tcPr>
                                <w:p w14:paraId="58CB43DD"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08F753A0"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134FC88A"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76CD1E70"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325D43F9"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74C441F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HFC-143a</w:t>
                                  </w:r>
                                </w:p>
                              </w:tc>
                              <w:tc>
                                <w:tcPr>
                                  <w:tcW w:w="1108" w:type="dxa"/>
                                  <w:tcBorders>
                                    <w:top w:val="nil"/>
                                    <w:left w:val="nil"/>
                                    <w:bottom w:val="single" w:sz="4" w:space="0" w:color="auto"/>
                                    <w:right w:val="single" w:sz="4" w:space="0" w:color="auto"/>
                                  </w:tcBorders>
                                  <w:noWrap/>
                                  <w:vAlign w:val="bottom"/>
                                  <w:hideMark/>
                                </w:tcPr>
                                <w:p w14:paraId="28236405"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12%</w:t>
                                  </w:r>
                                </w:p>
                              </w:tc>
                              <w:tc>
                                <w:tcPr>
                                  <w:tcW w:w="860" w:type="dxa"/>
                                  <w:tcBorders>
                                    <w:top w:val="nil"/>
                                    <w:left w:val="nil"/>
                                    <w:bottom w:val="single" w:sz="4" w:space="0" w:color="auto"/>
                                    <w:right w:val="single" w:sz="4" w:space="0" w:color="auto"/>
                                  </w:tcBorders>
                                  <w:noWrap/>
                                  <w:vAlign w:val="bottom"/>
                                  <w:hideMark/>
                                </w:tcPr>
                                <w:p w14:paraId="70C0CBC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2F56D22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30C9375A"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6BB072AA"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3F057DDA"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HFC-23</w:t>
                                  </w:r>
                                </w:p>
                              </w:tc>
                              <w:tc>
                                <w:tcPr>
                                  <w:tcW w:w="1108" w:type="dxa"/>
                                  <w:tcBorders>
                                    <w:top w:val="nil"/>
                                    <w:left w:val="nil"/>
                                    <w:bottom w:val="single" w:sz="4" w:space="0" w:color="auto"/>
                                    <w:right w:val="single" w:sz="4" w:space="0" w:color="auto"/>
                                  </w:tcBorders>
                                  <w:noWrap/>
                                  <w:vAlign w:val="bottom"/>
                                  <w:hideMark/>
                                </w:tcPr>
                                <w:p w14:paraId="50B9D83B"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04A9269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6839B8C1"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0971BEC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34C5320E"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B2BE18F"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HCFC-22</w:t>
                                  </w:r>
                                </w:p>
                              </w:tc>
                              <w:tc>
                                <w:tcPr>
                                  <w:tcW w:w="1108" w:type="dxa"/>
                                  <w:tcBorders>
                                    <w:top w:val="nil"/>
                                    <w:left w:val="nil"/>
                                    <w:bottom w:val="single" w:sz="4" w:space="0" w:color="auto"/>
                                    <w:right w:val="single" w:sz="4" w:space="0" w:color="auto"/>
                                  </w:tcBorders>
                                  <w:noWrap/>
                                  <w:vAlign w:val="bottom"/>
                                  <w:hideMark/>
                                </w:tcPr>
                                <w:p w14:paraId="0D792A41"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860" w:type="dxa"/>
                                  <w:tcBorders>
                                    <w:top w:val="nil"/>
                                    <w:left w:val="nil"/>
                                    <w:bottom w:val="single" w:sz="4" w:space="0" w:color="auto"/>
                                    <w:right w:val="single" w:sz="4" w:space="0" w:color="auto"/>
                                  </w:tcBorders>
                                  <w:noWrap/>
                                  <w:vAlign w:val="bottom"/>
                                  <w:hideMark/>
                                </w:tcPr>
                                <w:p w14:paraId="7C56CA77"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28A222A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6F1932F7"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4A19ECC9"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C1E148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HFC-32</w:t>
                                  </w:r>
                                </w:p>
                              </w:tc>
                              <w:tc>
                                <w:tcPr>
                                  <w:tcW w:w="1108" w:type="dxa"/>
                                  <w:tcBorders>
                                    <w:top w:val="nil"/>
                                    <w:left w:val="nil"/>
                                    <w:bottom w:val="single" w:sz="4" w:space="0" w:color="auto"/>
                                    <w:right w:val="single" w:sz="4" w:space="0" w:color="auto"/>
                                  </w:tcBorders>
                                  <w:noWrap/>
                                  <w:vAlign w:val="bottom"/>
                                  <w:hideMark/>
                                </w:tcPr>
                                <w:p w14:paraId="79069040"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7%</w:t>
                                  </w:r>
                                </w:p>
                              </w:tc>
                              <w:tc>
                                <w:tcPr>
                                  <w:tcW w:w="860" w:type="dxa"/>
                                  <w:tcBorders>
                                    <w:top w:val="nil"/>
                                    <w:left w:val="nil"/>
                                    <w:bottom w:val="single" w:sz="4" w:space="0" w:color="auto"/>
                                    <w:right w:val="single" w:sz="4" w:space="0" w:color="auto"/>
                                  </w:tcBorders>
                                  <w:noWrap/>
                                  <w:vAlign w:val="bottom"/>
                                  <w:hideMark/>
                                </w:tcPr>
                                <w:p w14:paraId="0BD8E835"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33%</w:t>
                                  </w:r>
                                </w:p>
                              </w:tc>
                              <w:tc>
                                <w:tcPr>
                                  <w:tcW w:w="1076" w:type="dxa"/>
                                  <w:tcBorders>
                                    <w:top w:val="nil"/>
                                    <w:left w:val="nil"/>
                                    <w:bottom w:val="single" w:sz="4" w:space="0" w:color="auto"/>
                                    <w:right w:val="single" w:sz="4" w:space="0" w:color="auto"/>
                                  </w:tcBorders>
                                  <w:noWrap/>
                                  <w:vAlign w:val="bottom"/>
                                  <w:hideMark/>
                                </w:tcPr>
                                <w:p w14:paraId="1B50DD9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0851EDBC"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1C631B05"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F9DAA4B"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HFC-245FA</w:t>
                                  </w:r>
                                </w:p>
                              </w:tc>
                              <w:tc>
                                <w:tcPr>
                                  <w:tcW w:w="1108" w:type="dxa"/>
                                  <w:tcBorders>
                                    <w:top w:val="nil"/>
                                    <w:left w:val="nil"/>
                                    <w:bottom w:val="single" w:sz="4" w:space="0" w:color="auto"/>
                                    <w:right w:val="single" w:sz="4" w:space="0" w:color="auto"/>
                                  </w:tcBorders>
                                  <w:noWrap/>
                                  <w:vAlign w:val="bottom"/>
                                  <w:hideMark/>
                                </w:tcPr>
                                <w:p w14:paraId="3E9ADFD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860" w:type="dxa"/>
                                  <w:tcBorders>
                                    <w:top w:val="nil"/>
                                    <w:left w:val="nil"/>
                                    <w:bottom w:val="single" w:sz="4" w:space="0" w:color="auto"/>
                                    <w:right w:val="single" w:sz="4" w:space="0" w:color="auto"/>
                                  </w:tcBorders>
                                  <w:noWrap/>
                                  <w:vAlign w:val="bottom"/>
                                  <w:hideMark/>
                                </w:tcPr>
                                <w:p w14:paraId="5689A70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79D9774E"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30%</w:t>
                                  </w:r>
                                </w:p>
                              </w:tc>
                              <w:tc>
                                <w:tcPr>
                                  <w:tcW w:w="1147" w:type="dxa"/>
                                  <w:tcBorders>
                                    <w:top w:val="nil"/>
                                    <w:left w:val="nil"/>
                                    <w:bottom w:val="single" w:sz="4" w:space="0" w:color="auto"/>
                                    <w:right w:val="single" w:sz="4" w:space="0" w:color="auto"/>
                                  </w:tcBorders>
                                  <w:noWrap/>
                                  <w:vAlign w:val="bottom"/>
                                  <w:hideMark/>
                                </w:tcPr>
                                <w:p w14:paraId="26C2DB48"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637D01B8"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1105BB2"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HFC-365MFC</w:t>
                                  </w:r>
                                </w:p>
                              </w:tc>
                              <w:tc>
                                <w:tcPr>
                                  <w:tcW w:w="1108" w:type="dxa"/>
                                  <w:tcBorders>
                                    <w:top w:val="nil"/>
                                    <w:left w:val="nil"/>
                                    <w:bottom w:val="single" w:sz="4" w:space="0" w:color="auto"/>
                                    <w:right w:val="single" w:sz="4" w:space="0" w:color="auto"/>
                                  </w:tcBorders>
                                  <w:noWrap/>
                                  <w:vAlign w:val="bottom"/>
                                  <w:hideMark/>
                                </w:tcPr>
                                <w:p w14:paraId="0B9A7D1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860" w:type="dxa"/>
                                  <w:tcBorders>
                                    <w:top w:val="nil"/>
                                    <w:left w:val="nil"/>
                                    <w:bottom w:val="single" w:sz="4" w:space="0" w:color="auto"/>
                                    <w:right w:val="single" w:sz="4" w:space="0" w:color="auto"/>
                                  </w:tcBorders>
                                  <w:noWrap/>
                                  <w:vAlign w:val="bottom"/>
                                  <w:hideMark/>
                                </w:tcPr>
                                <w:p w14:paraId="40BD31B2"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352853CE"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10%</w:t>
                                  </w:r>
                                </w:p>
                              </w:tc>
                              <w:tc>
                                <w:tcPr>
                                  <w:tcW w:w="1147" w:type="dxa"/>
                                  <w:tcBorders>
                                    <w:top w:val="nil"/>
                                    <w:left w:val="nil"/>
                                    <w:bottom w:val="single" w:sz="4" w:space="0" w:color="auto"/>
                                    <w:right w:val="single" w:sz="4" w:space="0" w:color="auto"/>
                                  </w:tcBorders>
                                  <w:noWrap/>
                                  <w:vAlign w:val="bottom"/>
                                  <w:hideMark/>
                                </w:tcPr>
                                <w:p w14:paraId="6723CD0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6B28B7BE"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DB7E5E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HFC-152a</w:t>
                                  </w:r>
                                </w:p>
                              </w:tc>
                              <w:tc>
                                <w:tcPr>
                                  <w:tcW w:w="1108" w:type="dxa"/>
                                  <w:tcBorders>
                                    <w:top w:val="nil"/>
                                    <w:left w:val="nil"/>
                                    <w:bottom w:val="single" w:sz="4" w:space="0" w:color="auto"/>
                                    <w:right w:val="single" w:sz="4" w:space="0" w:color="auto"/>
                                  </w:tcBorders>
                                  <w:noWrap/>
                                  <w:vAlign w:val="bottom"/>
                                  <w:hideMark/>
                                </w:tcPr>
                                <w:p w14:paraId="22FCBF7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860" w:type="dxa"/>
                                  <w:tcBorders>
                                    <w:top w:val="nil"/>
                                    <w:left w:val="nil"/>
                                    <w:bottom w:val="single" w:sz="4" w:space="0" w:color="auto"/>
                                    <w:right w:val="single" w:sz="4" w:space="0" w:color="auto"/>
                                  </w:tcBorders>
                                  <w:noWrap/>
                                  <w:vAlign w:val="bottom"/>
                                  <w:hideMark/>
                                </w:tcPr>
                                <w:p w14:paraId="554B0B0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3AF4007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3DC289AE"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2%</w:t>
                                  </w:r>
                                </w:p>
                              </w:tc>
                            </w:tr>
                          </w:tbl>
                          <w:p w14:paraId="141DE492" w14:textId="77777777" w:rsidR="00FA0A49" w:rsidRDefault="00FA0A49" w:rsidP="00FA0A49"/>
                        </w:txbxContent>
                      </wps:txbx>
                      <wps:bodyPr rot="0" vert="horz" wrap="square" lIns="91440" tIns="45720" rIns="91440" bIns="45720" anchor="t" anchorCtr="0">
                        <a:noAutofit/>
                      </wps:bodyPr>
                    </wps:wsp>
                  </a:graphicData>
                </a:graphic>
              </wp:inline>
            </w:drawing>
          </mc:Choice>
          <mc:Fallback>
            <w:pict>
              <v:shapetype w14:anchorId="10776D02" id="_x0000_t202" coordsize="21600,21600" o:spt="202" path="m,l,21600r21600,l21600,xe">
                <v:stroke joinstyle="miter"/>
                <v:path gradientshapeok="t" o:connecttype="rect"/>
              </v:shapetype>
              <v:shape id="Text Box 795967061" o:spid="_x0000_s1028" type="#_x0000_t202" style="width:440.15pt;height:2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">
                <v:textbox>
                  <w:txbxContent>
                    <w:p w14:paraId="41E9D435" w14:textId="464CFEF9" w:rsidR="00FA0A49" w:rsidRPr="00CA471D" w:rsidRDefault="00FA0A49" w:rsidP="002135B0">
                      <w:pPr>
                        <w:tabs>
                          <w:tab w:val="left" w:pos="1276"/>
                        </w:tabs>
                        <w:spacing w:after="120"/>
                        <w:ind w:left="1276" w:hanging="1276"/>
                        <w:rPr>
                          <w:b/>
                        </w:rPr>
                      </w:pPr>
                      <w:r w:rsidRPr="00E42C5E">
                        <w:rPr>
                          <w:rFonts w:eastAsiaTheme="minorHAnsi"/>
                          <w:b/>
                          <w:bCs/>
                        </w:rPr>
                        <w:t xml:space="preserve">Table </w:t>
                      </w:r>
                      <w:r>
                        <w:rPr>
                          <w:rFonts w:eastAsiaTheme="minorHAnsi"/>
                          <w:b/>
                          <w:bCs/>
                        </w:rPr>
                        <w:t>A3.4</w:t>
                      </w:r>
                      <w:r w:rsidR="00FF681F">
                        <w:rPr>
                          <w:rFonts w:eastAsiaTheme="minorHAnsi"/>
                          <w:b/>
                          <w:bCs/>
                        </w:rPr>
                        <w:t>:</w:t>
                      </w:r>
                      <w:r w:rsidRPr="00E42C5E">
                        <w:rPr>
                          <w:rFonts w:eastAsiaTheme="minorHAnsi"/>
                          <w:b/>
                          <w:bCs/>
                        </w:rPr>
                        <w:tab/>
                      </w:r>
                      <w:r w:rsidRPr="00775854">
                        <w:rPr>
                          <w:rFonts w:eastAsia="Calibri"/>
                          <w:b/>
                          <w:bCs/>
                          <w:color w:val="000000"/>
                          <w:lang w:val="en-US"/>
                        </w:rPr>
                        <w:t>Filling data gaps for parties that have not yet been required to report: HCFC conversion factors to HFCs</w:t>
                      </w:r>
                    </w:p>
                    <w:tbl>
                      <w:tblPr>
                        <w:tblW w:w="6846" w:type="dxa"/>
                        <w:tblInd w:w="-5" w:type="dxa"/>
                        <w:tblLook w:val="04A0" w:firstRow="1" w:lastRow="0" w:firstColumn="1" w:lastColumn="0" w:noHBand="0" w:noVBand="1"/>
                      </w:tblPr>
                      <w:tblGrid>
                        <w:gridCol w:w="2654"/>
                        <w:gridCol w:w="1284"/>
                        <w:gridCol w:w="860"/>
                        <w:gridCol w:w="1076"/>
                        <w:gridCol w:w="1147"/>
                      </w:tblGrid>
                      <w:tr w:rsidR="00FA0A49" w:rsidRPr="00A05B96" w14:paraId="357D9F5F"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27ED7C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Factors used for substituting reported A7 HCFC data with HFCs for baseline estimates</w:t>
                            </w:r>
                          </w:p>
                        </w:tc>
                        <w:tc>
                          <w:tcPr>
                            <w:tcW w:w="1969" w:type="dxa"/>
                            <w:gridSpan w:val="2"/>
                            <w:tcBorders>
                              <w:top w:val="single" w:sz="4" w:space="0" w:color="auto"/>
                              <w:left w:val="nil"/>
                              <w:bottom w:val="single" w:sz="4" w:space="0" w:color="auto"/>
                              <w:right w:val="single" w:sz="4" w:space="0" w:color="auto"/>
                            </w:tcBorders>
                            <w:shd w:val="clear" w:color="auto" w:fill="D9E2F3"/>
                            <w:noWrap/>
                            <w:vAlign w:val="bottom"/>
                            <w:hideMark/>
                          </w:tcPr>
                          <w:p w14:paraId="17290E64" w14:textId="77777777" w:rsidR="00FA0A49" w:rsidRPr="00A05B96" w:rsidRDefault="00FA0A49">
                            <w:pPr>
                              <w:spacing w:after="0"/>
                              <w:jc w:val="center"/>
                              <w:rPr>
                                <w:rFonts w:ascii="Calibri" w:hAnsi="Calibri" w:cs="Calibri"/>
                                <w:color w:val="000000"/>
                                <w:sz w:val="20"/>
                                <w:szCs w:val="20"/>
                              </w:rPr>
                            </w:pPr>
                            <w:r w:rsidRPr="00A05B96">
                              <w:rPr>
                                <w:rFonts w:ascii="Calibri" w:hAnsi="Calibri" w:cs="Calibri"/>
                                <w:color w:val="000000"/>
                                <w:sz w:val="20"/>
                                <w:szCs w:val="20"/>
                              </w:rPr>
                              <w:t>HCFC-22</w:t>
                            </w:r>
                          </w:p>
                          <w:p w14:paraId="1D19DA09" w14:textId="77777777" w:rsidR="00FA0A49" w:rsidRPr="00A05B96" w:rsidRDefault="00FA0A49">
                            <w:pPr>
                              <w:spacing w:after="0"/>
                              <w:jc w:val="center"/>
                              <w:rPr>
                                <w:rFonts w:ascii="Calibri" w:hAnsi="Calibri" w:cs="Calibri"/>
                                <w:color w:val="000000"/>
                                <w:sz w:val="20"/>
                                <w:szCs w:val="20"/>
                              </w:rPr>
                            </w:pPr>
                          </w:p>
                        </w:tc>
                        <w:tc>
                          <w:tcPr>
                            <w:tcW w:w="1076" w:type="dxa"/>
                            <w:tcBorders>
                              <w:top w:val="single" w:sz="4" w:space="0" w:color="auto"/>
                              <w:left w:val="nil"/>
                              <w:bottom w:val="single" w:sz="4" w:space="0" w:color="auto"/>
                              <w:right w:val="single" w:sz="4" w:space="0" w:color="auto"/>
                            </w:tcBorders>
                            <w:shd w:val="clear" w:color="auto" w:fill="D9E2F3"/>
                            <w:noWrap/>
                            <w:vAlign w:val="bottom"/>
                            <w:hideMark/>
                          </w:tcPr>
                          <w:p w14:paraId="03CE5E98"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HCFC-141b</w:t>
                            </w:r>
                          </w:p>
                        </w:tc>
                        <w:tc>
                          <w:tcPr>
                            <w:tcW w:w="1147" w:type="dxa"/>
                            <w:tcBorders>
                              <w:top w:val="single" w:sz="4" w:space="0" w:color="auto"/>
                              <w:left w:val="nil"/>
                              <w:bottom w:val="single" w:sz="4" w:space="0" w:color="auto"/>
                              <w:right w:val="single" w:sz="4" w:space="0" w:color="auto"/>
                            </w:tcBorders>
                            <w:shd w:val="clear" w:color="auto" w:fill="D9E2F3"/>
                            <w:noWrap/>
                            <w:vAlign w:val="bottom"/>
                            <w:hideMark/>
                          </w:tcPr>
                          <w:p w14:paraId="1F0FA01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HCFC-142b</w:t>
                            </w:r>
                          </w:p>
                        </w:tc>
                      </w:tr>
                      <w:tr w:rsidR="00FA0A49" w:rsidRPr="00A05B96" w14:paraId="3B51E2A0"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center"/>
                            <w:hideMark/>
                          </w:tcPr>
                          <w:p w14:paraId="2F57D382" w14:textId="77777777" w:rsidR="00FA0A49" w:rsidRPr="00A05B96" w:rsidRDefault="00FA0A49">
                            <w:pPr>
                              <w:spacing w:after="0"/>
                              <w:ind w:firstLineChars="400" w:firstLine="800"/>
                              <w:rPr>
                                <w:rFonts w:ascii="Calibri" w:hAnsi="Calibri" w:cs="Calibri"/>
                                <w:color w:val="000000"/>
                                <w:sz w:val="20"/>
                                <w:szCs w:val="20"/>
                              </w:rPr>
                            </w:pPr>
                          </w:p>
                        </w:tc>
                        <w:tc>
                          <w:tcPr>
                            <w:tcW w:w="1108" w:type="dxa"/>
                            <w:tcBorders>
                              <w:top w:val="nil"/>
                              <w:left w:val="nil"/>
                              <w:bottom w:val="single" w:sz="4" w:space="0" w:color="auto"/>
                              <w:right w:val="single" w:sz="4" w:space="0" w:color="auto"/>
                            </w:tcBorders>
                            <w:noWrap/>
                            <w:vAlign w:val="bottom"/>
                            <w:hideMark/>
                          </w:tcPr>
                          <w:p w14:paraId="5759ED74" w14:textId="77777777" w:rsidR="00FA0A49" w:rsidRPr="00A05B96" w:rsidRDefault="00FA0A49" w:rsidP="00775854">
                            <w:pPr>
                              <w:spacing w:after="0"/>
                              <w:jc w:val="center"/>
                              <w:rPr>
                                <w:rFonts w:ascii="Calibri" w:hAnsi="Calibri" w:cs="Calibri"/>
                                <w:color w:val="000000"/>
                                <w:sz w:val="20"/>
                                <w:szCs w:val="20"/>
                              </w:rPr>
                            </w:pPr>
                            <w:r w:rsidRPr="00A05B96">
                              <w:rPr>
                                <w:rFonts w:ascii="Calibri" w:hAnsi="Calibri" w:cs="Calibri"/>
                                <w:color w:val="000000"/>
                                <w:sz w:val="20"/>
                                <w:szCs w:val="20"/>
                              </w:rPr>
                              <w:t>Commercial Refrigeration</w:t>
                            </w:r>
                          </w:p>
                        </w:tc>
                        <w:tc>
                          <w:tcPr>
                            <w:tcW w:w="860" w:type="dxa"/>
                            <w:tcBorders>
                              <w:top w:val="nil"/>
                              <w:left w:val="nil"/>
                              <w:bottom w:val="single" w:sz="4" w:space="0" w:color="auto"/>
                              <w:right w:val="single" w:sz="4" w:space="0" w:color="auto"/>
                            </w:tcBorders>
                            <w:noWrap/>
                            <w:vAlign w:val="bottom"/>
                            <w:hideMark/>
                          </w:tcPr>
                          <w:p w14:paraId="2FF76311" w14:textId="77777777" w:rsidR="00FA0A49" w:rsidRPr="00A05B96" w:rsidRDefault="00FA0A49" w:rsidP="00775854">
                            <w:pPr>
                              <w:spacing w:after="0"/>
                              <w:jc w:val="center"/>
                              <w:rPr>
                                <w:rFonts w:ascii="Calibri" w:hAnsi="Calibri" w:cs="Calibri"/>
                                <w:color w:val="000000"/>
                                <w:sz w:val="20"/>
                                <w:szCs w:val="20"/>
                              </w:rPr>
                            </w:pPr>
                            <w:r w:rsidRPr="00A05B96">
                              <w:rPr>
                                <w:rFonts w:ascii="Calibri" w:hAnsi="Calibri" w:cs="Calibri"/>
                                <w:color w:val="000000"/>
                                <w:sz w:val="20"/>
                                <w:szCs w:val="20"/>
                              </w:rPr>
                              <w:t>AC</w:t>
                            </w:r>
                          </w:p>
                        </w:tc>
                        <w:tc>
                          <w:tcPr>
                            <w:tcW w:w="1076" w:type="dxa"/>
                            <w:tcBorders>
                              <w:top w:val="nil"/>
                              <w:left w:val="nil"/>
                              <w:bottom w:val="single" w:sz="4" w:space="0" w:color="auto"/>
                              <w:right w:val="single" w:sz="4" w:space="0" w:color="auto"/>
                            </w:tcBorders>
                            <w:noWrap/>
                            <w:vAlign w:val="bottom"/>
                            <w:hideMark/>
                          </w:tcPr>
                          <w:p w14:paraId="40A05A8B" w14:textId="77777777" w:rsidR="00FA0A49" w:rsidRPr="00A05B96" w:rsidRDefault="00FA0A49" w:rsidP="00775854">
                            <w:pPr>
                              <w:spacing w:after="0"/>
                              <w:jc w:val="center"/>
                              <w:rPr>
                                <w:rFonts w:ascii="Calibri" w:hAnsi="Calibri" w:cs="Calibri"/>
                                <w:color w:val="000000"/>
                                <w:sz w:val="20"/>
                                <w:szCs w:val="20"/>
                              </w:rPr>
                            </w:pPr>
                            <w:r w:rsidRPr="00A05B96">
                              <w:rPr>
                                <w:rFonts w:ascii="Calibri" w:hAnsi="Calibri" w:cs="Calibri"/>
                                <w:color w:val="000000"/>
                                <w:sz w:val="20"/>
                                <w:szCs w:val="20"/>
                              </w:rPr>
                              <w:t>FBA</w:t>
                            </w:r>
                          </w:p>
                        </w:tc>
                        <w:tc>
                          <w:tcPr>
                            <w:tcW w:w="1147" w:type="dxa"/>
                            <w:tcBorders>
                              <w:top w:val="nil"/>
                              <w:left w:val="nil"/>
                              <w:bottom w:val="single" w:sz="4" w:space="0" w:color="auto"/>
                              <w:right w:val="single" w:sz="4" w:space="0" w:color="auto"/>
                            </w:tcBorders>
                            <w:noWrap/>
                            <w:vAlign w:val="bottom"/>
                            <w:hideMark/>
                          </w:tcPr>
                          <w:p w14:paraId="62BE5864" w14:textId="77777777" w:rsidR="00FA0A49" w:rsidRPr="00A05B96" w:rsidRDefault="00FA0A49" w:rsidP="00775854">
                            <w:pPr>
                              <w:spacing w:after="0"/>
                              <w:jc w:val="center"/>
                              <w:rPr>
                                <w:rFonts w:ascii="Calibri" w:hAnsi="Calibri" w:cs="Calibri"/>
                                <w:color w:val="000000"/>
                                <w:sz w:val="20"/>
                                <w:szCs w:val="20"/>
                              </w:rPr>
                            </w:pPr>
                            <w:r w:rsidRPr="00A05B96">
                              <w:rPr>
                                <w:rFonts w:ascii="Calibri" w:hAnsi="Calibri" w:cs="Calibri"/>
                                <w:color w:val="000000"/>
                                <w:sz w:val="20"/>
                                <w:szCs w:val="20"/>
                              </w:rPr>
                              <w:t>XPS</w:t>
                            </w:r>
                          </w:p>
                        </w:tc>
                      </w:tr>
                      <w:tr w:rsidR="00FA0A49" w:rsidRPr="00A05B96" w14:paraId="0FCB04B1"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4F6FD5FD"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HFC-125</w:t>
                            </w:r>
                          </w:p>
                        </w:tc>
                        <w:tc>
                          <w:tcPr>
                            <w:tcW w:w="1108" w:type="dxa"/>
                            <w:tcBorders>
                              <w:top w:val="nil"/>
                              <w:left w:val="nil"/>
                              <w:bottom w:val="single" w:sz="4" w:space="0" w:color="auto"/>
                              <w:right w:val="single" w:sz="4" w:space="0" w:color="auto"/>
                            </w:tcBorders>
                            <w:noWrap/>
                            <w:vAlign w:val="bottom"/>
                            <w:hideMark/>
                          </w:tcPr>
                          <w:p w14:paraId="107117CA"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12%</w:t>
                            </w:r>
                          </w:p>
                        </w:tc>
                        <w:tc>
                          <w:tcPr>
                            <w:tcW w:w="860" w:type="dxa"/>
                            <w:tcBorders>
                              <w:top w:val="nil"/>
                              <w:left w:val="nil"/>
                              <w:bottom w:val="single" w:sz="4" w:space="0" w:color="auto"/>
                              <w:right w:val="single" w:sz="4" w:space="0" w:color="auto"/>
                            </w:tcBorders>
                            <w:noWrap/>
                            <w:vAlign w:val="bottom"/>
                            <w:hideMark/>
                          </w:tcPr>
                          <w:p w14:paraId="5DAA61CB"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33%</w:t>
                            </w:r>
                          </w:p>
                        </w:tc>
                        <w:tc>
                          <w:tcPr>
                            <w:tcW w:w="1076" w:type="dxa"/>
                            <w:tcBorders>
                              <w:top w:val="nil"/>
                              <w:left w:val="nil"/>
                              <w:bottom w:val="single" w:sz="4" w:space="0" w:color="auto"/>
                              <w:right w:val="single" w:sz="4" w:space="0" w:color="auto"/>
                            </w:tcBorders>
                            <w:noWrap/>
                            <w:vAlign w:val="bottom"/>
                            <w:hideMark/>
                          </w:tcPr>
                          <w:p w14:paraId="6C76988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1CC6C04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139B87E2"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7A7FA3CF"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HFC-134a</w:t>
                            </w:r>
                          </w:p>
                        </w:tc>
                        <w:tc>
                          <w:tcPr>
                            <w:tcW w:w="1108" w:type="dxa"/>
                            <w:tcBorders>
                              <w:top w:val="nil"/>
                              <w:left w:val="nil"/>
                              <w:bottom w:val="single" w:sz="4" w:space="0" w:color="auto"/>
                              <w:right w:val="single" w:sz="4" w:space="0" w:color="auto"/>
                            </w:tcBorders>
                            <w:noWrap/>
                            <w:vAlign w:val="bottom"/>
                            <w:hideMark/>
                          </w:tcPr>
                          <w:p w14:paraId="0DBC2E2B"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3%</w:t>
                            </w:r>
                          </w:p>
                        </w:tc>
                        <w:tc>
                          <w:tcPr>
                            <w:tcW w:w="860" w:type="dxa"/>
                            <w:tcBorders>
                              <w:top w:val="nil"/>
                              <w:left w:val="nil"/>
                              <w:bottom w:val="single" w:sz="4" w:space="0" w:color="auto"/>
                              <w:right w:val="single" w:sz="4" w:space="0" w:color="auto"/>
                            </w:tcBorders>
                            <w:noWrap/>
                            <w:vAlign w:val="bottom"/>
                            <w:hideMark/>
                          </w:tcPr>
                          <w:p w14:paraId="0743E5B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52D14D6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4292C4FA"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5%</w:t>
                            </w:r>
                          </w:p>
                        </w:tc>
                      </w:tr>
                      <w:tr w:rsidR="00FA0A49" w:rsidRPr="00A05B96" w14:paraId="36159364"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50B8B381"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HFC-143</w:t>
                            </w:r>
                          </w:p>
                        </w:tc>
                        <w:tc>
                          <w:tcPr>
                            <w:tcW w:w="1108" w:type="dxa"/>
                            <w:tcBorders>
                              <w:top w:val="nil"/>
                              <w:left w:val="nil"/>
                              <w:bottom w:val="single" w:sz="4" w:space="0" w:color="auto"/>
                              <w:right w:val="single" w:sz="4" w:space="0" w:color="auto"/>
                            </w:tcBorders>
                            <w:noWrap/>
                            <w:vAlign w:val="bottom"/>
                            <w:hideMark/>
                          </w:tcPr>
                          <w:p w14:paraId="58CB43DD"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08F753A0"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134FC88A"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76CD1E70"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325D43F9"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74C441F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HFC-143a</w:t>
                            </w:r>
                          </w:p>
                        </w:tc>
                        <w:tc>
                          <w:tcPr>
                            <w:tcW w:w="1108" w:type="dxa"/>
                            <w:tcBorders>
                              <w:top w:val="nil"/>
                              <w:left w:val="nil"/>
                              <w:bottom w:val="single" w:sz="4" w:space="0" w:color="auto"/>
                              <w:right w:val="single" w:sz="4" w:space="0" w:color="auto"/>
                            </w:tcBorders>
                            <w:noWrap/>
                            <w:vAlign w:val="bottom"/>
                            <w:hideMark/>
                          </w:tcPr>
                          <w:p w14:paraId="28236405"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12%</w:t>
                            </w:r>
                          </w:p>
                        </w:tc>
                        <w:tc>
                          <w:tcPr>
                            <w:tcW w:w="860" w:type="dxa"/>
                            <w:tcBorders>
                              <w:top w:val="nil"/>
                              <w:left w:val="nil"/>
                              <w:bottom w:val="single" w:sz="4" w:space="0" w:color="auto"/>
                              <w:right w:val="single" w:sz="4" w:space="0" w:color="auto"/>
                            </w:tcBorders>
                            <w:noWrap/>
                            <w:vAlign w:val="bottom"/>
                            <w:hideMark/>
                          </w:tcPr>
                          <w:p w14:paraId="70C0CBC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2F56D22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30C9375A"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6BB072AA" w14:textId="77777777" w:rsidTr="005B618C">
                        <w:trPr>
                          <w:trHeight w:val="243"/>
                        </w:trPr>
                        <w:tc>
                          <w:tcPr>
                            <w:tcW w:w="2654" w:type="dxa"/>
                            <w:tcBorders>
                              <w:top w:val="nil"/>
                              <w:left w:val="single" w:sz="4" w:space="0" w:color="auto"/>
                              <w:bottom w:val="single" w:sz="4" w:space="0" w:color="auto"/>
                              <w:right w:val="single" w:sz="4" w:space="0" w:color="auto"/>
                            </w:tcBorders>
                            <w:shd w:val="clear" w:color="auto" w:fill="D9E2F3"/>
                            <w:noWrap/>
                            <w:vAlign w:val="bottom"/>
                            <w:hideMark/>
                          </w:tcPr>
                          <w:p w14:paraId="3F057DDA"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HFC-23</w:t>
                            </w:r>
                          </w:p>
                        </w:tc>
                        <w:tc>
                          <w:tcPr>
                            <w:tcW w:w="1108" w:type="dxa"/>
                            <w:tcBorders>
                              <w:top w:val="nil"/>
                              <w:left w:val="nil"/>
                              <w:bottom w:val="single" w:sz="4" w:space="0" w:color="auto"/>
                              <w:right w:val="single" w:sz="4" w:space="0" w:color="auto"/>
                            </w:tcBorders>
                            <w:noWrap/>
                            <w:vAlign w:val="bottom"/>
                            <w:hideMark/>
                          </w:tcPr>
                          <w:p w14:paraId="50B9D83B"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04A9269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6839B8C1"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0971BEC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34C5320E"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B2BE18F"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HCFC-22</w:t>
                            </w:r>
                          </w:p>
                        </w:tc>
                        <w:tc>
                          <w:tcPr>
                            <w:tcW w:w="1108" w:type="dxa"/>
                            <w:tcBorders>
                              <w:top w:val="nil"/>
                              <w:left w:val="nil"/>
                              <w:bottom w:val="single" w:sz="4" w:space="0" w:color="auto"/>
                              <w:right w:val="single" w:sz="4" w:space="0" w:color="auto"/>
                            </w:tcBorders>
                            <w:noWrap/>
                            <w:vAlign w:val="bottom"/>
                            <w:hideMark/>
                          </w:tcPr>
                          <w:p w14:paraId="0D792A41"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860" w:type="dxa"/>
                            <w:tcBorders>
                              <w:top w:val="nil"/>
                              <w:left w:val="nil"/>
                              <w:bottom w:val="single" w:sz="4" w:space="0" w:color="auto"/>
                              <w:right w:val="single" w:sz="4" w:space="0" w:color="auto"/>
                            </w:tcBorders>
                            <w:noWrap/>
                            <w:vAlign w:val="bottom"/>
                            <w:hideMark/>
                          </w:tcPr>
                          <w:p w14:paraId="7C56CA77"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28A222A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6F1932F7"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4A19ECC9"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C1E148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HFC-32</w:t>
                            </w:r>
                          </w:p>
                        </w:tc>
                        <w:tc>
                          <w:tcPr>
                            <w:tcW w:w="1108" w:type="dxa"/>
                            <w:tcBorders>
                              <w:top w:val="nil"/>
                              <w:left w:val="nil"/>
                              <w:bottom w:val="single" w:sz="4" w:space="0" w:color="auto"/>
                              <w:right w:val="single" w:sz="4" w:space="0" w:color="auto"/>
                            </w:tcBorders>
                            <w:noWrap/>
                            <w:vAlign w:val="bottom"/>
                            <w:hideMark/>
                          </w:tcPr>
                          <w:p w14:paraId="79069040"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7%</w:t>
                            </w:r>
                          </w:p>
                        </w:tc>
                        <w:tc>
                          <w:tcPr>
                            <w:tcW w:w="860" w:type="dxa"/>
                            <w:tcBorders>
                              <w:top w:val="nil"/>
                              <w:left w:val="nil"/>
                              <w:bottom w:val="single" w:sz="4" w:space="0" w:color="auto"/>
                              <w:right w:val="single" w:sz="4" w:space="0" w:color="auto"/>
                            </w:tcBorders>
                            <w:noWrap/>
                            <w:vAlign w:val="bottom"/>
                            <w:hideMark/>
                          </w:tcPr>
                          <w:p w14:paraId="0BD8E835"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33%</w:t>
                            </w:r>
                          </w:p>
                        </w:tc>
                        <w:tc>
                          <w:tcPr>
                            <w:tcW w:w="1076" w:type="dxa"/>
                            <w:tcBorders>
                              <w:top w:val="nil"/>
                              <w:left w:val="nil"/>
                              <w:bottom w:val="single" w:sz="4" w:space="0" w:color="auto"/>
                              <w:right w:val="single" w:sz="4" w:space="0" w:color="auto"/>
                            </w:tcBorders>
                            <w:noWrap/>
                            <w:vAlign w:val="bottom"/>
                            <w:hideMark/>
                          </w:tcPr>
                          <w:p w14:paraId="1B50DD99"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0851EDBC"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1C631B05"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F9DAA4B"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HFC-245FA</w:t>
                            </w:r>
                          </w:p>
                        </w:tc>
                        <w:tc>
                          <w:tcPr>
                            <w:tcW w:w="1108" w:type="dxa"/>
                            <w:tcBorders>
                              <w:top w:val="nil"/>
                              <w:left w:val="nil"/>
                              <w:bottom w:val="single" w:sz="4" w:space="0" w:color="auto"/>
                              <w:right w:val="single" w:sz="4" w:space="0" w:color="auto"/>
                            </w:tcBorders>
                            <w:noWrap/>
                            <w:vAlign w:val="bottom"/>
                            <w:hideMark/>
                          </w:tcPr>
                          <w:p w14:paraId="3E9ADFD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860" w:type="dxa"/>
                            <w:tcBorders>
                              <w:top w:val="nil"/>
                              <w:left w:val="nil"/>
                              <w:bottom w:val="single" w:sz="4" w:space="0" w:color="auto"/>
                              <w:right w:val="single" w:sz="4" w:space="0" w:color="auto"/>
                            </w:tcBorders>
                            <w:noWrap/>
                            <w:vAlign w:val="bottom"/>
                            <w:hideMark/>
                          </w:tcPr>
                          <w:p w14:paraId="5689A70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79D9774E"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30%</w:t>
                            </w:r>
                          </w:p>
                        </w:tc>
                        <w:tc>
                          <w:tcPr>
                            <w:tcW w:w="1147" w:type="dxa"/>
                            <w:tcBorders>
                              <w:top w:val="nil"/>
                              <w:left w:val="nil"/>
                              <w:bottom w:val="single" w:sz="4" w:space="0" w:color="auto"/>
                              <w:right w:val="single" w:sz="4" w:space="0" w:color="auto"/>
                            </w:tcBorders>
                            <w:noWrap/>
                            <w:vAlign w:val="bottom"/>
                            <w:hideMark/>
                          </w:tcPr>
                          <w:p w14:paraId="26C2DB48"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637D01B8"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1105BB2"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HFC-365MFC</w:t>
                            </w:r>
                          </w:p>
                        </w:tc>
                        <w:tc>
                          <w:tcPr>
                            <w:tcW w:w="1108" w:type="dxa"/>
                            <w:tcBorders>
                              <w:top w:val="nil"/>
                              <w:left w:val="nil"/>
                              <w:bottom w:val="single" w:sz="4" w:space="0" w:color="auto"/>
                              <w:right w:val="single" w:sz="4" w:space="0" w:color="auto"/>
                            </w:tcBorders>
                            <w:noWrap/>
                            <w:vAlign w:val="bottom"/>
                            <w:hideMark/>
                          </w:tcPr>
                          <w:p w14:paraId="0B9A7D1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860" w:type="dxa"/>
                            <w:tcBorders>
                              <w:top w:val="nil"/>
                              <w:left w:val="nil"/>
                              <w:bottom w:val="single" w:sz="4" w:space="0" w:color="auto"/>
                              <w:right w:val="single" w:sz="4" w:space="0" w:color="auto"/>
                            </w:tcBorders>
                            <w:noWrap/>
                            <w:vAlign w:val="bottom"/>
                            <w:hideMark/>
                          </w:tcPr>
                          <w:p w14:paraId="40BD31B2"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352853CE"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10%</w:t>
                            </w:r>
                          </w:p>
                        </w:tc>
                        <w:tc>
                          <w:tcPr>
                            <w:tcW w:w="1147" w:type="dxa"/>
                            <w:tcBorders>
                              <w:top w:val="nil"/>
                              <w:left w:val="nil"/>
                              <w:bottom w:val="single" w:sz="4" w:space="0" w:color="auto"/>
                              <w:right w:val="single" w:sz="4" w:space="0" w:color="auto"/>
                            </w:tcBorders>
                            <w:noWrap/>
                            <w:vAlign w:val="bottom"/>
                            <w:hideMark/>
                          </w:tcPr>
                          <w:p w14:paraId="6723CD04"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r>
                      <w:tr w:rsidR="00FA0A49" w:rsidRPr="00A05B96" w14:paraId="6B28B7BE" w14:textId="77777777" w:rsidTr="005B618C">
                        <w:trPr>
                          <w:trHeight w:val="243"/>
                        </w:trPr>
                        <w:tc>
                          <w:tcPr>
                            <w:tcW w:w="2654"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DB7E5E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HFC-152a</w:t>
                            </w:r>
                          </w:p>
                        </w:tc>
                        <w:tc>
                          <w:tcPr>
                            <w:tcW w:w="1108" w:type="dxa"/>
                            <w:tcBorders>
                              <w:top w:val="nil"/>
                              <w:left w:val="nil"/>
                              <w:bottom w:val="single" w:sz="4" w:space="0" w:color="auto"/>
                              <w:right w:val="single" w:sz="4" w:space="0" w:color="auto"/>
                            </w:tcBorders>
                            <w:noWrap/>
                            <w:vAlign w:val="bottom"/>
                            <w:hideMark/>
                          </w:tcPr>
                          <w:p w14:paraId="22FCBF7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860" w:type="dxa"/>
                            <w:tcBorders>
                              <w:top w:val="nil"/>
                              <w:left w:val="nil"/>
                              <w:bottom w:val="single" w:sz="4" w:space="0" w:color="auto"/>
                              <w:right w:val="single" w:sz="4" w:space="0" w:color="auto"/>
                            </w:tcBorders>
                            <w:noWrap/>
                            <w:vAlign w:val="bottom"/>
                            <w:hideMark/>
                          </w:tcPr>
                          <w:p w14:paraId="554B0B0E"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076" w:type="dxa"/>
                            <w:tcBorders>
                              <w:top w:val="nil"/>
                              <w:left w:val="nil"/>
                              <w:bottom w:val="single" w:sz="4" w:space="0" w:color="auto"/>
                              <w:right w:val="single" w:sz="4" w:space="0" w:color="auto"/>
                            </w:tcBorders>
                            <w:noWrap/>
                            <w:vAlign w:val="bottom"/>
                            <w:hideMark/>
                          </w:tcPr>
                          <w:p w14:paraId="3AF40076" w14:textId="77777777" w:rsidR="00FA0A49" w:rsidRPr="00A05B96" w:rsidRDefault="00FA0A49">
                            <w:pPr>
                              <w:spacing w:after="0"/>
                              <w:rPr>
                                <w:rFonts w:ascii="Calibri" w:hAnsi="Calibri" w:cs="Calibri"/>
                                <w:color w:val="000000"/>
                                <w:sz w:val="20"/>
                                <w:szCs w:val="20"/>
                              </w:rPr>
                            </w:pPr>
                            <w:r w:rsidRPr="00A05B96">
                              <w:rPr>
                                <w:rFonts w:ascii="Calibri" w:hAnsi="Calibri" w:cs="Calibri"/>
                                <w:color w:val="000000"/>
                                <w:sz w:val="20"/>
                                <w:szCs w:val="20"/>
                              </w:rPr>
                              <w:t> </w:t>
                            </w:r>
                          </w:p>
                        </w:tc>
                        <w:tc>
                          <w:tcPr>
                            <w:tcW w:w="1147" w:type="dxa"/>
                            <w:tcBorders>
                              <w:top w:val="nil"/>
                              <w:left w:val="nil"/>
                              <w:bottom w:val="single" w:sz="4" w:space="0" w:color="auto"/>
                              <w:right w:val="single" w:sz="4" w:space="0" w:color="auto"/>
                            </w:tcBorders>
                            <w:noWrap/>
                            <w:vAlign w:val="bottom"/>
                            <w:hideMark/>
                          </w:tcPr>
                          <w:p w14:paraId="3DC289AE" w14:textId="77777777" w:rsidR="00FA0A49" w:rsidRPr="00A05B96" w:rsidRDefault="00FA0A49">
                            <w:pPr>
                              <w:spacing w:after="0"/>
                              <w:jc w:val="right"/>
                              <w:rPr>
                                <w:rFonts w:ascii="Calibri" w:hAnsi="Calibri" w:cs="Calibri"/>
                                <w:color w:val="000000"/>
                                <w:sz w:val="20"/>
                                <w:szCs w:val="20"/>
                              </w:rPr>
                            </w:pPr>
                            <w:r w:rsidRPr="00A05B96">
                              <w:rPr>
                                <w:rFonts w:ascii="Calibri" w:hAnsi="Calibri" w:cs="Calibri"/>
                                <w:color w:val="000000"/>
                                <w:sz w:val="20"/>
                                <w:szCs w:val="20"/>
                              </w:rPr>
                              <w:t>2%</w:t>
                            </w:r>
                          </w:p>
                        </w:tc>
                      </w:tr>
                    </w:tbl>
                    <w:p w14:paraId="141DE492" w14:textId="77777777" w:rsidR="00FA0A49" w:rsidRDefault="00FA0A49" w:rsidP="00FA0A49"/>
                  </w:txbxContent>
                </v:textbox>
                <w10:anchorlock/>
              </v:shape>
            </w:pict>
          </mc:Fallback>
        </mc:AlternateContent>
      </w:r>
    </w:p>
    <w:p w14:paraId="36E856F6" w14:textId="10F2F25E" w:rsidR="004812BA" w:rsidRDefault="00101E83" w:rsidP="004812BA">
      <w:pPr>
        <w:spacing w:after="160" w:line="259" w:lineRule="auto"/>
        <w:rPr>
          <w:rFonts w:eastAsia="Calibri"/>
          <w:b/>
          <w:bCs/>
          <w:lang w:val="en-US"/>
        </w:rPr>
      </w:pPr>
      <w:r w:rsidRPr="00183625">
        <w:rPr>
          <w:rFonts w:eastAsia="Calibri"/>
          <w:noProof/>
          <w:kern w:val="2"/>
          <w:lang w:val="en-US"/>
          <w14:ligatures w14:val="standardContextual"/>
        </w:rPr>
        <mc:AlternateContent>
          <mc:Choice Requires="wps">
            <w:drawing>
              <wp:anchor distT="45720" distB="45720" distL="114300" distR="114300" simplePos="0" relativeHeight="251658241" behindDoc="0" locked="0" layoutInCell="1" allowOverlap="1" wp14:anchorId="585EB302" wp14:editId="33080963">
                <wp:simplePos x="0" y="0"/>
                <wp:positionH relativeFrom="margin">
                  <wp:posOffset>26670</wp:posOffset>
                </wp:positionH>
                <wp:positionV relativeFrom="paragraph">
                  <wp:posOffset>86995</wp:posOffset>
                </wp:positionV>
                <wp:extent cx="4243705" cy="2794635"/>
                <wp:effectExtent l="0" t="0" r="23495" b="2476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705" cy="2794635"/>
                        </a:xfrm>
                        <a:prstGeom prst="rect">
                          <a:avLst/>
                        </a:prstGeom>
                        <a:solidFill>
                          <a:srgbClr val="FFFFFF"/>
                        </a:solidFill>
                        <a:ln w="9525">
                          <a:solidFill>
                            <a:srgbClr val="000000"/>
                          </a:solidFill>
                          <a:miter lim="800000"/>
                          <a:headEnd/>
                          <a:tailEnd/>
                        </a:ln>
                      </wps:spPr>
                      <wps:txbx>
                        <w:txbxContent>
                          <w:p w14:paraId="2B413351" w14:textId="3A7FE14A" w:rsidR="00775854" w:rsidRPr="00CA471D" w:rsidRDefault="00775854" w:rsidP="002135B0">
                            <w:pPr>
                              <w:tabs>
                                <w:tab w:val="left" w:pos="1276"/>
                              </w:tabs>
                              <w:spacing w:after="120"/>
                              <w:ind w:left="1411" w:hanging="1411"/>
                              <w:rPr>
                                <w:b/>
                              </w:rPr>
                            </w:pPr>
                            <w:r w:rsidRPr="00E42C5E">
                              <w:rPr>
                                <w:rFonts w:eastAsiaTheme="minorHAnsi"/>
                                <w:b/>
                                <w:bCs/>
                              </w:rPr>
                              <w:t xml:space="preserve">Table </w:t>
                            </w:r>
                            <w:r>
                              <w:rPr>
                                <w:rFonts w:eastAsiaTheme="minorHAnsi"/>
                                <w:b/>
                                <w:bCs/>
                              </w:rPr>
                              <w:t>A3.5</w:t>
                            </w:r>
                            <w:r w:rsidR="00FF681F">
                              <w:rPr>
                                <w:rFonts w:eastAsiaTheme="minorHAnsi"/>
                                <w:b/>
                                <w:bCs/>
                              </w:rPr>
                              <w:t>:</w:t>
                            </w:r>
                            <w:r w:rsidRPr="00E42C5E">
                              <w:rPr>
                                <w:rFonts w:eastAsiaTheme="minorHAnsi"/>
                                <w:b/>
                                <w:bCs/>
                              </w:rPr>
                              <w:tab/>
                            </w:r>
                            <w:r w:rsidRPr="00775854">
                              <w:rPr>
                                <w:rFonts w:eastAsia="Calibri"/>
                                <w:b/>
                                <w:bCs/>
                                <w:color w:val="000000"/>
                                <w:lang w:val="en-US"/>
                              </w:rPr>
                              <w:t>Example of HCFC conversion factors to HFCs</w:t>
                            </w:r>
                          </w:p>
                          <w:p w14:paraId="4242F741" w14:textId="77777777" w:rsidR="004812BA" w:rsidRDefault="004812BA" w:rsidP="005B618C">
                            <w:r w:rsidRPr="00F832E1">
                              <w:rPr>
                                <w:noProof/>
                              </w:rPr>
                              <w:drawing>
                                <wp:inline distT="0" distB="0" distL="0" distR="0" wp14:anchorId="1E1440D9" wp14:editId="13881353">
                                  <wp:extent cx="3984445" cy="2234242"/>
                                  <wp:effectExtent l="0" t="0" r="0" b="0"/>
                                  <wp:docPr id="1788213807" name="Picture 17882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6059" cy="22351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8048A6E">
              <v:shape id="Text Box 13" style="position:absolute;margin-left:2.1pt;margin-top:6.85pt;width:334.15pt;height:220.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" w14:anchorId="585EB302">
                <v:textbox>
                  <w:txbxContent>
                    <w:p w:rsidRPr="00CA471D" w:rsidR="00775854" w:rsidP="002135B0" w:rsidRDefault="00775854" w14:paraId="1AAE3E44" w14:textId="3A7FE14A">
                      <w:pPr>
                        <w:tabs>
                          <w:tab w:val="left" w:pos="1276"/>
                        </w:tabs>
                        <w:spacing w:after="120"/>
                        <w:ind w:left="1411" w:hanging="1411"/>
                        <w:rPr>
                          <w:b/>
                        </w:rPr>
                      </w:pPr>
                      <w:r w:rsidRPr="00E42C5E">
                        <w:rPr>
                          <w:rFonts w:eastAsiaTheme="minorHAnsi"/>
                          <w:b/>
                          <w:bCs/>
                        </w:rPr>
                        <w:t xml:space="preserve">Table </w:t>
                      </w:r>
                      <w:r>
                        <w:rPr>
                          <w:rFonts w:eastAsiaTheme="minorHAnsi"/>
                          <w:b/>
                          <w:bCs/>
                        </w:rPr>
                        <w:t>A3.5</w:t>
                      </w:r>
                      <w:r w:rsidR="00FF681F">
                        <w:rPr>
                          <w:rFonts w:eastAsiaTheme="minorHAnsi"/>
                          <w:b/>
                          <w:bCs/>
                        </w:rPr>
                        <w:t>:</w:t>
                      </w:r>
                      <w:r w:rsidRPr="00E42C5E">
                        <w:rPr>
                          <w:rFonts w:eastAsiaTheme="minorHAnsi"/>
                          <w:b/>
                          <w:bCs/>
                        </w:rPr>
                        <w:tab/>
                      </w:r>
                      <w:r w:rsidRPr="00775854">
                        <w:rPr>
                          <w:rFonts w:eastAsia="Calibri"/>
                          <w:b/>
                          <w:bCs/>
                          <w:color w:val="000000"/>
                          <w:lang w:val="en-US"/>
                        </w:rPr>
                        <w:t>Example of HCFC conversion factors to HFCs</w:t>
                      </w:r>
                    </w:p>
                    <w:p w:rsidR="004812BA" w:rsidP="005B618C" w:rsidRDefault="004812BA" w14:paraId="5A39BBE3" w14:textId="77777777">
                      <w:r w:rsidRPr="00F832E1">
                        <w:rPr>
                          <w:noProof/>
                        </w:rPr>
                        <w:drawing>
                          <wp:inline distT="0" distB="0" distL="0" distR="0" wp14:anchorId="2DF21B1A" wp14:editId="13881353">
                            <wp:extent cx="3984445" cy="2234242"/>
                            <wp:effectExtent l="0" t="0" r="0" b="0"/>
                            <wp:docPr id="2074039287" name="Picture 17882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6059" cy="2235147"/>
                                    </a:xfrm>
                                    <a:prstGeom prst="rect">
                                      <a:avLst/>
                                    </a:prstGeom>
                                    <a:noFill/>
                                    <a:ln>
                                      <a:noFill/>
                                    </a:ln>
                                  </pic:spPr>
                                </pic:pic>
                              </a:graphicData>
                            </a:graphic>
                          </wp:inline>
                        </w:drawing>
                      </w:r>
                    </w:p>
                  </w:txbxContent>
                </v:textbox>
                <w10:wrap type="square" anchorx="margin"/>
              </v:shape>
            </w:pict>
          </mc:Fallback>
        </mc:AlternateContent>
      </w:r>
    </w:p>
    <w:p w14:paraId="0A5CFD61" w14:textId="77777777" w:rsidR="004812BA" w:rsidRDefault="004812BA" w:rsidP="004812BA">
      <w:pPr>
        <w:spacing w:after="160" w:line="259" w:lineRule="auto"/>
        <w:rPr>
          <w:rFonts w:eastAsia="Calibri"/>
          <w:b/>
          <w:bCs/>
          <w:lang w:val="en-US"/>
        </w:rPr>
      </w:pPr>
    </w:p>
    <w:p w14:paraId="2C7115D5" w14:textId="77777777" w:rsidR="004812BA" w:rsidRDefault="004812BA" w:rsidP="004812BA">
      <w:pPr>
        <w:spacing w:after="160" w:line="259" w:lineRule="auto"/>
        <w:rPr>
          <w:rFonts w:eastAsia="Calibri"/>
          <w:b/>
          <w:bCs/>
          <w:lang w:val="en-US"/>
        </w:rPr>
      </w:pPr>
    </w:p>
    <w:p w14:paraId="7068465E" w14:textId="528E0D9B" w:rsidR="004812BA" w:rsidRDefault="004812BA" w:rsidP="60B95D79">
      <w:pPr>
        <w:spacing w:after="160" w:line="259" w:lineRule="auto"/>
        <w:rPr>
          <w:rFonts w:eastAsia="Calibri"/>
          <w:b/>
          <w:bCs/>
          <w:lang w:val="en-US"/>
        </w:rPr>
      </w:pPr>
    </w:p>
    <w:p w14:paraId="25B67674" w14:textId="77777777" w:rsidR="00DD6C4C" w:rsidRDefault="00DD6C4C" w:rsidP="004812BA">
      <w:pPr>
        <w:keepNext/>
        <w:keepLines/>
        <w:spacing w:after="160" w:line="259" w:lineRule="auto"/>
        <w:rPr>
          <w:rFonts w:eastAsia="Calibri"/>
          <w:b/>
          <w:lang w:val="en-US"/>
        </w:rPr>
      </w:pPr>
    </w:p>
    <w:p w14:paraId="216B36A3" w14:textId="77777777" w:rsidR="00B04F4F" w:rsidRDefault="00B04F4F" w:rsidP="004812BA">
      <w:pPr>
        <w:spacing w:after="160" w:line="259" w:lineRule="auto"/>
        <w:rPr>
          <w:b/>
          <w:bCs/>
          <w:color w:val="000000"/>
          <w:lang w:val="en-US"/>
        </w:rPr>
      </w:pPr>
    </w:p>
    <w:p w14:paraId="4FB70625" w14:textId="77777777" w:rsidR="00B04F4F" w:rsidRDefault="00B04F4F" w:rsidP="004812BA">
      <w:pPr>
        <w:spacing w:after="160" w:line="259" w:lineRule="auto"/>
        <w:rPr>
          <w:b/>
          <w:bCs/>
          <w:color w:val="000000"/>
          <w:lang w:val="en-US"/>
        </w:rPr>
      </w:pPr>
    </w:p>
    <w:p w14:paraId="5AE34E77" w14:textId="77777777" w:rsidR="00B04F4F" w:rsidRDefault="00B04F4F" w:rsidP="004812BA">
      <w:pPr>
        <w:spacing w:after="160" w:line="259" w:lineRule="auto"/>
        <w:rPr>
          <w:b/>
          <w:bCs/>
          <w:color w:val="000000"/>
          <w:lang w:val="en-US"/>
        </w:rPr>
      </w:pPr>
    </w:p>
    <w:p w14:paraId="2D5BAF3C" w14:textId="77777777" w:rsidR="00B04F4F" w:rsidRDefault="00B04F4F" w:rsidP="004812BA">
      <w:pPr>
        <w:spacing w:after="160" w:line="259" w:lineRule="auto"/>
        <w:rPr>
          <w:b/>
          <w:bCs/>
          <w:color w:val="000000"/>
          <w:lang w:val="en-US"/>
        </w:rPr>
      </w:pPr>
    </w:p>
    <w:p w14:paraId="5B6CA2B2" w14:textId="77777777" w:rsidR="00B04F4F" w:rsidRDefault="00B04F4F" w:rsidP="004812BA">
      <w:pPr>
        <w:spacing w:after="160" w:line="259" w:lineRule="auto"/>
        <w:rPr>
          <w:b/>
          <w:bCs/>
          <w:color w:val="000000"/>
          <w:lang w:val="en-US"/>
        </w:rPr>
      </w:pPr>
    </w:p>
    <w:p w14:paraId="2A199087" w14:textId="77777777" w:rsidR="00101E83" w:rsidRDefault="00101E83" w:rsidP="004812BA">
      <w:pPr>
        <w:spacing w:after="160" w:line="259" w:lineRule="auto"/>
        <w:rPr>
          <w:b/>
          <w:bCs/>
          <w:color w:val="000000"/>
          <w:lang w:val="en-US"/>
        </w:rPr>
      </w:pPr>
    </w:p>
    <w:p w14:paraId="38F84A33" w14:textId="49AEAECE" w:rsidR="00514E65" w:rsidRPr="00A37013" w:rsidRDefault="000144CC" w:rsidP="004812BA">
      <w:pPr>
        <w:spacing w:after="160" w:line="259" w:lineRule="auto"/>
        <w:rPr>
          <w:b/>
          <w:i/>
          <w:iCs/>
          <w:color w:val="000000"/>
          <w:lang w:val="en-US"/>
        </w:rPr>
      </w:pPr>
      <w:r>
        <w:rPr>
          <w:b/>
          <w:bCs/>
          <w:i/>
          <w:iCs/>
          <w:color w:val="000000"/>
          <w:lang w:val="en-US"/>
        </w:rPr>
        <w:t xml:space="preserve">Results </w:t>
      </w:r>
    </w:p>
    <w:p w14:paraId="3A3E2372" w14:textId="536DDB24" w:rsidR="00145ACB" w:rsidRDefault="002D3544" w:rsidP="00145ACB">
      <w:pPr>
        <w:spacing w:after="160" w:line="259" w:lineRule="auto"/>
        <w:rPr>
          <w:rFonts w:eastAsia="Calibri"/>
          <w:lang w:val="en-US"/>
        </w:rPr>
      </w:pPr>
      <w:r w:rsidRPr="002D3544">
        <w:rPr>
          <w:rFonts w:eastAsia="Calibri"/>
          <w:kern w:val="2"/>
          <w14:ligatures w14:val="standardContextual"/>
        </w:rPr>
        <w:t xml:space="preserve">To account for uncertainty in growth trends during periods with limited or missing data, a </w:t>
      </w:r>
      <w:r w:rsidR="00145ACB">
        <w:rPr>
          <w:rFonts w:eastAsia="Calibri"/>
          <w:kern w:val="2"/>
          <w:lang w:val="en-US"/>
          <w14:ligatures w14:val="standardContextual"/>
        </w:rPr>
        <w:t>higher</w:t>
      </w:r>
      <w:r w:rsidR="004B6C6E">
        <w:rPr>
          <w:rFonts w:eastAsia="Calibri"/>
          <w:kern w:val="2"/>
          <w:lang w:val="en-US"/>
          <w14:ligatures w14:val="standardContextual"/>
        </w:rPr>
        <w:t>-case</w:t>
      </w:r>
      <w:r w:rsidR="00145ACB">
        <w:rPr>
          <w:rFonts w:eastAsia="Calibri"/>
          <w:kern w:val="2"/>
          <w:lang w:val="en-US"/>
          <w14:ligatures w14:val="standardContextual"/>
        </w:rPr>
        <w:t xml:space="preserve"> estimate was </w:t>
      </w:r>
      <w:r w:rsidR="004B6C6E">
        <w:rPr>
          <w:rFonts w:eastAsia="Calibri"/>
          <w:kern w:val="2"/>
          <w:lang w:val="en-US"/>
          <w14:ligatures w14:val="standardContextual"/>
        </w:rPr>
        <w:t>developed</w:t>
      </w:r>
      <w:r w:rsidR="00145ACB">
        <w:rPr>
          <w:rFonts w:eastAsia="Calibri"/>
          <w:kern w:val="2"/>
          <w:lang w:val="en-US"/>
          <w14:ligatures w14:val="standardContextual"/>
        </w:rPr>
        <w:t xml:space="preserve">. </w:t>
      </w:r>
      <w:r w:rsidR="00B11B92">
        <w:rPr>
          <w:rFonts w:eastAsia="Calibri"/>
          <w:kern w:val="2"/>
          <w:lang w:val="en-US"/>
          <w14:ligatures w14:val="standardContextual"/>
        </w:rPr>
        <w:t>Under this approach,</w:t>
      </w:r>
      <w:r w:rsidR="00145ACB">
        <w:rPr>
          <w:rFonts w:eastAsia="Calibri"/>
          <w:kern w:val="2"/>
          <w:lang w:val="en-US"/>
          <w14:ligatures w14:val="standardContextual"/>
        </w:rPr>
        <w:t xml:space="preserve"> </w:t>
      </w:r>
      <w:r w:rsidR="00B11B92">
        <w:rPr>
          <w:rFonts w:eastAsia="Calibri"/>
          <w:kern w:val="2"/>
          <w:lang w:val="en-US"/>
          <w14:ligatures w14:val="standardContextual"/>
        </w:rPr>
        <w:t>e</w:t>
      </w:r>
      <w:r w:rsidR="00145ACB">
        <w:rPr>
          <w:rFonts w:eastAsia="Calibri"/>
          <w:kern w:val="2"/>
          <w:lang w:val="en-US"/>
          <w14:ligatures w14:val="standardContextual"/>
        </w:rPr>
        <w:t xml:space="preserve">stimated baselines for parties </w:t>
      </w:r>
      <w:r w:rsidR="000A7CFD">
        <w:rPr>
          <w:rFonts w:eastAsia="Calibri"/>
          <w:kern w:val="2"/>
          <w:lang w:val="en-US"/>
          <w14:ligatures w14:val="standardContextual"/>
        </w:rPr>
        <w:t>that had</w:t>
      </w:r>
      <w:r w:rsidR="00145ACB">
        <w:rPr>
          <w:rFonts w:eastAsia="Calibri"/>
          <w:kern w:val="2"/>
          <w:lang w:val="en-US"/>
          <w14:ligatures w14:val="standardContextual"/>
        </w:rPr>
        <w:t xml:space="preserve"> not yet reported </w:t>
      </w:r>
      <w:r w:rsidR="00BC259A">
        <w:rPr>
          <w:rFonts w:eastAsia="Calibri"/>
          <w:kern w:val="2"/>
          <w:lang w:val="en-US"/>
          <w14:ligatures w14:val="standardContextual"/>
        </w:rPr>
        <w:t xml:space="preserve">baseline data </w:t>
      </w:r>
      <w:r w:rsidR="00145ACB">
        <w:rPr>
          <w:rFonts w:eastAsia="Calibri"/>
          <w:kern w:val="2"/>
          <w:lang w:val="en-US"/>
          <w14:ligatures w14:val="standardContextual"/>
        </w:rPr>
        <w:t>were increased by 30%</w:t>
      </w:r>
      <w:r w:rsidR="00BC259A">
        <w:rPr>
          <w:rFonts w:eastAsia="Calibri"/>
          <w:kern w:val="2"/>
          <w:lang w:val="en-US"/>
          <w14:ligatures w14:val="standardContextual"/>
        </w:rPr>
        <w:t>.</w:t>
      </w:r>
      <w:r w:rsidR="00145ACB">
        <w:rPr>
          <w:rFonts w:eastAsia="Calibri"/>
          <w:kern w:val="2"/>
          <w:lang w:val="en-US"/>
          <w14:ligatures w14:val="standardContextual"/>
        </w:rPr>
        <w:t xml:space="preserve"> </w:t>
      </w:r>
      <w:r w:rsidR="00BC259A">
        <w:rPr>
          <w:rFonts w:eastAsia="Calibri"/>
          <w:kern w:val="2"/>
          <w:lang w:val="en-US"/>
          <w14:ligatures w14:val="standardContextual"/>
        </w:rPr>
        <w:t xml:space="preserve">This adjustment </w:t>
      </w:r>
      <w:r w:rsidR="00145ACB">
        <w:rPr>
          <w:rFonts w:eastAsia="Calibri"/>
          <w:kern w:val="2"/>
          <w:lang w:val="en-US"/>
          <w14:ligatures w14:val="standardContextual"/>
        </w:rPr>
        <w:t>result</w:t>
      </w:r>
      <w:r w:rsidR="00BC259A">
        <w:rPr>
          <w:rFonts w:eastAsia="Calibri"/>
          <w:kern w:val="2"/>
          <w:lang w:val="en-US"/>
          <w14:ligatures w14:val="standardContextual"/>
        </w:rPr>
        <w:t>ed</w:t>
      </w:r>
      <w:r w:rsidR="00145ACB">
        <w:rPr>
          <w:rFonts w:eastAsia="Calibri"/>
          <w:kern w:val="2"/>
          <w:lang w:val="en-US"/>
          <w14:ligatures w14:val="standardContextual"/>
        </w:rPr>
        <w:t xml:space="preserve"> in an additional estimate for the </w:t>
      </w:r>
      <w:r w:rsidR="00C91D9C">
        <w:rPr>
          <w:rFonts w:eastAsia="Calibri"/>
          <w:kern w:val="2"/>
          <w:lang w:val="en-US"/>
          <w14:ligatures w14:val="standardContextual"/>
        </w:rPr>
        <w:t xml:space="preserve">overall </w:t>
      </w:r>
      <w:r w:rsidR="00145ACB">
        <w:rPr>
          <w:rFonts w:eastAsia="Calibri"/>
          <w:kern w:val="2"/>
          <w:lang w:val="en-US"/>
          <w14:ligatures w14:val="standardContextual"/>
        </w:rPr>
        <w:t xml:space="preserve">phasedown </w:t>
      </w:r>
      <w:r w:rsidR="00145ACB" w:rsidRPr="00834217">
        <w:rPr>
          <w:rFonts w:eastAsia="Calibri"/>
          <w:kern w:val="2"/>
          <w:lang w:val="en-US"/>
          <w14:ligatures w14:val="standardContextual"/>
        </w:rPr>
        <w:t xml:space="preserve">of </w:t>
      </w:r>
      <w:r w:rsidR="00145ACB" w:rsidRPr="001A332F">
        <w:rPr>
          <w:rFonts w:eastAsia="Calibri"/>
          <w:kern w:val="2"/>
          <w:lang w:val="en-US"/>
          <w14:ligatures w14:val="standardContextual"/>
        </w:rPr>
        <w:t>approximately 4</w:t>
      </w:r>
      <w:r w:rsidR="00145ACB">
        <w:rPr>
          <w:rFonts w:eastAsia="Calibri"/>
          <w:kern w:val="2"/>
          <w:lang w:val="en-US"/>
          <w14:ligatures w14:val="standardContextual"/>
        </w:rPr>
        <w:t>.5</w:t>
      </w:r>
      <w:r w:rsidR="00145ACB" w:rsidRPr="001A332F">
        <w:rPr>
          <w:rFonts w:eastAsia="Calibri"/>
          <w:kern w:val="2"/>
          <w:lang w:val="en-US"/>
          <w14:ligatures w14:val="standardContextual"/>
        </w:rPr>
        <w:t>%</w:t>
      </w:r>
      <w:r w:rsidR="00C91D9C">
        <w:rPr>
          <w:rFonts w:eastAsia="Calibri"/>
          <w:kern w:val="2"/>
          <w:lang w:val="en-US"/>
          <w14:ligatures w14:val="standardContextual"/>
        </w:rPr>
        <w:t>,</w:t>
      </w:r>
      <w:r w:rsidR="00145ACB" w:rsidRPr="001A332F">
        <w:rPr>
          <w:rFonts w:eastAsia="Calibri"/>
          <w:kern w:val="2"/>
          <w:lang w:val="en-US"/>
          <w14:ligatures w14:val="standardContextual"/>
        </w:rPr>
        <w:t xml:space="preserve"> </w:t>
      </w:r>
      <w:r w:rsidR="00C91D9C">
        <w:rPr>
          <w:rFonts w:eastAsia="Calibri"/>
          <w:kern w:val="2"/>
          <w:lang w:val="en-US"/>
          <w14:ligatures w14:val="standardContextual"/>
        </w:rPr>
        <w:t xml:space="preserve">which in turn is projected </w:t>
      </w:r>
      <w:r w:rsidR="00CB0234">
        <w:rPr>
          <w:rFonts w:eastAsia="Calibri"/>
          <w:kern w:val="2"/>
          <w:lang w:val="en-US"/>
          <w14:ligatures w14:val="standardContextual"/>
        </w:rPr>
        <w:t xml:space="preserve">to affect </w:t>
      </w:r>
      <w:r w:rsidR="00145ACB" w:rsidRPr="001A332F">
        <w:rPr>
          <w:rFonts w:eastAsia="Calibri"/>
          <w:kern w:val="2"/>
          <w:lang w:val="en-US"/>
          <w14:ligatures w14:val="standardContextual"/>
        </w:rPr>
        <w:t xml:space="preserve">funding </w:t>
      </w:r>
      <w:r w:rsidR="00CB0234">
        <w:rPr>
          <w:rFonts w:eastAsia="Calibri"/>
          <w:kern w:val="2"/>
          <w:lang w:val="en-US"/>
          <w14:ligatures w14:val="standardContextual"/>
        </w:rPr>
        <w:t xml:space="preserve">requirements </w:t>
      </w:r>
      <w:r w:rsidR="00145ACB" w:rsidRPr="001A332F">
        <w:rPr>
          <w:rFonts w:eastAsia="Calibri"/>
          <w:kern w:val="2"/>
          <w:lang w:val="en-US"/>
          <w14:ligatures w14:val="standardContextual"/>
        </w:rPr>
        <w:t xml:space="preserve">for the next triennium by </w:t>
      </w:r>
      <w:r w:rsidR="00CB0234">
        <w:rPr>
          <w:rFonts w:eastAsia="Calibri"/>
          <w:kern w:val="2"/>
          <w:lang w:val="en-US"/>
          <w14:ligatures w14:val="standardContextual"/>
        </w:rPr>
        <w:t xml:space="preserve">approximately </w:t>
      </w:r>
      <w:r w:rsidR="00145ACB" w:rsidRPr="00834217">
        <w:rPr>
          <w:rFonts w:eastAsia="Calibri"/>
          <w:kern w:val="2"/>
          <w:lang w:val="en-US"/>
          <w14:ligatures w14:val="standardContextual"/>
        </w:rPr>
        <w:t>1.5%</w:t>
      </w:r>
      <w:r w:rsidR="00535ECD">
        <w:rPr>
          <w:rFonts w:eastAsia="Calibri"/>
          <w:kern w:val="2"/>
          <w:lang w:val="en-US"/>
          <w14:ligatures w14:val="standardContextual"/>
        </w:rPr>
        <w:t>.</w:t>
      </w:r>
    </w:p>
    <w:p w14:paraId="3896E2FC" w14:textId="021AAEDC" w:rsidR="00F60B59" w:rsidRDefault="004812BA" w:rsidP="004812BA">
      <w:pPr>
        <w:spacing w:after="160" w:line="259" w:lineRule="auto"/>
        <w:rPr>
          <w:rFonts w:eastAsia="Calibri"/>
          <w:kern w:val="2"/>
          <w:lang w:val="en-US"/>
          <w14:ligatures w14:val="standardContextual"/>
        </w:rPr>
      </w:pPr>
      <w:r w:rsidRPr="00183625">
        <w:rPr>
          <w:rFonts w:eastAsia="Calibri"/>
          <w:kern w:val="2"/>
          <w:lang w:val="en-US"/>
          <w14:ligatures w14:val="standardContextual"/>
        </w:rPr>
        <w:t>Using the available data and the methodologies described above, the estimated HFC consumption</w:t>
      </w:r>
      <w:r>
        <w:rPr>
          <w:rFonts w:eastAsia="Calibri"/>
          <w:kern w:val="2"/>
          <w:lang w:val="en-US"/>
          <w14:ligatures w14:val="standardContextual"/>
        </w:rPr>
        <w:t xml:space="preserve"> and</w:t>
      </w:r>
      <w:r w:rsidRPr="00183625">
        <w:rPr>
          <w:rFonts w:eastAsia="Calibri"/>
          <w:kern w:val="2"/>
          <w:lang w:val="en-US"/>
          <w14:ligatures w14:val="standardContextual"/>
        </w:rPr>
        <w:t xml:space="preserve"> the </w:t>
      </w:r>
      <w:r w:rsidR="00372EDA">
        <w:rPr>
          <w:rFonts w:eastAsia="Calibri"/>
          <w:kern w:val="2"/>
          <w:lang w:val="en-US"/>
          <w14:ligatures w14:val="standardContextual"/>
        </w:rPr>
        <w:t>agg</w:t>
      </w:r>
      <w:r w:rsidR="003146B1">
        <w:rPr>
          <w:rFonts w:eastAsia="Calibri"/>
          <w:kern w:val="2"/>
          <w:lang w:val="en-US"/>
          <w14:ligatures w14:val="standardContextual"/>
        </w:rPr>
        <w:t xml:space="preserve">regate </w:t>
      </w:r>
      <w:r w:rsidRPr="00183625">
        <w:rPr>
          <w:rFonts w:eastAsia="Calibri"/>
          <w:kern w:val="2"/>
          <w:lang w:val="en-US"/>
          <w14:ligatures w14:val="standardContextual"/>
        </w:rPr>
        <w:t xml:space="preserve">HFC baselines for parties are shown by bracket in Table </w:t>
      </w:r>
      <w:r>
        <w:rPr>
          <w:rFonts w:eastAsia="Calibri"/>
          <w:kern w:val="2"/>
          <w:lang w:val="en-US"/>
          <w14:ligatures w14:val="standardContextual"/>
        </w:rPr>
        <w:t>A</w:t>
      </w:r>
      <w:r w:rsidR="00F53EC1">
        <w:rPr>
          <w:rFonts w:eastAsia="Calibri"/>
          <w:kern w:val="2"/>
          <w:lang w:val="en-US"/>
          <w14:ligatures w14:val="standardContextual"/>
        </w:rPr>
        <w:t>3.6</w:t>
      </w:r>
      <w:r w:rsidRPr="00183625">
        <w:rPr>
          <w:rFonts w:eastAsia="Calibri"/>
          <w:kern w:val="2"/>
          <w:lang w:val="en-US"/>
          <w14:ligatures w14:val="standardContextual"/>
        </w:rPr>
        <w:t>.</w:t>
      </w:r>
    </w:p>
    <w:p w14:paraId="4D5A8FA0" w14:textId="77777777" w:rsidR="009A6B30" w:rsidRDefault="009A6B30" w:rsidP="00F53EC1">
      <w:pPr>
        <w:tabs>
          <w:tab w:val="left" w:pos="1418"/>
        </w:tabs>
        <w:spacing w:after="120"/>
        <w:ind w:left="1411" w:hanging="1411"/>
        <w:rPr>
          <w:rFonts w:eastAsiaTheme="minorHAnsi"/>
          <w:b/>
          <w:bCs/>
        </w:rPr>
      </w:pPr>
      <w:r>
        <w:rPr>
          <w:rFonts w:eastAsiaTheme="minorHAnsi"/>
          <w:b/>
          <w:bCs/>
        </w:rPr>
        <w:br w:type="page"/>
      </w:r>
    </w:p>
    <w:p w14:paraId="69CFBAF9" w14:textId="6F90F101" w:rsidR="00F60B59" w:rsidRPr="00F53EC1" w:rsidRDefault="00F53EC1" w:rsidP="002135B0">
      <w:pPr>
        <w:tabs>
          <w:tab w:val="left" w:pos="1276"/>
        </w:tabs>
        <w:spacing w:after="120"/>
        <w:ind w:left="1411" w:hanging="1411"/>
        <w:rPr>
          <w:b/>
        </w:rPr>
      </w:pPr>
      <w:r w:rsidRPr="00E42C5E">
        <w:rPr>
          <w:rFonts w:eastAsiaTheme="minorHAnsi"/>
          <w:b/>
          <w:bCs/>
        </w:rPr>
        <w:lastRenderedPageBreak/>
        <w:t xml:space="preserve">Table </w:t>
      </w:r>
      <w:r>
        <w:rPr>
          <w:rFonts w:eastAsiaTheme="minorHAnsi"/>
          <w:b/>
          <w:bCs/>
        </w:rPr>
        <w:t>A3.6</w:t>
      </w:r>
      <w:r w:rsidR="00FF681F">
        <w:rPr>
          <w:rFonts w:eastAsiaTheme="minorHAnsi"/>
          <w:b/>
          <w:bCs/>
        </w:rPr>
        <w:t>:</w:t>
      </w:r>
      <w:r w:rsidRPr="00E42C5E">
        <w:rPr>
          <w:rFonts w:eastAsiaTheme="minorHAnsi"/>
          <w:b/>
          <w:bCs/>
        </w:rPr>
        <w:tab/>
      </w:r>
      <w:r w:rsidRPr="00F53EC1">
        <w:rPr>
          <w:rFonts w:eastAsia="Calibri"/>
          <w:b/>
          <w:bCs/>
          <w:color w:val="000000"/>
          <w:lang w:val="en-US"/>
        </w:rPr>
        <w:t>Estimated and Reported HFC Baselines</w:t>
      </w:r>
    </w:p>
    <w:tbl>
      <w:tblPr>
        <w:tblW w:w="8359" w:type="dxa"/>
        <w:tblLayout w:type="fixed"/>
        <w:tblLook w:val="04A0" w:firstRow="1" w:lastRow="0" w:firstColumn="1" w:lastColumn="0" w:noHBand="0" w:noVBand="1"/>
      </w:tblPr>
      <w:tblGrid>
        <w:gridCol w:w="2786"/>
        <w:gridCol w:w="2786"/>
        <w:gridCol w:w="2787"/>
      </w:tblGrid>
      <w:tr w:rsidR="00F60B59" w:rsidRPr="00AB4E8A" w14:paraId="143F05F0" w14:textId="77777777" w:rsidTr="00B04F4F">
        <w:trPr>
          <w:trHeight w:val="731"/>
        </w:trPr>
        <w:tc>
          <w:tcPr>
            <w:tcW w:w="2786" w:type="dxa"/>
            <w:tcBorders>
              <w:top w:val="single" w:sz="4" w:space="0" w:color="auto"/>
              <w:left w:val="single" w:sz="4" w:space="0" w:color="auto"/>
              <w:bottom w:val="single" w:sz="4" w:space="0" w:color="auto"/>
              <w:right w:val="single" w:sz="4" w:space="0" w:color="auto"/>
            </w:tcBorders>
            <w:shd w:val="clear" w:color="000000" w:fill="CCE3F5"/>
            <w:vAlign w:val="center"/>
            <w:hideMark/>
          </w:tcPr>
          <w:p w14:paraId="6144D8B1" w14:textId="77777777" w:rsidR="00F60B59" w:rsidRPr="00AB4E8A" w:rsidRDefault="00F60B59">
            <w:pPr>
              <w:tabs>
                <w:tab w:val="clear" w:pos="0"/>
              </w:tabs>
              <w:spacing w:after="0"/>
              <w:jc w:val="center"/>
              <w:rPr>
                <w:b/>
                <w:bCs/>
                <w:color w:val="000000"/>
                <w:lang w:val="en-US"/>
              </w:rPr>
            </w:pPr>
            <w:r w:rsidRPr="00AB4E8A">
              <w:rPr>
                <w:b/>
                <w:bCs/>
                <w:color w:val="000000"/>
                <w:lang w:val="en-US"/>
              </w:rPr>
              <w:t>Country Brackets</w:t>
            </w:r>
          </w:p>
        </w:tc>
        <w:tc>
          <w:tcPr>
            <w:tcW w:w="2786" w:type="dxa"/>
            <w:tcBorders>
              <w:top w:val="single" w:sz="4" w:space="0" w:color="auto"/>
              <w:left w:val="nil"/>
              <w:bottom w:val="single" w:sz="4" w:space="0" w:color="auto"/>
              <w:right w:val="single" w:sz="4" w:space="0" w:color="auto"/>
            </w:tcBorders>
            <w:shd w:val="clear" w:color="000000" w:fill="CCE3F5"/>
            <w:vAlign w:val="center"/>
            <w:hideMark/>
          </w:tcPr>
          <w:p w14:paraId="2939F045" w14:textId="5C596890" w:rsidR="00F60B59" w:rsidRPr="00AB4E8A" w:rsidRDefault="00F60B59">
            <w:pPr>
              <w:tabs>
                <w:tab w:val="clear" w:pos="0"/>
              </w:tabs>
              <w:spacing w:after="0"/>
              <w:jc w:val="center"/>
              <w:rPr>
                <w:b/>
                <w:bCs/>
                <w:color w:val="000000"/>
                <w:lang w:val="en-US"/>
              </w:rPr>
            </w:pPr>
            <w:r w:rsidRPr="00AB4E8A">
              <w:rPr>
                <w:b/>
                <w:bCs/>
                <w:color w:val="000000"/>
                <w:lang w:val="en-US"/>
              </w:rPr>
              <w:t>Estimated and Reported HFC Baseline</w:t>
            </w:r>
          </w:p>
        </w:tc>
        <w:tc>
          <w:tcPr>
            <w:tcW w:w="2787" w:type="dxa"/>
            <w:tcBorders>
              <w:top w:val="single" w:sz="4" w:space="0" w:color="auto"/>
              <w:left w:val="nil"/>
              <w:bottom w:val="single" w:sz="4" w:space="0" w:color="auto"/>
              <w:right w:val="single" w:sz="4" w:space="0" w:color="auto"/>
            </w:tcBorders>
            <w:shd w:val="clear" w:color="000000" w:fill="CCE3F5"/>
            <w:vAlign w:val="center"/>
            <w:hideMark/>
          </w:tcPr>
          <w:p w14:paraId="2EC3451C" w14:textId="1F09EA6B" w:rsidR="00F60B59" w:rsidRPr="00AB4E8A" w:rsidRDefault="00F60B59">
            <w:pPr>
              <w:tabs>
                <w:tab w:val="clear" w:pos="0"/>
              </w:tabs>
              <w:spacing w:after="0"/>
              <w:jc w:val="center"/>
              <w:rPr>
                <w:b/>
                <w:bCs/>
                <w:color w:val="000000"/>
                <w:lang w:val="en-US"/>
              </w:rPr>
            </w:pPr>
            <w:r w:rsidRPr="00AB4E8A">
              <w:rPr>
                <w:b/>
                <w:bCs/>
                <w:color w:val="000000"/>
                <w:lang w:val="en-US"/>
              </w:rPr>
              <w:t>Higher Estimate (30%) and Reported HFC Baseline</w:t>
            </w:r>
          </w:p>
        </w:tc>
      </w:tr>
      <w:tr w:rsidR="00F60B59" w:rsidRPr="00AB4E8A" w14:paraId="7CE4157E" w14:textId="77777777" w:rsidTr="00B04F4F">
        <w:trPr>
          <w:trHeight w:val="300"/>
        </w:trPr>
        <w:tc>
          <w:tcPr>
            <w:tcW w:w="2786" w:type="dxa"/>
            <w:tcBorders>
              <w:top w:val="nil"/>
              <w:left w:val="single" w:sz="4" w:space="0" w:color="auto"/>
              <w:bottom w:val="single" w:sz="4" w:space="0" w:color="auto"/>
              <w:right w:val="single" w:sz="4" w:space="0" w:color="auto"/>
            </w:tcBorders>
            <w:noWrap/>
            <w:vAlign w:val="bottom"/>
            <w:hideMark/>
          </w:tcPr>
          <w:p w14:paraId="50D37598" w14:textId="77777777" w:rsidR="00F60B59" w:rsidRPr="00B04F4F" w:rsidRDefault="00F60B59" w:rsidP="00B04F4F">
            <w:pPr>
              <w:tabs>
                <w:tab w:val="clear" w:pos="0"/>
              </w:tabs>
              <w:spacing w:after="0"/>
              <w:rPr>
                <w:color w:val="000000"/>
                <w:lang w:val="en-US"/>
              </w:rPr>
            </w:pPr>
            <w:r w:rsidRPr="00B04F4F">
              <w:rPr>
                <w:color w:val="000000"/>
                <w:lang w:val="en-US"/>
              </w:rPr>
              <w:t>Largest</w:t>
            </w:r>
          </w:p>
        </w:tc>
        <w:tc>
          <w:tcPr>
            <w:tcW w:w="2786" w:type="dxa"/>
            <w:tcBorders>
              <w:top w:val="nil"/>
              <w:left w:val="nil"/>
              <w:bottom w:val="single" w:sz="4" w:space="0" w:color="auto"/>
              <w:right w:val="single" w:sz="4" w:space="0" w:color="auto"/>
            </w:tcBorders>
            <w:noWrap/>
            <w:vAlign w:val="bottom"/>
            <w:hideMark/>
          </w:tcPr>
          <w:p w14:paraId="5B5324E7" w14:textId="77777777" w:rsidR="00F60B59" w:rsidRPr="00B04F4F" w:rsidRDefault="00F60B59" w:rsidP="00B04F4F">
            <w:pPr>
              <w:tabs>
                <w:tab w:val="clear" w:pos="0"/>
              </w:tabs>
              <w:spacing w:after="0"/>
              <w:jc w:val="right"/>
              <w:rPr>
                <w:color w:val="000000"/>
                <w:lang w:val="en-US"/>
              </w:rPr>
            </w:pPr>
            <w:r w:rsidRPr="00B04F4F">
              <w:rPr>
                <w:color w:val="000000"/>
                <w:lang w:val="en-US"/>
              </w:rPr>
              <w:t>907</w:t>
            </w:r>
          </w:p>
        </w:tc>
        <w:tc>
          <w:tcPr>
            <w:tcW w:w="2787" w:type="dxa"/>
            <w:tcBorders>
              <w:top w:val="nil"/>
              <w:left w:val="nil"/>
              <w:bottom w:val="single" w:sz="4" w:space="0" w:color="auto"/>
              <w:right w:val="single" w:sz="4" w:space="0" w:color="auto"/>
            </w:tcBorders>
            <w:noWrap/>
            <w:vAlign w:val="bottom"/>
            <w:hideMark/>
          </w:tcPr>
          <w:p w14:paraId="1FBBA635" w14:textId="77777777" w:rsidR="00F60B59" w:rsidRPr="00B04F4F" w:rsidRDefault="00F60B59" w:rsidP="00B04F4F">
            <w:pPr>
              <w:tabs>
                <w:tab w:val="clear" w:pos="0"/>
              </w:tabs>
              <w:spacing w:after="0"/>
              <w:jc w:val="right"/>
              <w:rPr>
                <w:color w:val="000000"/>
                <w:lang w:val="en-US"/>
              </w:rPr>
            </w:pPr>
            <w:r w:rsidRPr="00B04F4F">
              <w:rPr>
                <w:color w:val="000000"/>
                <w:lang w:val="en-US"/>
              </w:rPr>
              <w:t>907</w:t>
            </w:r>
          </w:p>
        </w:tc>
      </w:tr>
      <w:tr w:rsidR="00F60B59" w:rsidRPr="00AB4E8A" w14:paraId="6A09E55C" w14:textId="77777777" w:rsidTr="00B04F4F">
        <w:trPr>
          <w:trHeight w:val="320"/>
        </w:trPr>
        <w:tc>
          <w:tcPr>
            <w:tcW w:w="2786" w:type="dxa"/>
            <w:tcBorders>
              <w:top w:val="nil"/>
              <w:left w:val="single" w:sz="4" w:space="0" w:color="auto"/>
              <w:bottom w:val="single" w:sz="4" w:space="0" w:color="auto"/>
              <w:right w:val="single" w:sz="4" w:space="0" w:color="auto"/>
            </w:tcBorders>
            <w:noWrap/>
            <w:vAlign w:val="bottom"/>
            <w:hideMark/>
          </w:tcPr>
          <w:p w14:paraId="55198599" w14:textId="77777777" w:rsidR="00F60B59" w:rsidRPr="00B04F4F" w:rsidRDefault="00F60B59" w:rsidP="00B04F4F">
            <w:pPr>
              <w:tabs>
                <w:tab w:val="clear" w:pos="0"/>
              </w:tabs>
              <w:spacing w:after="0"/>
              <w:rPr>
                <w:color w:val="000000"/>
                <w:lang w:val="en-US"/>
              </w:rPr>
            </w:pPr>
            <w:r w:rsidRPr="00B04F4F">
              <w:rPr>
                <w:color w:val="000000"/>
                <w:lang w:val="en-US"/>
              </w:rPr>
              <w:t>Top 10</w:t>
            </w:r>
          </w:p>
        </w:tc>
        <w:tc>
          <w:tcPr>
            <w:tcW w:w="2786" w:type="dxa"/>
            <w:tcBorders>
              <w:top w:val="nil"/>
              <w:left w:val="nil"/>
              <w:bottom w:val="single" w:sz="4" w:space="0" w:color="auto"/>
              <w:right w:val="single" w:sz="4" w:space="0" w:color="auto"/>
            </w:tcBorders>
            <w:noWrap/>
            <w:vAlign w:val="bottom"/>
            <w:hideMark/>
          </w:tcPr>
          <w:p w14:paraId="4F271E1D" w14:textId="77777777" w:rsidR="00F60B59" w:rsidRPr="00B04F4F" w:rsidRDefault="00F60B59" w:rsidP="00B04F4F">
            <w:pPr>
              <w:tabs>
                <w:tab w:val="clear" w:pos="0"/>
              </w:tabs>
              <w:spacing w:after="0"/>
              <w:jc w:val="right"/>
              <w:rPr>
                <w:color w:val="000000"/>
                <w:lang w:val="en-US"/>
              </w:rPr>
            </w:pPr>
            <w:r w:rsidRPr="00B04F4F">
              <w:rPr>
                <w:color w:val="000000"/>
                <w:lang w:val="en-US"/>
              </w:rPr>
              <w:t>374</w:t>
            </w:r>
          </w:p>
        </w:tc>
        <w:tc>
          <w:tcPr>
            <w:tcW w:w="2787" w:type="dxa"/>
            <w:tcBorders>
              <w:top w:val="nil"/>
              <w:left w:val="nil"/>
              <w:bottom w:val="single" w:sz="4" w:space="0" w:color="auto"/>
              <w:right w:val="single" w:sz="4" w:space="0" w:color="auto"/>
            </w:tcBorders>
            <w:noWrap/>
            <w:vAlign w:val="bottom"/>
            <w:hideMark/>
          </w:tcPr>
          <w:p w14:paraId="2ABB2F14" w14:textId="77777777" w:rsidR="00F60B59" w:rsidRPr="00B04F4F" w:rsidRDefault="00F60B59" w:rsidP="00B04F4F">
            <w:pPr>
              <w:tabs>
                <w:tab w:val="clear" w:pos="0"/>
              </w:tabs>
              <w:spacing w:after="0"/>
              <w:jc w:val="right"/>
              <w:rPr>
                <w:color w:val="000000"/>
                <w:lang w:val="en-US"/>
              </w:rPr>
            </w:pPr>
            <w:r w:rsidRPr="00B04F4F">
              <w:rPr>
                <w:color w:val="000000"/>
                <w:lang w:val="en-US"/>
              </w:rPr>
              <w:t>374</w:t>
            </w:r>
          </w:p>
        </w:tc>
      </w:tr>
      <w:tr w:rsidR="00F60B59" w:rsidRPr="00AB4E8A" w14:paraId="74C13687" w14:textId="77777777" w:rsidTr="00B04F4F">
        <w:trPr>
          <w:trHeight w:val="310"/>
        </w:trPr>
        <w:tc>
          <w:tcPr>
            <w:tcW w:w="2786" w:type="dxa"/>
            <w:tcBorders>
              <w:top w:val="nil"/>
              <w:left w:val="single" w:sz="4" w:space="0" w:color="auto"/>
              <w:bottom w:val="single" w:sz="4" w:space="0" w:color="auto"/>
              <w:right w:val="single" w:sz="4" w:space="0" w:color="auto"/>
            </w:tcBorders>
            <w:noWrap/>
            <w:vAlign w:val="bottom"/>
            <w:hideMark/>
          </w:tcPr>
          <w:p w14:paraId="18B0E51F" w14:textId="77777777" w:rsidR="00F60B59" w:rsidRPr="00B04F4F" w:rsidRDefault="00F60B59" w:rsidP="00B04F4F">
            <w:pPr>
              <w:tabs>
                <w:tab w:val="clear" w:pos="0"/>
              </w:tabs>
              <w:spacing w:after="0"/>
              <w:rPr>
                <w:color w:val="000000"/>
                <w:lang w:val="en-US"/>
              </w:rPr>
            </w:pPr>
            <w:r w:rsidRPr="00B04F4F">
              <w:rPr>
                <w:color w:val="000000"/>
                <w:lang w:val="en-US"/>
              </w:rPr>
              <w:t>Group 2</w:t>
            </w:r>
          </w:p>
        </w:tc>
        <w:tc>
          <w:tcPr>
            <w:tcW w:w="2786" w:type="dxa"/>
            <w:tcBorders>
              <w:top w:val="nil"/>
              <w:left w:val="nil"/>
              <w:bottom w:val="single" w:sz="4" w:space="0" w:color="auto"/>
              <w:right w:val="single" w:sz="4" w:space="0" w:color="auto"/>
            </w:tcBorders>
            <w:noWrap/>
            <w:vAlign w:val="bottom"/>
            <w:hideMark/>
          </w:tcPr>
          <w:p w14:paraId="5552A2EA" w14:textId="77777777" w:rsidR="00F60B59" w:rsidRPr="00B04F4F" w:rsidRDefault="00F60B59" w:rsidP="00B04F4F">
            <w:pPr>
              <w:tabs>
                <w:tab w:val="clear" w:pos="0"/>
              </w:tabs>
              <w:spacing w:after="0"/>
              <w:jc w:val="right"/>
              <w:rPr>
                <w:color w:val="000000"/>
                <w:lang w:val="en-US"/>
              </w:rPr>
            </w:pPr>
            <w:r w:rsidRPr="00B04F4F">
              <w:rPr>
                <w:color w:val="000000"/>
                <w:lang w:val="en-US"/>
              </w:rPr>
              <w:t>254</w:t>
            </w:r>
          </w:p>
        </w:tc>
        <w:tc>
          <w:tcPr>
            <w:tcW w:w="2787" w:type="dxa"/>
            <w:tcBorders>
              <w:top w:val="nil"/>
              <w:left w:val="nil"/>
              <w:bottom w:val="single" w:sz="4" w:space="0" w:color="auto"/>
              <w:right w:val="single" w:sz="4" w:space="0" w:color="auto"/>
            </w:tcBorders>
            <w:noWrap/>
            <w:vAlign w:val="bottom"/>
            <w:hideMark/>
          </w:tcPr>
          <w:p w14:paraId="5E40BDE1" w14:textId="77777777" w:rsidR="00F60B59" w:rsidRPr="00B04F4F" w:rsidRDefault="00F60B59" w:rsidP="00B04F4F">
            <w:pPr>
              <w:tabs>
                <w:tab w:val="clear" w:pos="0"/>
              </w:tabs>
              <w:spacing w:after="0"/>
              <w:jc w:val="right"/>
              <w:rPr>
                <w:color w:val="000000"/>
                <w:lang w:val="en-US"/>
              </w:rPr>
            </w:pPr>
            <w:r w:rsidRPr="00B04F4F">
              <w:rPr>
                <w:color w:val="000000"/>
                <w:lang w:val="en-US"/>
              </w:rPr>
              <w:t>330</w:t>
            </w:r>
          </w:p>
        </w:tc>
      </w:tr>
      <w:tr w:rsidR="00F60B59" w:rsidRPr="00AB4E8A" w14:paraId="47393FC0" w14:textId="77777777" w:rsidTr="00B04F4F">
        <w:trPr>
          <w:trHeight w:val="290"/>
        </w:trPr>
        <w:tc>
          <w:tcPr>
            <w:tcW w:w="2786" w:type="dxa"/>
            <w:tcBorders>
              <w:top w:val="nil"/>
              <w:left w:val="single" w:sz="4" w:space="0" w:color="auto"/>
              <w:bottom w:val="single" w:sz="4" w:space="0" w:color="auto"/>
              <w:right w:val="single" w:sz="4" w:space="0" w:color="auto"/>
            </w:tcBorders>
            <w:noWrap/>
            <w:vAlign w:val="bottom"/>
            <w:hideMark/>
          </w:tcPr>
          <w:p w14:paraId="3355D86C" w14:textId="77777777" w:rsidR="00F60B59" w:rsidRPr="00B04F4F" w:rsidRDefault="00F60B59" w:rsidP="00B04F4F">
            <w:pPr>
              <w:tabs>
                <w:tab w:val="clear" w:pos="0"/>
              </w:tabs>
              <w:spacing w:after="0"/>
              <w:rPr>
                <w:color w:val="000000"/>
                <w:lang w:val="en-US"/>
              </w:rPr>
            </w:pPr>
            <w:r w:rsidRPr="00B04F4F">
              <w:rPr>
                <w:color w:val="000000"/>
                <w:lang w:val="en-US"/>
              </w:rPr>
              <w:t>Other</w:t>
            </w:r>
          </w:p>
        </w:tc>
        <w:tc>
          <w:tcPr>
            <w:tcW w:w="2786" w:type="dxa"/>
            <w:tcBorders>
              <w:top w:val="nil"/>
              <w:left w:val="nil"/>
              <w:bottom w:val="single" w:sz="4" w:space="0" w:color="auto"/>
              <w:right w:val="single" w:sz="4" w:space="0" w:color="auto"/>
            </w:tcBorders>
            <w:noWrap/>
            <w:vAlign w:val="bottom"/>
            <w:hideMark/>
          </w:tcPr>
          <w:p w14:paraId="7F5C78FA" w14:textId="77777777" w:rsidR="00F60B59" w:rsidRPr="00B04F4F" w:rsidRDefault="00F60B59" w:rsidP="00B04F4F">
            <w:pPr>
              <w:tabs>
                <w:tab w:val="clear" w:pos="0"/>
              </w:tabs>
              <w:spacing w:after="0"/>
              <w:jc w:val="right"/>
              <w:rPr>
                <w:color w:val="000000"/>
                <w:lang w:val="en-US"/>
              </w:rPr>
            </w:pPr>
            <w:r w:rsidRPr="00B04F4F">
              <w:rPr>
                <w:color w:val="000000"/>
                <w:lang w:val="en-US"/>
              </w:rPr>
              <w:t>167</w:t>
            </w:r>
          </w:p>
        </w:tc>
        <w:tc>
          <w:tcPr>
            <w:tcW w:w="2787" w:type="dxa"/>
            <w:tcBorders>
              <w:top w:val="nil"/>
              <w:left w:val="nil"/>
              <w:bottom w:val="single" w:sz="4" w:space="0" w:color="auto"/>
              <w:right w:val="single" w:sz="4" w:space="0" w:color="auto"/>
            </w:tcBorders>
            <w:noWrap/>
            <w:vAlign w:val="bottom"/>
            <w:hideMark/>
          </w:tcPr>
          <w:p w14:paraId="199A158B" w14:textId="77777777" w:rsidR="00F60B59" w:rsidRPr="00B04F4F" w:rsidRDefault="00F60B59" w:rsidP="00B04F4F">
            <w:pPr>
              <w:tabs>
                <w:tab w:val="clear" w:pos="0"/>
              </w:tabs>
              <w:spacing w:after="0"/>
              <w:jc w:val="right"/>
              <w:rPr>
                <w:color w:val="000000"/>
                <w:lang w:val="en-US"/>
              </w:rPr>
            </w:pPr>
            <w:r w:rsidRPr="00B04F4F">
              <w:rPr>
                <w:color w:val="000000"/>
                <w:lang w:val="en-US"/>
              </w:rPr>
              <w:t>171</w:t>
            </w:r>
          </w:p>
        </w:tc>
      </w:tr>
      <w:tr w:rsidR="00F60B59" w:rsidRPr="00AB4E8A" w14:paraId="181D9108" w14:textId="77777777" w:rsidTr="00B04F4F">
        <w:trPr>
          <w:trHeight w:val="290"/>
        </w:trPr>
        <w:tc>
          <w:tcPr>
            <w:tcW w:w="2786" w:type="dxa"/>
            <w:tcBorders>
              <w:top w:val="nil"/>
              <w:left w:val="single" w:sz="4" w:space="0" w:color="auto"/>
              <w:bottom w:val="single" w:sz="4" w:space="0" w:color="auto"/>
              <w:right w:val="single" w:sz="4" w:space="0" w:color="auto"/>
            </w:tcBorders>
            <w:noWrap/>
            <w:vAlign w:val="bottom"/>
            <w:hideMark/>
          </w:tcPr>
          <w:p w14:paraId="7A4F82D0" w14:textId="77777777" w:rsidR="00F60B59" w:rsidRPr="00B04F4F" w:rsidRDefault="00F60B59" w:rsidP="00B04F4F">
            <w:pPr>
              <w:tabs>
                <w:tab w:val="clear" w:pos="0"/>
              </w:tabs>
              <w:spacing w:after="0"/>
              <w:rPr>
                <w:color w:val="000000"/>
                <w:lang w:val="en-US"/>
              </w:rPr>
            </w:pPr>
            <w:r w:rsidRPr="00B04F4F">
              <w:rPr>
                <w:color w:val="000000"/>
                <w:lang w:val="en-US"/>
              </w:rPr>
              <w:t>LVC</w:t>
            </w:r>
          </w:p>
        </w:tc>
        <w:tc>
          <w:tcPr>
            <w:tcW w:w="2786" w:type="dxa"/>
            <w:tcBorders>
              <w:top w:val="nil"/>
              <w:left w:val="nil"/>
              <w:bottom w:val="single" w:sz="4" w:space="0" w:color="auto"/>
              <w:right w:val="single" w:sz="4" w:space="0" w:color="auto"/>
            </w:tcBorders>
            <w:noWrap/>
            <w:vAlign w:val="bottom"/>
            <w:hideMark/>
          </w:tcPr>
          <w:p w14:paraId="575A4C23" w14:textId="77777777" w:rsidR="00F60B59" w:rsidRPr="00B04F4F" w:rsidRDefault="00F60B59" w:rsidP="00B04F4F">
            <w:pPr>
              <w:tabs>
                <w:tab w:val="clear" w:pos="0"/>
              </w:tabs>
              <w:spacing w:after="0"/>
              <w:jc w:val="right"/>
              <w:rPr>
                <w:color w:val="000000"/>
                <w:lang w:val="en-US"/>
              </w:rPr>
            </w:pPr>
            <w:r w:rsidRPr="00B04F4F">
              <w:rPr>
                <w:color w:val="000000"/>
                <w:lang w:val="en-US"/>
              </w:rPr>
              <w:t>32</w:t>
            </w:r>
          </w:p>
        </w:tc>
        <w:tc>
          <w:tcPr>
            <w:tcW w:w="2787" w:type="dxa"/>
            <w:tcBorders>
              <w:top w:val="nil"/>
              <w:left w:val="nil"/>
              <w:bottom w:val="single" w:sz="4" w:space="0" w:color="auto"/>
              <w:right w:val="single" w:sz="4" w:space="0" w:color="auto"/>
            </w:tcBorders>
            <w:noWrap/>
            <w:vAlign w:val="bottom"/>
            <w:hideMark/>
          </w:tcPr>
          <w:p w14:paraId="3E27CE2E" w14:textId="77777777" w:rsidR="00F60B59" w:rsidRPr="00B04F4F" w:rsidRDefault="00F60B59" w:rsidP="00B04F4F">
            <w:pPr>
              <w:tabs>
                <w:tab w:val="clear" w:pos="0"/>
              </w:tabs>
              <w:spacing w:after="0"/>
              <w:jc w:val="right"/>
              <w:rPr>
                <w:color w:val="000000"/>
                <w:lang w:val="en-US"/>
              </w:rPr>
            </w:pPr>
            <w:r w:rsidRPr="00B04F4F">
              <w:rPr>
                <w:color w:val="000000"/>
                <w:lang w:val="en-US"/>
              </w:rPr>
              <w:t>33</w:t>
            </w:r>
          </w:p>
        </w:tc>
      </w:tr>
      <w:tr w:rsidR="00F60B59" w:rsidRPr="00AB4E8A" w14:paraId="0FD7C68C" w14:textId="77777777" w:rsidTr="00B04F4F">
        <w:trPr>
          <w:trHeight w:val="290"/>
        </w:trPr>
        <w:tc>
          <w:tcPr>
            <w:tcW w:w="2786" w:type="dxa"/>
            <w:tcBorders>
              <w:top w:val="nil"/>
              <w:left w:val="single" w:sz="4" w:space="0" w:color="auto"/>
              <w:bottom w:val="single" w:sz="4" w:space="0" w:color="auto"/>
              <w:right w:val="single" w:sz="4" w:space="0" w:color="auto"/>
            </w:tcBorders>
            <w:noWrap/>
            <w:vAlign w:val="bottom"/>
            <w:hideMark/>
          </w:tcPr>
          <w:p w14:paraId="41519CF9" w14:textId="77777777" w:rsidR="00F60B59" w:rsidRPr="00B04F4F" w:rsidRDefault="00F60B59" w:rsidP="00B04F4F">
            <w:pPr>
              <w:tabs>
                <w:tab w:val="clear" w:pos="0"/>
              </w:tabs>
              <w:spacing w:after="0"/>
              <w:rPr>
                <w:color w:val="000000"/>
                <w:lang w:val="en-US"/>
              </w:rPr>
            </w:pPr>
            <w:r w:rsidRPr="00B04F4F">
              <w:rPr>
                <w:color w:val="000000"/>
                <w:lang w:val="en-US"/>
              </w:rPr>
              <w:t>Total</w:t>
            </w:r>
          </w:p>
        </w:tc>
        <w:tc>
          <w:tcPr>
            <w:tcW w:w="2786" w:type="dxa"/>
            <w:tcBorders>
              <w:top w:val="nil"/>
              <w:left w:val="nil"/>
              <w:bottom w:val="single" w:sz="4" w:space="0" w:color="auto"/>
              <w:right w:val="single" w:sz="4" w:space="0" w:color="auto"/>
            </w:tcBorders>
            <w:noWrap/>
            <w:vAlign w:val="bottom"/>
            <w:hideMark/>
          </w:tcPr>
          <w:p w14:paraId="72FFD7B8" w14:textId="77777777" w:rsidR="00F60B59" w:rsidRPr="00B04F4F" w:rsidRDefault="00F60B59" w:rsidP="00B04F4F">
            <w:pPr>
              <w:tabs>
                <w:tab w:val="clear" w:pos="0"/>
              </w:tabs>
              <w:spacing w:after="0"/>
              <w:jc w:val="right"/>
              <w:rPr>
                <w:color w:val="000000"/>
                <w:lang w:val="en-US"/>
              </w:rPr>
            </w:pPr>
            <w:r w:rsidRPr="00B04F4F">
              <w:rPr>
                <w:color w:val="000000"/>
                <w:lang w:val="en-US"/>
              </w:rPr>
              <w:t>1734</w:t>
            </w:r>
          </w:p>
        </w:tc>
        <w:tc>
          <w:tcPr>
            <w:tcW w:w="2787" w:type="dxa"/>
            <w:tcBorders>
              <w:top w:val="nil"/>
              <w:left w:val="nil"/>
              <w:bottom w:val="single" w:sz="4" w:space="0" w:color="auto"/>
              <w:right w:val="single" w:sz="4" w:space="0" w:color="auto"/>
            </w:tcBorders>
            <w:noWrap/>
            <w:vAlign w:val="bottom"/>
            <w:hideMark/>
          </w:tcPr>
          <w:p w14:paraId="5C0390D3" w14:textId="77777777" w:rsidR="00F60B59" w:rsidRPr="00B04F4F" w:rsidRDefault="00F60B59" w:rsidP="00B04F4F">
            <w:pPr>
              <w:tabs>
                <w:tab w:val="clear" w:pos="0"/>
              </w:tabs>
              <w:spacing w:after="0"/>
              <w:jc w:val="right"/>
              <w:rPr>
                <w:color w:val="000000"/>
                <w:lang w:val="en-US"/>
              </w:rPr>
            </w:pPr>
            <w:r w:rsidRPr="00B04F4F">
              <w:rPr>
                <w:color w:val="000000"/>
                <w:lang w:val="en-US"/>
              </w:rPr>
              <w:t>1812</w:t>
            </w:r>
          </w:p>
        </w:tc>
      </w:tr>
    </w:tbl>
    <w:p w14:paraId="3CFDA28A" w14:textId="45648D67" w:rsidR="004812BA" w:rsidRPr="00AB4E8A" w:rsidRDefault="004812BA" w:rsidP="004812BA">
      <w:pPr>
        <w:spacing w:after="160" w:line="259" w:lineRule="auto"/>
        <w:rPr>
          <w:rFonts w:eastAsia="Calibri"/>
          <w:kern w:val="2"/>
          <w:lang w:val="en-US"/>
          <w14:ligatures w14:val="standardContextual"/>
        </w:rPr>
      </w:pPr>
      <w:r w:rsidRPr="00AB4E8A">
        <w:rPr>
          <w:rFonts w:eastAsia="Calibri"/>
          <w:kern w:val="2"/>
          <w:lang w:val="en-US"/>
          <w14:ligatures w14:val="standardContextual"/>
        </w:rPr>
        <w:t xml:space="preserve"> </w:t>
      </w:r>
    </w:p>
    <w:p w14:paraId="6C4C6E8C" w14:textId="6515DDD1" w:rsidR="001849A3" w:rsidRDefault="004812BA" w:rsidP="004812BA">
      <w:pPr>
        <w:spacing w:after="160" w:line="259" w:lineRule="auto"/>
        <w:rPr>
          <w:rFonts w:eastAsia="Calibri"/>
          <w:b/>
          <w:bCs/>
          <w:kern w:val="2"/>
          <w:lang w:val="en-US"/>
          <w14:ligatures w14:val="standardContextual"/>
        </w:rPr>
      </w:pPr>
      <w:r>
        <w:rPr>
          <w:rFonts w:eastAsia="Calibri"/>
          <w:b/>
          <w:bCs/>
          <w:kern w:val="2"/>
          <w:lang w:val="en-US"/>
          <w14:ligatures w14:val="standardContextual"/>
        </w:rPr>
        <w:t>Market</w:t>
      </w:r>
      <w:r w:rsidR="001849A3">
        <w:rPr>
          <w:rFonts w:eastAsia="Calibri"/>
          <w:b/>
          <w:bCs/>
          <w:kern w:val="2"/>
          <w:lang w:val="en-US"/>
          <w14:ligatures w14:val="standardContextual"/>
        </w:rPr>
        <w:t>s</w:t>
      </w:r>
      <w:r w:rsidR="00050101">
        <w:rPr>
          <w:rFonts w:eastAsia="Calibri"/>
          <w:b/>
          <w:bCs/>
          <w:kern w:val="2"/>
          <w:lang w:val="en-US"/>
          <w14:ligatures w14:val="standardContextual"/>
        </w:rPr>
        <w:t xml:space="preserve"> of the HFC Component of the Baseline</w:t>
      </w:r>
    </w:p>
    <w:p w14:paraId="063D66AC" w14:textId="04598076" w:rsidR="00471279" w:rsidRDefault="00CB5BC5" w:rsidP="00471279">
      <w:pPr>
        <w:spacing w:after="160" w:line="259" w:lineRule="auto"/>
        <w:rPr>
          <w:color w:val="FF0000"/>
        </w:rPr>
      </w:pPr>
      <w:r>
        <w:rPr>
          <w:rFonts w:eastAsia="Calibri"/>
          <w:kern w:val="2"/>
          <w:lang w:val="en-US"/>
          <w14:ligatures w14:val="standardContextual"/>
        </w:rPr>
        <w:t>CE</w:t>
      </w:r>
      <w:r w:rsidR="00A25445">
        <w:rPr>
          <w:rFonts w:eastAsia="Calibri"/>
          <w:kern w:val="2"/>
          <w:lang w:val="en-US"/>
          <w14:ligatures w14:val="standardContextual"/>
        </w:rPr>
        <w:t xml:space="preserve"> factors </w:t>
      </w:r>
      <w:r w:rsidR="00133439">
        <w:rPr>
          <w:rFonts w:eastAsia="Calibri"/>
          <w:kern w:val="2"/>
          <w:lang w:val="en-US"/>
          <w14:ligatures w14:val="standardContextual"/>
        </w:rPr>
        <w:t xml:space="preserve">(CEF) </w:t>
      </w:r>
      <w:r w:rsidR="00A25445">
        <w:rPr>
          <w:rFonts w:eastAsia="Calibri"/>
          <w:kern w:val="2"/>
          <w:lang w:val="en-US"/>
          <w14:ligatures w14:val="standardContextual"/>
        </w:rPr>
        <w:t xml:space="preserve">vary by </w:t>
      </w:r>
      <w:r w:rsidR="00673130">
        <w:rPr>
          <w:rFonts w:eastAsia="Calibri"/>
          <w:kern w:val="2"/>
          <w:lang w:val="en-US"/>
          <w14:ligatures w14:val="standardContextual"/>
        </w:rPr>
        <w:t>market</w:t>
      </w:r>
      <w:r w:rsidR="00116107">
        <w:rPr>
          <w:rFonts w:eastAsia="Calibri"/>
          <w:kern w:val="2"/>
          <w:lang w:val="en-US"/>
          <w14:ligatures w14:val="standardContextual"/>
        </w:rPr>
        <w:t xml:space="preserve"> sector</w:t>
      </w:r>
      <w:r w:rsidR="00AB4E8A">
        <w:rPr>
          <w:rFonts w:eastAsia="Calibri"/>
          <w:kern w:val="2"/>
          <w:lang w:val="en-US"/>
          <w14:ligatures w14:val="standardContextual"/>
        </w:rPr>
        <w:t xml:space="preserve">; however, </w:t>
      </w:r>
      <w:r w:rsidR="00116107">
        <w:rPr>
          <w:rFonts w:eastAsia="Calibri"/>
          <w:kern w:val="2"/>
          <w:lang w:val="en-US"/>
          <w14:ligatures w14:val="standardContextual"/>
        </w:rPr>
        <w:t xml:space="preserve">sector </w:t>
      </w:r>
      <w:r w:rsidR="00AB4E8A">
        <w:rPr>
          <w:rFonts w:eastAsia="Calibri"/>
          <w:kern w:val="2"/>
          <w:lang w:val="en-US"/>
          <w14:ligatures w14:val="standardContextual"/>
        </w:rPr>
        <w:t xml:space="preserve">level </w:t>
      </w:r>
      <w:r w:rsidR="00116107">
        <w:rPr>
          <w:rFonts w:eastAsia="Calibri"/>
          <w:kern w:val="2"/>
          <w:lang w:val="en-US"/>
          <w14:ligatures w14:val="standardContextual"/>
        </w:rPr>
        <w:t xml:space="preserve">data </w:t>
      </w:r>
      <w:r w:rsidR="00AB4E8A">
        <w:rPr>
          <w:rFonts w:eastAsia="Calibri"/>
          <w:kern w:val="2"/>
          <w:lang w:val="en-US"/>
          <w14:ligatures w14:val="standardContextual"/>
        </w:rPr>
        <w:t>are</w:t>
      </w:r>
      <w:r w:rsidR="00116107">
        <w:rPr>
          <w:rFonts w:eastAsia="Calibri"/>
          <w:kern w:val="2"/>
          <w:lang w:val="en-US"/>
          <w14:ligatures w14:val="standardContextual"/>
        </w:rPr>
        <w:t xml:space="preserve"> not </w:t>
      </w:r>
      <w:r w:rsidR="00593CDE">
        <w:rPr>
          <w:rFonts w:eastAsia="Calibri"/>
          <w:kern w:val="2"/>
          <w:lang w:val="en-US"/>
          <w14:ligatures w14:val="standardContextual"/>
        </w:rPr>
        <w:t xml:space="preserve">systematically </w:t>
      </w:r>
      <w:r w:rsidR="00116107" w:rsidRPr="00453F29">
        <w:rPr>
          <w:rFonts w:eastAsia="Calibri"/>
          <w:color w:val="auto"/>
          <w:kern w:val="2"/>
          <w:lang w:val="en-US"/>
          <w14:ligatures w14:val="standardContextual"/>
        </w:rPr>
        <w:t xml:space="preserve">reported </w:t>
      </w:r>
      <w:r w:rsidR="00593CDE" w:rsidRPr="00453F29">
        <w:rPr>
          <w:rFonts w:eastAsia="Calibri"/>
          <w:color w:val="auto"/>
          <w:kern w:val="2"/>
          <w:lang w:val="en-US"/>
          <w14:ligatures w14:val="standardContextual"/>
        </w:rPr>
        <w:t xml:space="preserve">under </w:t>
      </w:r>
      <w:r w:rsidR="00116107" w:rsidRPr="00453F29">
        <w:rPr>
          <w:rFonts w:eastAsia="Calibri"/>
          <w:color w:val="auto"/>
          <w:kern w:val="2"/>
          <w:lang w:val="en-US"/>
          <w14:ligatures w14:val="standardContextual"/>
        </w:rPr>
        <w:t xml:space="preserve">A7 reporting. </w:t>
      </w:r>
      <w:r w:rsidR="00EA679A" w:rsidRPr="00453F29">
        <w:rPr>
          <w:rFonts w:eastAsia="Calibri"/>
          <w:color w:val="auto"/>
          <w:kern w:val="2"/>
          <w:lang w:val="en-US"/>
          <w14:ligatures w14:val="standardContextual"/>
        </w:rPr>
        <w:t>Some p</w:t>
      </w:r>
      <w:r w:rsidR="00116107" w:rsidRPr="00453F29">
        <w:rPr>
          <w:rFonts w:eastAsia="Calibri"/>
          <w:color w:val="auto"/>
          <w:kern w:val="2"/>
          <w:lang w:val="en-US"/>
          <w14:ligatures w14:val="standardContextual"/>
        </w:rPr>
        <w:t xml:space="preserve">arties </w:t>
      </w:r>
      <w:r w:rsidR="00593CDE" w:rsidRPr="00453F29">
        <w:rPr>
          <w:rFonts w:eastAsia="Calibri"/>
          <w:color w:val="auto"/>
          <w:kern w:val="2"/>
          <w:lang w:val="en-US"/>
          <w14:ligatures w14:val="standardContextual"/>
        </w:rPr>
        <w:t xml:space="preserve">provide partial </w:t>
      </w:r>
      <w:r w:rsidR="00116107" w:rsidRPr="00453F29">
        <w:rPr>
          <w:rFonts w:eastAsia="Calibri"/>
          <w:color w:val="auto"/>
          <w:kern w:val="2"/>
          <w:lang w:val="en-US"/>
          <w14:ligatures w14:val="standardContextual"/>
        </w:rPr>
        <w:t>sector</w:t>
      </w:r>
      <w:r w:rsidR="006313AF" w:rsidRPr="00453F29">
        <w:rPr>
          <w:rFonts w:eastAsia="Calibri"/>
          <w:color w:val="auto"/>
          <w:kern w:val="2"/>
          <w:lang w:val="en-US"/>
          <w14:ligatures w14:val="standardContextual"/>
        </w:rPr>
        <w:t>al</w:t>
      </w:r>
      <w:r w:rsidR="00116107" w:rsidRPr="00453F29">
        <w:rPr>
          <w:rFonts w:eastAsia="Calibri"/>
          <w:color w:val="auto"/>
          <w:kern w:val="2"/>
          <w:lang w:val="en-US"/>
          <w14:ligatures w14:val="standardContextual"/>
        </w:rPr>
        <w:t xml:space="preserve"> data through CP data</w:t>
      </w:r>
      <w:r w:rsidR="006313AF" w:rsidRPr="00453F29">
        <w:rPr>
          <w:rFonts w:eastAsia="Calibri"/>
          <w:color w:val="auto"/>
          <w:kern w:val="2"/>
          <w:lang w:val="en-US"/>
          <w14:ligatures w14:val="standardContextual"/>
        </w:rPr>
        <w:t xml:space="preserve"> submissions</w:t>
      </w:r>
      <w:r w:rsidR="00116107" w:rsidRPr="00453F29">
        <w:rPr>
          <w:rFonts w:eastAsia="Calibri"/>
          <w:color w:val="auto"/>
          <w:kern w:val="2"/>
          <w:lang w:val="en-US"/>
          <w14:ligatures w14:val="standardContextual"/>
        </w:rPr>
        <w:t>.</w:t>
      </w:r>
      <w:r w:rsidR="00471279" w:rsidRPr="00453F29">
        <w:rPr>
          <w:rFonts w:eastAsia="Calibri"/>
          <w:color w:val="auto"/>
          <w:kern w:val="2"/>
          <w:lang w:val="en-US"/>
          <w14:ligatures w14:val="standardContextual"/>
        </w:rPr>
        <w:t xml:space="preserve"> </w:t>
      </w:r>
      <w:r w:rsidR="006313AF" w:rsidRPr="00453F29">
        <w:rPr>
          <w:rFonts w:eastAsia="Calibri"/>
          <w:color w:val="auto"/>
          <w:kern w:val="2"/>
          <w:lang w:val="en-US"/>
          <w14:ligatures w14:val="standardContextual"/>
        </w:rPr>
        <w:t xml:space="preserve">The </w:t>
      </w:r>
      <w:r w:rsidR="0015185A" w:rsidRPr="00453F29">
        <w:rPr>
          <w:rFonts w:eastAsia="Calibri"/>
          <w:color w:val="auto"/>
          <w:kern w:val="2"/>
          <w:lang w:val="en-US"/>
          <w14:ligatures w14:val="standardContextual"/>
        </w:rPr>
        <w:t xml:space="preserve">RTF </w:t>
      </w:r>
      <w:r w:rsidR="006313AF" w:rsidRPr="00453F29">
        <w:rPr>
          <w:rFonts w:eastAsia="Calibri"/>
          <w:color w:val="auto"/>
          <w:kern w:val="2"/>
          <w:lang w:val="en-US"/>
          <w14:ligatures w14:val="standardContextual"/>
        </w:rPr>
        <w:t xml:space="preserve">therefore </w:t>
      </w:r>
      <w:r w:rsidR="0015185A" w:rsidRPr="00453F29">
        <w:rPr>
          <w:rFonts w:eastAsia="Calibri"/>
          <w:color w:val="auto"/>
          <w:kern w:val="2"/>
          <w:lang w:val="en-US"/>
          <w14:ligatures w14:val="standardContextual"/>
        </w:rPr>
        <w:t>estimated manufacturing</w:t>
      </w:r>
      <w:r>
        <w:rPr>
          <w:rFonts w:eastAsia="Calibri"/>
          <w:color w:val="auto"/>
          <w:kern w:val="2"/>
          <w:lang w:val="en-US"/>
          <w14:ligatures w14:val="standardContextual"/>
        </w:rPr>
        <w:t xml:space="preserve"> </w:t>
      </w:r>
      <w:r w:rsidR="0015185A" w:rsidRPr="00453F29">
        <w:rPr>
          <w:rFonts w:eastAsia="Calibri"/>
          <w:color w:val="auto"/>
          <w:kern w:val="2"/>
          <w:lang w:val="en-US"/>
          <w14:ligatures w14:val="standardContextual"/>
        </w:rPr>
        <w:t xml:space="preserve">sector </w:t>
      </w:r>
      <w:r w:rsidR="005C23F9" w:rsidRPr="00453F29">
        <w:rPr>
          <w:rFonts w:eastAsia="Calibri"/>
          <w:color w:val="auto"/>
          <w:kern w:val="2"/>
          <w:lang w:val="en-US"/>
          <w14:ligatures w14:val="standardContextual"/>
        </w:rPr>
        <w:t xml:space="preserve">market shares using CP data </w:t>
      </w:r>
      <w:r w:rsidR="00A043D9" w:rsidRPr="00453F29">
        <w:rPr>
          <w:rFonts w:eastAsia="Calibri"/>
          <w:color w:val="auto"/>
          <w:kern w:val="2"/>
          <w:lang w:val="en-US"/>
          <w14:ligatures w14:val="standardContextual"/>
        </w:rPr>
        <w:t>where available</w:t>
      </w:r>
      <w:r w:rsidR="004004A5" w:rsidRPr="00453F29">
        <w:rPr>
          <w:rFonts w:eastAsia="Calibri"/>
          <w:color w:val="auto"/>
          <w:kern w:val="2"/>
          <w:lang w:val="en-US"/>
          <w14:ligatures w14:val="standardContextual"/>
        </w:rPr>
        <w:t>,</w:t>
      </w:r>
      <w:r w:rsidR="00A043D9" w:rsidRPr="00453F29">
        <w:rPr>
          <w:rFonts w:eastAsia="Calibri"/>
          <w:color w:val="auto"/>
          <w:kern w:val="2"/>
          <w:lang w:val="en-US"/>
          <w14:ligatures w14:val="standardContextual"/>
        </w:rPr>
        <w:t xml:space="preserve"> </w:t>
      </w:r>
      <w:r w:rsidR="0015185A" w:rsidRPr="00453F29">
        <w:rPr>
          <w:rFonts w:eastAsia="Calibri"/>
          <w:color w:val="auto"/>
          <w:kern w:val="2"/>
          <w:lang w:val="en-US"/>
          <w14:ligatures w14:val="standardContextual"/>
        </w:rPr>
        <w:t xml:space="preserve">in combination with </w:t>
      </w:r>
      <w:r w:rsidR="00D9413F" w:rsidRPr="00453F29">
        <w:rPr>
          <w:rFonts w:eastAsia="Calibri"/>
          <w:color w:val="auto"/>
          <w:kern w:val="2"/>
          <w:lang w:val="en-US"/>
          <w14:ligatures w14:val="standardContextual"/>
        </w:rPr>
        <w:t xml:space="preserve">applicable </w:t>
      </w:r>
      <w:r w:rsidR="0015185A" w:rsidRPr="00453F29">
        <w:rPr>
          <w:rFonts w:eastAsia="Calibri"/>
          <w:color w:val="auto"/>
          <w:kern w:val="2"/>
          <w:lang w:val="en-US"/>
          <w14:ligatures w14:val="standardContextual"/>
        </w:rPr>
        <w:t>CE</w:t>
      </w:r>
      <w:r w:rsidR="00133439">
        <w:rPr>
          <w:rFonts w:eastAsia="Calibri"/>
          <w:color w:val="auto"/>
          <w:kern w:val="2"/>
          <w:lang w:val="en-US"/>
          <w14:ligatures w14:val="standardContextual"/>
        </w:rPr>
        <w:t xml:space="preserve">F </w:t>
      </w:r>
      <w:r w:rsidR="0015185A" w:rsidRPr="00453F29">
        <w:rPr>
          <w:rFonts w:eastAsia="Calibri"/>
          <w:color w:val="auto"/>
          <w:kern w:val="2"/>
          <w:lang w:val="en-US"/>
          <w14:ligatures w14:val="standardContextual"/>
        </w:rPr>
        <w:t>values.</w:t>
      </w:r>
      <w:r w:rsidR="00D9413F" w:rsidRPr="00453F29">
        <w:rPr>
          <w:rFonts w:eastAsia="Calibri"/>
          <w:color w:val="auto"/>
          <w:kern w:val="2"/>
          <w:lang w:val="en-US"/>
          <w14:ligatures w14:val="standardContextual"/>
        </w:rPr>
        <w:t xml:space="preserve"> The </w:t>
      </w:r>
      <w:r w:rsidR="00471279" w:rsidRPr="00453F29">
        <w:rPr>
          <w:noProof/>
          <w:color w:val="auto"/>
        </w:rPr>
        <w:t xml:space="preserve">CP data </w:t>
      </w:r>
      <w:r w:rsidR="006369EC" w:rsidRPr="00453F29">
        <w:rPr>
          <w:noProof/>
          <w:color w:val="auto"/>
        </w:rPr>
        <w:t xml:space="preserve">used in this assessment are </w:t>
      </w:r>
      <w:r w:rsidR="00471279" w:rsidRPr="00453F29">
        <w:rPr>
          <w:noProof/>
          <w:color w:val="auto"/>
        </w:rPr>
        <w:t xml:space="preserve">based on the </w:t>
      </w:r>
      <w:r w:rsidR="00471279" w:rsidRPr="00453F29">
        <w:rPr>
          <w:color w:val="auto"/>
        </w:rPr>
        <w:t>MLFS document “Country Programme Data and Prospectus for Compliance,” prepared for ExCom-97. Of the 135 </w:t>
      </w:r>
      <w:r w:rsidR="000A449A" w:rsidRPr="00453F29">
        <w:rPr>
          <w:color w:val="auto"/>
        </w:rPr>
        <w:t xml:space="preserve">parties that </w:t>
      </w:r>
      <w:r w:rsidR="00471279" w:rsidRPr="00453F29">
        <w:rPr>
          <w:color w:val="auto"/>
        </w:rPr>
        <w:t>submitted 2024 CP data as of 9 October 2025, 113 </w:t>
      </w:r>
      <w:r w:rsidR="009E06F8" w:rsidRPr="00453F29">
        <w:rPr>
          <w:color w:val="auto"/>
        </w:rPr>
        <w:t xml:space="preserve">had </w:t>
      </w:r>
      <w:r w:rsidR="00471279" w:rsidRPr="00453F29">
        <w:rPr>
          <w:color w:val="auto"/>
        </w:rPr>
        <w:t xml:space="preserve">ratified the </w:t>
      </w:r>
      <w:r w:rsidR="00796613">
        <w:rPr>
          <w:color w:val="auto"/>
        </w:rPr>
        <w:t>KA</w:t>
      </w:r>
      <w:r w:rsidR="00471279" w:rsidRPr="00453F29">
        <w:rPr>
          <w:color w:val="auto"/>
        </w:rPr>
        <w:t xml:space="preserve">. </w:t>
      </w:r>
      <w:r w:rsidR="001A6EC1" w:rsidRPr="00453F29">
        <w:rPr>
          <w:color w:val="auto"/>
        </w:rPr>
        <w:t>Of these, o</w:t>
      </w:r>
      <w:r w:rsidR="00471279" w:rsidRPr="00453F29">
        <w:rPr>
          <w:color w:val="auto"/>
        </w:rPr>
        <w:t xml:space="preserve">nly 110 </w:t>
      </w:r>
      <w:r w:rsidR="00B80C05" w:rsidRPr="00453F29">
        <w:rPr>
          <w:color w:val="auto"/>
        </w:rPr>
        <w:t xml:space="preserve">parties had submitted </w:t>
      </w:r>
      <w:r w:rsidR="00471279" w:rsidRPr="00453F29">
        <w:rPr>
          <w:color w:val="auto"/>
        </w:rPr>
        <w:t xml:space="preserve">HFC data in their 2024 CP reports at the time of analysis (October 2025). In addition, nine </w:t>
      </w:r>
      <w:r w:rsidR="00235C24" w:rsidRPr="00453F29">
        <w:rPr>
          <w:color w:val="auto"/>
        </w:rPr>
        <w:t>non-</w:t>
      </w:r>
      <w:r w:rsidR="001B4262" w:rsidRPr="00453F29">
        <w:rPr>
          <w:color w:val="auto"/>
        </w:rPr>
        <w:t xml:space="preserve">ratifying parties </w:t>
      </w:r>
      <w:r w:rsidR="001A510F" w:rsidRPr="00453F29">
        <w:rPr>
          <w:color w:val="auto"/>
        </w:rPr>
        <w:t xml:space="preserve">also reported </w:t>
      </w:r>
      <w:r w:rsidR="00471279" w:rsidRPr="00453F29">
        <w:rPr>
          <w:color w:val="auto"/>
        </w:rPr>
        <w:t xml:space="preserve">HFC data in their 2024 CP </w:t>
      </w:r>
      <w:r w:rsidR="007D1701" w:rsidRPr="00453F29">
        <w:rPr>
          <w:color w:val="auto"/>
        </w:rPr>
        <w:t>submissions</w:t>
      </w:r>
      <w:r w:rsidR="00471279" w:rsidRPr="00453F29">
        <w:rPr>
          <w:color w:val="auto"/>
        </w:rPr>
        <w:t>.</w:t>
      </w:r>
      <w:r w:rsidR="001E5519" w:rsidRPr="00453F29">
        <w:rPr>
          <w:color w:val="auto"/>
        </w:rPr>
        <w:t xml:space="preserve"> </w:t>
      </w:r>
      <w:r w:rsidR="003C3CD7" w:rsidRPr="00453F29">
        <w:rPr>
          <w:color w:val="auto"/>
        </w:rPr>
        <w:t>Overall, l</w:t>
      </w:r>
      <w:r w:rsidR="001E5519" w:rsidRPr="00453F29">
        <w:rPr>
          <w:color w:val="auto"/>
        </w:rPr>
        <w:t xml:space="preserve">ess than 70% of parties </w:t>
      </w:r>
      <w:r w:rsidR="002C06EE" w:rsidRPr="00453F29">
        <w:rPr>
          <w:color w:val="auto"/>
        </w:rPr>
        <w:t xml:space="preserve">had </w:t>
      </w:r>
      <w:r w:rsidR="001E5519" w:rsidRPr="00453F29">
        <w:rPr>
          <w:color w:val="auto"/>
        </w:rPr>
        <w:t>reported CP data.</w:t>
      </w:r>
    </w:p>
    <w:p w14:paraId="5BD02136" w14:textId="506B1477" w:rsidR="00DD57E6" w:rsidRDefault="00172D4E" w:rsidP="00A83E1C">
      <w:pPr>
        <w:spacing w:after="160" w:line="259" w:lineRule="auto"/>
        <w:rPr>
          <w:rFonts w:eastAsia="Calibri"/>
        </w:rPr>
      </w:pPr>
      <w:r w:rsidRPr="00D050A3">
        <w:rPr>
          <w:noProof/>
          <w:color w:val="FF0000"/>
          <w:highlight w:val="yellow"/>
        </w:rPr>
        <mc:AlternateContent>
          <mc:Choice Requires="wps">
            <w:drawing>
              <wp:anchor distT="45720" distB="45720" distL="114300" distR="114300" simplePos="0" relativeHeight="251658246" behindDoc="0" locked="0" layoutInCell="1" allowOverlap="1" wp14:anchorId="539571A3" wp14:editId="36FCEA4E">
                <wp:simplePos x="0" y="0"/>
                <wp:positionH relativeFrom="margin">
                  <wp:posOffset>-180340</wp:posOffset>
                </wp:positionH>
                <wp:positionV relativeFrom="paragraph">
                  <wp:posOffset>716915</wp:posOffset>
                </wp:positionV>
                <wp:extent cx="5598160" cy="4071620"/>
                <wp:effectExtent l="0" t="0" r="21590" b="24130"/>
                <wp:wrapSquare wrapText="bothSides"/>
                <wp:docPr id="1345097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4071620"/>
                        </a:xfrm>
                        <a:prstGeom prst="rect">
                          <a:avLst/>
                        </a:prstGeom>
                        <a:solidFill>
                          <a:srgbClr val="FFFFFF"/>
                        </a:solidFill>
                        <a:ln w="9525">
                          <a:solidFill>
                            <a:srgbClr val="000000"/>
                          </a:solidFill>
                          <a:miter lim="800000"/>
                          <a:headEnd/>
                          <a:tailEnd/>
                        </a:ln>
                      </wps:spPr>
                      <wps:txbx>
                        <w:txbxContent>
                          <w:p w14:paraId="557E25D8" w14:textId="2E422D16" w:rsidR="00172D4E" w:rsidRPr="00172D4E" w:rsidRDefault="006520AA" w:rsidP="00172D4E">
                            <w:pPr>
                              <w:tabs>
                                <w:tab w:val="left" w:pos="1418"/>
                              </w:tabs>
                              <w:spacing w:after="120"/>
                              <w:ind w:left="1411" w:hanging="1411"/>
                              <w:rPr>
                                <w:rFonts w:eastAsia="Calibri"/>
                                <w:b/>
                                <w:bCs/>
                                <w:color w:val="000000"/>
                                <w:lang w:val="en-US"/>
                              </w:rPr>
                            </w:pPr>
                            <w:r>
                              <w:t xml:space="preserve">  </w:t>
                            </w:r>
                            <w:r w:rsidR="00DD57E6">
                              <w:rPr>
                                <w:rFonts w:eastAsiaTheme="minorHAnsi"/>
                                <w:b/>
                                <w:bCs/>
                              </w:rPr>
                              <w:t>Figure A3.1</w:t>
                            </w:r>
                            <w:r w:rsidR="00DD57E6" w:rsidRPr="00E42C5E">
                              <w:rPr>
                                <w:rFonts w:eastAsiaTheme="minorHAnsi"/>
                                <w:b/>
                                <w:bCs/>
                              </w:rPr>
                              <w:tab/>
                            </w:r>
                            <w:r w:rsidR="00172D4E" w:rsidRPr="00172D4E">
                              <w:rPr>
                                <w:rFonts w:eastAsia="Calibri"/>
                                <w:b/>
                                <w:bCs/>
                                <w:color w:val="000000"/>
                                <w:lang w:val="en-US"/>
                              </w:rPr>
                              <w:t xml:space="preserve">Example of % of chemical used in </w:t>
                            </w:r>
                            <w:r w:rsidR="00172D4E">
                              <w:rPr>
                                <w:rFonts w:eastAsia="Calibri"/>
                                <w:b/>
                                <w:bCs/>
                                <w:color w:val="000000"/>
                                <w:lang w:val="en-US"/>
                              </w:rPr>
                              <w:t>various market sectors</w:t>
                            </w:r>
                          </w:p>
                          <w:p w14:paraId="5D6BEC6F" w14:textId="49DFA460" w:rsidR="006520AA" w:rsidRDefault="00DD57E6">
                            <w:r w:rsidRPr="00DD4FD8">
                              <w:rPr>
                                <w:noProof/>
                              </w:rPr>
                              <w:drawing>
                                <wp:inline distT="0" distB="0" distL="0" distR="0" wp14:anchorId="15B66C16" wp14:editId="58300782">
                                  <wp:extent cx="5486400" cy="3785938"/>
                                  <wp:effectExtent l="0" t="0" r="0" b="5080"/>
                                  <wp:docPr id="4261259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2023" cy="3789818"/>
                                          </a:xfrm>
                                          <a:prstGeom prst="rect">
                                            <a:avLst/>
                                          </a:prstGeom>
                                          <a:noFill/>
                                          <a:ln>
                                            <a:noFill/>
                                          </a:ln>
                                        </pic:spPr>
                                      </pic:pic>
                                    </a:graphicData>
                                  </a:graphic>
                                </wp:inline>
                              </w:drawing>
                            </w:r>
                            <w:r w:rsidR="006520A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0DEBE6C">
              <v:shape id="Text Box 2" style="position:absolute;margin-left:-14.2pt;margin-top:56.45pt;width:440.8pt;height:320.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" w14:anchorId="539571A3">
                <v:textbox>
                  <w:txbxContent>
                    <w:p w:rsidRPr="00172D4E" w:rsidR="00172D4E" w:rsidP="00172D4E" w:rsidRDefault="006520AA" w14:paraId="799069C6" w14:textId="2E422D16">
                      <w:pPr>
                        <w:tabs>
                          <w:tab w:val="left" w:pos="1418"/>
                        </w:tabs>
                        <w:spacing w:after="120"/>
                        <w:ind w:left="1411" w:hanging="1411"/>
                        <w:rPr>
                          <w:rFonts w:eastAsia="Calibri"/>
                          <w:b/>
                          <w:bCs/>
                          <w:color w:val="000000"/>
                          <w:lang w:val="en-US"/>
                        </w:rPr>
                      </w:pPr>
                      <w:r>
                        <w:t xml:space="preserve">  </w:t>
                      </w:r>
                      <w:r w:rsidR="00DD57E6">
                        <w:rPr>
                          <w:rFonts w:eastAsiaTheme="minorHAnsi"/>
                          <w:b/>
                          <w:bCs/>
                        </w:rPr>
                        <w:t>Figure A3.1</w:t>
                      </w:r>
                      <w:r w:rsidRPr="00E42C5E" w:rsidR="00DD57E6">
                        <w:rPr>
                          <w:rFonts w:eastAsiaTheme="minorHAnsi"/>
                          <w:b/>
                          <w:bCs/>
                        </w:rPr>
                        <w:tab/>
                      </w:r>
                      <w:r w:rsidRPr="00172D4E" w:rsidR="00172D4E">
                        <w:rPr>
                          <w:rFonts w:eastAsia="Calibri"/>
                          <w:b/>
                          <w:bCs/>
                          <w:color w:val="000000"/>
                          <w:lang w:val="en-US"/>
                        </w:rPr>
                        <w:t xml:space="preserve">Example of % of chemical used in </w:t>
                      </w:r>
                      <w:r w:rsidR="00172D4E">
                        <w:rPr>
                          <w:rFonts w:eastAsia="Calibri"/>
                          <w:b/>
                          <w:bCs/>
                          <w:color w:val="000000"/>
                          <w:lang w:val="en-US"/>
                        </w:rPr>
                        <w:t>various market sectors</w:t>
                      </w:r>
                    </w:p>
                    <w:p w:rsidR="006520AA" w:rsidRDefault="00DD57E6" w14:paraId="29D6B04F" w14:textId="49DFA460">
                      <w:r w:rsidRPr="00DD4FD8">
                        <w:rPr>
                          <w:noProof/>
                        </w:rPr>
                        <w:drawing>
                          <wp:inline distT="0" distB="0" distL="0" distR="0" wp14:anchorId="59FDBEAB" wp14:editId="58300782">
                            <wp:extent cx="5486400" cy="3785938"/>
                            <wp:effectExtent l="0" t="0" r="0" b="5080"/>
                            <wp:docPr id="14866770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92023" cy="3789818"/>
                                    </a:xfrm>
                                    <a:prstGeom prst="rect">
                                      <a:avLst/>
                                    </a:prstGeom>
                                    <a:noFill/>
                                    <a:ln>
                                      <a:noFill/>
                                    </a:ln>
                                  </pic:spPr>
                                </pic:pic>
                              </a:graphicData>
                            </a:graphic>
                          </wp:inline>
                        </w:drawing>
                      </w:r>
                      <w:r w:rsidR="006520AA">
                        <w:t xml:space="preserve"> </w:t>
                      </w:r>
                    </w:p>
                  </w:txbxContent>
                </v:textbox>
                <w10:wrap type="square" anchorx="margin"/>
              </v:shape>
            </w:pict>
          </mc:Fallback>
        </mc:AlternateContent>
      </w:r>
      <w:r w:rsidR="00E8501C">
        <w:rPr>
          <w:rFonts w:eastAsia="Calibri"/>
        </w:rPr>
        <w:t xml:space="preserve">The </w:t>
      </w:r>
      <w:r w:rsidR="1F3F3E7D" w:rsidRPr="279B183F">
        <w:rPr>
          <w:rFonts w:eastAsia="Calibri"/>
        </w:rPr>
        <w:t xml:space="preserve">RTF </w:t>
      </w:r>
      <w:r w:rsidR="0000404A" w:rsidRPr="0000404A">
        <w:rPr>
          <w:rFonts w:eastAsia="Calibri"/>
        </w:rPr>
        <w:t xml:space="preserve">disaggregated </w:t>
      </w:r>
      <w:r w:rsidR="00A76817">
        <w:rPr>
          <w:rFonts w:eastAsia="Calibri"/>
        </w:rPr>
        <w:t>CP blend</w:t>
      </w:r>
      <w:r w:rsidR="0000404A">
        <w:rPr>
          <w:rFonts w:eastAsia="Calibri"/>
        </w:rPr>
        <w:t>ed</w:t>
      </w:r>
      <w:r w:rsidR="00A76817">
        <w:rPr>
          <w:rFonts w:eastAsia="Calibri"/>
        </w:rPr>
        <w:t xml:space="preserve"> data into </w:t>
      </w:r>
      <w:r w:rsidR="000E6317">
        <w:rPr>
          <w:rFonts w:eastAsia="Calibri"/>
        </w:rPr>
        <w:t xml:space="preserve">individual </w:t>
      </w:r>
      <w:r w:rsidR="00710443" w:rsidRPr="279B183F">
        <w:rPr>
          <w:rFonts w:eastAsia="Calibri"/>
        </w:rPr>
        <w:t>chemical</w:t>
      </w:r>
      <w:r w:rsidR="00A76817">
        <w:rPr>
          <w:rFonts w:eastAsia="Calibri"/>
        </w:rPr>
        <w:t xml:space="preserve">s </w:t>
      </w:r>
      <w:r w:rsidR="00B323F5">
        <w:rPr>
          <w:rFonts w:eastAsia="Calibri"/>
        </w:rPr>
        <w:t>to determine the sector</w:t>
      </w:r>
      <w:r w:rsidR="00B54B0A">
        <w:rPr>
          <w:rFonts w:eastAsia="Calibri"/>
        </w:rPr>
        <w:t>al</w:t>
      </w:r>
      <w:r w:rsidR="00B323F5">
        <w:rPr>
          <w:rFonts w:eastAsia="Calibri"/>
        </w:rPr>
        <w:t xml:space="preserve"> </w:t>
      </w:r>
      <w:r w:rsidR="00404CDE">
        <w:rPr>
          <w:rFonts w:eastAsia="Calibri"/>
        </w:rPr>
        <w:t>distribution</w:t>
      </w:r>
      <w:r w:rsidR="00B323F5">
        <w:rPr>
          <w:rFonts w:eastAsia="Calibri"/>
        </w:rPr>
        <w:t xml:space="preserve"> of each</w:t>
      </w:r>
      <w:r w:rsidR="003822EC">
        <w:rPr>
          <w:rFonts w:eastAsia="Calibri"/>
        </w:rPr>
        <w:t xml:space="preserve"> </w:t>
      </w:r>
      <w:r w:rsidR="358C2014" w:rsidRPr="279B183F">
        <w:rPr>
          <w:rFonts w:eastAsia="Calibri"/>
        </w:rPr>
        <w:t xml:space="preserve">chemical </w:t>
      </w:r>
      <w:r w:rsidR="00B323F5">
        <w:rPr>
          <w:rFonts w:eastAsia="Calibri"/>
        </w:rPr>
        <w:t>by percent</w:t>
      </w:r>
      <w:r w:rsidR="004E3786">
        <w:rPr>
          <w:rFonts w:eastAsia="Calibri"/>
        </w:rPr>
        <w:t>age</w:t>
      </w:r>
      <w:r w:rsidR="00B323F5">
        <w:rPr>
          <w:rFonts w:eastAsia="Calibri"/>
        </w:rPr>
        <w:t xml:space="preserve"> </w:t>
      </w:r>
      <w:r w:rsidR="00590711">
        <w:rPr>
          <w:rFonts w:eastAsia="Calibri"/>
        </w:rPr>
        <w:t xml:space="preserve">within </w:t>
      </w:r>
      <w:r w:rsidR="00D76541">
        <w:rPr>
          <w:rFonts w:eastAsia="Calibri"/>
        </w:rPr>
        <w:t xml:space="preserve">country </w:t>
      </w:r>
      <w:r w:rsidR="001E5519">
        <w:rPr>
          <w:rFonts w:eastAsia="Calibri"/>
        </w:rPr>
        <w:t>cluster</w:t>
      </w:r>
      <w:r w:rsidR="00590711">
        <w:rPr>
          <w:rFonts w:eastAsia="Calibri"/>
        </w:rPr>
        <w:t>s</w:t>
      </w:r>
      <w:r w:rsidR="00662F5E">
        <w:rPr>
          <w:rFonts w:eastAsia="Calibri"/>
        </w:rPr>
        <w:t xml:space="preserve">. </w:t>
      </w:r>
      <w:r w:rsidR="00D65D0B">
        <w:rPr>
          <w:rFonts w:eastAsia="Calibri"/>
        </w:rPr>
        <w:t xml:space="preserve">An example of this disaggregation of </w:t>
      </w:r>
      <w:r w:rsidR="00DD57E6">
        <w:rPr>
          <w:rFonts w:eastAsia="Calibri"/>
        </w:rPr>
        <w:t>the percentage of chemicals by various market sectors is shown in Figure A3.1.</w:t>
      </w:r>
    </w:p>
    <w:p w14:paraId="48E267EE" w14:textId="256062ED" w:rsidR="00D76541" w:rsidRDefault="00662F5E" w:rsidP="00A83E1C">
      <w:pPr>
        <w:spacing w:after="160" w:line="259" w:lineRule="auto"/>
        <w:rPr>
          <w:rFonts w:eastAsia="Calibri"/>
        </w:rPr>
      </w:pPr>
      <w:r>
        <w:rPr>
          <w:rFonts w:eastAsia="Calibri"/>
        </w:rPr>
        <w:lastRenderedPageBreak/>
        <w:t>This</w:t>
      </w:r>
      <w:r w:rsidR="1BF5DDFA" w:rsidRPr="279B183F">
        <w:rPr>
          <w:rFonts w:eastAsia="Calibri"/>
        </w:rPr>
        <w:t xml:space="preserve"> </w:t>
      </w:r>
      <w:r w:rsidR="00F851D5">
        <w:rPr>
          <w:rFonts w:eastAsia="Calibri"/>
        </w:rPr>
        <w:t xml:space="preserve">chemical level </w:t>
      </w:r>
      <w:r w:rsidR="1BF5DDFA" w:rsidRPr="279B183F">
        <w:rPr>
          <w:rFonts w:eastAsia="Calibri"/>
        </w:rPr>
        <w:t xml:space="preserve">segmentation </w:t>
      </w:r>
      <w:r>
        <w:rPr>
          <w:rFonts w:eastAsia="Calibri"/>
        </w:rPr>
        <w:t xml:space="preserve">was </w:t>
      </w:r>
      <w:r w:rsidR="00AD04BA">
        <w:rPr>
          <w:rFonts w:eastAsia="Calibri"/>
        </w:rPr>
        <w:t xml:space="preserve">then </w:t>
      </w:r>
      <w:r>
        <w:rPr>
          <w:rFonts w:eastAsia="Calibri"/>
        </w:rPr>
        <w:t xml:space="preserve">applied </w:t>
      </w:r>
      <w:r w:rsidR="1BF5DDFA" w:rsidRPr="279B183F">
        <w:rPr>
          <w:rFonts w:eastAsia="Calibri"/>
        </w:rPr>
        <w:t xml:space="preserve">to </w:t>
      </w:r>
      <w:r w:rsidR="0038041E">
        <w:rPr>
          <w:rFonts w:eastAsia="Calibri"/>
        </w:rPr>
        <w:t xml:space="preserve">corresponding </w:t>
      </w:r>
      <w:r w:rsidR="00DE752E" w:rsidRPr="279B183F">
        <w:rPr>
          <w:rFonts w:eastAsia="Calibri"/>
        </w:rPr>
        <w:t>A7</w:t>
      </w:r>
      <w:r w:rsidR="006A3F01">
        <w:rPr>
          <w:rFonts w:eastAsia="Calibri"/>
        </w:rPr>
        <w:t>-</w:t>
      </w:r>
      <w:r w:rsidR="00DE752E" w:rsidRPr="279B183F">
        <w:rPr>
          <w:rFonts w:eastAsia="Calibri"/>
        </w:rPr>
        <w:t>report</w:t>
      </w:r>
      <w:r w:rsidR="006A3F01">
        <w:rPr>
          <w:rFonts w:eastAsia="Calibri"/>
        </w:rPr>
        <w:t>ed data by group</w:t>
      </w:r>
      <w:r>
        <w:rPr>
          <w:rFonts w:eastAsia="Calibri"/>
        </w:rPr>
        <w:t>.</w:t>
      </w:r>
      <w:r w:rsidR="60AA9BAA" w:rsidRPr="279B183F">
        <w:rPr>
          <w:rFonts w:eastAsia="Calibri"/>
        </w:rPr>
        <w:t xml:space="preserve"> </w:t>
      </w:r>
      <w:r w:rsidR="006155E5">
        <w:rPr>
          <w:rFonts w:eastAsia="Calibri"/>
          <w:kern w:val="2"/>
          <w:lang w:val="en-US"/>
          <w14:ligatures w14:val="standardContextual"/>
        </w:rPr>
        <w:t xml:space="preserve">The HCFC component of the baseline was </w:t>
      </w:r>
      <w:r w:rsidR="00A71903">
        <w:rPr>
          <w:rFonts w:eastAsia="Calibri"/>
          <w:kern w:val="2"/>
          <w:lang w:val="en-US"/>
          <w14:ligatures w14:val="standardContextual"/>
        </w:rPr>
        <w:t xml:space="preserve">allocated </w:t>
      </w:r>
      <w:r w:rsidR="006155E5">
        <w:rPr>
          <w:rFonts w:eastAsia="Calibri"/>
          <w:kern w:val="2"/>
          <w:lang w:val="en-US"/>
          <w14:ligatures w14:val="standardContextual"/>
        </w:rPr>
        <w:t xml:space="preserve">to </w:t>
      </w:r>
      <w:r w:rsidR="00A71903">
        <w:rPr>
          <w:rFonts w:eastAsia="Calibri"/>
          <w:kern w:val="2"/>
          <w:lang w:val="en-US"/>
          <w14:ligatures w14:val="standardContextual"/>
        </w:rPr>
        <w:t xml:space="preserve">the </w:t>
      </w:r>
      <w:r w:rsidR="006155E5">
        <w:rPr>
          <w:rFonts w:eastAsia="Calibri"/>
          <w:kern w:val="2"/>
          <w:lang w:val="en-US"/>
          <w14:ligatures w14:val="standardContextual"/>
        </w:rPr>
        <w:t>servicing sector</w:t>
      </w:r>
      <w:r w:rsidR="00AB599D">
        <w:rPr>
          <w:rFonts w:eastAsia="Calibri"/>
          <w:kern w:val="2"/>
          <w:lang w:val="en-US"/>
          <w14:ligatures w14:val="standardContextual"/>
        </w:rPr>
        <w:t>.</w:t>
      </w:r>
      <w:r w:rsidR="60AA9BAA" w:rsidRPr="00183625">
        <w:rPr>
          <w:rFonts w:eastAsia="Calibri"/>
          <w:kern w:val="2"/>
          <w:lang w:val="en-US"/>
          <w14:ligatures w14:val="standardContextual"/>
        </w:rPr>
        <w:t xml:space="preserve"> </w:t>
      </w:r>
      <w:r w:rsidR="3F4D3EAA" w:rsidRPr="279B183F">
        <w:rPr>
          <w:rFonts w:eastAsia="Calibri"/>
        </w:rPr>
        <w:t xml:space="preserve">Average GWPs </w:t>
      </w:r>
      <w:r w:rsidR="42B973FA" w:rsidRPr="279B183F">
        <w:rPr>
          <w:rFonts w:eastAsia="Calibri"/>
        </w:rPr>
        <w:t xml:space="preserve">were similarly estimated </w:t>
      </w:r>
      <w:r w:rsidR="00C903B1">
        <w:rPr>
          <w:rFonts w:eastAsia="Calibri"/>
        </w:rPr>
        <w:t xml:space="preserve">by applying </w:t>
      </w:r>
      <w:r w:rsidR="42B973FA" w:rsidRPr="279B183F">
        <w:rPr>
          <w:rFonts w:eastAsia="Calibri"/>
        </w:rPr>
        <w:t>CP</w:t>
      </w:r>
      <w:r w:rsidR="00C903B1">
        <w:rPr>
          <w:rFonts w:eastAsia="Calibri"/>
        </w:rPr>
        <w:t>-derived</w:t>
      </w:r>
      <w:r w:rsidR="42B973FA" w:rsidRPr="279B183F">
        <w:rPr>
          <w:rFonts w:eastAsia="Calibri"/>
        </w:rPr>
        <w:t xml:space="preserve"> chemical split</w:t>
      </w:r>
      <w:r w:rsidR="004A76CB">
        <w:rPr>
          <w:rFonts w:eastAsia="Calibri"/>
        </w:rPr>
        <w:t>s</w:t>
      </w:r>
      <w:r w:rsidR="42B973FA" w:rsidRPr="279B183F">
        <w:rPr>
          <w:rFonts w:eastAsia="Calibri"/>
        </w:rPr>
        <w:t xml:space="preserve"> by market </w:t>
      </w:r>
      <w:r w:rsidR="004A76CB">
        <w:rPr>
          <w:rFonts w:eastAsia="Calibri"/>
        </w:rPr>
        <w:t xml:space="preserve">segment </w:t>
      </w:r>
      <w:r w:rsidR="42B973FA" w:rsidRPr="279B183F">
        <w:rPr>
          <w:rFonts w:eastAsia="Calibri"/>
        </w:rPr>
        <w:t xml:space="preserve">to A7 </w:t>
      </w:r>
      <w:r w:rsidR="00596202">
        <w:rPr>
          <w:rFonts w:eastAsia="Calibri"/>
        </w:rPr>
        <w:t>data.</w:t>
      </w:r>
    </w:p>
    <w:p w14:paraId="36E3B3FA" w14:textId="28E471EE" w:rsidR="00116107" w:rsidRDefault="001C4E71" w:rsidP="00116107">
      <w:pPr>
        <w:spacing w:after="160" w:line="259" w:lineRule="auto"/>
        <w:rPr>
          <w:rFonts w:eastAsia="Calibri"/>
          <w:kern w:val="2"/>
          <w:lang w:val="en-US"/>
          <w14:ligatures w14:val="standardContextual"/>
        </w:rPr>
      </w:pPr>
      <w:r>
        <w:rPr>
          <w:rFonts w:eastAsia="Calibri"/>
          <w:kern w:val="2"/>
          <w:lang w:val="en-US"/>
          <w14:ligatures w14:val="standardContextual"/>
        </w:rPr>
        <w:t xml:space="preserve">Because </w:t>
      </w:r>
      <w:r w:rsidR="00116107">
        <w:rPr>
          <w:rFonts w:eastAsia="Calibri"/>
          <w:kern w:val="2"/>
          <w:lang w:val="en-US"/>
          <w14:ligatures w14:val="standardContextual"/>
        </w:rPr>
        <w:t xml:space="preserve">CP data </w:t>
      </w:r>
      <w:r w:rsidR="00CE7581">
        <w:rPr>
          <w:rFonts w:eastAsia="Calibri"/>
          <w:kern w:val="2"/>
          <w:lang w:val="en-US"/>
          <w14:ligatures w14:val="standardContextual"/>
        </w:rPr>
        <w:t xml:space="preserve">and CEF frameworks use </w:t>
      </w:r>
      <w:r w:rsidR="000F4F6E">
        <w:rPr>
          <w:rFonts w:eastAsia="Calibri"/>
          <w:kern w:val="2"/>
          <w:lang w:val="en-US"/>
          <w14:ligatures w14:val="standardContextual"/>
        </w:rPr>
        <w:t>different sector classifications</w:t>
      </w:r>
      <w:r w:rsidR="00116107">
        <w:rPr>
          <w:rFonts w:eastAsia="Calibri"/>
          <w:kern w:val="2"/>
          <w:lang w:val="en-US"/>
          <w14:ligatures w14:val="standardContextual"/>
        </w:rPr>
        <w:t xml:space="preserve">, the RTF further </w:t>
      </w:r>
      <w:r w:rsidR="00F23F04">
        <w:rPr>
          <w:rFonts w:eastAsia="Calibri"/>
          <w:kern w:val="2"/>
          <w:lang w:val="en-US"/>
          <w14:ligatures w14:val="standardContextual"/>
        </w:rPr>
        <w:t xml:space="preserve">harmonized the </w:t>
      </w:r>
      <w:r w:rsidR="00B01A0E">
        <w:rPr>
          <w:rFonts w:eastAsia="Calibri"/>
          <w:kern w:val="2"/>
          <w:lang w:val="en-US"/>
          <w14:ligatures w14:val="standardContextual"/>
        </w:rPr>
        <w:t xml:space="preserve">datasets </w:t>
      </w:r>
      <w:r w:rsidR="00116107">
        <w:rPr>
          <w:rFonts w:eastAsia="Calibri"/>
          <w:kern w:val="2"/>
          <w:lang w:val="en-US"/>
          <w14:ligatures w14:val="standardContextual"/>
        </w:rPr>
        <w:t xml:space="preserve">to align </w:t>
      </w:r>
      <w:r w:rsidR="00C40F35">
        <w:rPr>
          <w:rFonts w:eastAsia="Calibri"/>
          <w:kern w:val="2"/>
          <w:lang w:val="en-US"/>
          <w14:ligatures w14:val="standardContextual"/>
        </w:rPr>
        <w:t xml:space="preserve">with cost-effectiveness </w:t>
      </w:r>
      <w:r w:rsidR="00E74D10">
        <w:rPr>
          <w:rFonts w:eastAsia="Calibri"/>
          <w:kern w:val="2"/>
          <w:lang w:val="en-US"/>
          <w14:ligatures w14:val="standardContextual"/>
        </w:rPr>
        <w:t xml:space="preserve">reporting structures </w:t>
      </w:r>
      <w:r w:rsidR="00026CA5">
        <w:rPr>
          <w:rFonts w:eastAsia="Calibri"/>
          <w:kern w:val="2"/>
          <w:lang w:val="en-US"/>
          <w14:ligatures w14:val="standardContextual"/>
        </w:rPr>
        <w:t>where party guidance differed</w:t>
      </w:r>
      <w:r w:rsidR="00116107" w:rsidRPr="1AB6E3AA">
        <w:rPr>
          <w:rFonts w:eastAsia="Calibri"/>
          <w:kern w:val="2"/>
          <w:lang w:val="en-US"/>
          <w14:ligatures w14:val="standardContextual"/>
        </w:rPr>
        <w:t xml:space="preserve">. </w:t>
      </w:r>
      <w:r w:rsidR="00116107">
        <w:rPr>
          <w:rFonts w:eastAsia="Calibri"/>
          <w:kern w:val="2"/>
          <w:lang w:val="en-US"/>
          <w14:ligatures w14:val="standardContextual"/>
        </w:rPr>
        <w:t>For example</w:t>
      </w:r>
      <w:r w:rsidR="00E458EC">
        <w:rPr>
          <w:rFonts w:eastAsia="Calibri"/>
          <w:kern w:val="2"/>
          <w:lang w:val="en-US"/>
          <w14:ligatures w14:val="standardContextual"/>
        </w:rPr>
        <w:t>,</w:t>
      </w:r>
      <w:r w:rsidR="00116107">
        <w:rPr>
          <w:rFonts w:eastAsia="Calibri"/>
          <w:kern w:val="2"/>
          <w:lang w:val="en-US"/>
          <w14:ligatures w14:val="standardContextual"/>
        </w:rPr>
        <w:t xml:space="preserve"> </w:t>
      </w:r>
      <w:r w:rsidR="00116107" w:rsidRPr="1AB6E3AA">
        <w:rPr>
          <w:rFonts w:eastAsia="Calibri"/>
          <w:kern w:val="2"/>
          <w:lang w:val="en-US"/>
          <w14:ligatures w14:val="standardContextual"/>
        </w:rPr>
        <w:t xml:space="preserve">CP data do not differentiate between the refrigerant </w:t>
      </w:r>
      <w:r w:rsidR="00D53168">
        <w:rPr>
          <w:rFonts w:eastAsia="Calibri"/>
          <w:kern w:val="2"/>
          <w:lang w:val="en-US"/>
          <w14:ligatures w14:val="standardContextual"/>
        </w:rPr>
        <w:t xml:space="preserve">use </w:t>
      </w:r>
      <w:r w:rsidR="00892450">
        <w:rPr>
          <w:rFonts w:eastAsia="Calibri"/>
          <w:kern w:val="2"/>
          <w:lang w:val="en-US"/>
          <w14:ligatures w14:val="standardContextual"/>
        </w:rPr>
        <w:t>in</w:t>
      </w:r>
      <w:r w:rsidR="00892450" w:rsidRPr="1AB6E3AA">
        <w:rPr>
          <w:rFonts w:eastAsia="Calibri"/>
          <w:kern w:val="2"/>
          <w:lang w:val="en-US"/>
          <w14:ligatures w14:val="standardContextual"/>
        </w:rPr>
        <w:t xml:space="preserve"> </w:t>
      </w:r>
      <w:r w:rsidR="00116107" w:rsidRPr="1AB6E3AA">
        <w:rPr>
          <w:rFonts w:eastAsia="Calibri"/>
          <w:kern w:val="2"/>
          <w:lang w:val="en-US"/>
          <w14:ligatures w14:val="standardContextual"/>
        </w:rPr>
        <w:t>mobile air conditioning servicing and new equipment</w:t>
      </w:r>
      <w:r w:rsidR="00BC2AFB">
        <w:rPr>
          <w:rFonts w:eastAsia="Calibri"/>
          <w:kern w:val="2"/>
          <w:lang w:val="en-US"/>
          <w14:ligatures w14:val="standardContextual"/>
        </w:rPr>
        <w:t>; instead</w:t>
      </w:r>
      <w:r w:rsidR="002909B1">
        <w:rPr>
          <w:rFonts w:eastAsia="Calibri"/>
          <w:kern w:val="2"/>
          <w:lang w:val="en-US"/>
          <w14:ligatures w14:val="standardContextual"/>
        </w:rPr>
        <w:t>,</w:t>
      </w:r>
      <w:r w:rsidR="00116107">
        <w:rPr>
          <w:rFonts w:eastAsia="Calibri"/>
          <w:kern w:val="2"/>
          <w:lang w:val="en-US"/>
          <w14:ligatures w14:val="standardContextual"/>
        </w:rPr>
        <w:t xml:space="preserve"> </w:t>
      </w:r>
      <w:r w:rsidR="00A64996">
        <w:rPr>
          <w:rFonts w:eastAsia="Calibri"/>
          <w:kern w:val="2"/>
          <w:lang w:val="en-US"/>
          <w14:ligatures w14:val="standardContextual"/>
        </w:rPr>
        <w:t>these</w:t>
      </w:r>
      <w:r w:rsidR="00116107" w:rsidRPr="1AB6E3AA">
        <w:rPr>
          <w:rFonts w:eastAsia="Calibri"/>
          <w:kern w:val="2"/>
          <w:lang w:val="en-US"/>
          <w14:ligatures w14:val="standardContextual"/>
        </w:rPr>
        <w:t xml:space="preserve"> volume</w:t>
      </w:r>
      <w:r w:rsidR="00A64996">
        <w:rPr>
          <w:rFonts w:eastAsia="Calibri"/>
          <w:kern w:val="2"/>
          <w:lang w:val="en-US"/>
          <w14:ligatures w14:val="standardContextual"/>
        </w:rPr>
        <w:t>s</w:t>
      </w:r>
      <w:r w:rsidR="00116107" w:rsidRPr="1AB6E3AA">
        <w:rPr>
          <w:rFonts w:eastAsia="Calibri"/>
          <w:kern w:val="2"/>
          <w:lang w:val="en-US"/>
          <w14:ligatures w14:val="standardContextual"/>
        </w:rPr>
        <w:t xml:space="preserve"> </w:t>
      </w:r>
      <w:r w:rsidR="00A64996">
        <w:rPr>
          <w:rFonts w:eastAsia="Calibri"/>
          <w:kern w:val="2"/>
          <w:lang w:val="en-US"/>
          <w14:ligatures w14:val="standardContextual"/>
        </w:rPr>
        <w:t xml:space="preserve">are </w:t>
      </w:r>
      <w:r w:rsidR="00116107" w:rsidRPr="1AB6E3AA">
        <w:rPr>
          <w:rFonts w:eastAsia="Calibri"/>
          <w:kern w:val="2"/>
          <w:lang w:val="en-US"/>
          <w14:ligatures w14:val="standardContextual"/>
        </w:rPr>
        <w:t xml:space="preserve">reported </w:t>
      </w:r>
      <w:r w:rsidR="001302CF">
        <w:rPr>
          <w:rFonts w:eastAsia="Calibri"/>
          <w:kern w:val="2"/>
          <w:lang w:val="en-US"/>
          <w14:ligatures w14:val="standardContextual"/>
        </w:rPr>
        <w:t xml:space="preserve">as a single </w:t>
      </w:r>
      <w:r w:rsidR="00F13A15" w:rsidRPr="00F13A15">
        <w:rPr>
          <w:rFonts w:eastAsia="Calibri"/>
          <w:kern w:val="2"/>
          <w14:ligatures w14:val="standardContextual"/>
        </w:rPr>
        <w:t xml:space="preserve">aggregated category at the party </w:t>
      </w:r>
      <w:r w:rsidR="00116107" w:rsidRPr="1AB6E3AA">
        <w:rPr>
          <w:rFonts w:eastAsia="Calibri"/>
          <w:kern w:val="2"/>
          <w:lang w:val="en-US"/>
          <w14:ligatures w14:val="standardContextual"/>
        </w:rPr>
        <w:t>party</w:t>
      </w:r>
      <w:r w:rsidR="00F13A15">
        <w:rPr>
          <w:rFonts w:eastAsia="Calibri"/>
          <w:kern w:val="2"/>
          <w:lang w:val="en-US"/>
          <w14:ligatures w14:val="standardContextual"/>
        </w:rPr>
        <w:t xml:space="preserve"> level</w:t>
      </w:r>
      <w:r w:rsidR="00116107" w:rsidRPr="1AB6E3AA">
        <w:rPr>
          <w:rFonts w:eastAsia="Calibri"/>
          <w:kern w:val="2"/>
          <w:lang w:val="en-US"/>
          <w14:ligatures w14:val="standardContextual"/>
        </w:rPr>
        <w:t xml:space="preserve">. This </w:t>
      </w:r>
      <w:r w:rsidR="0025198B">
        <w:rPr>
          <w:rFonts w:eastAsia="Calibri"/>
          <w:kern w:val="2"/>
          <w:lang w:val="en-US"/>
          <w14:ligatures w14:val="standardContextual"/>
        </w:rPr>
        <w:t xml:space="preserve">treatment </w:t>
      </w:r>
      <w:r w:rsidR="00116107" w:rsidRPr="1AB6E3AA">
        <w:rPr>
          <w:rFonts w:eastAsia="Calibri"/>
          <w:kern w:val="2"/>
          <w:lang w:val="en-US"/>
          <w14:ligatures w14:val="standardContextual"/>
        </w:rPr>
        <w:t xml:space="preserve">is consistent with </w:t>
      </w:r>
      <w:r w:rsidR="00746DC2">
        <w:rPr>
          <w:rFonts w:eastAsia="Calibri"/>
          <w:kern w:val="2"/>
          <w:lang w:val="en-US"/>
          <w14:ligatures w14:val="standardContextual"/>
        </w:rPr>
        <w:t xml:space="preserve">methodologies applied </w:t>
      </w:r>
      <w:r w:rsidR="00116107" w:rsidRPr="1AB6E3AA">
        <w:rPr>
          <w:rFonts w:eastAsia="Calibri"/>
          <w:kern w:val="2"/>
          <w:lang w:val="en-US"/>
          <w14:ligatures w14:val="standardContextual"/>
        </w:rPr>
        <w:t xml:space="preserve">in the 2020 </w:t>
      </w:r>
      <w:r w:rsidR="00116107">
        <w:rPr>
          <w:rFonts w:eastAsia="Calibri"/>
          <w:kern w:val="2"/>
          <w:lang w:val="en-US"/>
          <w14:ligatures w14:val="standardContextual"/>
        </w:rPr>
        <w:t xml:space="preserve">and 2023 </w:t>
      </w:r>
      <w:r w:rsidR="00116107" w:rsidRPr="1AB6E3AA">
        <w:rPr>
          <w:rFonts w:eastAsia="Calibri"/>
          <w:kern w:val="2"/>
          <w:lang w:val="en-US"/>
          <w14:ligatures w14:val="standardContextual"/>
        </w:rPr>
        <w:t>RTF report</w:t>
      </w:r>
      <w:r w:rsidR="00116107">
        <w:rPr>
          <w:rFonts w:eastAsia="Calibri"/>
          <w:kern w:val="2"/>
          <w:lang w:val="en-US"/>
          <w14:ligatures w14:val="standardContextual"/>
        </w:rPr>
        <w:t>s</w:t>
      </w:r>
      <w:r w:rsidR="00E458EC">
        <w:rPr>
          <w:rFonts w:eastAsia="Calibri"/>
          <w:kern w:val="2"/>
          <w:lang w:val="en-US"/>
          <w14:ligatures w14:val="standardContextual"/>
        </w:rPr>
        <w:t>.</w:t>
      </w:r>
    </w:p>
    <w:p w14:paraId="5319D479" w14:textId="17EDCD6F" w:rsidR="003D64CF" w:rsidRPr="00C91CF3" w:rsidRDefault="003D64CF" w:rsidP="003D64CF">
      <w:pPr>
        <w:rPr>
          <w:color w:val="FF0000"/>
          <w:highlight w:val="yellow"/>
        </w:rPr>
      </w:pPr>
    </w:p>
    <w:p w14:paraId="07108026" w14:textId="010EAD15" w:rsidR="004207C5" w:rsidRPr="00F53EC1" w:rsidRDefault="42B973FA" w:rsidP="002135B0">
      <w:pPr>
        <w:spacing w:after="160" w:line="259" w:lineRule="auto"/>
        <w:rPr>
          <w:b/>
        </w:rPr>
      </w:pPr>
      <w:r w:rsidRPr="279B183F">
        <w:rPr>
          <w:rFonts w:eastAsia="Calibri"/>
        </w:rPr>
        <w:t xml:space="preserve">. </w:t>
      </w:r>
      <w:r w:rsidR="00103025" w:rsidRPr="00183625">
        <w:rPr>
          <w:rFonts w:eastAsia="Calibri"/>
          <w:noProof/>
          <w:kern w:val="2"/>
          <w:lang w:val="en-US"/>
          <w14:ligatures w14:val="standardContextual"/>
        </w:rPr>
        <mc:AlternateContent>
          <mc:Choice Requires="wps">
            <w:drawing>
              <wp:anchor distT="45720" distB="45720" distL="114300" distR="114300" simplePos="0" relativeHeight="251658245" behindDoc="0" locked="0" layoutInCell="1" allowOverlap="1" wp14:anchorId="78F2ACBD" wp14:editId="2FDDDE2A">
                <wp:simplePos x="0" y="0"/>
                <wp:positionH relativeFrom="margin">
                  <wp:posOffset>182245</wp:posOffset>
                </wp:positionH>
                <wp:positionV relativeFrom="paragraph">
                  <wp:posOffset>302895</wp:posOffset>
                </wp:positionV>
                <wp:extent cx="5443220" cy="3174365"/>
                <wp:effectExtent l="0" t="0" r="24130" b="26035"/>
                <wp:wrapSquare wrapText="bothSides"/>
                <wp:docPr id="729696685" name="Text Box 729696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3174365"/>
                        </a:xfrm>
                        <a:prstGeom prst="rect">
                          <a:avLst/>
                        </a:prstGeom>
                        <a:solidFill>
                          <a:srgbClr val="FFFFFF"/>
                        </a:solidFill>
                        <a:ln w="9525">
                          <a:solidFill>
                            <a:srgbClr val="000000"/>
                          </a:solidFill>
                          <a:miter lim="800000"/>
                          <a:headEnd/>
                          <a:tailEnd/>
                        </a:ln>
                      </wps:spPr>
                      <wps:txbx>
                        <w:txbxContent>
                          <w:tbl>
                            <w:tblPr>
                              <w:tblW w:w="8288" w:type="dxa"/>
                              <w:tblCellMar>
                                <w:left w:w="0" w:type="dxa"/>
                                <w:right w:w="0" w:type="dxa"/>
                              </w:tblCellMar>
                              <w:tblLook w:val="0420" w:firstRow="1" w:lastRow="0" w:firstColumn="0" w:lastColumn="0" w:noHBand="0" w:noVBand="1"/>
                            </w:tblPr>
                            <w:tblGrid>
                              <w:gridCol w:w="3355"/>
                              <w:gridCol w:w="1925"/>
                              <w:gridCol w:w="3008"/>
                            </w:tblGrid>
                            <w:tr w:rsidR="002017B5" w:rsidRPr="004D6844" w14:paraId="5B032275" w14:textId="77777777" w:rsidTr="004812BA">
                              <w:trPr>
                                <w:trHeight w:val="88"/>
                              </w:trPr>
                              <w:tc>
                                <w:tcPr>
                                  <w:tcW w:w="3355"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6F404B05" w14:textId="77777777" w:rsidR="002017B5" w:rsidRPr="004D6844" w:rsidRDefault="002017B5">
                                  <w:r w:rsidRPr="004D6844">
                                    <w:rPr>
                                      <w:b/>
                                      <w:bCs/>
                                    </w:rPr>
                                    <w:t>Available data</w:t>
                                  </w:r>
                                </w:p>
                              </w:tc>
                              <w:tc>
                                <w:tcPr>
                                  <w:tcW w:w="1925"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108AF6DB" w14:textId="77777777" w:rsidR="002017B5" w:rsidRPr="004D6844" w:rsidRDefault="002017B5">
                                  <w:r w:rsidRPr="004D6844">
                                    <w:rPr>
                                      <w:b/>
                                      <w:bCs/>
                                    </w:rPr>
                                    <w:t>Missing data</w:t>
                                  </w:r>
                                </w:p>
                              </w:tc>
                              <w:tc>
                                <w:tcPr>
                                  <w:tcW w:w="3008"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3E2CE2BC" w14:textId="77777777" w:rsidR="002017B5" w:rsidRPr="004D6844" w:rsidRDefault="002017B5">
                                  <w:r w:rsidRPr="004D6844">
                                    <w:rPr>
                                      <w:b/>
                                      <w:bCs/>
                                    </w:rPr>
                                    <w:t>Filling the Gap</w:t>
                                  </w:r>
                                </w:p>
                              </w:tc>
                            </w:tr>
                            <w:tr w:rsidR="002017B5" w:rsidRPr="004D6844" w14:paraId="6A068381" w14:textId="77777777" w:rsidTr="004812BA">
                              <w:trPr>
                                <w:trHeight w:val="653"/>
                              </w:trPr>
                              <w:tc>
                                <w:tcPr>
                                  <w:tcW w:w="3355"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224DCC61" w14:textId="77777777" w:rsidR="002017B5" w:rsidRPr="002135B0" w:rsidRDefault="002017B5">
                                  <w:pPr>
                                    <w:rPr>
                                      <w:lang w:val="pt-BR"/>
                                    </w:rPr>
                                  </w:pPr>
                                  <w:r w:rsidRPr="002135B0">
                                    <w:rPr>
                                      <w:lang w:val="pt-BR"/>
                                    </w:rPr>
                                    <w:t>R-410A 100 tonnes</w:t>
                                  </w:r>
                                </w:p>
                                <w:p w14:paraId="1DA671F8" w14:textId="77777777" w:rsidR="002017B5" w:rsidRPr="002135B0" w:rsidRDefault="002017B5">
                                  <w:pPr>
                                    <w:rPr>
                                      <w:lang w:val="pt-BR"/>
                                    </w:rPr>
                                  </w:pPr>
                                  <w:r w:rsidRPr="002135B0">
                                    <w:rPr>
                                      <w:lang w:val="pt-BR"/>
                                    </w:rPr>
                                    <w:t xml:space="preserve">CP data </w:t>
                                  </w:r>
                                </w:p>
                              </w:tc>
                              <w:tc>
                                <w:tcPr>
                                  <w:tcW w:w="1925"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156EEA93" w14:textId="77777777" w:rsidR="002017B5" w:rsidRPr="004D6844" w:rsidRDefault="002017B5">
                                  <w:r w:rsidRPr="004D6844">
                                    <w:t>Chemical data</w:t>
                                  </w:r>
                                </w:p>
                              </w:tc>
                              <w:tc>
                                <w:tcPr>
                                  <w:tcW w:w="3008"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5B29B4B6" w14:textId="77777777" w:rsidR="002017B5" w:rsidRPr="004D6844" w:rsidRDefault="002017B5">
                                  <w:r w:rsidRPr="004D6844">
                                    <w:t>50 tonnes R-32, 50 tonnes R-125</w:t>
                                  </w:r>
                                </w:p>
                              </w:tc>
                            </w:tr>
                            <w:tr w:rsidR="002017B5" w:rsidRPr="004D6844" w14:paraId="18189082" w14:textId="77777777" w:rsidTr="004812BA">
                              <w:trPr>
                                <w:trHeight w:val="495"/>
                              </w:trPr>
                              <w:tc>
                                <w:tcPr>
                                  <w:tcW w:w="3355"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6EFE074" w14:textId="77777777" w:rsidR="002017B5" w:rsidRPr="002135B0" w:rsidRDefault="002017B5">
                                  <w:pPr>
                                    <w:rPr>
                                      <w:lang w:val="pt-BR"/>
                                    </w:rPr>
                                  </w:pPr>
                                  <w:r w:rsidRPr="002135B0">
                                    <w:rPr>
                                      <w:lang w:val="pt-BR"/>
                                    </w:rPr>
                                    <w:t>R-404A 100 tonnes CP data</w:t>
                                  </w:r>
                                </w:p>
                              </w:tc>
                              <w:tc>
                                <w:tcPr>
                                  <w:tcW w:w="1925"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0B828DE6" w14:textId="77777777" w:rsidR="002017B5" w:rsidRPr="004D6844" w:rsidRDefault="002017B5">
                                  <w:r w:rsidRPr="004D6844">
                                    <w:t>Chemical data</w:t>
                                  </w:r>
                                </w:p>
                              </w:tc>
                              <w:tc>
                                <w:tcPr>
                                  <w:tcW w:w="3008"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2A8A562C" w14:textId="2340866E" w:rsidR="002017B5" w:rsidRPr="004D6844" w:rsidRDefault="002017B5">
                                  <w:r w:rsidRPr="007C3EDB">
                                    <w:rPr>
                                      <w:lang w:val="fr-FR"/>
                                    </w:rPr>
                                    <w:t xml:space="preserve">44 tonnes R-125, 52 tonnes R-143A. </w:t>
                                  </w:r>
                                  <w:r w:rsidRPr="004D6844">
                                    <w:t>4 tonnes R-134A </w:t>
                                  </w:r>
                                </w:p>
                              </w:tc>
                            </w:tr>
                            <w:tr w:rsidR="002017B5" w:rsidRPr="004D6844" w14:paraId="147A2230" w14:textId="77777777" w:rsidTr="004812BA">
                              <w:trPr>
                                <w:trHeight w:val="557"/>
                              </w:trPr>
                              <w:tc>
                                <w:tcPr>
                                  <w:tcW w:w="3355"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016C7963" w14:textId="77777777" w:rsidR="002017B5" w:rsidRPr="0003637E" w:rsidRDefault="002017B5">
                                  <w:pPr>
                                    <w:rPr>
                                      <w:lang w:val="it-IT"/>
                                    </w:rPr>
                                  </w:pPr>
                                  <w:r w:rsidRPr="0003637E">
                                    <w:rPr>
                                      <w:lang w:val="it-IT"/>
                                    </w:rPr>
                                    <w:t>HFC-245fa 50 tonnes OS A7 data</w:t>
                                  </w:r>
                                </w:p>
                              </w:tc>
                              <w:tc>
                                <w:tcPr>
                                  <w:tcW w:w="1925"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39797A3F" w14:textId="77777777" w:rsidR="002017B5" w:rsidRPr="004D6844" w:rsidRDefault="002017B5">
                                  <w:r>
                                    <w:t>No data missing</w:t>
                                  </w:r>
                                </w:p>
                              </w:tc>
                              <w:tc>
                                <w:tcPr>
                                  <w:tcW w:w="3008"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04538DF8" w14:textId="6EB4722E" w:rsidR="002017B5" w:rsidRPr="004D6844" w:rsidRDefault="002017B5">
                                  <w:r w:rsidRPr="004D6844">
                                    <w:t xml:space="preserve">50 tonnes </w:t>
                                  </w:r>
                                  <w:r w:rsidR="002C719B">
                                    <w:t>HFC</w:t>
                                  </w:r>
                                  <w:r w:rsidR="008049BB">
                                    <w:t>-</w:t>
                                  </w:r>
                                  <w:r w:rsidRPr="004D6844">
                                    <w:t>245fa</w:t>
                                  </w:r>
                                </w:p>
                              </w:tc>
                            </w:tr>
                          </w:tbl>
                          <w:p w14:paraId="01EA2C90" w14:textId="77777777" w:rsidR="002017B5" w:rsidRPr="00B30465" w:rsidRDefault="002017B5" w:rsidP="002017B5">
                            <w:pPr>
                              <w:spacing w:after="160" w:line="259" w:lineRule="auto"/>
                              <w:rPr>
                                <w:i/>
                                <w:iCs/>
                              </w:rPr>
                            </w:pPr>
                            <w:r w:rsidRPr="00B30465">
                              <w:rPr>
                                <w:i/>
                                <w:iCs/>
                              </w:rPr>
                              <w:t>Country program reported in blends; OS A7 data reported in chemicals: CP blends converted to chemical components and then treated the same as OS A7 data.</w:t>
                            </w:r>
                          </w:p>
                          <w:p w14:paraId="0FBC4BE2" w14:textId="77777777" w:rsidR="002017B5" w:rsidRDefault="002017B5" w:rsidP="00201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2ACBD" id="Text Box 729696685" o:spid="_x0000_s1031" type="#_x0000_t202" style="position:absolute;margin-left:14.35pt;margin-top:23.85pt;width:428.6pt;height:249.9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">
                <v:textbox>
                  <w:txbxContent>
                    <w:tbl>
                      <w:tblPr>
                        <w:tblW w:w="8288" w:type="dxa"/>
                        <w:tblCellMar>
                          <w:left w:w="0" w:type="dxa"/>
                          <w:right w:w="0" w:type="dxa"/>
                        </w:tblCellMar>
                        <w:tblLook w:val="0420" w:firstRow="1" w:lastRow="0" w:firstColumn="0" w:lastColumn="0" w:noHBand="0" w:noVBand="1"/>
                      </w:tblPr>
                      <w:tblGrid>
                        <w:gridCol w:w="3355"/>
                        <w:gridCol w:w="1925"/>
                        <w:gridCol w:w="3008"/>
                      </w:tblGrid>
                      <w:tr w:rsidR="002017B5" w:rsidRPr="004D6844" w14:paraId="5B032275" w14:textId="77777777" w:rsidTr="004812BA">
                        <w:trPr>
                          <w:trHeight w:val="88"/>
                        </w:trPr>
                        <w:tc>
                          <w:tcPr>
                            <w:tcW w:w="3355"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6F404B05" w14:textId="77777777" w:rsidR="002017B5" w:rsidRPr="004D6844" w:rsidRDefault="002017B5">
                            <w:r w:rsidRPr="004D6844">
                              <w:rPr>
                                <w:b/>
                                <w:bCs/>
                              </w:rPr>
                              <w:t>Available data</w:t>
                            </w:r>
                          </w:p>
                        </w:tc>
                        <w:tc>
                          <w:tcPr>
                            <w:tcW w:w="1925"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108AF6DB" w14:textId="77777777" w:rsidR="002017B5" w:rsidRPr="004D6844" w:rsidRDefault="002017B5">
                            <w:r w:rsidRPr="004D6844">
                              <w:rPr>
                                <w:b/>
                                <w:bCs/>
                              </w:rPr>
                              <w:t>Missing data</w:t>
                            </w:r>
                          </w:p>
                        </w:tc>
                        <w:tc>
                          <w:tcPr>
                            <w:tcW w:w="3008"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3E2CE2BC" w14:textId="77777777" w:rsidR="002017B5" w:rsidRPr="004D6844" w:rsidRDefault="002017B5">
                            <w:r w:rsidRPr="004D6844">
                              <w:rPr>
                                <w:b/>
                                <w:bCs/>
                              </w:rPr>
                              <w:t>Filling the Gap</w:t>
                            </w:r>
                          </w:p>
                        </w:tc>
                      </w:tr>
                      <w:tr w:rsidR="002017B5" w:rsidRPr="004D6844" w14:paraId="6A068381" w14:textId="77777777" w:rsidTr="004812BA">
                        <w:trPr>
                          <w:trHeight w:val="653"/>
                        </w:trPr>
                        <w:tc>
                          <w:tcPr>
                            <w:tcW w:w="3355"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224DCC61" w14:textId="77777777" w:rsidR="002017B5" w:rsidRPr="002135B0" w:rsidRDefault="002017B5">
                            <w:pPr>
                              <w:rPr>
                                <w:lang w:val="pt-BR"/>
                              </w:rPr>
                            </w:pPr>
                            <w:r w:rsidRPr="002135B0">
                              <w:rPr>
                                <w:lang w:val="pt-BR"/>
                              </w:rPr>
                              <w:t>R-410A 100 tonnes</w:t>
                            </w:r>
                          </w:p>
                          <w:p w14:paraId="1DA671F8" w14:textId="77777777" w:rsidR="002017B5" w:rsidRPr="002135B0" w:rsidRDefault="002017B5">
                            <w:pPr>
                              <w:rPr>
                                <w:lang w:val="pt-BR"/>
                              </w:rPr>
                            </w:pPr>
                            <w:r w:rsidRPr="002135B0">
                              <w:rPr>
                                <w:lang w:val="pt-BR"/>
                              </w:rPr>
                              <w:t xml:space="preserve">CP data </w:t>
                            </w:r>
                          </w:p>
                        </w:tc>
                        <w:tc>
                          <w:tcPr>
                            <w:tcW w:w="1925"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156EEA93" w14:textId="77777777" w:rsidR="002017B5" w:rsidRPr="004D6844" w:rsidRDefault="002017B5">
                            <w:r w:rsidRPr="004D6844">
                              <w:t>Chemical data</w:t>
                            </w:r>
                          </w:p>
                        </w:tc>
                        <w:tc>
                          <w:tcPr>
                            <w:tcW w:w="3008"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5B29B4B6" w14:textId="77777777" w:rsidR="002017B5" w:rsidRPr="004D6844" w:rsidRDefault="002017B5">
                            <w:r w:rsidRPr="004D6844">
                              <w:t>50 tonnes R-32, 50 tonnes R-125</w:t>
                            </w:r>
                          </w:p>
                        </w:tc>
                      </w:tr>
                      <w:tr w:rsidR="002017B5" w:rsidRPr="004D6844" w14:paraId="18189082" w14:textId="77777777" w:rsidTr="004812BA">
                        <w:trPr>
                          <w:trHeight w:val="495"/>
                        </w:trPr>
                        <w:tc>
                          <w:tcPr>
                            <w:tcW w:w="3355"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6EFE074" w14:textId="77777777" w:rsidR="002017B5" w:rsidRPr="002135B0" w:rsidRDefault="002017B5">
                            <w:pPr>
                              <w:rPr>
                                <w:lang w:val="pt-BR"/>
                              </w:rPr>
                            </w:pPr>
                            <w:r w:rsidRPr="002135B0">
                              <w:rPr>
                                <w:lang w:val="pt-BR"/>
                              </w:rPr>
                              <w:t>R-404A 100 tonnes CP data</w:t>
                            </w:r>
                          </w:p>
                        </w:tc>
                        <w:tc>
                          <w:tcPr>
                            <w:tcW w:w="1925"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0B828DE6" w14:textId="77777777" w:rsidR="002017B5" w:rsidRPr="004D6844" w:rsidRDefault="002017B5">
                            <w:r w:rsidRPr="004D6844">
                              <w:t>Chemical data</w:t>
                            </w:r>
                          </w:p>
                        </w:tc>
                        <w:tc>
                          <w:tcPr>
                            <w:tcW w:w="3008"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2A8A562C" w14:textId="2340866E" w:rsidR="002017B5" w:rsidRPr="004D6844" w:rsidRDefault="002017B5">
                            <w:r w:rsidRPr="007C3EDB">
                              <w:rPr>
                                <w:lang w:val="fr-FR"/>
                              </w:rPr>
                              <w:t xml:space="preserve">44 tonnes R-125, 52 tonnes R-143A. </w:t>
                            </w:r>
                            <w:r w:rsidRPr="004D6844">
                              <w:t>4 tonnes R-134A </w:t>
                            </w:r>
                          </w:p>
                        </w:tc>
                      </w:tr>
                      <w:tr w:rsidR="002017B5" w:rsidRPr="004D6844" w14:paraId="147A2230" w14:textId="77777777" w:rsidTr="004812BA">
                        <w:trPr>
                          <w:trHeight w:val="557"/>
                        </w:trPr>
                        <w:tc>
                          <w:tcPr>
                            <w:tcW w:w="3355"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016C7963" w14:textId="77777777" w:rsidR="002017B5" w:rsidRPr="0003637E" w:rsidRDefault="002017B5">
                            <w:pPr>
                              <w:rPr>
                                <w:lang w:val="it-IT"/>
                              </w:rPr>
                            </w:pPr>
                            <w:r w:rsidRPr="0003637E">
                              <w:rPr>
                                <w:lang w:val="it-IT"/>
                              </w:rPr>
                              <w:t>HFC-245fa 50 tonnes OS A7 data</w:t>
                            </w:r>
                          </w:p>
                        </w:tc>
                        <w:tc>
                          <w:tcPr>
                            <w:tcW w:w="1925"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39797A3F" w14:textId="77777777" w:rsidR="002017B5" w:rsidRPr="004D6844" w:rsidRDefault="002017B5">
                            <w:r>
                              <w:t>No data missing</w:t>
                            </w:r>
                          </w:p>
                        </w:tc>
                        <w:tc>
                          <w:tcPr>
                            <w:tcW w:w="3008"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04538DF8" w14:textId="6EB4722E" w:rsidR="002017B5" w:rsidRPr="004D6844" w:rsidRDefault="002017B5">
                            <w:r w:rsidRPr="004D6844">
                              <w:t xml:space="preserve">50 tonnes </w:t>
                            </w:r>
                            <w:r w:rsidR="002C719B">
                              <w:t>HFC</w:t>
                            </w:r>
                            <w:r w:rsidR="008049BB">
                              <w:t>-</w:t>
                            </w:r>
                            <w:r w:rsidRPr="004D6844">
                              <w:t>245fa</w:t>
                            </w:r>
                          </w:p>
                        </w:tc>
                      </w:tr>
                    </w:tbl>
                    <w:p w14:paraId="01EA2C90" w14:textId="77777777" w:rsidR="002017B5" w:rsidRPr="00B30465" w:rsidRDefault="002017B5" w:rsidP="002017B5">
                      <w:pPr>
                        <w:spacing w:after="160" w:line="259" w:lineRule="auto"/>
                        <w:rPr>
                          <w:i/>
                          <w:iCs/>
                        </w:rPr>
                      </w:pPr>
                      <w:r w:rsidRPr="00B30465">
                        <w:rPr>
                          <w:i/>
                          <w:iCs/>
                        </w:rPr>
                        <w:t>Country program reported in blends; OS A7 data reported in chemicals: CP blends converted to chemical components and then treated the same as OS A7 data.</w:t>
                      </w:r>
                    </w:p>
                    <w:p w14:paraId="0FBC4BE2" w14:textId="77777777" w:rsidR="002017B5" w:rsidRDefault="002017B5" w:rsidP="002017B5"/>
                  </w:txbxContent>
                </v:textbox>
                <w10:wrap type="square" anchorx="margin"/>
              </v:shape>
            </w:pict>
          </mc:Fallback>
        </mc:AlternateContent>
      </w:r>
      <w:r w:rsidR="008C0689">
        <w:rPr>
          <w:rFonts w:eastAsia="Calibri"/>
          <w:kern w:val="2"/>
          <w:lang w:val="en-US"/>
          <w14:ligatures w14:val="standardContextual"/>
        </w:rPr>
        <w:t xml:space="preserve">. </w:t>
      </w:r>
      <w:r w:rsidR="004207C5" w:rsidRPr="00E42C5E">
        <w:rPr>
          <w:rFonts w:eastAsiaTheme="minorHAnsi"/>
          <w:b/>
          <w:bCs/>
        </w:rPr>
        <w:t xml:space="preserve">Table </w:t>
      </w:r>
      <w:r w:rsidR="004207C5">
        <w:rPr>
          <w:rFonts w:eastAsiaTheme="minorHAnsi"/>
          <w:b/>
          <w:bCs/>
        </w:rPr>
        <w:t>A3.7</w:t>
      </w:r>
      <w:r w:rsidR="00FF681F">
        <w:rPr>
          <w:rFonts w:eastAsiaTheme="minorHAnsi"/>
          <w:b/>
          <w:bCs/>
        </w:rPr>
        <w:t>:</w:t>
      </w:r>
      <w:r w:rsidR="004207C5" w:rsidRPr="00E42C5E">
        <w:rPr>
          <w:rFonts w:eastAsiaTheme="minorHAnsi"/>
          <w:b/>
          <w:bCs/>
        </w:rPr>
        <w:tab/>
      </w:r>
      <w:r w:rsidR="004207C5" w:rsidRPr="004207C5">
        <w:rPr>
          <w:rFonts w:eastAsia="Calibri"/>
          <w:b/>
          <w:bCs/>
          <w:color w:val="000000"/>
          <w:lang w:val="en-US"/>
        </w:rPr>
        <w:t xml:space="preserve">Examples for filling data gaps </w:t>
      </w:r>
      <w:r w:rsidR="004207C5">
        <w:rPr>
          <w:rFonts w:eastAsia="Calibri"/>
          <w:b/>
          <w:bCs/>
          <w:color w:val="000000"/>
          <w:lang w:val="en-US"/>
        </w:rPr>
        <w:t>f</w:t>
      </w:r>
      <w:r w:rsidR="004207C5" w:rsidRPr="004207C5">
        <w:rPr>
          <w:rFonts w:eastAsia="Calibri"/>
          <w:b/>
          <w:bCs/>
          <w:color w:val="000000"/>
          <w:lang w:val="en-US"/>
        </w:rPr>
        <w:t>or a G1 and a G2 party</w:t>
      </w:r>
    </w:p>
    <w:p w14:paraId="500FEC68" w14:textId="724BB5D6" w:rsidR="006155E5" w:rsidRDefault="004812BA" w:rsidP="004812BA">
      <w:pPr>
        <w:spacing w:after="160" w:line="259" w:lineRule="auto"/>
        <w:contextualSpacing/>
        <w:rPr>
          <w:rFonts w:eastAsia="Calibri"/>
          <w:kern w:val="2"/>
          <w:lang w:val="en-US"/>
          <w14:ligatures w14:val="standardContextual"/>
        </w:rPr>
      </w:pPr>
      <w:r>
        <w:rPr>
          <w:rFonts w:eastAsia="Calibri"/>
          <w:kern w:val="2"/>
          <w:lang w:val="en-US"/>
          <w14:ligatures w14:val="standardContextual"/>
        </w:rPr>
        <w:t xml:space="preserve"> </w:t>
      </w:r>
    </w:p>
    <w:p w14:paraId="074E174C" w14:textId="77777777" w:rsidR="006155E5" w:rsidRDefault="006155E5" w:rsidP="004812BA">
      <w:pPr>
        <w:spacing w:after="160" w:line="259" w:lineRule="auto"/>
        <w:contextualSpacing/>
        <w:rPr>
          <w:rFonts w:eastAsia="Calibri"/>
          <w:kern w:val="2"/>
          <w:lang w:val="en-US"/>
          <w14:ligatures w14:val="standardContextual"/>
        </w:rPr>
      </w:pPr>
    </w:p>
    <w:p w14:paraId="79CE22DE" w14:textId="4E535335" w:rsidR="004812BA" w:rsidRDefault="004812BA" w:rsidP="004812BA">
      <w:pPr>
        <w:spacing w:after="160" w:line="259" w:lineRule="auto"/>
        <w:contextualSpacing/>
        <w:rPr>
          <w:rFonts w:eastAsia="Calibri"/>
          <w:kern w:val="2"/>
          <w:lang w:val="en-US"/>
          <w14:ligatures w14:val="standardContextual"/>
        </w:rPr>
      </w:pPr>
      <w:r>
        <w:rPr>
          <w:rFonts w:eastAsia="Calibri"/>
          <w:kern w:val="2"/>
          <w:lang w:val="en-US"/>
          <w14:ligatures w14:val="standardContextual"/>
        </w:rPr>
        <w:t>The results are shown in Table A</w:t>
      </w:r>
      <w:r w:rsidR="0000380C">
        <w:rPr>
          <w:rFonts w:eastAsia="Calibri"/>
          <w:kern w:val="2"/>
          <w:lang w:val="en-US"/>
          <w14:ligatures w14:val="standardContextual"/>
        </w:rPr>
        <w:t>3.8</w:t>
      </w:r>
      <w:r>
        <w:rPr>
          <w:rFonts w:eastAsia="Calibri"/>
          <w:kern w:val="2"/>
          <w:lang w:val="en-US"/>
          <w14:ligatures w14:val="standardContextual"/>
        </w:rPr>
        <w:t>.</w:t>
      </w:r>
    </w:p>
    <w:p w14:paraId="4DFEF96A" w14:textId="1D2F591A" w:rsidR="00B3229A" w:rsidRDefault="00B3229A" w:rsidP="004812BA">
      <w:pPr>
        <w:spacing w:after="160" w:line="259" w:lineRule="auto"/>
        <w:contextualSpacing/>
        <w:rPr>
          <w:rFonts w:eastAsia="Calibri"/>
          <w:kern w:val="2"/>
          <w:lang w:val="en-US"/>
          <w14:ligatures w14:val="standardContextual"/>
        </w:rPr>
      </w:pPr>
    </w:p>
    <w:p w14:paraId="54E6C52A" w14:textId="0679943E" w:rsidR="00B3229A" w:rsidRDefault="00943E0E" w:rsidP="002135B0">
      <w:pPr>
        <w:tabs>
          <w:tab w:val="left" w:pos="1276"/>
        </w:tabs>
        <w:spacing w:after="160" w:line="259" w:lineRule="auto"/>
        <w:contextualSpacing/>
        <w:rPr>
          <w:rFonts w:eastAsia="Calibri"/>
          <w:kern w:val="2"/>
          <w:lang w:val="en-US"/>
          <w14:ligatures w14:val="standardContextual"/>
        </w:rPr>
      </w:pPr>
      <w:r w:rsidRPr="00183625">
        <w:rPr>
          <w:rFonts w:eastAsia="Calibri"/>
          <w:noProof/>
          <w:kern w:val="2"/>
          <w:lang w:val="en-US"/>
          <w14:ligatures w14:val="standardContextual"/>
        </w:rPr>
        <mc:AlternateContent>
          <mc:Choice Requires="wps">
            <w:drawing>
              <wp:anchor distT="45720" distB="45720" distL="114300" distR="114300" simplePos="0" relativeHeight="251658242" behindDoc="0" locked="0" layoutInCell="1" allowOverlap="1" wp14:anchorId="09E11A7A" wp14:editId="50B01F96">
                <wp:simplePos x="0" y="0"/>
                <wp:positionH relativeFrom="page">
                  <wp:posOffset>825500</wp:posOffset>
                </wp:positionH>
                <wp:positionV relativeFrom="paragraph">
                  <wp:posOffset>311785</wp:posOffset>
                </wp:positionV>
                <wp:extent cx="5908675" cy="1136650"/>
                <wp:effectExtent l="0" t="0" r="15875" b="254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136650"/>
                        </a:xfrm>
                        <a:prstGeom prst="rect">
                          <a:avLst/>
                        </a:prstGeom>
                        <a:solidFill>
                          <a:srgbClr val="FFFFFF"/>
                        </a:solidFill>
                        <a:ln w="9525">
                          <a:solidFill>
                            <a:srgbClr val="000000"/>
                          </a:solidFill>
                          <a:miter lim="800000"/>
                          <a:headEnd/>
                          <a:tailEnd/>
                        </a:ln>
                      </wps:spPr>
                      <wps:txbx>
                        <w:txbxContent>
                          <w:p w14:paraId="6C776992" w14:textId="7D844D63" w:rsidR="004812BA" w:rsidRDefault="0032789D" w:rsidP="004812BA">
                            <w:r w:rsidRPr="0032789D">
                              <w:rPr>
                                <w:noProof/>
                              </w:rPr>
                              <w:drawing>
                                <wp:inline distT="0" distB="0" distL="0" distR="0" wp14:anchorId="1B13838C" wp14:editId="1FC6CF44">
                                  <wp:extent cx="5658929" cy="716859"/>
                                  <wp:effectExtent l="0" t="0" r="0" b="7620"/>
                                  <wp:docPr id="11297403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8929" cy="716859"/>
                                          </a:xfrm>
                                          <a:prstGeom prst="rect">
                                            <a:avLst/>
                                          </a:prstGeom>
                                          <a:noFill/>
                                          <a:ln>
                                            <a:noFill/>
                                          </a:ln>
                                        </pic:spPr>
                                      </pic:pic>
                                    </a:graphicData>
                                  </a:graphic>
                                </wp:inline>
                              </w:drawing>
                            </w:r>
                          </w:p>
                          <w:p w14:paraId="4BF5BB23" w14:textId="77777777" w:rsidR="004812BA" w:rsidRPr="00943E0E" w:rsidRDefault="004812BA" w:rsidP="004812BA">
                            <w:pPr>
                              <w:rPr>
                                <w:i/>
                                <w:iCs/>
                                <w:sz w:val="18"/>
                                <w:szCs w:val="18"/>
                              </w:rPr>
                            </w:pPr>
                            <w:r w:rsidRPr="00943E0E">
                              <w:rPr>
                                <w:i/>
                                <w:iCs/>
                                <w:sz w:val="18"/>
                                <w:szCs w:val="18"/>
                              </w:rPr>
                              <w:t>Note that Mobile Air Conditioning (MAC) data include both servicing and refrigerant charged in new vehicles</w:t>
                            </w:r>
                          </w:p>
                          <w:p w14:paraId="2D1909E1" w14:textId="77777777" w:rsidR="004812BA" w:rsidRPr="00D81864" w:rsidRDefault="004812BA" w:rsidP="004812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D099FC">
              <v:shape id="Text Box 15" style="position:absolute;margin-left:65pt;margin-top:24.55pt;width:465.25pt;height:89.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" w14:anchorId="09E11A7A">
                <v:textbox>
                  <w:txbxContent>
                    <w:p w:rsidR="004812BA" w:rsidP="004812BA" w:rsidRDefault="0032789D" w14:paraId="72A3D3EC" w14:textId="7D844D63">
                      <w:r w:rsidRPr="0032789D">
                        <w:rPr>
                          <w:noProof/>
                        </w:rPr>
                        <w:drawing>
                          <wp:inline distT="0" distB="0" distL="0" distR="0" wp14:anchorId="6A8B7D51" wp14:editId="1FC6CF44">
                            <wp:extent cx="5658929" cy="716859"/>
                            <wp:effectExtent l="0" t="0" r="0" b="7620"/>
                            <wp:docPr id="19246062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8929" cy="716859"/>
                                    </a:xfrm>
                                    <a:prstGeom prst="rect">
                                      <a:avLst/>
                                    </a:prstGeom>
                                    <a:noFill/>
                                    <a:ln>
                                      <a:noFill/>
                                    </a:ln>
                                  </pic:spPr>
                                </pic:pic>
                              </a:graphicData>
                            </a:graphic>
                          </wp:inline>
                        </w:drawing>
                      </w:r>
                    </w:p>
                    <w:p w:rsidRPr="00943E0E" w:rsidR="004812BA" w:rsidP="004812BA" w:rsidRDefault="004812BA" w14:paraId="13291CB7" w14:textId="77777777">
                      <w:pPr>
                        <w:rPr>
                          <w:i/>
                          <w:iCs/>
                          <w:sz w:val="18"/>
                          <w:szCs w:val="18"/>
                        </w:rPr>
                      </w:pPr>
                      <w:r w:rsidRPr="00943E0E">
                        <w:rPr>
                          <w:i/>
                          <w:iCs/>
                          <w:sz w:val="18"/>
                          <w:szCs w:val="18"/>
                        </w:rPr>
                        <w:t>Note that Mobile Air Conditioning (MAC) data include both servicing and refrigerant charged in new vehicles</w:t>
                      </w:r>
                    </w:p>
                    <w:p w:rsidRPr="00D81864" w:rsidR="004812BA" w:rsidP="004812BA" w:rsidRDefault="004812BA" w14:paraId="0D0B940D" w14:textId="77777777"/>
                  </w:txbxContent>
                </v:textbox>
                <w10:wrap type="square" anchorx="page"/>
              </v:shape>
            </w:pict>
          </mc:Fallback>
        </mc:AlternateContent>
      </w:r>
      <w:r w:rsidR="00B3229A" w:rsidRPr="00E42C5E">
        <w:rPr>
          <w:rFonts w:eastAsiaTheme="minorHAnsi"/>
          <w:b/>
          <w:bCs/>
        </w:rPr>
        <w:t xml:space="preserve">Table </w:t>
      </w:r>
      <w:r w:rsidR="00B3229A">
        <w:rPr>
          <w:rFonts w:eastAsiaTheme="minorHAnsi"/>
          <w:b/>
          <w:bCs/>
        </w:rPr>
        <w:t>A3.8</w:t>
      </w:r>
      <w:r w:rsidR="00FF681F">
        <w:rPr>
          <w:rFonts w:eastAsiaTheme="minorHAnsi"/>
          <w:b/>
          <w:bCs/>
        </w:rPr>
        <w:t>:</w:t>
      </w:r>
      <w:r w:rsidR="00B3229A" w:rsidRPr="00E42C5E">
        <w:rPr>
          <w:rFonts w:eastAsiaTheme="minorHAnsi"/>
          <w:b/>
          <w:bCs/>
        </w:rPr>
        <w:tab/>
      </w:r>
      <w:r w:rsidR="00B3229A" w:rsidRPr="00B3229A">
        <w:rPr>
          <w:rFonts w:eastAsia="Calibri"/>
          <w:b/>
          <w:bCs/>
          <w:color w:val="000000"/>
          <w:lang w:val="en-US"/>
        </w:rPr>
        <w:t xml:space="preserve">Market share of sectors using HFCs weighted by GWP </w:t>
      </w:r>
    </w:p>
    <w:p w14:paraId="741C8BD1" w14:textId="6B0D21A8" w:rsidR="004812BA" w:rsidRDefault="004812BA" w:rsidP="004812BA">
      <w:pPr>
        <w:spacing w:after="160" w:line="259" w:lineRule="auto"/>
        <w:contextualSpacing/>
        <w:rPr>
          <w:rFonts w:eastAsia="Calibri"/>
          <w:b/>
          <w:caps/>
          <w:lang w:val="en-US" w:eastAsia="nl-NL"/>
        </w:rPr>
      </w:pPr>
    </w:p>
    <w:p w14:paraId="19F5160F" w14:textId="7A9C6394" w:rsidR="00B668DD" w:rsidRPr="00CF74B7" w:rsidRDefault="00C3410F" w:rsidP="4BCEE662">
      <w:pPr>
        <w:tabs>
          <w:tab w:val="clear" w:pos="0"/>
        </w:tabs>
        <w:spacing w:after="0"/>
        <w:rPr>
          <w:color w:val="auto"/>
        </w:rPr>
      </w:pPr>
      <w:r>
        <w:rPr>
          <w:color w:val="auto"/>
        </w:rPr>
        <w:t>Clustered b</w:t>
      </w:r>
      <w:r w:rsidR="00527F5F">
        <w:rPr>
          <w:color w:val="auto"/>
        </w:rPr>
        <w:t>aseline calculations</w:t>
      </w:r>
      <w:r w:rsidR="4BCEE662" w:rsidRPr="4BCEE662">
        <w:rPr>
          <w:color w:val="auto"/>
        </w:rPr>
        <w:t xml:space="preserve"> rel</w:t>
      </w:r>
      <w:r w:rsidR="00527F5F">
        <w:rPr>
          <w:color w:val="auto"/>
        </w:rPr>
        <w:t>y</w:t>
      </w:r>
      <w:r w:rsidR="4BCEE662" w:rsidRPr="4BCEE662">
        <w:rPr>
          <w:color w:val="auto"/>
        </w:rPr>
        <w:t xml:space="preserve"> on a combination of reported A7 data, CP data, and </w:t>
      </w:r>
      <w:r w:rsidR="004A74CA">
        <w:rPr>
          <w:color w:val="auto"/>
        </w:rPr>
        <w:t>HCFC data</w:t>
      </w:r>
      <w:r w:rsidR="4BCEE662" w:rsidRPr="4BCEE662">
        <w:rPr>
          <w:color w:val="auto"/>
        </w:rPr>
        <w:t xml:space="preserve"> </w:t>
      </w:r>
      <w:r w:rsidR="005D1020">
        <w:rPr>
          <w:color w:val="auto"/>
        </w:rPr>
        <w:t>to create</w:t>
      </w:r>
      <w:r w:rsidR="4BCEE662" w:rsidRPr="4BCEE662">
        <w:rPr>
          <w:color w:val="auto"/>
        </w:rPr>
        <w:t xml:space="preserve"> estimates where reporting is incomplete. </w:t>
      </w:r>
      <w:r w:rsidR="00CE7075">
        <w:rPr>
          <w:color w:val="auto"/>
        </w:rPr>
        <w:t>There is</w:t>
      </w:r>
      <w:r w:rsidR="4BCEE662" w:rsidRPr="4BCEE662">
        <w:rPr>
          <w:color w:val="auto"/>
        </w:rPr>
        <w:t xml:space="preserve"> </w:t>
      </w:r>
      <w:r w:rsidR="003F490E">
        <w:rPr>
          <w:color w:val="auto"/>
        </w:rPr>
        <w:t>inherent</w:t>
      </w:r>
      <w:r w:rsidR="4BCEE662" w:rsidRPr="4BCEE662">
        <w:rPr>
          <w:color w:val="auto"/>
        </w:rPr>
        <w:t xml:space="preserve"> uncertainty </w:t>
      </w:r>
      <w:r w:rsidR="00444BC8">
        <w:rPr>
          <w:color w:val="auto"/>
        </w:rPr>
        <w:t xml:space="preserve">in baseline estimates </w:t>
      </w:r>
      <w:r w:rsidR="4BCEE662" w:rsidRPr="4BCEE662">
        <w:rPr>
          <w:color w:val="auto"/>
        </w:rPr>
        <w:t xml:space="preserve">for parties </w:t>
      </w:r>
      <w:r w:rsidR="00E81B38">
        <w:rPr>
          <w:color w:val="auto"/>
        </w:rPr>
        <w:t xml:space="preserve">that have </w:t>
      </w:r>
      <w:r w:rsidR="003426EE">
        <w:rPr>
          <w:color w:val="auto"/>
        </w:rPr>
        <w:t xml:space="preserve">not </w:t>
      </w:r>
      <w:r w:rsidR="00454684">
        <w:rPr>
          <w:color w:val="auto"/>
        </w:rPr>
        <w:t>reported baselines</w:t>
      </w:r>
      <w:r w:rsidR="4BCEE662" w:rsidRPr="4BCEE662">
        <w:rPr>
          <w:color w:val="auto"/>
        </w:rPr>
        <w:t xml:space="preserve">. </w:t>
      </w:r>
      <w:r w:rsidR="008C3D16">
        <w:rPr>
          <w:color w:val="auto"/>
        </w:rPr>
        <w:t>E</w:t>
      </w:r>
      <w:r w:rsidR="4BCEE662" w:rsidRPr="4BCEE662">
        <w:rPr>
          <w:color w:val="auto"/>
        </w:rPr>
        <w:t xml:space="preserve">stimates </w:t>
      </w:r>
      <w:r w:rsidR="00454684">
        <w:rPr>
          <w:color w:val="auto"/>
        </w:rPr>
        <w:t>are replaced by</w:t>
      </w:r>
      <w:r w:rsidR="4BCEE662" w:rsidRPr="4BCEE662">
        <w:rPr>
          <w:color w:val="auto"/>
        </w:rPr>
        <w:t xml:space="preserve"> report</w:t>
      </w:r>
      <w:r w:rsidR="00454684">
        <w:rPr>
          <w:color w:val="auto"/>
        </w:rPr>
        <w:t xml:space="preserve">ed </w:t>
      </w:r>
      <w:r w:rsidR="00AF5D42">
        <w:rPr>
          <w:color w:val="auto"/>
        </w:rPr>
        <w:t xml:space="preserve">baseline </w:t>
      </w:r>
      <w:r w:rsidR="00454684">
        <w:rPr>
          <w:color w:val="auto"/>
        </w:rPr>
        <w:t>data when it</w:t>
      </w:r>
      <w:r w:rsidR="4BCEE662" w:rsidRPr="4BCEE662">
        <w:rPr>
          <w:color w:val="auto"/>
        </w:rPr>
        <w:t xml:space="preserve"> becomes available.</w:t>
      </w:r>
    </w:p>
    <w:p w14:paraId="76C70F4E" w14:textId="77777777" w:rsidR="00B668DD" w:rsidRPr="00CF74B7" w:rsidRDefault="00B668DD" w:rsidP="4BCEE662">
      <w:pPr>
        <w:tabs>
          <w:tab w:val="clear" w:pos="0"/>
        </w:tabs>
        <w:spacing w:after="0"/>
        <w:rPr>
          <w:color w:val="auto"/>
        </w:rPr>
      </w:pPr>
    </w:p>
    <w:p w14:paraId="7472CE60" w14:textId="6EDD6C81" w:rsidR="00BD26AD" w:rsidRDefault="4BCEE662" w:rsidP="4BCEE662">
      <w:pPr>
        <w:tabs>
          <w:tab w:val="clear" w:pos="0"/>
        </w:tabs>
        <w:spacing w:after="0"/>
        <w:rPr>
          <w:color w:val="auto"/>
        </w:rPr>
      </w:pPr>
      <w:r w:rsidRPr="4BCEE662">
        <w:rPr>
          <w:color w:val="auto"/>
        </w:rPr>
        <w:lastRenderedPageBreak/>
        <w:t>The methodology described above provides a structured and consistent approach to addressing data gaps in HFC baseline estimat</w:t>
      </w:r>
      <w:r w:rsidR="00BF5050">
        <w:rPr>
          <w:color w:val="auto"/>
        </w:rPr>
        <w:t>es</w:t>
      </w:r>
      <w:r w:rsidRPr="4BCEE662">
        <w:rPr>
          <w:color w:val="auto"/>
        </w:rPr>
        <w:t xml:space="preserve"> for </w:t>
      </w:r>
      <w:r w:rsidR="00F05ED5">
        <w:rPr>
          <w:color w:val="auto"/>
        </w:rPr>
        <w:t>A5</w:t>
      </w:r>
      <w:r w:rsidRPr="4BCEE662">
        <w:rPr>
          <w:color w:val="auto"/>
        </w:rPr>
        <w:t xml:space="preserve"> parties. It ensures alignment with </w:t>
      </w:r>
      <w:r w:rsidR="00796613">
        <w:rPr>
          <w:color w:val="auto"/>
        </w:rPr>
        <w:t>KA</w:t>
      </w:r>
      <w:r w:rsidRPr="4BCEE662">
        <w:rPr>
          <w:color w:val="auto"/>
        </w:rPr>
        <w:t xml:space="preserve"> reporting requirements while maintaining comparability across parties with varying levels of data availability.</w:t>
      </w:r>
    </w:p>
    <w:p w14:paraId="4BD2A1A7" w14:textId="77777777" w:rsidR="00957F6E" w:rsidRDefault="00957F6E">
      <w:pPr>
        <w:tabs>
          <w:tab w:val="clear" w:pos="0"/>
        </w:tabs>
        <w:spacing w:after="0"/>
        <w:sectPr w:rsidR="00957F6E" w:rsidSect="00A80F64">
          <w:type w:val="oddPage"/>
          <w:pgSz w:w="11906" w:h="16838"/>
          <w:pgMar w:top="1411" w:right="1411" w:bottom="1411" w:left="1411" w:header="708" w:footer="708" w:gutter="0"/>
          <w:cols w:space="708"/>
          <w:docGrid w:linePitch="360"/>
        </w:sectPr>
      </w:pPr>
    </w:p>
    <w:p w14:paraId="09D746F8" w14:textId="2B12A957" w:rsidR="004812BA" w:rsidRPr="00BD26AD" w:rsidRDefault="6477E383" w:rsidP="005D31A7">
      <w:pPr>
        <w:pStyle w:val="Heading1"/>
      </w:pPr>
      <w:bookmarkStart w:id="378" w:name="_Toc230099164"/>
      <w:r w:rsidRPr="00BD26AD">
        <w:lastRenderedPageBreak/>
        <w:t>ANNEX 4:</w:t>
      </w:r>
      <w:r w:rsidR="00E64B5F">
        <w:t xml:space="preserve"> </w:t>
      </w:r>
      <w:r w:rsidRPr="00BD26AD">
        <w:t xml:space="preserve">METHODOLOGY TO ESTIMATE FUNDING REQUIREMENTS FOR HFC </w:t>
      </w:r>
      <w:r w:rsidR="2A62478C">
        <w:t>PHASE-DOWN</w:t>
      </w:r>
      <w:r w:rsidRPr="00BD26AD">
        <w:t xml:space="preserve"> IN THE CONSUMPTION SECTOR</w:t>
      </w:r>
      <w:bookmarkEnd w:id="378"/>
    </w:p>
    <w:p w14:paraId="3A422DD0" w14:textId="53ED8D05" w:rsidR="00453F29" w:rsidRPr="0052156F" w:rsidRDefault="00453F29" w:rsidP="00453F29">
      <w:pPr>
        <w:tabs>
          <w:tab w:val="clear" w:pos="0"/>
        </w:tabs>
        <w:spacing w:after="200"/>
        <w:rPr>
          <w:color w:val="000000"/>
        </w:rPr>
      </w:pPr>
      <w:r w:rsidRPr="00453F29">
        <w:rPr>
          <w:color w:val="000000"/>
          <w:lang w:val="en-US" w:eastAsia="nl-NL"/>
        </w:rPr>
        <w:t>This annex provides information on the estimated funding methodology for the HFC phasedown in the consumption sector.</w:t>
      </w:r>
      <w:r w:rsidRPr="00453F29">
        <w:rPr>
          <w:color w:val="000000"/>
          <w:lang w:val="en-US"/>
        </w:rPr>
        <w:t xml:space="preserve"> </w:t>
      </w:r>
      <w:r w:rsidRPr="0052156F">
        <w:rPr>
          <w:color w:val="000000"/>
        </w:rPr>
        <w:t xml:space="preserve">Funding estimates for the </w:t>
      </w:r>
      <w:r w:rsidR="006614C2">
        <w:rPr>
          <w:color w:val="000000"/>
        </w:rPr>
        <w:t>p</w:t>
      </w:r>
      <w:r w:rsidRPr="0052156F">
        <w:rPr>
          <w:color w:val="000000"/>
        </w:rPr>
        <w:t xml:space="preserve">roduction sector are dealt with in detail in Chapter </w:t>
      </w:r>
      <w:r w:rsidR="00375806" w:rsidRPr="0052156F">
        <w:rPr>
          <w:color w:val="000000"/>
        </w:rPr>
        <w:t>4</w:t>
      </w:r>
      <w:r w:rsidRPr="0052156F">
        <w:rPr>
          <w:color w:val="000000"/>
        </w:rPr>
        <w:t>.</w:t>
      </w:r>
    </w:p>
    <w:p w14:paraId="17E45E7B" w14:textId="77777777" w:rsidR="00453F29" w:rsidRPr="00453F29" w:rsidRDefault="00453F29" w:rsidP="0052156F">
      <w:pPr>
        <w:rPr>
          <w:color w:val="000000"/>
          <w:lang w:val="en-US" w:eastAsia="nl-NL"/>
        </w:rPr>
      </w:pPr>
      <w:r w:rsidRPr="00453F29">
        <w:rPr>
          <w:color w:val="000000"/>
          <w:lang w:val="en-US"/>
        </w:rPr>
        <w:t xml:space="preserve">For HFCs consumption, the assessment considers funding estimates for both Stage I and Stage II KIPs, to reach </w:t>
      </w:r>
      <w:r w:rsidRPr="00453F29">
        <w:rPr>
          <w:color w:val="000000"/>
        </w:rPr>
        <w:t>compliance targets for the 2027-2029 and next two triennia as follows</w:t>
      </w:r>
      <w:r w:rsidRPr="00453F29">
        <w:rPr>
          <w:color w:val="000000"/>
          <w:lang w:val="en-US"/>
        </w:rPr>
        <w:t>:</w:t>
      </w:r>
    </w:p>
    <w:p w14:paraId="2F0946F6" w14:textId="317EE52B" w:rsidR="00453F29" w:rsidRPr="00453F29" w:rsidRDefault="00453F29" w:rsidP="000E79CB">
      <w:pPr>
        <w:numPr>
          <w:ilvl w:val="0"/>
          <w:numId w:val="6"/>
        </w:numPr>
        <w:tabs>
          <w:tab w:val="clear" w:pos="0"/>
        </w:tabs>
        <w:spacing w:after="200"/>
        <w:rPr>
          <w:color w:val="000000"/>
        </w:rPr>
      </w:pPr>
      <w:r w:rsidRPr="5AD5DB8B">
        <w:t>G1 parties: a 10% reduction from baseline by 1 January 2029 and a 30% reduction from baseline by 1 January 2035</w:t>
      </w:r>
    </w:p>
    <w:p w14:paraId="11F420A4" w14:textId="6C2A7C02" w:rsidR="00453F29" w:rsidRPr="00453F29" w:rsidRDefault="00453F29" w:rsidP="000E79CB">
      <w:pPr>
        <w:numPr>
          <w:ilvl w:val="0"/>
          <w:numId w:val="6"/>
        </w:numPr>
        <w:tabs>
          <w:tab w:val="clear" w:pos="0"/>
        </w:tabs>
        <w:spacing w:after="200"/>
        <w:rPr>
          <w:color w:val="000000"/>
        </w:rPr>
      </w:pPr>
      <w:r w:rsidRPr="00453F29">
        <w:rPr>
          <w:color w:val="000000"/>
        </w:rPr>
        <w:t>G2 parties: a freeze of production and consumption by 1 January 2028; and a 10% reduction from baseline by 1 January 2032.</w:t>
      </w:r>
    </w:p>
    <w:p w14:paraId="5D94DBD0" w14:textId="5E9499E2" w:rsidR="00453F29" w:rsidRPr="00453F29" w:rsidRDefault="00453F29" w:rsidP="00453F29">
      <w:pPr>
        <w:rPr>
          <w:color w:val="000000"/>
        </w:rPr>
      </w:pPr>
      <w:r w:rsidRPr="00453F29">
        <w:rPr>
          <w:color w:val="000000"/>
        </w:rPr>
        <w:t xml:space="preserve">The estimate for the HFC phase-down funding requirement for the 2027-2029 triennium and future triennia, 2030-2032 and 2033-2035, is based on A5 parties meeting the relevant G1 or G2 reduction targets. </w:t>
      </w:r>
    </w:p>
    <w:p w14:paraId="32C1A928" w14:textId="77777777" w:rsidR="00453F29" w:rsidRPr="00453F29" w:rsidRDefault="00453F29" w:rsidP="00453F29">
      <w:pPr>
        <w:rPr>
          <w:color w:val="000000"/>
        </w:rPr>
      </w:pPr>
      <w:r w:rsidRPr="00453F29">
        <w:rPr>
          <w:color w:val="000000"/>
        </w:rPr>
        <w:t>The estimated funding requirement for the HFC consumption sectors include the following:</w:t>
      </w:r>
    </w:p>
    <w:p w14:paraId="4A834144" w14:textId="2BB674B8" w:rsidR="00453F29" w:rsidRPr="00453F29" w:rsidRDefault="00453F29" w:rsidP="000E79CB">
      <w:pPr>
        <w:numPr>
          <w:ilvl w:val="0"/>
          <w:numId w:val="6"/>
        </w:numPr>
        <w:tabs>
          <w:tab w:val="clear" w:pos="0"/>
        </w:tabs>
        <w:spacing w:after="120"/>
        <w:rPr>
          <w:color w:val="000000"/>
        </w:rPr>
      </w:pPr>
      <w:r w:rsidRPr="00453F29">
        <w:rPr>
          <w:color w:val="000000"/>
        </w:rPr>
        <w:t>Funding committed for approved KIPs;</w:t>
      </w:r>
    </w:p>
    <w:p w14:paraId="286BB076" w14:textId="77777777" w:rsidR="00453F29" w:rsidRPr="00453F29" w:rsidRDefault="00453F29" w:rsidP="000E79CB">
      <w:pPr>
        <w:numPr>
          <w:ilvl w:val="0"/>
          <w:numId w:val="6"/>
        </w:numPr>
        <w:tabs>
          <w:tab w:val="clear" w:pos="0"/>
        </w:tabs>
        <w:spacing w:after="120"/>
        <w:rPr>
          <w:color w:val="000000"/>
        </w:rPr>
      </w:pPr>
      <w:r w:rsidRPr="00453F29">
        <w:rPr>
          <w:color w:val="000000"/>
        </w:rPr>
        <w:t>Funding for project preparation costs;</w:t>
      </w:r>
    </w:p>
    <w:p w14:paraId="465D61C7" w14:textId="77777777" w:rsidR="00453F29" w:rsidRPr="00453F29" w:rsidRDefault="00453F29" w:rsidP="000E79CB">
      <w:pPr>
        <w:numPr>
          <w:ilvl w:val="0"/>
          <w:numId w:val="6"/>
        </w:numPr>
        <w:tabs>
          <w:tab w:val="clear" w:pos="0"/>
        </w:tabs>
        <w:spacing w:after="120"/>
        <w:rPr>
          <w:color w:val="000000"/>
        </w:rPr>
      </w:pPr>
      <w:r w:rsidRPr="00453F29">
        <w:rPr>
          <w:color w:val="000000"/>
        </w:rPr>
        <w:t>Funding estimated for new KIPs;</w:t>
      </w:r>
    </w:p>
    <w:p w14:paraId="077CF101" w14:textId="78F08CED" w:rsidR="00453F29" w:rsidRPr="00453F29" w:rsidRDefault="00453F29" w:rsidP="000E79CB">
      <w:pPr>
        <w:numPr>
          <w:ilvl w:val="0"/>
          <w:numId w:val="6"/>
        </w:numPr>
        <w:tabs>
          <w:tab w:val="clear" w:pos="0"/>
        </w:tabs>
        <w:spacing w:after="120"/>
        <w:rPr>
          <w:color w:val="000000"/>
        </w:rPr>
      </w:pPr>
      <w:r w:rsidRPr="5AD5DB8B">
        <w:t xml:space="preserve">Funding for </w:t>
      </w:r>
      <w:r w:rsidR="00D02C1C">
        <w:t>EE</w:t>
      </w:r>
      <w:r w:rsidRPr="5AD5DB8B">
        <w:t xml:space="preserve"> (ExCom Decision 91/65, 94/60 and 91/65</w:t>
      </w:r>
      <w:r w:rsidR="5AD5DB8B" w:rsidRPr="5AD5DB8B">
        <w:t>);</w:t>
      </w:r>
    </w:p>
    <w:p w14:paraId="5F366171" w14:textId="77777777" w:rsidR="00453F29" w:rsidRPr="00453F29" w:rsidRDefault="00453F29" w:rsidP="000E79CB">
      <w:pPr>
        <w:numPr>
          <w:ilvl w:val="0"/>
          <w:numId w:val="6"/>
        </w:numPr>
        <w:tabs>
          <w:tab w:val="clear" w:pos="0"/>
        </w:tabs>
        <w:spacing w:after="120"/>
        <w:rPr>
          <w:color w:val="000000"/>
        </w:rPr>
      </w:pPr>
      <w:r w:rsidRPr="00453F29">
        <w:rPr>
          <w:color w:val="000000"/>
        </w:rPr>
        <w:t>Funding for KIP verification.</w:t>
      </w:r>
    </w:p>
    <w:p w14:paraId="44452117" w14:textId="05F7369E" w:rsidR="00453F29" w:rsidRPr="00453F29" w:rsidRDefault="00453F29" w:rsidP="00453F29">
      <w:pPr>
        <w:keepNext/>
        <w:keepLines/>
        <w:spacing w:before="160" w:after="80"/>
        <w:outlineLvl w:val="1"/>
        <w:rPr>
          <w:rFonts w:eastAsia="Calibri"/>
          <w:b/>
          <w:bCs/>
          <w:color w:val="000000"/>
          <w:lang w:val="en-US"/>
        </w:rPr>
      </w:pPr>
      <w:bookmarkStart w:id="379" w:name="_Toc228510621"/>
      <w:bookmarkStart w:id="380" w:name="_Toc230099165"/>
      <w:r w:rsidRPr="0052156F">
        <w:rPr>
          <w:rFonts w:eastAsia="Calibri"/>
          <w:b/>
          <w:bCs/>
          <w:color w:val="000000"/>
          <w:lang w:val="en-US"/>
        </w:rPr>
        <w:t>A</w:t>
      </w:r>
      <w:r w:rsidR="0052156F" w:rsidRPr="0052156F">
        <w:rPr>
          <w:rFonts w:eastAsia="Calibri"/>
          <w:b/>
          <w:bCs/>
          <w:color w:val="000000"/>
          <w:lang w:val="en-US"/>
        </w:rPr>
        <w:t>4</w:t>
      </w:r>
      <w:r w:rsidRPr="0052156F">
        <w:rPr>
          <w:rFonts w:eastAsia="Calibri"/>
          <w:b/>
          <w:bCs/>
          <w:color w:val="000000"/>
          <w:lang w:val="en-US"/>
        </w:rPr>
        <w:t>.1</w:t>
      </w:r>
      <w:r w:rsidR="009C3C8F">
        <w:rPr>
          <w:rFonts w:eastAsia="Calibri"/>
          <w:b/>
          <w:bCs/>
          <w:color w:val="000000"/>
          <w:lang w:val="en-US"/>
        </w:rPr>
        <w:tab/>
      </w:r>
      <w:r w:rsidRPr="0052156F">
        <w:rPr>
          <w:rFonts w:eastAsia="Calibri"/>
          <w:b/>
          <w:bCs/>
          <w:color w:val="000000"/>
          <w:lang w:val="en-US"/>
        </w:rPr>
        <w:t>Sources</w:t>
      </w:r>
      <w:r w:rsidRPr="00453F29">
        <w:rPr>
          <w:rFonts w:eastAsia="Calibri"/>
          <w:b/>
          <w:bCs/>
          <w:color w:val="000000"/>
          <w:lang w:val="en-US"/>
        </w:rPr>
        <w:t xml:space="preserve"> of Information</w:t>
      </w:r>
      <w:bookmarkEnd w:id="379"/>
      <w:bookmarkEnd w:id="380"/>
    </w:p>
    <w:p w14:paraId="2B133E8E" w14:textId="77777777" w:rsidR="00453F29" w:rsidRPr="00453F29" w:rsidRDefault="00453F29" w:rsidP="00BA20A0">
      <w:pPr>
        <w:snapToGrid w:val="0"/>
        <w:spacing w:before="100" w:beforeAutospacing="1" w:after="100" w:afterAutospacing="1"/>
        <w:contextualSpacing/>
        <w:rPr>
          <w:color w:val="000000"/>
          <w:lang w:val="en-US"/>
        </w:rPr>
      </w:pPr>
      <w:r w:rsidRPr="00453F29">
        <w:rPr>
          <w:color w:val="000000"/>
          <w:lang w:val="en-US"/>
        </w:rPr>
        <w:t>The RTF modelling approach consolidates data from the following sources:</w:t>
      </w:r>
    </w:p>
    <w:p w14:paraId="1C53A734" w14:textId="6AAD3F71" w:rsidR="00453F29" w:rsidRPr="00453F29" w:rsidRDefault="00453F29" w:rsidP="000E79CB">
      <w:pPr>
        <w:numPr>
          <w:ilvl w:val="0"/>
          <w:numId w:val="35"/>
        </w:numPr>
        <w:tabs>
          <w:tab w:val="clear" w:pos="0"/>
        </w:tabs>
        <w:snapToGrid w:val="0"/>
        <w:spacing w:before="100" w:beforeAutospacing="1" w:after="100" w:afterAutospacing="1"/>
        <w:contextualSpacing/>
        <w:rPr>
          <w:color w:val="000000"/>
          <w:lang w:val="en-US"/>
        </w:rPr>
      </w:pPr>
      <w:r w:rsidRPr="5AD5DB8B">
        <w:rPr>
          <w:lang w:val="en-US"/>
        </w:rPr>
        <w:t xml:space="preserve">A7 consumption data reported to the </w:t>
      </w:r>
      <w:r w:rsidR="00185768">
        <w:rPr>
          <w:lang w:val="en-US"/>
        </w:rPr>
        <w:t>OS</w:t>
      </w:r>
      <w:r w:rsidRPr="5AD5DB8B">
        <w:rPr>
          <w:lang w:val="en-US"/>
        </w:rPr>
        <w:t>, current as of January 2026</w:t>
      </w:r>
      <w:r w:rsidR="5AD5DB8B" w:rsidRPr="5AD5DB8B">
        <w:rPr>
          <w:lang w:val="en-US"/>
        </w:rPr>
        <w:t>;</w:t>
      </w:r>
    </w:p>
    <w:p w14:paraId="504232A8" w14:textId="6FA85E7B" w:rsidR="00453F29" w:rsidRPr="00453F29" w:rsidRDefault="00453F29" w:rsidP="000E79CB">
      <w:pPr>
        <w:numPr>
          <w:ilvl w:val="0"/>
          <w:numId w:val="35"/>
        </w:numPr>
        <w:tabs>
          <w:tab w:val="clear" w:pos="0"/>
        </w:tabs>
        <w:snapToGrid w:val="0"/>
        <w:spacing w:before="100" w:beforeAutospacing="1" w:after="100" w:afterAutospacing="1"/>
        <w:contextualSpacing/>
        <w:rPr>
          <w:color w:val="000000"/>
          <w:lang w:val="en-US"/>
        </w:rPr>
      </w:pPr>
      <w:r w:rsidRPr="5AD5DB8B">
        <w:rPr>
          <w:lang w:val="en-US"/>
        </w:rPr>
        <w:t>CP data submitted to the MLFS, as of 13 January 2026</w:t>
      </w:r>
      <w:r w:rsidR="5AD5DB8B" w:rsidRPr="5AD5DB8B">
        <w:rPr>
          <w:lang w:val="en-US"/>
        </w:rPr>
        <w:t>;</w:t>
      </w:r>
    </w:p>
    <w:p w14:paraId="169E3CC9" w14:textId="4E1D01CE" w:rsidR="00453F29" w:rsidRPr="00453F29" w:rsidRDefault="00453F29" w:rsidP="000E79CB">
      <w:pPr>
        <w:numPr>
          <w:ilvl w:val="0"/>
          <w:numId w:val="35"/>
        </w:numPr>
        <w:tabs>
          <w:tab w:val="clear" w:pos="0"/>
        </w:tabs>
        <w:snapToGrid w:val="0"/>
        <w:spacing w:before="100" w:beforeAutospacing="1" w:after="100" w:afterAutospacing="1"/>
        <w:contextualSpacing/>
        <w:rPr>
          <w:color w:val="000000"/>
          <w:lang w:val="en-US"/>
        </w:rPr>
      </w:pPr>
      <w:r w:rsidRPr="5AD5DB8B">
        <w:rPr>
          <w:lang w:val="en-US"/>
        </w:rPr>
        <w:t xml:space="preserve">MLFS provided information on approved KIPs, including agreed reduction from the baseline consumption, funding and tranche schedules, project preparation and verification, and information on </w:t>
      </w:r>
      <w:r w:rsidR="00227FB8">
        <w:rPr>
          <w:lang w:val="en-US"/>
        </w:rPr>
        <w:t>EE</w:t>
      </w:r>
      <w:r w:rsidRPr="5AD5DB8B">
        <w:rPr>
          <w:lang w:val="en-US"/>
        </w:rPr>
        <w:t xml:space="preserve"> and status of funding windows</w:t>
      </w:r>
      <w:r w:rsidR="5AD5DB8B" w:rsidRPr="5AD5DB8B">
        <w:rPr>
          <w:lang w:val="en-US"/>
        </w:rPr>
        <w:t>;</w:t>
      </w:r>
    </w:p>
    <w:p w14:paraId="4F8EB81F" w14:textId="3D1F9903" w:rsidR="00453F29" w:rsidRPr="00453F29" w:rsidRDefault="00227FB8" w:rsidP="000E79CB">
      <w:pPr>
        <w:numPr>
          <w:ilvl w:val="0"/>
          <w:numId w:val="35"/>
        </w:numPr>
        <w:tabs>
          <w:tab w:val="clear" w:pos="0"/>
        </w:tabs>
        <w:snapToGrid w:val="0"/>
        <w:spacing w:before="100" w:beforeAutospacing="1" w:after="100" w:afterAutospacing="1"/>
        <w:contextualSpacing/>
        <w:rPr>
          <w:color w:val="000000"/>
          <w:lang w:val="en-US"/>
        </w:rPr>
      </w:pPr>
      <w:r>
        <w:rPr>
          <w:lang w:val="en-US"/>
        </w:rPr>
        <w:t>ExCom</w:t>
      </w:r>
      <w:r w:rsidR="00453F29" w:rsidRPr="5AD5DB8B">
        <w:rPr>
          <w:lang w:val="en-US"/>
        </w:rPr>
        <w:t xml:space="preserve"> documents and decisions, including cost guidelines, up to and including </w:t>
      </w:r>
      <w:r w:rsidR="007F2D56">
        <w:rPr>
          <w:lang w:val="en-US"/>
        </w:rPr>
        <w:t>ExCom-97</w:t>
      </w:r>
      <w:r w:rsidR="5AD5DB8B" w:rsidRPr="5AD5DB8B">
        <w:rPr>
          <w:lang w:val="en-US"/>
        </w:rPr>
        <w:t>;</w:t>
      </w:r>
    </w:p>
    <w:p w14:paraId="313A5395" w14:textId="4F43F445" w:rsidR="00453F29" w:rsidRPr="00453F29" w:rsidRDefault="00453F29" w:rsidP="000E79CB">
      <w:pPr>
        <w:numPr>
          <w:ilvl w:val="0"/>
          <w:numId w:val="35"/>
        </w:numPr>
        <w:tabs>
          <w:tab w:val="clear" w:pos="0"/>
        </w:tabs>
        <w:snapToGrid w:val="0"/>
        <w:spacing w:before="100" w:beforeAutospacing="1" w:after="100" w:afterAutospacing="1"/>
        <w:contextualSpacing/>
        <w:rPr>
          <w:rFonts w:eastAsia="Calibri"/>
          <w:color w:val="000000"/>
          <w:lang w:val="en-US"/>
        </w:rPr>
      </w:pPr>
      <w:r w:rsidRPr="5AD5DB8B">
        <w:rPr>
          <w:rFonts w:eastAsia="Calibri"/>
          <w:lang w:val="en-US"/>
        </w:rPr>
        <w:t>Classification of LVCs based on HFC baseline consumption</w:t>
      </w:r>
      <w:r w:rsidR="5AD5DB8B" w:rsidRPr="5AD5DB8B">
        <w:rPr>
          <w:rFonts w:eastAsia="Calibri"/>
          <w:lang w:val="en-US"/>
        </w:rPr>
        <w:t>;</w:t>
      </w:r>
    </w:p>
    <w:p w14:paraId="25A53833" w14:textId="61C67ED7" w:rsidR="00453F29" w:rsidRPr="00453F29" w:rsidRDefault="00453F29" w:rsidP="000E79CB">
      <w:pPr>
        <w:numPr>
          <w:ilvl w:val="0"/>
          <w:numId w:val="35"/>
        </w:numPr>
        <w:tabs>
          <w:tab w:val="clear" w:pos="0"/>
        </w:tabs>
        <w:snapToGrid w:val="0"/>
        <w:spacing w:before="100" w:beforeAutospacing="1" w:after="100" w:afterAutospacing="1"/>
        <w:contextualSpacing/>
        <w:rPr>
          <w:rFonts w:eastAsia="Calibri"/>
          <w:lang w:val="en-US"/>
        </w:rPr>
      </w:pPr>
      <w:r w:rsidRPr="5AD5DB8B">
        <w:rPr>
          <w:rFonts w:eastAsia="Calibri"/>
          <w:lang w:val="en-US"/>
        </w:rPr>
        <w:t>BP, used to inform RTF on future requests to I</w:t>
      </w:r>
      <w:r w:rsidR="004626BF">
        <w:rPr>
          <w:rFonts w:eastAsia="Calibri"/>
          <w:lang w:val="en-US"/>
        </w:rPr>
        <w:t>As</w:t>
      </w:r>
      <w:r w:rsidRPr="5AD5DB8B">
        <w:rPr>
          <w:rFonts w:eastAsia="Calibri"/>
          <w:lang w:val="en-US"/>
        </w:rPr>
        <w:t xml:space="preserve"> for projects to be submitted to MLFS, therefore guiding RTF to forecast potential </w:t>
      </w:r>
      <w:r w:rsidRPr="5AD5DB8B">
        <w:rPr>
          <w:rFonts w:eastAsia="Calibri"/>
          <w:u w:val="single"/>
          <w:lang w:val="en-US"/>
        </w:rPr>
        <w:t>new</w:t>
      </w:r>
      <w:r w:rsidRPr="5AD5DB8B">
        <w:rPr>
          <w:rFonts w:eastAsia="Calibri"/>
          <w:lang w:val="en-US"/>
        </w:rPr>
        <w:t xml:space="preserve"> funding </w:t>
      </w:r>
      <w:r w:rsidR="548BBB9B" w:rsidRPr="548BBB9B">
        <w:rPr>
          <w:rFonts w:eastAsia="Calibri"/>
          <w:lang w:val="en-US"/>
        </w:rPr>
        <w:t>needed;</w:t>
      </w:r>
    </w:p>
    <w:p w14:paraId="4E69B16D" w14:textId="4F9244BD" w:rsidR="00453F29" w:rsidRPr="00453F29" w:rsidRDefault="00453F29" w:rsidP="000E79CB">
      <w:pPr>
        <w:numPr>
          <w:ilvl w:val="0"/>
          <w:numId w:val="35"/>
        </w:numPr>
        <w:tabs>
          <w:tab w:val="clear" w:pos="0"/>
        </w:tabs>
        <w:snapToGrid w:val="0"/>
        <w:spacing w:before="100" w:beforeAutospacing="1" w:after="100" w:afterAutospacing="1"/>
        <w:contextualSpacing/>
        <w:rPr>
          <w:rFonts w:eastAsia="Calibri"/>
          <w:color w:val="000000"/>
          <w:lang w:val="en-US"/>
        </w:rPr>
      </w:pPr>
      <w:r w:rsidRPr="00453F29">
        <w:rPr>
          <w:rFonts w:eastAsia="Calibri"/>
          <w:color w:val="000000"/>
          <w:lang w:val="en-US"/>
        </w:rPr>
        <w:t xml:space="preserve">Parties’ </w:t>
      </w:r>
      <w:r w:rsidR="0001267E">
        <w:rPr>
          <w:rFonts w:eastAsia="Calibri"/>
          <w:color w:val="000000"/>
          <w:lang w:val="en-US"/>
        </w:rPr>
        <w:t>KA</w:t>
      </w:r>
      <w:r w:rsidRPr="00453F29">
        <w:rPr>
          <w:rFonts w:eastAsia="Calibri"/>
          <w:color w:val="000000"/>
          <w:lang w:val="en-US"/>
        </w:rPr>
        <w:t xml:space="preserve"> ratification </w:t>
      </w:r>
      <w:r w:rsidRPr="0052156F">
        <w:rPr>
          <w:rFonts w:eastAsia="Calibri"/>
          <w:color w:val="000000"/>
          <w:lang w:val="en-US"/>
        </w:rPr>
        <w:t>status as of 8 April 2026</w:t>
      </w:r>
      <w:r w:rsidR="0052156F" w:rsidRPr="0052156F">
        <w:rPr>
          <w:rFonts w:eastAsia="Calibri"/>
          <w:color w:val="000000"/>
          <w:lang w:val="en-US"/>
        </w:rPr>
        <w:t>.</w:t>
      </w:r>
    </w:p>
    <w:p w14:paraId="47C88594" w14:textId="77777777" w:rsidR="00453F29" w:rsidRPr="00453F29" w:rsidRDefault="00453F29" w:rsidP="00453F29">
      <w:pPr>
        <w:snapToGrid w:val="0"/>
        <w:spacing w:before="100" w:beforeAutospacing="1" w:after="100" w:afterAutospacing="1"/>
        <w:contextualSpacing/>
        <w:rPr>
          <w:color w:val="000000"/>
          <w:lang w:val="en-US"/>
        </w:rPr>
      </w:pPr>
    </w:p>
    <w:p w14:paraId="72B95694" w14:textId="609D7CF9" w:rsidR="00453F29" w:rsidRPr="00453F29" w:rsidRDefault="00453F29" w:rsidP="00453F29">
      <w:pPr>
        <w:keepNext/>
        <w:keepLines/>
        <w:snapToGrid w:val="0"/>
        <w:spacing w:beforeAutospacing="1" w:after="0" w:afterAutospacing="1"/>
        <w:contextualSpacing/>
        <w:outlineLvl w:val="1"/>
        <w:rPr>
          <w:color w:val="000000"/>
          <w:lang w:val="en-US"/>
        </w:rPr>
      </w:pPr>
      <w:bookmarkStart w:id="381" w:name="_Toc228510622"/>
      <w:bookmarkStart w:id="382" w:name="_Toc230099166"/>
      <w:r w:rsidRPr="0052156F">
        <w:rPr>
          <w:b/>
          <w:color w:val="000000"/>
          <w:lang w:val="en-US"/>
        </w:rPr>
        <w:t>A</w:t>
      </w:r>
      <w:r w:rsidR="0052156F" w:rsidRPr="0052156F">
        <w:rPr>
          <w:b/>
          <w:color w:val="000000"/>
          <w:lang w:val="en-US"/>
        </w:rPr>
        <w:t>4</w:t>
      </w:r>
      <w:r w:rsidRPr="0052156F">
        <w:rPr>
          <w:b/>
          <w:color w:val="000000"/>
          <w:lang w:val="en-US"/>
        </w:rPr>
        <w:t>.2</w:t>
      </w:r>
      <w:r w:rsidRPr="00453F29">
        <w:rPr>
          <w:color w:val="000000"/>
        </w:rPr>
        <w:tab/>
      </w:r>
      <w:r w:rsidRPr="00453F29">
        <w:rPr>
          <w:b/>
          <w:color w:val="000000"/>
          <w:lang w:val="en-US"/>
        </w:rPr>
        <w:t>HFC Phase</w:t>
      </w:r>
      <w:r w:rsidR="009232B7">
        <w:rPr>
          <w:b/>
          <w:color w:val="000000"/>
          <w:lang w:val="en-US"/>
        </w:rPr>
        <w:t>-d</w:t>
      </w:r>
      <w:r w:rsidRPr="00453F29">
        <w:rPr>
          <w:b/>
          <w:color w:val="000000"/>
          <w:lang w:val="en-US"/>
        </w:rPr>
        <w:t>own Funding Methodology for the Consumption Sector</w:t>
      </w:r>
      <w:bookmarkEnd w:id="381"/>
      <w:bookmarkEnd w:id="382"/>
    </w:p>
    <w:p w14:paraId="4B3B6779" w14:textId="77777777" w:rsidR="00453F29" w:rsidRPr="00453F29" w:rsidRDefault="00453F29" w:rsidP="00453F29">
      <w:pPr>
        <w:snapToGrid w:val="0"/>
        <w:spacing w:before="100" w:beforeAutospacing="1" w:after="100" w:afterAutospacing="1"/>
        <w:contextualSpacing/>
        <w:rPr>
          <w:color w:val="000000"/>
          <w:lang w:val="en-US"/>
        </w:rPr>
      </w:pPr>
    </w:p>
    <w:p w14:paraId="40FD629A" w14:textId="26D5DF0D" w:rsidR="00453F29" w:rsidRPr="00453F29" w:rsidRDefault="00453F29" w:rsidP="00453F29">
      <w:pPr>
        <w:spacing w:line="259" w:lineRule="auto"/>
        <w:rPr>
          <w:color w:val="000000"/>
        </w:rPr>
      </w:pPr>
      <w:r w:rsidRPr="00453F29">
        <w:rPr>
          <w:color w:val="000000"/>
        </w:rPr>
        <w:t>The RTF compliance model methodology calculates funding needs for addressing both 10% reduction from the baseline by 2029 (Stage I KIP) and 30% reduction by 2035 (Stage II KIP) for G1 parties, plus, a freeze by 2028 and a 10% reduction from the baseline by 2032 for G2 parties (Stage I KIP). The Stage I and II total funding estimates were then allocated among the three triennia for the period between 2027 and 2035</w:t>
      </w:r>
      <w:r w:rsidRPr="00453F29">
        <w:rPr>
          <w:i/>
          <w:color w:val="000000"/>
        </w:rPr>
        <w:t xml:space="preserve"> </w:t>
      </w:r>
      <w:r w:rsidRPr="00453F29">
        <w:rPr>
          <w:color w:val="000000"/>
        </w:rPr>
        <w:t xml:space="preserve">covering different compliance targets for G1 and </w:t>
      </w:r>
      <w:r w:rsidR="00C838A1">
        <w:rPr>
          <w:color w:val="000000"/>
        </w:rPr>
        <w:t>G</w:t>
      </w:r>
      <w:r w:rsidRPr="00453F29">
        <w:rPr>
          <w:color w:val="000000"/>
        </w:rPr>
        <w:t xml:space="preserve">2 and addressing the diversity of national circumstances and different </w:t>
      </w:r>
      <w:r w:rsidR="00067D1B">
        <w:rPr>
          <w:color w:val="000000"/>
        </w:rPr>
        <w:t>g</w:t>
      </w:r>
      <w:r w:rsidRPr="00453F29">
        <w:rPr>
          <w:color w:val="000000"/>
        </w:rPr>
        <w:t>roups</w:t>
      </w:r>
      <w:r w:rsidR="00067D1B">
        <w:rPr>
          <w:color w:val="000000"/>
        </w:rPr>
        <w:t>’</w:t>
      </w:r>
      <w:r w:rsidRPr="00453F29">
        <w:rPr>
          <w:color w:val="000000"/>
        </w:rPr>
        <w:t xml:space="preserve"> control targets. Two resource allocation proposals (A and B) are also suggested.</w:t>
      </w:r>
    </w:p>
    <w:p w14:paraId="53BC7906" w14:textId="72D6E54A" w:rsidR="00453F29" w:rsidRPr="00453F29" w:rsidRDefault="4BCEE662" w:rsidP="00453F29">
      <w:pPr>
        <w:spacing w:line="259" w:lineRule="auto"/>
        <w:rPr>
          <w:color w:val="000000"/>
        </w:rPr>
      </w:pPr>
      <w:r w:rsidRPr="4BCEE662">
        <w:lastRenderedPageBreak/>
        <w:t xml:space="preserve">The RTF compliance model to estimate required total funding requirements for both Stage I and II for 3 triennia (9-year period) and also provides a funding range based on </w:t>
      </w:r>
      <w:r w:rsidRPr="4BCEE662">
        <w:rPr>
          <w:b/>
          <w:bCs/>
        </w:rPr>
        <w:t xml:space="preserve">two </w:t>
      </w:r>
      <w:r w:rsidR="0043637E">
        <w:rPr>
          <w:b/>
          <w:bCs/>
        </w:rPr>
        <w:t>s</w:t>
      </w:r>
      <w:r w:rsidRPr="4BCEE662">
        <w:rPr>
          <w:b/>
          <w:bCs/>
        </w:rPr>
        <w:t xml:space="preserve">cenarios. </w:t>
      </w:r>
      <w:r w:rsidRPr="4BCEE662">
        <w:t>The model takes into consideration each individual country reduction addressed under a KIP.</w:t>
      </w:r>
    </w:p>
    <w:p w14:paraId="007BB52C" w14:textId="6CE7C8C0" w:rsidR="00453F29" w:rsidRPr="00453F29" w:rsidRDefault="00453F29" w:rsidP="00453F29">
      <w:pPr>
        <w:snapToGrid w:val="0"/>
        <w:spacing w:before="100" w:beforeAutospacing="1" w:after="0" w:afterAutospacing="1"/>
        <w:contextualSpacing/>
        <w:rPr>
          <w:color w:val="000000"/>
          <w:lang w:val="en-US"/>
        </w:rPr>
      </w:pPr>
      <w:r w:rsidRPr="00453F29">
        <w:rPr>
          <w:color w:val="000000"/>
          <w:lang w:val="en-US"/>
        </w:rPr>
        <w:t xml:space="preserve">For this assessment, the RTF estimated funding approach grouped parties following their KIPs status </w:t>
      </w:r>
      <w:r w:rsidR="00380596">
        <w:rPr>
          <w:color w:val="000000"/>
          <w:lang w:val="en-US"/>
        </w:rPr>
        <w:t>according to</w:t>
      </w:r>
      <w:r w:rsidR="00380596" w:rsidRPr="00453F29">
        <w:rPr>
          <w:color w:val="000000"/>
          <w:lang w:val="en-US"/>
        </w:rPr>
        <w:t xml:space="preserve"> </w:t>
      </w:r>
      <w:r w:rsidRPr="00453F29">
        <w:rPr>
          <w:color w:val="000000"/>
          <w:lang w:val="en-US"/>
        </w:rPr>
        <w:t>the steps below:</w:t>
      </w:r>
    </w:p>
    <w:p w14:paraId="24E2123B" w14:textId="77777777" w:rsidR="00453F29" w:rsidRPr="00453F29" w:rsidRDefault="00453F29" w:rsidP="00453F29">
      <w:pPr>
        <w:spacing w:after="0"/>
        <w:rPr>
          <w:b/>
          <w:bCs/>
          <w:color w:val="000000"/>
          <w:lang w:val="en-US"/>
        </w:rPr>
      </w:pPr>
    </w:p>
    <w:p w14:paraId="1DE3FBD0" w14:textId="013BC122" w:rsidR="002F6DD3" w:rsidRDefault="00453F29" w:rsidP="00453F29">
      <w:pPr>
        <w:spacing w:after="0"/>
        <w:rPr>
          <w:b/>
          <w:bCs/>
          <w:color w:val="000000"/>
          <w:lang w:val="en-US"/>
        </w:rPr>
      </w:pPr>
      <w:r w:rsidRPr="00453F29">
        <w:rPr>
          <w:b/>
          <w:bCs/>
          <w:color w:val="000000"/>
          <w:lang w:val="en-US"/>
        </w:rPr>
        <w:t xml:space="preserve">STEP 1.  83 </w:t>
      </w:r>
      <w:r w:rsidR="00FB7C66">
        <w:rPr>
          <w:b/>
          <w:bCs/>
          <w:color w:val="000000"/>
          <w:lang w:val="en-US"/>
        </w:rPr>
        <w:t>p</w:t>
      </w:r>
      <w:r w:rsidRPr="00453F29">
        <w:rPr>
          <w:b/>
          <w:bCs/>
          <w:color w:val="000000"/>
          <w:lang w:val="en-US"/>
        </w:rPr>
        <w:t xml:space="preserve">arties in G1 have approved KIP-Stage I for a 10% reduction from the baseline. </w:t>
      </w:r>
    </w:p>
    <w:p w14:paraId="74D9C3B7" w14:textId="77777777" w:rsidR="002F6DD3" w:rsidRDefault="002F6DD3" w:rsidP="00453F29">
      <w:pPr>
        <w:spacing w:after="0"/>
        <w:rPr>
          <w:b/>
          <w:bCs/>
          <w:color w:val="000000"/>
          <w:lang w:val="en-US"/>
        </w:rPr>
      </w:pPr>
    </w:p>
    <w:p w14:paraId="0FE23296" w14:textId="57A1CD86" w:rsidR="00453F29" w:rsidRPr="00453F29" w:rsidRDefault="00453F29" w:rsidP="00453F29">
      <w:pPr>
        <w:spacing w:after="0"/>
        <w:rPr>
          <w:color w:val="000000"/>
        </w:rPr>
      </w:pPr>
      <w:r w:rsidRPr="00453F29">
        <w:rPr>
          <w:color w:val="000000"/>
          <w:lang w:val="en-US"/>
        </w:rPr>
        <w:t>Those parties have different agreed % reductions from the baseline</w:t>
      </w:r>
      <w:r w:rsidR="004E6438">
        <w:rPr>
          <w:color w:val="000000"/>
          <w:lang w:val="en-US"/>
        </w:rPr>
        <w:t>, with s</w:t>
      </w:r>
      <w:r w:rsidRPr="00453F29">
        <w:rPr>
          <w:color w:val="000000"/>
          <w:lang w:val="en-US"/>
        </w:rPr>
        <w:t>ome even higher than 30% reduction required by 2035. The model was designed to consider:</w:t>
      </w:r>
    </w:p>
    <w:p w14:paraId="73BB589A" w14:textId="48E226E7" w:rsidR="00453F29" w:rsidRDefault="00453F29" w:rsidP="000E79CB">
      <w:pPr>
        <w:numPr>
          <w:ilvl w:val="0"/>
          <w:numId w:val="77"/>
        </w:numPr>
        <w:snapToGrid w:val="0"/>
        <w:spacing w:before="100" w:beforeAutospacing="1" w:after="0" w:afterAutospacing="1"/>
        <w:contextualSpacing/>
        <w:rPr>
          <w:color w:val="000000"/>
          <w:lang w:val="en-US"/>
        </w:rPr>
      </w:pPr>
      <w:r w:rsidRPr="00453F29">
        <w:rPr>
          <w:color w:val="000000"/>
          <w:lang w:val="en-US"/>
        </w:rPr>
        <w:t xml:space="preserve">The </w:t>
      </w:r>
      <w:r w:rsidR="0038445E">
        <w:rPr>
          <w:color w:val="000000"/>
          <w:lang w:val="en-US"/>
        </w:rPr>
        <w:t>c</w:t>
      </w:r>
      <w:r w:rsidRPr="00453F29">
        <w:rPr>
          <w:color w:val="000000"/>
          <w:lang w:val="en-US"/>
        </w:rPr>
        <w:t xml:space="preserve">ommitted funding for all 83 approved Stage I KIPs amounts to </w:t>
      </w:r>
      <w:r w:rsidRPr="00453F29">
        <w:rPr>
          <w:b/>
          <w:color w:val="000000"/>
          <w:lang w:val="en-US"/>
        </w:rPr>
        <w:t xml:space="preserve">US$ 46.83 </w:t>
      </w:r>
      <w:r w:rsidRPr="00453F29">
        <w:rPr>
          <w:b/>
          <w:bCs/>
          <w:color w:val="000000"/>
          <w:lang w:val="en-US"/>
        </w:rPr>
        <w:t>million in 2027 to 2029 triennium and US$ 1.94 million in 2030 to 2032 triennium</w:t>
      </w:r>
      <w:r w:rsidRPr="00453F29">
        <w:rPr>
          <w:color w:val="000000"/>
          <w:lang w:val="en-US"/>
        </w:rPr>
        <w:t xml:space="preserve">, as per information received from the MLFS. This methodology step is shown in the </w:t>
      </w:r>
      <w:r w:rsidR="00A23B1A">
        <w:rPr>
          <w:color w:val="000000"/>
          <w:lang w:val="en-US"/>
        </w:rPr>
        <w:t xml:space="preserve">Figure A4.1 </w:t>
      </w:r>
      <w:r w:rsidRPr="00453F29">
        <w:rPr>
          <w:color w:val="000000"/>
          <w:lang w:val="en-US"/>
        </w:rPr>
        <w:t xml:space="preserve">flow chart below, and the committed funding is presented under </w:t>
      </w:r>
      <w:r w:rsidRPr="004019CD">
        <w:rPr>
          <w:b/>
          <w:bCs/>
          <w:color w:val="000000"/>
          <w:lang w:val="en-US"/>
        </w:rPr>
        <w:t xml:space="preserve">Output </w:t>
      </w:r>
      <w:r w:rsidR="00A23B1A">
        <w:rPr>
          <w:b/>
          <w:bCs/>
          <w:color w:val="000000"/>
          <w:lang w:val="en-US"/>
        </w:rPr>
        <w:t>1</w:t>
      </w:r>
      <w:r w:rsidRPr="00453F29">
        <w:rPr>
          <w:color w:val="000000"/>
          <w:lang w:val="en-US"/>
        </w:rPr>
        <w:t>.</w:t>
      </w:r>
    </w:p>
    <w:p w14:paraId="64A83CE0" w14:textId="77777777" w:rsidR="00F14144" w:rsidRDefault="00F14144" w:rsidP="00F14144">
      <w:pPr>
        <w:snapToGrid w:val="0"/>
        <w:spacing w:before="100" w:beforeAutospacing="1" w:after="0" w:afterAutospacing="1"/>
        <w:contextualSpacing/>
        <w:rPr>
          <w:color w:val="000000"/>
          <w:lang w:val="en-US"/>
        </w:rPr>
      </w:pPr>
    </w:p>
    <w:p w14:paraId="1B2BB02E" w14:textId="03CCD243" w:rsidR="00F14144" w:rsidRPr="00453F29" w:rsidRDefault="00F14144" w:rsidP="004019CD">
      <w:pPr>
        <w:tabs>
          <w:tab w:val="left" w:pos="1418"/>
        </w:tabs>
        <w:ind w:left="1418" w:hanging="1418"/>
        <w:rPr>
          <w:color w:val="000000"/>
          <w:lang w:val="en-US"/>
        </w:rPr>
      </w:pPr>
      <w:r>
        <w:rPr>
          <w:rFonts w:eastAsiaTheme="minorEastAsia"/>
          <w:b/>
          <w:bCs/>
        </w:rPr>
        <w:t>Figure A4.1</w:t>
      </w:r>
      <w:r>
        <w:rPr>
          <w:rFonts w:eastAsiaTheme="minorEastAsia"/>
          <w:b/>
          <w:bCs/>
        </w:rPr>
        <w:tab/>
        <w:t xml:space="preserve">Flowchart for Outputs 1: estimating </w:t>
      </w:r>
      <w:r w:rsidR="007B371C">
        <w:rPr>
          <w:rFonts w:eastAsiaTheme="minorEastAsia"/>
          <w:b/>
          <w:bCs/>
        </w:rPr>
        <w:t xml:space="preserve">committed funding for 83 </w:t>
      </w:r>
      <w:r w:rsidR="004019CD">
        <w:rPr>
          <w:rFonts w:eastAsiaTheme="minorEastAsia"/>
          <w:b/>
          <w:bCs/>
        </w:rPr>
        <w:t>G1 parties for 10% reduction from baseline</w:t>
      </w:r>
    </w:p>
    <w:p w14:paraId="754305AA" w14:textId="77777777" w:rsidR="00453F29" w:rsidRPr="00453F29" w:rsidRDefault="00453F29" w:rsidP="00453F29">
      <w:pPr>
        <w:spacing w:after="0"/>
        <w:rPr>
          <w:color w:val="000000"/>
        </w:rPr>
      </w:pPr>
    </w:p>
    <w:p w14:paraId="273D3AC7" w14:textId="77777777" w:rsidR="00453F29" w:rsidRPr="00453F29" w:rsidRDefault="00453F29" w:rsidP="00453F29">
      <w:pPr>
        <w:spacing w:after="0"/>
        <w:rPr>
          <w:color w:val="000000"/>
        </w:rPr>
      </w:pPr>
      <w:r w:rsidRPr="00453F29">
        <w:rPr>
          <w:noProof/>
          <w:color w:val="000000"/>
        </w:rPr>
        <w:drawing>
          <wp:inline distT="0" distB="0" distL="0" distR="0" wp14:anchorId="7B38E0A1" wp14:editId="0B25E0AB">
            <wp:extent cx="5567256" cy="2526702"/>
            <wp:effectExtent l="0" t="0" r="0" b="6985"/>
            <wp:docPr id="130571152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93309" cy="2538526"/>
                    </a:xfrm>
                    <a:prstGeom prst="rect">
                      <a:avLst/>
                    </a:prstGeom>
                    <a:noFill/>
                  </pic:spPr>
                </pic:pic>
              </a:graphicData>
            </a:graphic>
          </wp:inline>
        </w:drawing>
      </w:r>
    </w:p>
    <w:p w14:paraId="7304AD0C" w14:textId="77777777" w:rsidR="00453F29" w:rsidRPr="00453F29" w:rsidRDefault="00453F29" w:rsidP="00453F29">
      <w:pPr>
        <w:spacing w:after="0"/>
        <w:rPr>
          <w:color w:val="000000"/>
        </w:rPr>
      </w:pPr>
    </w:p>
    <w:p w14:paraId="156F8D83" w14:textId="5EF8C80E" w:rsidR="00453F29" w:rsidRDefault="00453F29" w:rsidP="00453F29">
      <w:pPr>
        <w:spacing w:after="0" w:line="259" w:lineRule="auto"/>
        <w:ind w:left="720"/>
        <w:rPr>
          <w:color w:val="000000"/>
          <w:lang w:val="en-US"/>
        </w:rPr>
      </w:pPr>
      <w:r w:rsidRPr="00453F29">
        <w:rPr>
          <w:color w:val="000000"/>
          <w:lang w:val="en-US"/>
        </w:rPr>
        <w:t xml:space="preserve">b. New </w:t>
      </w:r>
      <w:r w:rsidR="00846E71">
        <w:rPr>
          <w:color w:val="000000"/>
          <w:lang w:val="en-US"/>
        </w:rPr>
        <w:t>f</w:t>
      </w:r>
      <w:r w:rsidRPr="00453F29">
        <w:rPr>
          <w:color w:val="000000"/>
          <w:lang w:val="en-US"/>
        </w:rPr>
        <w:t>unding for KIP-Stage II for 70 parties that have reductions from the baseline below 30%</w:t>
      </w:r>
      <w:r w:rsidR="002923BC">
        <w:rPr>
          <w:color w:val="000000"/>
          <w:lang w:val="en-US"/>
        </w:rPr>
        <w:t xml:space="preserve"> are shown as</w:t>
      </w:r>
      <w:r w:rsidR="004E0427">
        <w:rPr>
          <w:color w:val="000000"/>
          <w:lang w:val="en-US"/>
        </w:rPr>
        <w:t xml:space="preserve"> </w:t>
      </w:r>
      <w:r w:rsidR="002923BC" w:rsidRPr="00453F29">
        <w:rPr>
          <w:color w:val="000000"/>
          <w:lang w:val="en-US"/>
        </w:rPr>
        <w:t>Output 2 for 29 non-LVC parties and Output 3 for 41 LVC parties</w:t>
      </w:r>
      <w:r w:rsidR="004E0427">
        <w:rPr>
          <w:color w:val="000000"/>
          <w:lang w:val="en-US"/>
        </w:rPr>
        <w:t xml:space="preserve"> in the Figure A4.</w:t>
      </w:r>
      <w:r w:rsidR="009849D0">
        <w:rPr>
          <w:color w:val="000000"/>
          <w:lang w:val="en-US"/>
        </w:rPr>
        <w:t>2</w:t>
      </w:r>
      <w:r w:rsidR="004E0427">
        <w:rPr>
          <w:color w:val="000000"/>
          <w:lang w:val="en-US"/>
        </w:rPr>
        <w:t xml:space="preserve"> flowchart below</w:t>
      </w:r>
      <w:r w:rsidR="002923BC" w:rsidRPr="00453F29">
        <w:rPr>
          <w:color w:val="000000"/>
          <w:lang w:val="en-US"/>
        </w:rPr>
        <w:t>.</w:t>
      </w:r>
      <w:r w:rsidRPr="00453F29">
        <w:rPr>
          <w:color w:val="000000"/>
          <w:lang w:val="en-US"/>
        </w:rPr>
        <w:t>13 parties that have reductions from the baseline equal to or above 30% are not considered for new funding in this 2026 RTF assessment</w:t>
      </w:r>
      <w:r w:rsidR="004E0427">
        <w:rPr>
          <w:color w:val="000000"/>
          <w:lang w:val="en-US"/>
        </w:rPr>
        <w:t>.</w:t>
      </w:r>
      <w:r w:rsidRPr="00453F29">
        <w:rPr>
          <w:color w:val="000000"/>
          <w:lang w:val="en-US"/>
        </w:rPr>
        <w:t xml:space="preserve"> </w:t>
      </w:r>
    </w:p>
    <w:p w14:paraId="46973EF9" w14:textId="77777777" w:rsidR="00CB598C" w:rsidRDefault="00CB598C" w:rsidP="00846E71">
      <w:pPr>
        <w:spacing w:after="0" w:line="259" w:lineRule="auto"/>
        <w:rPr>
          <w:color w:val="000000"/>
        </w:rPr>
      </w:pPr>
    </w:p>
    <w:p w14:paraId="3CA8CCD8" w14:textId="77777777" w:rsidR="00704104" w:rsidRDefault="00704104">
      <w:pPr>
        <w:tabs>
          <w:tab w:val="clear" w:pos="0"/>
        </w:tabs>
        <w:spacing w:after="0"/>
        <w:rPr>
          <w:rFonts w:eastAsiaTheme="minorEastAsia"/>
          <w:b/>
          <w:bCs/>
        </w:rPr>
      </w:pPr>
      <w:r>
        <w:rPr>
          <w:rFonts w:eastAsiaTheme="minorEastAsia"/>
          <w:b/>
          <w:bCs/>
        </w:rPr>
        <w:br w:type="page"/>
      </w:r>
    </w:p>
    <w:p w14:paraId="3B0DE891" w14:textId="1E09A749" w:rsidR="00CB598C" w:rsidRPr="006C3241" w:rsidRDefault="00CB598C" w:rsidP="00CB598C">
      <w:pPr>
        <w:tabs>
          <w:tab w:val="left" w:pos="1418"/>
        </w:tabs>
        <w:ind w:left="1418" w:hanging="1418"/>
        <w:rPr>
          <w:b/>
          <w:bCs/>
          <w:color w:val="000000"/>
          <w:lang w:val="en-US"/>
        </w:rPr>
      </w:pPr>
      <w:r>
        <w:rPr>
          <w:rFonts w:eastAsiaTheme="minorEastAsia"/>
          <w:b/>
          <w:bCs/>
        </w:rPr>
        <w:lastRenderedPageBreak/>
        <w:t>Figure A4.</w:t>
      </w:r>
      <w:r w:rsidR="009849D0">
        <w:rPr>
          <w:rFonts w:eastAsiaTheme="minorEastAsia"/>
          <w:b/>
          <w:bCs/>
        </w:rPr>
        <w:t>2</w:t>
      </w:r>
      <w:r>
        <w:rPr>
          <w:rFonts w:eastAsiaTheme="minorEastAsia"/>
          <w:b/>
          <w:bCs/>
        </w:rPr>
        <w:tab/>
        <w:t xml:space="preserve">Flowchart for Outputs 2 and 3: estimating new funding for </w:t>
      </w:r>
      <w:r w:rsidR="00DF1F73">
        <w:rPr>
          <w:rFonts w:eastAsiaTheme="minorEastAsia"/>
          <w:b/>
          <w:bCs/>
        </w:rPr>
        <w:t>29</w:t>
      </w:r>
      <w:r>
        <w:rPr>
          <w:rFonts w:eastAsiaTheme="minorEastAsia"/>
          <w:b/>
          <w:bCs/>
        </w:rPr>
        <w:t xml:space="preserve"> non-LVC parties  and </w:t>
      </w:r>
      <w:r w:rsidR="00DF1F73">
        <w:rPr>
          <w:rFonts w:eastAsiaTheme="minorEastAsia"/>
          <w:b/>
          <w:bCs/>
        </w:rPr>
        <w:t>41</w:t>
      </w:r>
      <w:r>
        <w:rPr>
          <w:rFonts w:eastAsiaTheme="minorEastAsia"/>
          <w:b/>
          <w:bCs/>
        </w:rPr>
        <w:t xml:space="preserve"> LVC parties </w:t>
      </w:r>
      <w:r w:rsidR="00D73829">
        <w:rPr>
          <w:rFonts w:eastAsiaTheme="minorEastAsia"/>
          <w:b/>
          <w:bCs/>
        </w:rPr>
        <w:t xml:space="preserve">to reach 30% </w:t>
      </w:r>
      <w:r w:rsidR="00594018">
        <w:rPr>
          <w:rFonts w:eastAsiaTheme="minorEastAsia"/>
          <w:b/>
          <w:bCs/>
        </w:rPr>
        <w:t xml:space="preserve">reductions </w:t>
      </w:r>
      <w:r w:rsidR="00D73829">
        <w:rPr>
          <w:rFonts w:eastAsiaTheme="minorEastAsia"/>
          <w:b/>
          <w:bCs/>
        </w:rPr>
        <w:t>of the baseline by 2035</w:t>
      </w:r>
    </w:p>
    <w:p w14:paraId="00E2A9F1" w14:textId="77777777" w:rsidR="00CB598C" w:rsidRPr="00453F29" w:rsidRDefault="00CB598C" w:rsidP="00846E71">
      <w:pPr>
        <w:spacing w:after="0" w:line="259" w:lineRule="auto"/>
        <w:rPr>
          <w:color w:val="000000"/>
        </w:rPr>
      </w:pPr>
    </w:p>
    <w:p w14:paraId="27E3D3C7" w14:textId="77777777" w:rsidR="00453F29" w:rsidRPr="00453F29" w:rsidRDefault="00453F29" w:rsidP="00453F29">
      <w:pPr>
        <w:rPr>
          <w:color w:val="000000"/>
        </w:rPr>
      </w:pPr>
      <w:r w:rsidRPr="00453F29">
        <w:rPr>
          <w:noProof/>
          <w:color w:val="000000"/>
        </w:rPr>
        <w:drawing>
          <wp:inline distT="0" distB="0" distL="0" distR="0" wp14:anchorId="590CA538" wp14:editId="1CBC9ED4">
            <wp:extent cx="5766080" cy="2742227"/>
            <wp:effectExtent l="0" t="0" r="6350" b="1270"/>
            <wp:docPr id="50305076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87662" cy="2752491"/>
                    </a:xfrm>
                    <a:prstGeom prst="rect">
                      <a:avLst/>
                    </a:prstGeom>
                    <a:noFill/>
                  </pic:spPr>
                </pic:pic>
              </a:graphicData>
            </a:graphic>
          </wp:inline>
        </w:drawing>
      </w:r>
    </w:p>
    <w:p w14:paraId="6CC298DE" w14:textId="2DE5979F" w:rsidR="00453F29" w:rsidRPr="00453F29" w:rsidRDefault="00453F29" w:rsidP="00453F29">
      <w:pPr>
        <w:spacing w:after="0"/>
        <w:rPr>
          <w:color w:val="000000"/>
          <w:lang w:val="en-US"/>
        </w:rPr>
      </w:pPr>
      <w:r w:rsidRPr="00453F29">
        <w:rPr>
          <w:color w:val="000000"/>
          <w:lang w:val="en-US"/>
        </w:rPr>
        <w:t xml:space="preserve">As explained, for this assessment the </w:t>
      </w:r>
      <w:r w:rsidRPr="00453F29">
        <w:rPr>
          <w:b/>
          <w:bCs/>
          <w:color w:val="000000"/>
          <w:lang w:val="en-US"/>
        </w:rPr>
        <w:t>RTF calculated funding needs for parties to reach Stage I and Stage II targets for G1, and Stage I target for G2.</w:t>
      </w:r>
      <w:r w:rsidRPr="00453F29">
        <w:rPr>
          <w:color w:val="000000"/>
          <w:lang w:val="en-US"/>
        </w:rPr>
        <w:t xml:space="preserve"> For each of the </w:t>
      </w:r>
      <w:r w:rsidR="00C623D2">
        <w:rPr>
          <w:color w:val="000000"/>
          <w:lang w:val="en-US"/>
        </w:rPr>
        <w:t>modelling</w:t>
      </w:r>
      <w:r w:rsidR="00C623D2" w:rsidRPr="00453F29">
        <w:rPr>
          <w:color w:val="000000"/>
          <w:lang w:val="en-US"/>
        </w:rPr>
        <w:t xml:space="preserve"> </w:t>
      </w:r>
      <w:r w:rsidRPr="00453F29">
        <w:rPr>
          <w:color w:val="000000"/>
          <w:lang w:val="en-US"/>
        </w:rPr>
        <w:t xml:space="preserve">steps explained, RTF presented  funding estimates in </w:t>
      </w:r>
      <w:r w:rsidR="00C623D2">
        <w:rPr>
          <w:color w:val="000000"/>
          <w:lang w:val="en-US"/>
        </w:rPr>
        <w:t>two</w:t>
      </w:r>
      <w:r w:rsidRPr="00453F29">
        <w:rPr>
          <w:color w:val="000000"/>
          <w:lang w:val="en-US"/>
        </w:rPr>
        <w:t xml:space="preserve"> Scenarios</w:t>
      </w:r>
      <w:r w:rsidR="00E95994">
        <w:rPr>
          <w:color w:val="000000"/>
          <w:lang w:val="en-US"/>
        </w:rPr>
        <w:t xml:space="preserve"> 1 and 2</w:t>
      </w:r>
      <w:r w:rsidRPr="00453F29">
        <w:rPr>
          <w:color w:val="000000"/>
          <w:lang w:val="en-US"/>
        </w:rPr>
        <w:t xml:space="preserve">, and for each </w:t>
      </w:r>
      <w:r w:rsidR="00C623D2">
        <w:rPr>
          <w:color w:val="000000"/>
          <w:lang w:val="en-US"/>
        </w:rPr>
        <w:t>s</w:t>
      </w:r>
      <w:r w:rsidRPr="00453F29">
        <w:rPr>
          <w:color w:val="000000"/>
          <w:lang w:val="en-US"/>
        </w:rPr>
        <w:t xml:space="preserve">cenario (including G1 and </w:t>
      </w:r>
      <w:r w:rsidR="00BA6DBD">
        <w:rPr>
          <w:color w:val="000000"/>
          <w:lang w:val="en-US"/>
        </w:rPr>
        <w:t>G</w:t>
      </w:r>
      <w:r w:rsidRPr="00453F29">
        <w:rPr>
          <w:color w:val="000000"/>
          <w:lang w:val="en-US"/>
        </w:rPr>
        <w:t xml:space="preserve">2), the total estimated funding for KIP Stage I and II (G1) and Stage I (G2), was then divided according to </w:t>
      </w:r>
      <w:r w:rsidR="00E95994">
        <w:rPr>
          <w:color w:val="000000"/>
          <w:lang w:val="en-US"/>
        </w:rPr>
        <w:t>two</w:t>
      </w:r>
      <w:r w:rsidRPr="00453F29">
        <w:rPr>
          <w:color w:val="000000"/>
          <w:lang w:val="en-US"/>
        </w:rPr>
        <w:t xml:space="preserve"> resource allocation proposals</w:t>
      </w:r>
      <w:r w:rsidR="00935EF1">
        <w:rPr>
          <w:color w:val="000000"/>
          <w:lang w:val="en-US"/>
        </w:rPr>
        <w:t xml:space="preserve"> A and B</w:t>
      </w:r>
      <w:r w:rsidRPr="00453F29">
        <w:rPr>
          <w:color w:val="000000"/>
          <w:lang w:val="en-US"/>
        </w:rPr>
        <w:t>, in different triennia, suggested by RTF. That means, the model database was set for each individual party and shows each agreed reduction from the baseline in the previous approved KIP Stage. Any additional funding is then calculated based only on the consumption not yet addressed for that party and required attention so the party can achieve a certain control target.</w:t>
      </w:r>
    </w:p>
    <w:p w14:paraId="006F67F3" w14:textId="77777777" w:rsidR="00453F29" w:rsidRPr="00453F29" w:rsidRDefault="00453F29" w:rsidP="00453F29">
      <w:pPr>
        <w:spacing w:after="0"/>
        <w:rPr>
          <w:color w:val="000000"/>
          <w:lang w:val="en-US"/>
        </w:rPr>
      </w:pPr>
    </w:p>
    <w:p w14:paraId="78AFB7B1" w14:textId="7B4D3458" w:rsidR="008E7873" w:rsidRDefault="00453F29" w:rsidP="00453F29">
      <w:pPr>
        <w:spacing w:after="0" w:line="259" w:lineRule="auto"/>
        <w:rPr>
          <w:color w:val="000000"/>
          <w:lang w:val="en-US"/>
        </w:rPr>
      </w:pPr>
      <w:r w:rsidRPr="00453F29">
        <w:rPr>
          <w:b/>
          <w:bCs/>
          <w:color w:val="000000"/>
          <w:lang w:val="en-US"/>
        </w:rPr>
        <w:t xml:space="preserve">STEP 2. 42 </w:t>
      </w:r>
      <w:r w:rsidR="00FB7C66">
        <w:rPr>
          <w:b/>
          <w:bCs/>
          <w:color w:val="000000"/>
          <w:lang w:val="en-US"/>
        </w:rPr>
        <w:t>p</w:t>
      </w:r>
      <w:r w:rsidRPr="00453F29">
        <w:rPr>
          <w:b/>
          <w:bCs/>
          <w:color w:val="000000"/>
          <w:lang w:val="en-US"/>
        </w:rPr>
        <w:t xml:space="preserve">arties in G1 and </w:t>
      </w:r>
      <w:r w:rsidR="008E7873">
        <w:rPr>
          <w:b/>
          <w:bCs/>
          <w:color w:val="000000"/>
          <w:lang w:val="en-US"/>
        </w:rPr>
        <w:t>G</w:t>
      </w:r>
      <w:r w:rsidRPr="00453F29">
        <w:rPr>
          <w:b/>
          <w:bCs/>
          <w:color w:val="000000"/>
          <w:lang w:val="en-US"/>
        </w:rPr>
        <w:t>2 without approved KIP-Stage I (as of 97</w:t>
      </w:r>
      <w:r w:rsidRPr="00453F29">
        <w:rPr>
          <w:b/>
          <w:bCs/>
          <w:color w:val="000000"/>
          <w:vertAlign w:val="superscript"/>
          <w:lang w:val="en-US"/>
        </w:rPr>
        <w:t>th</w:t>
      </w:r>
      <w:r w:rsidRPr="00453F29">
        <w:rPr>
          <w:b/>
          <w:bCs/>
          <w:color w:val="000000"/>
          <w:lang w:val="en-US"/>
        </w:rPr>
        <w:t xml:space="preserve"> ExCom), and that ratified </w:t>
      </w:r>
      <w:r w:rsidR="0001267E">
        <w:rPr>
          <w:b/>
          <w:bCs/>
          <w:color w:val="000000"/>
          <w:lang w:val="en-US"/>
        </w:rPr>
        <w:t>KA</w:t>
      </w:r>
    </w:p>
    <w:p w14:paraId="1C17C937" w14:textId="77777777" w:rsidR="008E7873" w:rsidRDefault="008E7873" w:rsidP="00453F29">
      <w:pPr>
        <w:spacing w:after="0" w:line="259" w:lineRule="auto"/>
        <w:rPr>
          <w:color w:val="000000"/>
          <w:lang w:val="en-US"/>
        </w:rPr>
      </w:pPr>
    </w:p>
    <w:p w14:paraId="4CF38CF3" w14:textId="64BB366B" w:rsidR="00453F29" w:rsidRPr="008E7873" w:rsidRDefault="00453F29" w:rsidP="008E7873">
      <w:pPr>
        <w:pStyle w:val="ListParagraph"/>
        <w:numPr>
          <w:ilvl w:val="0"/>
          <w:numId w:val="102"/>
        </w:numPr>
        <w:spacing w:after="0" w:line="259" w:lineRule="auto"/>
        <w:rPr>
          <w:color w:val="000000"/>
        </w:rPr>
      </w:pPr>
      <w:r w:rsidRPr="008E7873">
        <w:rPr>
          <w:color w:val="000000"/>
          <w:lang w:val="en-US"/>
        </w:rPr>
        <w:t>G</w:t>
      </w:r>
      <w:r w:rsidR="00650909">
        <w:rPr>
          <w:color w:val="000000"/>
          <w:lang w:val="en-US"/>
        </w:rPr>
        <w:t>1:</w:t>
      </w:r>
      <w:r w:rsidRPr="008E7873">
        <w:rPr>
          <w:color w:val="000000"/>
          <w:lang w:val="en-US"/>
        </w:rPr>
        <w:t xml:space="preserve"> New Funding for 36 A5 </w:t>
      </w:r>
      <w:r w:rsidR="008758DB">
        <w:rPr>
          <w:color w:val="000000"/>
          <w:lang w:val="en-US"/>
        </w:rPr>
        <w:t>p</w:t>
      </w:r>
      <w:r w:rsidRPr="008E7873">
        <w:rPr>
          <w:color w:val="000000"/>
          <w:lang w:val="en-US"/>
        </w:rPr>
        <w:t>arties to prepare and/or submit KIP-Stage I and Stage II (10% by 2029; 30% by 2035) (Output 4 for 12 non-LVC parties (including China) and Output 5 for 24 LVC parties)</w:t>
      </w:r>
      <w:r w:rsidR="007171BD">
        <w:rPr>
          <w:color w:val="000000"/>
          <w:lang w:val="en-US"/>
        </w:rPr>
        <w:t xml:space="preserve"> as shown in Figure A4.3 flowchart</w:t>
      </w:r>
      <w:r w:rsidRPr="008E7873">
        <w:rPr>
          <w:color w:val="000000"/>
          <w:lang w:val="en-US"/>
        </w:rPr>
        <w:t>.</w:t>
      </w:r>
    </w:p>
    <w:p w14:paraId="36731E8C" w14:textId="77777777" w:rsidR="00453F29" w:rsidRPr="00453F29" w:rsidRDefault="00453F29" w:rsidP="00453F29">
      <w:pPr>
        <w:spacing w:after="0"/>
        <w:rPr>
          <w:color w:val="000000"/>
        </w:rPr>
      </w:pPr>
    </w:p>
    <w:p w14:paraId="72E6325B" w14:textId="77777777" w:rsidR="00704104" w:rsidRDefault="00704104">
      <w:pPr>
        <w:tabs>
          <w:tab w:val="clear" w:pos="0"/>
        </w:tabs>
        <w:spacing w:after="0"/>
        <w:rPr>
          <w:rFonts w:eastAsiaTheme="minorEastAsia"/>
          <w:b/>
          <w:bCs/>
        </w:rPr>
      </w:pPr>
      <w:r>
        <w:rPr>
          <w:rFonts w:eastAsiaTheme="minorEastAsia"/>
          <w:b/>
          <w:bCs/>
        </w:rPr>
        <w:br w:type="page"/>
      </w:r>
    </w:p>
    <w:p w14:paraId="157EA413" w14:textId="273B16FD" w:rsidR="00CA0572" w:rsidRPr="006C3241" w:rsidRDefault="00CA0572" w:rsidP="00CA0572">
      <w:pPr>
        <w:tabs>
          <w:tab w:val="left" w:pos="1418"/>
        </w:tabs>
        <w:ind w:left="1418" w:hanging="1418"/>
        <w:rPr>
          <w:b/>
          <w:bCs/>
          <w:color w:val="000000"/>
          <w:lang w:val="en-US"/>
        </w:rPr>
      </w:pPr>
      <w:r>
        <w:rPr>
          <w:rFonts w:eastAsiaTheme="minorEastAsia"/>
          <w:b/>
          <w:bCs/>
        </w:rPr>
        <w:lastRenderedPageBreak/>
        <w:t>Figure A4.</w:t>
      </w:r>
      <w:r w:rsidR="009849D0">
        <w:rPr>
          <w:rFonts w:eastAsiaTheme="minorEastAsia"/>
          <w:b/>
          <w:bCs/>
        </w:rPr>
        <w:t>3</w:t>
      </w:r>
      <w:r>
        <w:rPr>
          <w:rFonts w:eastAsiaTheme="minorEastAsia"/>
          <w:b/>
          <w:bCs/>
        </w:rPr>
        <w:tab/>
        <w:t>Flowchart for Outputs 4 and 5: estimating new funding for</w:t>
      </w:r>
      <w:r w:rsidR="00802B09">
        <w:rPr>
          <w:rFonts w:eastAsiaTheme="minorEastAsia"/>
          <w:b/>
          <w:bCs/>
        </w:rPr>
        <w:t xml:space="preserve"> G1 parties (</w:t>
      </w:r>
      <w:r w:rsidR="00F71DDF">
        <w:rPr>
          <w:rFonts w:eastAsiaTheme="minorEastAsia"/>
          <w:b/>
          <w:bCs/>
        </w:rPr>
        <w:t>12</w:t>
      </w:r>
      <w:r>
        <w:rPr>
          <w:rFonts w:eastAsiaTheme="minorEastAsia"/>
          <w:b/>
          <w:bCs/>
        </w:rPr>
        <w:t xml:space="preserve"> non-LVC</w:t>
      </w:r>
      <w:r w:rsidR="00802B09">
        <w:rPr>
          <w:rFonts w:eastAsiaTheme="minorEastAsia"/>
          <w:b/>
          <w:bCs/>
        </w:rPr>
        <w:t xml:space="preserve"> </w:t>
      </w:r>
      <w:r>
        <w:rPr>
          <w:rFonts w:eastAsiaTheme="minorEastAsia"/>
          <w:b/>
          <w:bCs/>
        </w:rPr>
        <w:t xml:space="preserve">and </w:t>
      </w:r>
      <w:r w:rsidR="007D2EAE">
        <w:rPr>
          <w:rFonts w:eastAsiaTheme="minorEastAsia"/>
          <w:b/>
          <w:bCs/>
        </w:rPr>
        <w:t>24</w:t>
      </w:r>
      <w:r>
        <w:rPr>
          <w:rFonts w:eastAsiaTheme="minorEastAsia"/>
          <w:b/>
          <w:bCs/>
        </w:rPr>
        <w:t xml:space="preserve"> LVC</w:t>
      </w:r>
      <w:r w:rsidR="00802B09">
        <w:rPr>
          <w:rFonts w:eastAsiaTheme="minorEastAsia"/>
          <w:b/>
          <w:bCs/>
        </w:rPr>
        <w:t>)</w:t>
      </w:r>
      <w:r w:rsidR="00704104">
        <w:rPr>
          <w:rFonts w:eastAsiaTheme="minorEastAsia"/>
          <w:b/>
          <w:bCs/>
        </w:rPr>
        <w:t xml:space="preserve"> to submit KIP-Stage I</w:t>
      </w:r>
    </w:p>
    <w:p w14:paraId="79679EBF" w14:textId="77777777" w:rsidR="00453F29" w:rsidRPr="00453F29" w:rsidRDefault="00453F29" w:rsidP="00453F29">
      <w:pPr>
        <w:spacing w:after="0"/>
        <w:rPr>
          <w:color w:val="000000"/>
          <w:lang w:val="en-US"/>
        </w:rPr>
      </w:pPr>
    </w:p>
    <w:p w14:paraId="174206F1" w14:textId="77777777" w:rsidR="00453F29" w:rsidRPr="00453F29" w:rsidRDefault="00453F29" w:rsidP="00453F29">
      <w:pPr>
        <w:spacing w:after="0"/>
        <w:rPr>
          <w:color w:val="000000"/>
          <w:lang w:val="en-US"/>
        </w:rPr>
      </w:pPr>
      <w:r w:rsidRPr="00453F29">
        <w:rPr>
          <w:noProof/>
          <w:color w:val="000000"/>
          <w:lang w:val="en-US"/>
        </w:rPr>
        <w:drawing>
          <wp:inline distT="0" distB="0" distL="0" distR="0" wp14:anchorId="771C7475" wp14:editId="245CF200">
            <wp:extent cx="5593278" cy="2996942"/>
            <wp:effectExtent l="0" t="0" r="7620" b="0"/>
            <wp:docPr id="95710819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3140" cy="3007584"/>
                    </a:xfrm>
                    <a:prstGeom prst="rect">
                      <a:avLst/>
                    </a:prstGeom>
                    <a:noFill/>
                  </pic:spPr>
                </pic:pic>
              </a:graphicData>
            </a:graphic>
          </wp:inline>
        </w:drawing>
      </w:r>
    </w:p>
    <w:p w14:paraId="5B110146" w14:textId="77777777" w:rsidR="00453F29" w:rsidRPr="00453F29" w:rsidRDefault="00453F29" w:rsidP="00453F29">
      <w:pPr>
        <w:spacing w:after="0"/>
        <w:rPr>
          <w:color w:val="000000"/>
        </w:rPr>
      </w:pPr>
    </w:p>
    <w:p w14:paraId="366ABD56" w14:textId="342EA22C" w:rsidR="00453F29" w:rsidRDefault="00453F29" w:rsidP="000E79CB">
      <w:pPr>
        <w:numPr>
          <w:ilvl w:val="0"/>
          <w:numId w:val="77"/>
        </w:numPr>
        <w:spacing w:after="0"/>
        <w:contextualSpacing/>
        <w:rPr>
          <w:color w:val="000000"/>
          <w:lang w:val="en-US"/>
        </w:rPr>
      </w:pPr>
      <w:r w:rsidRPr="00453F29">
        <w:rPr>
          <w:color w:val="000000"/>
          <w:lang w:val="en-US"/>
        </w:rPr>
        <w:t xml:space="preserve">G2: New funding to </w:t>
      </w:r>
      <w:r w:rsidR="0003232F">
        <w:rPr>
          <w:color w:val="000000"/>
          <w:lang w:val="en-US"/>
        </w:rPr>
        <w:t xml:space="preserve">six </w:t>
      </w:r>
      <w:r w:rsidRPr="00453F29">
        <w:rPr>
          <w:color w:val="000000"/>
          <w:lang w:val="en-US"/>
        </w:rPr>
        <w:t>parties (freeze by 2028 and 10% reduction by 2032) (Output 6)</w:t>
      </w:r>
      <w:r w:rsidR="007171BD">
        <w:rPr>
          <w:color w:val="000000"/>
          <w:lang w:val="en-US"/>
        </w:rPr>
        <w:t xml:space="preserve"> as shown in Figure A4.4.</w:t>
      </w:r>
    </w:p>
    <w:p w14:paraId="48E83D0D" w14:textId="77777777" w:rsidR="00205E81" w:rsidRDefault="00205E81" w:rsidP="00205E81">
      <w:pPr>
        <w:spacing w:after="0"/>
        <w:contextualSpacing/>
        <w:rPr>
          <w:color w:val="000000"/>
          <w:lang w:val="en-US"/>
        </w:rPr>
      </w:pPr>
    </w:p>
    <w:p w14:paraId="0769C472" w14:textId="10A42C3A" w:rsidR="00205E81" w:rsidRDefault="00205E81" w:rsidP="00893FD6">
      <w:pPr>
        <w:tabs>
          <w:tab w:val="left" w:pos="1418"/>
        </w:tabs>
        <w:spacing w:after="120"/>
        <w:ind w:left="1411" w:hanging="1411"/>
        <w:rPr>
          <w:rFonts w:eastAsiaTheme="minorEastAsia"/>
          <w:b/>
          <w:bCs/>
        </w:rPr>
      </w:pPr>
      <w:r>
        <w:rPr>
          <w:rFonts w:eastAsiaTheme="minorEastAsia"/>
          <w:b/>
          <w:bCs/>
        </w:rPr>
        <w:t>Figure A4.</w:t>
      </w:r>
      <w:r w:rsidR="007171BD">
        <w:rPr>
          <w:rFonts w:eastAsiaTheme="minorEastAsia"/>
          <w:b/>
          <w:bCs/>
        </w:rPr>
        <w:t>4</w:t>
      </w:r>
      <w:r>
        <w:rPr>
          <w:rFonts w:eastAsiaTheme="minorEastAsia"/>
          <w:b/>
          <w:bCs/>
        </w:rPr>
        <w:tab/>
        <w:t>Flowchart for Output</w:t>
      </w:r>
      <w:r w:rsidR="007171BD">
        <w:rPr>
          <w:rFonts w:eastAsiaTheme="minorEastAsia"/>
          <w:b/>
          <w:bCs/>
        </w:rPr>
        <w:t xml:space="preserve"> 6</w:t>
      </w:r>
      <w:r>
        <w:rPr>
          <w:rFonts w:eastAsiaTheme="minorEastAsia"/>
          <w:b/>
          <w:bCs/>
        </w:rPr>
        <w:t xml:space="preserve">: estimating new funding for </w:t>
      </w:r>
      <w:r w:rsidR="00323921">
        <w:rPr>
          <w:rFonts w:eastAsiaTheme="minorEastAsia"/>
          <w:b/>
          <w:bCs/>
        </w:rPr>
        <w:t>G2 parties to submit KIP-Stage I</w:t>
      </w:r>
    </w:p>
    <w:p w14:paraId="37EE5D17" w14:textId="77777777" w:rsidR="00453F29" w:rsidRPr="00453F29" w:rsidRDefault="00453F29" w:rsidP="00453F29">
      <w:pPr>
        <w:spacing w:after="0"/>
        <w:rPr>
          <w:color w:val="000000"/>
          <w:lang w:val="en-US"/>
        </w:rPr>
      </w:pPr>
    </w:p>
    <w:p w14:paraId="4E7614D2" w14:textId="77777777" w:rsidR="00453F29" w:rsidRPr="00453F29" w:rsidRDefault="00453F29" w:rsidP="00453F29">
      <w:pPr>
        <w:rPr>
          <w:color w:val="000000"/>
        </w:rPr>
      </w:pPr>
      <w:r w:rsidRPr="00453F29">
        <w:rPr>
          <w:noProof/>
          <w:color w:val="000000"/>
        </w:rPr>
        <w:drawing>
          <wp:inline distT="0" distB="0" distL="0" distR="0" wp14:anchorId="0C84FA4E" wp14:editId="33782CD7">
            <wp:extent cx="5582091" cy="2873829"/>
            <wp:effectExtent l="0" t="0" r="0" b="3175"/>
            <wp:docPr id="59531554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07663" cy="2886994"/>
                    </a:xfrm>
                    <a:prstGeom prst="rect">
                      <a:avLst/>
                    </a:prstGeom>
                    <a:noFill/>
                  </pic:spPr>
                </pic:pic>
              </a:graphicData>
            </a:graphic>
          </wp:inline>
        </w:drawing>
      </w:r>
    </w:p>
    <w:p w14:paraId="2309917C" w14:textId="77777777" w:rsidR="00453F29" w:rsidRPr="00453F29" w:rsidRDefault="00453F29" w:rsidP="00453F29">
      <w:pPr>
        <w:spacing w:after="0" w:line="259" w:lineRule="auto"/>
        <w:rPr>
          <w:color w:val="000000"/>
        </w:rPr>
      </w:pPr>
    </w:p>
    <w:p w14:paraId="60077F49" w14:textId="15342D02" w:rsidR="002301F9" w:rsidRDefault="00453F29" w:rsidP="00453F29">
      <w:pPr>
        <w:spacing w:after="0" w:line="259" w:lineRule="auto"/>
        <w:rPr>
          <w:b/>
          <w:bCs/>
          <w:color w:val="000000"/>
          <w:lang w:val="en-US"/>
        </w:rPr>
      </w:pPr>
      <w:r w:rsidRPr="002301F9">
        <w:rPr>
          <w:b/>
          <w:bCs/>
          <w:color w:val="000000"/>
          <w:lang w:val="en-US"/>
        </w:rPr>
        <w:t xml:space="preserve">STEP 3.  19 </w:t>
      </w:r>
      <w:r w:rsidR="00FB7C66">
        <w:rPr>
          <w:b/>
          <w:bCs/>
          <w:color w:val="000000"/>
          <w:lang w:val="en-US"/>
        </w:rPr>
        <w:t>p</w:t>
      </w:r>
      <w:r w:rsidRPr="002301F9">
        <w:rPr>
          <w:b/>
          <w:bCs/>
          <w:color w:val="000000"/>
          <w:lang w:val="en-US"/>
        </w:rPr>
        <w:t xml:space="preserve">arties that have not ratified the </w:t>
      </w:r>
      <w:r w:rsidR="0001267E">
        <w:rPr>
          <w:b/>
          <w:bCs/>
          <w:color w:val="000000"/>
          <w:lang w:val="en-US"/>
        </w:rPr>
        <w:t>KA</w:t>
      </w:r>
      <w:r w:rsidRPr="002301F9">
        <w:rPr>
          <w:b/>
          <w:bCs/>
          <w:color w:val="000000"/>
          <w:lang w:val="en-US"/>
        </w:rPr>
        <w:t xml:space="preserve"> yet (RTF forecasted 100% ratification by 2029)</w:t>
      </w:r>
    </w:p>
    <w:p w14:paraId="223F2FF7" w14:textId="77777777" w:rsidR="002301F9" w:rsidRDefault="002301F9" w:rsidP="00453F29">
      <w:pPr>
        <w:spacing w:after="0" w:line="259" w:lineRule="auto"/>
        <w:rPr>
          <w:b/>
          <w:bCs/>
          <w:color w:val="000000"/>
          <w:lang w:val="en-US"/>
        </w:rPr>
      </w:pPr>
    </w:p>
    <w:p w14:paraId="411F09AE" w14:textId="706270DB" w:rsidR="00453F29" w:rsidRPr="00845D4D" w:rsidRDefault="00453F29" w:rsidP="00845D4D">
      <w:pPr>
        <w:pStyle w:val="ListParagraph"/>
        <w:numPr>
          <w:ilvl w:val="0"/>
          <w:numId w:val="103"/>
        </w:numPr>
        <w:spacing w:after="0" w:line="259" w:lineRule="auto"/>
        <w:rPr>
          <w:color w:val="000000"/>
        </w:rPr>
      </w:pPr>
      <w:r w:rsidRPr="00845D4D">
        <w:rPr>
          <w:color w:val="000000"/>
          <w:lang w:val="en-US"/>
        </w:rPr>
        <w:t>G: New funding for 10% reduction by 2029 and 30% by 2035 (16 parties) (Output 7 for 7 non-LVC parties and Output 8 for 6 LVC parties).</w:t>
      </w:r>
    </w:p>
    <w:p w14:paraId="5EC32490" w14:textId="77777777" w:rsidR="00453F29" w:rsidRPr="00453F29" w:rsidRDefault="00453F29" w:rsidP="00453F29">
      <w:pPr>
        <w:spacing w:after="0"/>
        <w:rPr>
          <w:color w:val="000000"/>
        </w:rPr>
      </w:pPr>
    </w:p>
    <w:p w14:paraId="7F5E85AB" w14:textId="7EF9A46F" w:rsidR="00453F29" w:rsidRPr="00845D4D" w:rsidRDefault="009722E5" w:rsidP="00845D4D">
      <w:pPr>
        <w:tabs>
          <w:tab w:val="left" w:pos="1418"/>
        </w:tabs>
        <w:spacing w:after="120"/>
        <w:ind w:left="1411" w:hanging="1411"/>
        <w:rPr>
          <w:rFonts w:eastAsiaTheme="minorEastAsia"/>
          <w:b/>
          <w:bCs/>
        </w:rPr>
      </w:pPr>
      <w:r>
        <w:rPr>
          <w:rFonts w:eastAsiaTheme="minorEastAsia"/>
          <w:b/>
          <w:bCs/>
        </w:rPr>
        <w:lastRenderedPageBreak/>
        <w:t>Figure A4.5</w:t>
      </w:r>
      <w:r>
        <w:rPr>
          <w:rFonts w:eastAsiaTheme="minorEastAsia"/>
          <w:b/>
          <w:bCs/>
        </w:rPr>
        <w:tab/>
        <w:t xml:space="preserve">Flowchart for Outputs 7 and 8: estimating new funding for G1 parties </w:t>
      </w:r>
      <w:r w:rsidR="004111D2">
        <w:rPr>
          <w:rFonts w:eastAsiaTheme="minorEastAsia"/>
          <w:b/>
          <w:bCs/>
        </w:rPr>
        <w:t xml:space="preserve">who have not yet ratified </w:t>
      </w:r>
      <w:r w:rsidR="0001267E">
        <w:rPr>
          <w:rFonts w:eastAsiaTheme="minorEastAsia"/>
          <w:b/>
          <w:bCs/>
        </w:rPr>
        <w:t>KA</w:t>
      </w:r>
    </w:p>
    <w:p w14:paraId="683AFDC2" w14:textId="77777777" w:rsidR="00453F29" w:rsidRPr="00453F29" w:rsidRDefault="00453F29" w:rsidP="00453F29">
      <w:pPr>
        <w:spacing w:after="0"/>
        <w:rPr>
          <w:color w:val="000000"/>
          <w:lang w:val="en-US"/>
        </w:rPr>
      </w:pPr>
    </w:p>
    <w:p w14:paraId="3A25F96F" w14:textId="77777777" w:rsidR="00453F29" w:rsidRPr="00453F29" w:rsidRDefault="00453F29" w:rsidP="00453F29">
      <w:pPr>
        <w:spacing w:after="0"/>
        <w:rPr>
          <w:color w:val="000000"/>
          <w:lang w:val="en-US"/>
        </w:rPr>
      </w:pPr>
      <w:r w:rsidRPr="00453F29">
        <w:rPr>
          <w:noProof/>
          <w:color w:val="000000"/>
          <w:lang w:val="en-US"/>
        </w:rPr>
        <w:drawing>
          <wp:inline distT="0" distB="0" distL="0" distR="0" wp14:anchorId="1A384CC7" wp14:editId="351CF88E">
            <wp:extent cx="5612116" cy="2931912"/>
            <wp:effectExtent l="0" t="0" r="8255" b="1905"/>
            <wp:docPr id="9881100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31425" cy="2942000"/>
                    </a:xfrm>
                    <a:prstGeom prst="rect">
                      <a:avLst/>
                    </a:prstGeom>
                    <a:noFill/>
                  </pic:spPr>
                </pic:pic>
              </a:graphicData>
            </a:graphic>
          </wp:inline>
        </w:drawing>
      </w:r>
    </w:p>
    <w:p w14:paraId="5DDED7C3" w14:textId="77777777" w:rsidR="00453F29" w:rsidRPr="00453F29" w:rsidRDefault="00453F29" w:rsidP="00453F29">
      <w:pPr>
        <w:spacing w:after="0"/>
        <w:rPr>
          <w:color w:val="000000"/>
          <w:lang w:val="en-US"/>
        </w:rPr>
      </w:pPr>
    </w:p>
    <w:p w14:paraId="490835C5" w14:textId="6874DD65" w:rsidR="00453F29" w:rsidRPr="009722E5" w:rsidRDefault="00845D4D" w:rsidP="00845D4D">
      <w:pPr>
        <w:pStyle w:val="ListParagraph"/>
        <w:numPr>
          <w:ilvl w:val="0"/>
          <w:numId w:val="102"/>
        </w:numPr>
        <w:spacing w:after="0"/>
        <w:rPr>
          <w:color w:val="FF0000"/>
        </w:rPr>
      </w:pPr>
      <w:r>
        <w:rPr>
          <w:color w:val="000000"/>
          <w:lang w:val="en-US"/>
        </w:rPr>
        <w:t>G</w:t>
      </w:r>
      <w:r w:rsidR="00453F29" w:rsidRPr="00845D4D">
        <w:rPr>
          <w:color w:val="000000"/>
          <w:lang w:val="en-US"/>
        </w:rPr>
        <w:t>2: New funding for the freeze by 2028 and 10% reduction by 2032 for 3 parties that have not ratified Kigali yet.</w:t>
      </w:r>
      <w:r w:rsidR="00453F29" w:rsidRPr="00845D4D">
        <w:rPr>
          <w:color w:val="000000"/>
        </w:rPr>
        <w:t xml:space="preserve"> </w:t>
      </w:r>
      <w:r w:rsidR="00453F29" w:rsidRPr="00845D4D">
        <w:rPr>
          <w:color w:val="000000"/>
          <w:lang w:val="en-US"/>
        </w:rPr>
        <w:t>RTF assumed ratification by 2029, as it is critical to access technical and financial support in time to meet compliance targets (Output 9)</w:t>
      </w:r>
    </w:p>
    <w:p w14:paraId="5B03AFEA" w14:textId="77777777" w:rsidR="00453F29" w:rsidRDefault="00453F29" w:rsidP="00453F29">
      <w:pPr>
        <w:spacing w:after="0"/>
        <w:jc w:val="both"/>
        <w:rPr>
          <w:color w:val="000000"/>
        </w:rPr>
      </w:pPr>
    </w:p>
    <w:p w14:paraId="104B4130" w14:textId="77777777" w:rsidR="00092D3C" w:rsidRDefault="00092D3C" w:rsidP="00453F29">
      <w:pPr>
        <w:spacing w:after="0"/>
        <w:jc w:val="both"/>
        <w:rPr>
          <w:color w:val="000000"/>
        </w:rPr>
      </w:pPr>
    </w:p>
    <w:p w14:paraId="62DF18ED" w14:textId="570493FC" w:rsidR="00092D3C" w:rsidRDefault="00092D3C" w:rsidP="00092D3C">
      <w:pPr>
        <w:tabs>
          <w:tab w:val="left" w:pos="1418"/>
        </w:tabs>
        <w:spacing w:after="120"/>
        <w:ind w:left="1411" w:hanging="1411"/>
        <w:rPr>
          <w:rFonts w:eastAsiaTheme="minorEastAsia"/>
          <w:b/>
          <w:bCs/>
        </w:rPr>
      </w:pPr>
      <w:r>
        <w:rPr>
          <w:rFonts w:eastAsiaTheme="minorEastAsia"/>
          <w:b/>
          <w:bCs/>
        </w:rPr>
        <w:t>Figure A4.6</w:t>
      </w:r>
      <w:r>
        <w:rPr>
          <w:rFonts w:eastAsiaTheme="minorEastAsia"/>
          <w:b/>
          <w:bCs/>
        </w:rPr>
        <w:tab/>
        <w:t xml:space="preserve">Flowchart for Output 9: estimating new funding for G2 parties </w:t>
      </w:r>
      <w:r w:rsidR="006357F2">
        <w:rPr>
          <w:rFonts w:eastAsiaTheme="minorEastAsia"/>
          <w:b/>
          <w:bCs/>
        </w:rPr>
        <w:t xml:space="preserve">who have not yet ratified </w:t>
      </w:r>
      <w:r w:rsidR="0001267E">
        <w:rPr>
          <w:rFonts w:eastAsiaTheme="minorEastAsia"/>
          <w:b/>
          <w:bCs/>
        </w:rPr>
        <w:t>KA</w:t>
      </w:r>
    </w:p>
    <w:p w14:paraId="0232429C" w14:textId="77777777" w:rsidR="00092D3C" w:rsidRPr="00453F29" w:rsidRDefault="00092D3C" w:rsidP="00453F29">
      <w:pPr>
        <w:spacing w:after="0"/>
        <w:jc w:val="both"/>
        <w:rPr>
          <w:color w:val="000000"/>
        </w:rPr>
      </w:pPr>
    </w:p>
    <w:p w14:paraId="37808CAF" w14:textId="77777777" w:rsidR="00453F29" w:rsidRPr="00453F29" w:rsidRDefault="00453F29" w:rsidP="00453F29">
      <w:pPr>
        <w:rPr>
          <w:color w:val="000000"/>
        </w:rPr>
      </w:pPr>
      <w:r w:rsidRPr="00453F29">
        <w:rPr>
          <w:noProof/>
          <w:color w:val="000000"/>
        </w:rPr>
        <w:drawing>
          <wp:inline distT="0" distB="0" distL="0" distR="0" wp14:anchorId="2676140A" wp14:editId="69D1EA78">
            <wp:extent cx="5763895" cy="2871826"/>
            <wp:effectExtent l="0" t="0" r="8255" b="5080"/>
            <wp:docPr id="56409811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79708" cy="2879705"/>
                    </a:xfrm>
                    <a:prstGeom prst="rect">
                      <a:avLst/>
                    </a:prstGeom>
                    <a:noFill/>
                  </pic:spPr>
                </pic:pic>
              </a:graphicData>
            </a:graphic>
          </wp:inline>
        </w:drawing>
      </w:r>
    </w:p>
    <w:p w14:paraId="59A1E5E5" w14:textId="250F18D0" w:rsidR="00453F29" w:rsidRPr="00453F29" w:rsidRDefault="00453F29" w:rsidP="00453F29">
      <w:pPr>
        <w:spacing w:after="0"/>
        <w:jc w:val="both"/>
        <w:rPr>
          <w:color w:val="000000"/>
          <w:lang w:val="en-US"/>
        </w:rPr>
      </w:pPr>
      <w:r w:rsidRPr="00453F29">
        <w:rPr>
          <w:color w:val="000000"/>
          <w:lang w:val="en-US"/>
        </w:rPr>
        <w:t xml:space="preserve">For </w:t>
      </w:r>
      <w:r w:rsidRPr="00453F29">
        <w:rPr>
          <w:b/>
          <w:bCs/>
          <w:color w:val="000000"/>
          <w:lang w:val="en-US"/>
        </w:rPr>
        <w:t>G2</w:t>
      </w:r>
      <w:r w:rsidRPr="00453F29">
        <w:rPr>
          <w:color w:val="000000"/>
          <w:lang w:val="en-US"/>
        </w:rPr>
        <w:t xml:space="preserve"> parties, where baseline years extend to 2024–2026, estimates relied more heavily on trend extrapolation based on available data. Where complete datasets were not available, </w:t>
      </w:r>
      <w:r w:rsidRPr="00453F29">
        <w:rPr>
          <w:b/>
          <w:bCs/>
          <w:color w:val="000000"/>
          <w:lang w:val="en-US"/>
        </w:rPr>
        <w:t xml:space="preserve">the RTF filled the gaps as per methodology detailed in </w:t>
      </w:r>
      <w:r w:rsidRPr="00CF74B7">
        <w:rPr>
          <w:b/>
          <w:bCs/>
          <w:color w:val="000000"/>
          <w:lang w:val="en-US"/>
        </w:rPr>
        <w:t>Annex</w:t>
      </w:r>
      <w:r w:rsidR="00CF74B7">
        <w:rPr>
          <w:b/>
          <w:bCs/>
          <w:color w:val="000000"/>
          <w:lang w:val="en-US"/>
        </w:rPr>
        <w:t xml:space="preserve"> </w:t>
      </w:r>
      <w:r w:rsidR="00F841C8" w:rsidRPr="00CF74B7">
        <w:rPr>
          <w:b/>
          <w:bCs/>
          <w:color w:val="000000"/>
          <w:lang w:val="en-US"/>
        </w:rPr>
        <w:t>3</w:t>
      </w:r>
      <w:r w:rsidRPr="00CF74B7">
        <w:rPr>
          <w:b/>
          <w:bCs/>
          <w:color w:val="000000"/>
          <w:lang w:val="en-US"/>
        </w:rPr>
        <w:t xml:space="preserve"> </w:t>
      </w:r>
      <w:r w:rsidRPr="00CF74B7">
        <w:rPr>
          <w:color w:val="000000"/>
          <w:lang w:val="en-US"/>
        </w:rPr>
        <w:t xml:space="preserve">based on </w:t>
      </w:r>
      <w:r w:rsidR="00E2798B" w:rsidRPr="00CF74B7">
        <w:rPr>
          <w:color w:val="000000"/>
          <w:lang w:val="en-US"/>
        </w:rPr>
        <w:t>reported A7 and GDP growth rates</w:t>
      </w:r>
      <w:r w:rsidRPr="00CF74B7">
        <w:rPr>
          <w:color w:val="000000"/>
          <w:lang w:val="en-US"/>
        </w:rPr>
        <w:t>. In order to reflect uncertainty, a range was developed with</w:t>
      </w:r>
      <w:r w:rsidRPr="00453F29">
        <w:rPr>
          <w:color w:val="000000"/>
          <w:lang w:val="en-US"/>
        </w:rPr>
        <w:t xml:space="preserve"> a low-end value, assuming conservative consumption levels and limited growth, and a high-end value, assuming continuation of recent growth trends. These </w:t>
      </w:r>
      <w:r w:rsidRPr="00453F29">
        <w:rPr>
          <w:color w:val="000000"/>
          <w:lang w:val="en-US"/>
        </w:rPr>
        <w:lastRenderedPageBreak/>
        <w:t>assumptions introduce additional uncertainty into the funding estimates, which is reflected in the range presented.</w:t>
      </w:r>
    </w:p>
    <w:p w14:paraId="32FD779B" w14:textId="77777777" w:rsidR="00453F29" w:rsidRPr="00453F29" w:rsidRDefault="00453F29" w:rsidP="00453F29">
      <w:pPr>
        <w:spacing w:after="0"/>
        <w:jc w:val="both"/>
        <w:rPr>
          <w:color w:val="000000"/>
          <w:lang w:val="en-US"/>
        </w:rPr>
      </w:pPr>
    </w:p>
    <w:p w14:paraId="35196A62" w14:textId="46409BE8" w:rsidR="00280E04" w:rsidRDefault="00453F29" w:rsidP="00453F29">
      <w:pPr>
        <w:spacing w:after="0"/>
        <w:jc w:val="both"/>
        <w:rPr>
          <w:color w:val="000000"/>
          <w:lang w:val="en-US"/>
        </w:rPr>
      </w:pPr>
      <w:r w:rsidRPr="00453F29">
        <w:rPr>
          <w:color w:val="000000"/>
          <w:lang w:val="en-US"/>
        </w:rPr>
        <w:t xml:space="preserve">In order to estimate funding requirements for the HFC phasedown to meet the reductions targets in Stage I and Stage II KIPs, discussed in Chapter 3, RTF model organization is </w:t>
      </w:r>
      <w:r w:rsidR="009403E9">
        <w:rPr>
          <w:color w:val="000000"/>
          <w:lang w:val="en-US"/>
        </w:rPr>
        <w:t>summarised</w:t>
      </w:r>
      <w:r w:rsidRPr="00453F29">
        <w:rPr>
          <w:color w:val="000000"/>
          <w:lang w:val="en-US"/>
        </w:rPr>
        <w:t xml:space="preserve"> in the table below.</w:t>
      </w:r>
    </w:p>
    <w:p w14:paraId="0DD099BF" w14:textId="77777777" w:rsidR="00280E04" w:rsidRDefault="00280E04" w:rsidP="00453F29">
      <w:pPr>
        <w:spacing w:after="0"/>
        <w:jc w:val="both"/>
        <w:rPr>
          <w:color w:val="000000"/>
          <w:lang w:val="en-US"/>
        </w:rPr>
      </w:pPr>
    </w:p>
    <w:p w14:paraId="40E240FD" w14:textId="1C226D13" w:rsidR="00453F29" w:rsidRPr="00453F29" w:rsidRDefault="00453F29" w:rsidP="002135B0">
      <w:pPr>
        <w:tabs>
          <w:tab w:val="left" w:pos="1276"/>
        </w:tabs>
        <w:spacing w:after="120"/>
        <w:ind w:left="1412" w:hanging="1412"/>
        <w:rPr>
          <w:color w:val="000000"/>
          <w:lang w:val="en-US"/>
        </w:rPr>
      </w:pPr>
      <w:r w:rsidRPr="00453F29">
        <w:rPr>
          <w:color w:val="000000"/>
          <w:lang w:val="en-US"/>
        </w:rPr>
        <w:t xml:space="preserve"> </w:t>
      </w:r>
      <w:r w:rsidR="00280E04">
        <w:rPr>
          <w:rFonts w:eastAsiaTheme="minorEastAsia"/>
          <w:b/>
          <w:bCs/>
        </w:rPr>
        <w:t>Table A4.1</w:t>
      </w:r>
      <w:r w:rsidR="00FF681F">
        <w:rPr>
          <w:rFonts w:eastAsiaTheme="minorEastAsia"/>
          <w:b/>
          <w:bCs/>
        </w:rPr>
        <w:t>:</w:t>
      </w:r>
      <w:r w:rsidR="00280E04">
        <w:rPr>
          <w:rFonts w:eastAsiaTheme="minorEastAsia"/>
          <w:b/>
          <w:bCs/>
        </w:rPr>
        <w:tab/>
      </w:r>
      <w:r w:rsidR="00744165">
        <w:rPr>
          <w:rFonts w:eastAsiaTheme="minorEastAsia"/>
          <w:b/>
          <w:bCs/>
        </w:rPr>
        <w:t>Summary of</w:t>
      </w:r>
      <w:r w:rsidR="00372D07">
        <w:rPr>
          <w:rFonts w:eastAsiaTheme="minorEastAsia"/>
          <w:b/>
          <w:bCs/>
        </w:rPr>
        <w:t xml:space="preserve"> estimated funding methodology for HFC phase-down</w:t>
      </w:r>
    </w:p>
    <w:p w14:paraId="42E3EEEB" w14:textId="77777777" w:rsidR="00453F29" w:rsidRPr="00453F29" w:rsidRDefault="00453F29" w:rsidP="00453F29">
      <w:pPr>
        <w:spacing w:after="0"/>
        <w:jc w:val="both"/>
        <w:rPr>
          <w:color w:val="000000"/>
        </w:rPr>
      </w:pPr>
    </w:p>
    <w:p w14:paraId="3D519260" w14:textId="77777777" w:rsidR="00453F29" w:rsidRPr="00453F29" w:rsidRDefault="00453F29" w:rsidP="00453F29">
      <w:pPr>
        <w:rPr>
          <w:color w:val="000000"/>
        </w:rPr>
      </w:pPr>
      <w:r w:rsidRPr="00453F29">
        <w:rPr>
          <w:noProof/>
          <w:color w:val="000000"/>
        </w:rPr>
        <w:drawing>
          <wp:inline distT="0" distB="0" distL="0" distR="0" wp14:anchorId="57A9AECE" wp14:editId="0561F6B1">
            <wp:extent cx="5663565" cy="3429000"/>
            <wp:effectExtent l="0" t="0" r="0" b="0"/>
            <wp:docPr id="15664276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9504" cy="3462868"/>
                    </a:xfrm>
                    <a:prstGeom prst="rect">
                      <a:avLst/>
                    </a:prstGeom>
                    <a:noFill/>
                    <a:ln>
                      <a:noFill/>
                    </a:ln>
                  </pic:spPr>
                </pic:pic>
              </a:graphicData>
            </a:graphic>
          </wp:inline>
        </w:drawing>
      </w:r>
    </w:p>
    <w:p w14:paraId="7D694104" w14:textId="1614920F" w:rsidR="00453F29" w:rsidRPr="00453F29" w:rsidRDefault="00453F29" w:rsidP="00453F29">
      <w:pPr>
        <w:rPr>
          <w:color w:val="000000"/>
        </w:rPr>
      </w:pPr>
      <w:r w:rsidRPr="548BBB9B">
        <w:t>Information on CE thresholds used in the different sections of the model, methodology for filling baseline data gaps, and explanations regarding sector distribution of chemicals utilized, are detailed in separate Annex</w:t>
      </w:r>
      <w:r w:rsidR="001C1EE2">
        <w:t xml:space="preserve"> </w:t>
      </w:r>
      <w:r w:rsidR="00FA0FC3">
        <w:t>3</w:t>
      </w:r>
      <w:r w:rsidRPr="548BBB9B">
        <w:t xml:space="preserve"> and in </w:t>
      </w:r>
      <w:r w:rsidRPr="00B92655">
        <w:t>Chapter 3.</w:t>
      </w:r>
      <w:r w:rsidRPr="548BBB9B">
        <w:t xml:space="preserve"> </w:t>
      </w:r>
    </w:p>
    <w:p w14:paraId="49F035FB" w14:textId="77777777" w:rsidR="00453F29" w:rsidRPr="00453F29" w:rsidRDefault="00453F29" w:rsidP="00453F29">
      <w:pPr>
        <w:rPr>
          <w:color w:val="000000"/>
        </w:rPr>
      </w:pPr>
      <w:r w:rsidRPr="00453F29">
        <w:rPr>
          <w:color w:val="000000"/>
        </w:rPr>
        <w:t>The resource allocation proposals A and B described in Chapter 3 are indicated in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305"/>
        <w:gridCol w:w="2305"/>
        <w:gridCol w:w="2060"/>
      </w:tblGrid>
      <w:tr w:rsidR="00D46EC1" w14:paraId="5D470CB3" w14:textId="77777777" w:rsidTr="002135B0">
        <w:trPr>
          <w:trHeight w:val="495"/>
        </w:trPr>
        <w:tc>
          <w:tcPr>
            <w:tcW w:w="1325" w:type="pct"/>
            <w:shd w:val="clear" w:color="auto" w:fill="D9E2F3" w:themeFill="accent1" w:themeFillTint="33"/>
            <w:vAlign w:val="center"/>
          </w:tcPr>
          <w:p w14:paraId="7F5EC737" w14:textId="4FBCE09A" w:rsidR="00D46EC1" w:rsidRPr="00D11316" w:rsidRDefault="00D46EC1" w:rsidP="00FF681F">
            <w:pPr>
              <w:spacing w:after="0"/>
              <w:rPr>
                <w:b/>
                <w:bCs/>
                <w:lang w:val="en-US"/>
              </w:rPr>
            </w:pPr>
            <w:r w:rsidRPr="00D11316">
              <w:rPr>
                <w:b/>
                <w:bCs/>
                <w:lang w:val="en-US"/>
              </w:rPr>
              <w:t>Group</w:t>
            </w:r>
          </w:p>
        </w:tc>
        <w:tc>
          <w:tcPr>
            <w:tcW w:w="1270" w:type="pct"/>
            <w:shd w:val="clear" w:color="auto" w:fill="D9E2F3" w:themeFill="accent1" w:themeFillTint="33"/>
            <w:vAlign w:val="center"/>
          </w:tcPr>
          <w:p w14:paraId="720D8941" w14:textId="77777777" w:rsidR="00D46EC1" w:rsidRPr="00D11316" w:rsidRDefault="00D46EC1" w:rsidP="002135B0">
            <w:pPr>
              <w:spacing w:after="0"/>
              <w:jc w:val="center"/>
              <w:rPr>
                <w:b/>
                <w:bCs/>
                <w:lang w:val="en-US"/>
              </w:rPr>
            </w:pPr>
            <w:r>
              <w:rPr>
                <w:b/>
                <w:bCs/>
                <w:lang w:val="en-US"/>
              </w:rPr>
              <w:t>KIP Stage</w:t>
            </w:r>
          </w:p>
        </w:tc>
        <w:tc>
          <w:tcPr>
            <w:tcW w:w="1270" w:type="pct"/>
            <w:shd w:val="clear" w:color="auto" w:fill="C5E0B3" w:themeFill="accent6" w:themeFillTint="66"/>
            <w:vAlign w:val="center"/>
          </w:tcPr>
          <w:p w14:paraId="0C57819F" w14:textId="1C016038" w:rsidR="00D46EC1" w:rsidRPr="00D11316" w:rsidRDefault="00D46EC1" w:rsidP="002135B0">
            <w:pPr>
              <w:spacing w:after="0"/>
              <w:jc w:val="center"/>
              <w:rPr>
                <w:b/>
                <w:bCs/>
                <w:lang w:val="en-US"/>
              </w:rPr>
            </w:pPr>
            <w:r w:rsidRPr="00D11316">
              <w:rPr>
                <w:b/>
                <w:bCs/>
                <w:lang w:val="en-US"/>
              </w:rPr>
              <w:t>Schedule A</w:t>
            </w:r>
          </w:p>
          <w:p w14:paraId="14145FBF" w14:textId="7BD509E0" w:rsidR="00D46EC1" w:rsidRPr="00D11316" w:rsidRDefault="00D46EC1" w:rsidP="002135B0">
            <w:pPr>
              <w:spacing w:after="0"/>
              <w:jc w:val="center"/>
              <w:rPr>
                <w:b/>
                <w:bCs/>
                <w:lang w:val="en-US"/>
              </w:rPr>
            </w:pPr>
            <w:r w:rsidRPr="00D11316">
              <w:rPr>
                <w:b/>
                <w:bCs/>
                <w:lang w:val="en-US"/>
              </w:rPr>
              <w:t>(% per triennium)</w:t>
            </w:r>
          </w:p>
        </w:tc>
        <w:tc>
          <w:tcPr>
            <w:tcW w:w="1135" w:type="pct"/>
            <w:shd w:val="clear" w:color="auto" w:fill="FFE599" w:themeFill="accent4" w:themeFillTint="66"/>
            <w:vAlign w:val="center"/>
          </w:tcPr>
          <w:p w14:paraId="6CA9D197" w14:textId="36E8C5CB" w:rsidR="00D46EC1" w:rsidRPr="00D11316" w:rsidRDefault="00D46EC1" w:rsidP="002135B0">
            <w:pPr>
              <w:spacing w:after="0"/>
              <w:jc w:val="center"/>
              <w:rPr>
                <w:b/>
                <w:bCs/>
                <w:lang w:val="en-US"/>
              </w:rPr>
            </w:pPr>
            <w:r w:rsidRPr="00D11316">
              <w:rPr>
                <w:b/>
                <w:bCs/>
                <w:lang w:val="en-US"/>
              </w:rPr>
              <w:t>Schedule B</w:t>
            </w:r>
          </w:p>
          <w:p w14:paraId="49DA7854" w14:textId="1AF8DA7C" w:rsidR="00D46EC1" w:rsidRPr="00D11316" w:rsidRDefault="00D46EC1" w:rsidP="002135B0">
            <w:pPr>
              <w:spacing w:after="0"/>
              <w:jc w:val="center"/>
              <w:rPr>
                <w:b/>
                <w:bCs/>
                <w:lang w:val="en-US"/>
              </w:rPr>
            </w:pPr>
            <w:r w:rsidRPr="00D11316">
              <w:rPr>
                <w:b/>
                <w:bCs/>
                <w:lang w:val="en-US"/>
              </w:rPr>
              <w:t>(% per triennium)</w:t>
            </w:r>
          </w:p>
        </w:tc>
      </w:tr>
      <w:tr w:rsidR="00D46EC1" w14:paraId="6CD61BD8" w14:textId="77777777" w:rsidTr="002135B0">
        <w:trPr>
          <w:trHeight w:val="495"/>
        </w:trPr>
        <w:tc>
          <w:tcPr>
            <w:tcW w:w="1325" w:type="pct"/>
            <w:vMerge w:val="restart"/>
            <w:vAlign w:val="center"/>
          </w:tcPr>
          <w:p w14:paraId="029E48FC" w14:textId="479C82D7" w:rsidR="00D46EC1" w:rsidRDefault="00D46EC1" w:rsidP="00A86D3C">
            <w:pPr>
              <w:spacing w:after="0"/>
              <w:rPr>
                <w:lang w:val="en-US"/>
              </w:rPr>
            </w:pPr>
            <w:r w:rsidRPr="4DBB2B28">
              <w:rPr>
                <w:lang w:val="en-US"/>
              </w:rPr>
              <w:t>G1 parties without KIPs</w:t>
            </w:r>
            <w:r w:rsidRPr="4DBB2B28">
              <w:t xml:space="preserve"> </w:t>
            </w:r>
          </w:p>
        </w:tc>
        <w:tc>
          <w:tcPr>
            <w:tcW w:w="1270" w:type="pct"/>
            <w:vAlign w:val="center"/>
          </w:tcPr>
          <w:p w14:paraId="0D62A924" w14:textId="77777777" w:rsidR="00D46EC1" w:rsidRPr="4DBB2B28" w:rsidRDefault="00D46EC1" w:rsidP="002135B0">
            <w:pPr>
              <w:spacing w:after="0"/>
              <w:jc w:val="center"/>
              <w:rPr>
                <w:lang w:val="en-US"/>
              </w:rPr>
            </w:pPr>
            <w:r>
              <w:rPr>
                <w:lang w:val="en-US"/>
              </w:rPr>
              <w:t>I</w:t>
            </w:r>
          </w:p>
        </w:tc>
        <w:tc>
          <w:tcPr>
            <w:tcW w:w="1270" w:type="pct"/>
            <w:shd w:val="clear" w:color="auto" w:fill="E2EFD9" w:themeFill="accent6" w:themeFillTint="33"/>
            <w:vAlign w:val="center"/>
          </w:tcPr>
          <w:p w14:paraId="1CFF8966" w14:textId="6B38F6AF" w:rsidR="00D46EC1" w:rsidRDefault="00D46EC1" w:rsidP="002135B0">
            <w:pPr>
              <w:spacing w:after="0"/>
              <w:jc w:val="center"/>
              <w:rPr>
                <w:lang w:val="en-US"/>
              </w:rPr>
            </w:pPr>
            <w:r w:rsidRPr="4DBB2B28">
              <w:rPr>
                <w:lang w:val="en-US"/>
              </w:rPr>
              <w:t>100% - 2027-2029</w:t>
            </w:r>
          </w:p>
        </w:tc>
        <w:tc>
          <w:tcPr>
            <w:tcW w:w="1135" w:type="pct"/>
            <w:shd w:val="clear" w:color="auto" w:fill="FFF2CC" w:themeFill="accent4" w:themeFillTint="33"/>
            <w:vAlign w:val="center"/>
          </w:tcPr>
          <w:p w14:paraId="1246C4D5" w14:textId="65ED1F93" w:rsidR="00D46EC1" w:rsidRDefault="00D46EC1" w:rsidP="002135B0">
            <w:pPr>
              <w:spacing w:after="0"/>
              <w:jc w:val="center"/>
              <w:rPr>
                <w:lang w:val="en-US"/>
              </w:rPr>
            </w:pPr>
            <w:r w:rsidRPr="4DBB2B28">
              <w:rPr>
                <w:lang w:val="en-US"/>
              </w:rPr>
              <w:t>90% - 2027-2029</w:t>
            </w:r>
          </w:p>
          <w:p w14:paraId="3FF9CA63" w14:textId="54E138C5" w:rsidR="00D46EC1" w:rsidRDefault="00D46EC1" w:rsidP="002135B0">
            <w:pPr>
              <w:spacing w:after="0"/>
              <w:jc w:val="center"/>
              <w:rPr>
                <w:lang w:val="en-US"/>
              </w:rPr>
            </w:pPr>
            <w:r w:rsidRPr="4DBB2B28">
              <w:rPr>
                <w:lang w:val="en-US"/>
              </w:rPr>
              <w:t>10% - 2030-2032</w:t>
            </w:r>
          </w:p>
        </w:tc>
      </w:tr>
      <w:tr w:rsidR="00D46EC1" w14:paraId="0CD3905F" w14:textId="77777777" w:rsidTr="002135B0">
        <w:trPr>
          <w:trHeight w:val="420"/>
        </w:trPr>
        <w:tc>
          <w:tcPr>
            <w:tcW w:w="1325" w:type="pct"/>
            <w:vMerge/>
            <w:vAlign w:val="center"/>
          </w:tcPr>
          <w:p w14:paraId="6CF70C2D" w14:textId="77777777" w:rsidR="00D46EC1" w:rsidRDefault="00D46EC1" w:rsidP="00FF681F">
            <w:pPr>
              <w:spacing w:after="0"/>
              <w:rPr>
                <w:lang w:val="en-US"/>
              </w:rPr>
            </w:pPr>
          </w:p>
        </w:tc>
        <w:tc>
          <w:tcPr>
            <w:tcW w:w="1270" w:type="pct"/>
            <w:vAlign w:val="center"/>
          </w:tcPr>
          <w:p w14:paraId="5C9B0AF7" w14:textId="77777777" w:rsidR="00D46EC1" w:rsidRPr="4DBB2B28" w:rsidRDefault="00D46EC1" w:rsidP="002135B0">
            <w:pPr>
              <w:spacing w:after="0"/>
              <w:jc w:val="center"/>
              <w:rPr>
                <w:lang w:val="en-US"/>
              </w:rPr>
            </w:pPr>
            <w:r>
              <w:rPr>
                <w:lang w:val="en-US"/>
              </w:rPr>
              <w:t>II</w:t>
            </w:r>
          </w:p>
        </w:tc>
        <w:tc>
          <w:tcPr>
            <w:tcW w:w="1270" w:type="pct"/>
            <w:shd w:val="clear" w:color="auto" w:fill="E2EFD9" w:themeFill="accent6" w:themeFillTint="33"/>
            <w:vAlign w:val="center"/>
          </w:tcPr>
          <w:p w14:paraId="43007FDF" w14:textId="035C8ABE" w:rsidR="00D46EC1" w:rsidRDefault="00D46EC1" w:rsidP="002135B0">
            <w:pPr>
              <w:spacing w:after="0"/>
              <w:jc w:val="center"/>
              <w:rPr>
                <w:lang w:val="en-US"/>
              </w:rPr>
            </w:pPr>
            <w:r w:rsidRPr="4DBB2B28">
              <w:rPr>
                <w:lang w:val="en-US"/>
              </w:rPr>
              <w:t>60% - 2030-2032</w:t>
            </w:r>
          </w:p>
          <w:p w14:paraId="05365533" w14:textId="1043558C" w:rsidR="00D46EC1" w:rsidRDefault="00D46EC1" w:rsidP="002135B0">
            <w:pPr>
              <w:spacing w:after="0"/>
              <w:jc w:val="center"/>
              <w:rPr>
                <w:lang w:val="en-US"/>
              </w:rPr>
            </w:pPr>
            <w:r w:rsidRPr="4DBB2B28">
              <w:t>40% - 2033-2035</w:t>
            </w:r>
          </w:p>
        </w:tc>
        <w:tc>
          <w:tcPr>
            <w:tcW w:w="1135" w:type="pct"/>
            <w:shd w:val="clear" w:color="auto" w:fill="E2EFD9" w:themeFill="accent6" w:themeFillTint="33"/>
            <w:vAlign w:val="center"/>
          </w:tcPr>
          <w:p w14:paraId="106F2813" w14:textId="5F4BCCC2" w:rsidR="00D46EC1" w:rsidRDefault="00D46EC1" w:rsidP="002135B0">
            <w:pPr>
              <w:spacing w:after="0"/>
              <w:jc w:val="center"/>
              <w:rPr>
                <w:lang w:val="en-US"/>
              </w:rPr>
            </w:pPr>
            <w:r w:rsidRPr="4DBB2B28">
              <w:rPr>
                <w:lang w:val="en-US"/>
              </w:rPr>
              <w:t>60% - 2030-2032</w:t>
            </w:r>
          </w:p>
          <w:p w14:paraId="13610A44" w14:textId="79FB1D98" w:rsidR="00D46EC1" w:rsidRDefault="00D46EC1" w:rsidP="002135B0">
            <w:pPr>
              <w:spacing w:after="0"/>
              <w:jc w:val="center"/>
              <w:rPr>
                <w:lang w:val="en-US"/>
              </w:rPr>
            </w:pPr>
            <w:r w:rsidRPr="4DBB2B28">
              <w:t>40% - 2033-2035</w:t>
            </w:r>
          </w:p>
        </w:tc>
      </w:tr>
      <w:tr w:rsidR="00D46EC1" w14:paraId="03063ECD" w14:textId="77777777" w:rsidTr="002135B0">
        <w:trPr>
          <w:trHeight w:val="390"/>
        </w:trPr>
        <w:tc>
          <w:tcPr>
            <w:tcW w:w="1325" w:type="pct"/>
            <w:vAlign w:val="center"/>
          </w:tcPr>
          <w:p w14:paraId="2B5652CC" w14:textId="77777777" w:rsidR="00D46EC1" w:rsidRPr="000F7E13" w:rsidRDefault="00D46EC1" w:rsidP="00FF681F">
            <w:pPr>
              <w:spacing w:after="0"/>
              <w:rPr>
                <w:lang w:val="en-US"/>
              </w:rPr>
            </w:pPr>
            <w:r w:rsidRPr="274D2446">
              <w:rPr>
                <w:lang w:val="en-US"/>
              </w:rPr>
              <w:t>G1 parties with KIPs</w:t>
            </w:r>
            <w:r>
              <w:t xml:space="preserve"> </w:t>
            </w:r>
            <w:r w:rsidRPr="274D2446">
              <w:rPr>
                <w:lang w:val="en-US"/>
              </w:rPr>
              <w:t xml:space="preserve"> </w:t>
            </w:r>
          </w:p>
        </w:tc>
        <w:tc>
          <w:tcPr>
            <w:tcW w:w="1270" w:type="pct"/>
            <w:vAlign w:val="center"/>
          </w:tcPr>
          <w:p w14:paraId="29B31E1F" w14:textId="77777777" w:rsidR="00D46EC1" w:rsidRPr="4DBB2B28" w:rsidRDefault="00D46EC1" w:rsidP="002135B0">
            <w:pPr>
              <w:spacing w:after="0"/>
              <w:jc w:val="center"/>
              <w:rPr>
                <w:lang w:val="en-US"/>
              </w:rPr>
            </w:pPr>
            <w:r>
              <w:rPr>
                <w:lang w:val="en-US"/>
              </w:rPr>
              <w:t>II</w:t>
            </w:r>
          </w:p>
        </w:tc>
        <w:tc>
          <w:tcPr>
            <w:tcW w:w="1270" w:type="pct"/>
            <w:shd w:val="clear" w:color="auto" w:fill="E2EFD9" w:themeFill="accent6" w:themeFillTint="33"/>
            <w:vAlign w:val="center"/>
          </w:tcPr>
          <w:p w14:paraId="57976613" w14:textId="02358A05" w:rsidR="00D46EC1" w:rsidRDefault="00D46EC1" w:rsidP="002135B0">
            <w:pPr>
              <w:spacing w:after="0"/>
              <w:jc w:val="center"/>
              <w:rPr>
                <w:lang w:val="en-US"/>
              </w:rPr>
            </w:pPr>
            <w:r w:rsidRPr="4DBB2B28">
              <w:rPr>
                <w:lang w:val="en-US"/>
              </w:rPr>
              <w:t>60% - 2027-2029</w:t>
            </w:r>
          </w:p>
          <w:p w14:paraId="6633C66F" w14:textId="5AFC9118" w:rsidR="00D46EC1" w:rsidRDefault="00D46EC1" w:rsidP="002135B0">
            <w:pPr>
              <w:spacing w:after="0"/>
              <w:jc w:val="center"/>
              <w:rPr>
                <w:lang w:val="en-US"/>
              </w:rPr>
            </w:pPr>
            <w:r w:rsidRPr="4DBB2B28">
              <w:t>40% - 2030-2032</w:t>
            </w:r>
          </w:p>
        </w:tc>
        <w:tc>
          <w:tcPr>
            <w:tcW w:w="1135" w:type="pct"/>
            <w:shd w:val="clear" w:color="auto" w:fill="FFF2CC" w:themeFill="accent4" w:themeFillTint="33"/>
            <w:vAlign w:val="center"/>
          </w:tcPr>
          <w:p w14:paraId="6B5080DD" w14:textId="31AB385F" w:rsidR="00D46EC1" w:rsidRDefault="00D46EC1" w:rsidP="002135B0">
            <w:pPr>
              <w:spacing w:after="0"/>
              <w:jc w:val="center"/>
              <w:rPr>
                <w:lang w:val="en-US"/>
              </w:rPr>
            </w:pPr>
            <w:r w:rsidRPr="4DBB2B28">
              <w:rPr>
                <w:lang w:val="en-US"/>
              </w:rPr>
              <w:t>60% - 2030-2032</w:t>
            </w:r>
          </w:p>
          <w:p w14:paraId="0A6C97BF" w14:textId="109E5A93" w:rsidR="00D46EC1" w:rsidRDefault="00D46EC1" w:rsidP="002135B0">
            <w:pPr>
              <w:spacing w:after="0"/>
              <w:jc w:val="center"/>
              <w:rPr>
                <w:lang w:val="en-US"/>
              </w:rPr>
            </w:pPr>
            <w:r w:rsidRPr="4DBB2B28">
              <w:t>40% - 2033-2035</w:t>
            </w:r>
          </w:p>
        </w:tc>
      </w:tr>
      <w:tr w:rsidR="00D46EC1" w14:paraId="0BD21271" w14:textId="77777777" w:rsidTr="002135B0">
        <w:trPr>
          <w:trHeight w:val="285"/>
        </w:trPr>
        <w:tc>
          <w:tcPr>
            <w:tcW w:w="1325" w:type="pct"/>
            <w:vAlign w:val="center"/>
          </w:tcPr>
          <w:p w14:paraId="21A3EBBB" w14:textId="77777777" w:rsidR="00D46EC1" w:rsidRDefault="00D46EC1" w:rsidP="00FF681F">
            <w:pPr>
              <w:spacing w:after="0"/>
              <w:rPr>
                <w:lang w:val="en-US"/>
              </w:rPr>
            </w:pPr>
            <w:r w:rsidRPr="4DBB2B28">
              <w:rPr>
                <w:lang w:val="en-US"/>
              </w:rPr>
              <w:t>G2 parties without KIPs</w:t>
            </w:r>
            <w:r w:rsidRPr="4DBB2B28">
              <w:t xml:space="preserve"> </w:t>
            </w:r>
            <w:r w:rsidRPr="4DBB2B28">
              <w:rPr>
                <w:lang w:val="en-US"/>
              </w:rPr>
              <w:t xml:space="preserve"> </w:t>
            </w:r>
          </w:p>
        </w:tc>
        <w:tc>
          <w:tcPr>
            <w:tcW w:w="1270" w:type="pct"/>
            <w:vAlign w:val="center"/>
          </w:tcPr>
          <w:p w14:paraId="289733B0" w14:textId="77777777" w:rsidR="00D46EC1" w:rsidRPr="4DBB2B28" w:rsidRDefault="00D46EC1" w:rsidP="002135B0">
            <w:pPr>
              <w:spacing w:after="0"/>
              <w:jc w:val="center"/>
              <w:rPr>
                <w:lang w:val="en-US"/>
              </w:rPr>
            </w:pPr>
            <w:r>
              <w:rPr>
                <w:lang w:val="en-US"/>
              </w:rPr>
              <w:t>I</w:t>
            </w:r>
          </w:p>
        </w:tc>
        <w:tc>
          <w:tcPr>
            <w:tcW w:w="1270" w:type="pct"/>
            <w:shd w:val="clear" w:color="auto" w:fill="E2EFD9" w:themeFill="accent6" w:themeFillTint="33"/>
            <w:vAlign w:val="center"/>
          </w:tcPr>
          <w:p w14:paraId="4BA6ADBF" w14:textId="2657372A" w:rsidR="00D46EC1" w:rsidRDefault="00D46EC1" w:rsidP="002135B0">
            <w:pPr>
              <w:spacing w:after="0"/>
              <w:jc w:val="center"/>
              <w:rPr>
                <w:lang w:val="en-US"/>
              </w:rPr>
            </w:pPr>
            <w:r w:rsidRPr="4DBB2B28">
              <w:rPr>
                <w:lang w:val="en-US"/>
              </w:rPr>
              <w:t>60% - 2027-2029</w:t>
            </w:r>
          </w:p>
          <w:p w14:paraId="546444D0" w14:textId="7AEC10E2" w:rsidR="00D46EC1" w:rsidRDefault="00D46EC1" w:rsidP="002135B0">
            <w:pPr>
              <w:spacing w:after="0"/>
              <w:jc w:val="center"/>
              <w:rPr>
                <w:lang w:val="en-US"/>
              </w:rPr>
            </w:pPr>
            <w:r w:rsidRPr="53A93E24">
              <w:t>40% - 2030-2032</w:t>
            </w:r>
          </w:p>
        </w:tc>
        <w:tc>
          <w:tcPr>
            <w:tcW w:w="1135" w:type="pct"/>
            <w:shd w:val="clear" w:color="auto" w:fill="FFF2CC" w:themeFill="accent4" w:themeFillTint="33"/>
            <w:vAlign w:val="center"/>
          </w:tcPr>
          <w:p w14:paraId="25B0C3E5" w14:textId="77777777" w:rsidR="00D46EC1" w:rsidRDefault="00D46EC1" w:rsidP="002135B0">
            <w:pPr>
              <w:spacing w:after="0"/>
              <w:jc w:val="center"/>
              <w:rPr>
                <w:lang w:val="en-US"/>
              </w:rPr>
            </w:pPr>
            <w:r w:rsidRPr="4DBB2B28">
              <w:rPr>
                <w:lang w:val="en-US"/>
              </w:rPr>
              <w:t>90% - 2030-2032</w:t>
            </w:r>
          </w:p>
          <w:p w14:paraId="0957E3FD" w14:textId="77777777" w:rsidR="00D46EC1" w:rsidRDefault="00D46EC1" w:rsidP="002135B0">
            <w:pPr>
              <w:spacing w:after="0"/>
              <w:jc w:val="center"/>
              <w:rPr>
                <w:lang w:val="en-US"/>
              </w:rPr>
            </w:pPr>
            <w:r w:rsidRPr="7127C3C4">
              <w:t>10% - 2033-2035</w:t>
            </w:r>
          </w:p>
        </w:tc>
      </w:tr>
    </w:tbl>
    <w:p w14:paraId="424F82EE" w14:textId="77777777" w:rsidR="00D46EC1" w:rsidRPr="00453F29" w:rsidRDefault="00D46EC1" w:rsidP="002135B0">
      <w:pPr>
        <w:spacing w:before="120" w:after="120"/>
        <w:rPr>
          <w:color w:val="000000"/>
          <w:bdr w:val="none" w:sz="0" w:space="0" w:color="auto" w:frame="1"/>
          <w:shd w:val="clear" w:color="auto" w:fill="C6C6C6"/>
          <w:lang w:val="en-US"/>
        </w:rPr>
      </w:pPr>
    </w:p>
    <w:p w14:paraId="2A760DE8" w14:textId="77777777" w:rsidR="00453F29" w:rsidRPr="00453F29" w:rsidRDefault="00453F29" w:rsidP="002135B0">
      <w:pPr>
        <w:spacing w:after="120"/>
        <w:rPr>
          <w:color w:val="000000"/>
          <w:lang w:val="en-US"/>
        </w:rPr>
      </w:pPr>
      <w:r w:rsidRPr="00453F29">
        <w:rPr>
          <w:color w:val="000000"/>
          <w:lang w:val="en-US"/>
        </w:rPr>
        <w:t>For both proposals (A and B), RTF assumed full ratification for G1 and G2 parties by 2029.</w:t>
      </w:r>
    </w:p>
    <w:p w14:paraId="74179819" w14:textId="77F6F95D" w:rsidR="00BD26AD" w:rsidRDefault="00453F29" w:rsidP="002135B0">
      <w:pPr>
        <w:rPr>
          <w:rFonts w:eastAsia="Calibri"/>
          <w:b/>
          <w:sz w:val="28"/>
          <w:szCs w:val="28"/>
          <w:lang w:eastAsia="zh-CN"/>
        </w:rPr>
      </w:pPr>
      <w:r w:rsidRPr="00453F29">
        <w:rPr>
          <w:color w:val="000000"/>
        </w:rPr>
        <w:t xml:space="preserve">The resource allocation proposals are applied to both </w:t>
      </w:r>
      <w:r w:rsidR="00BF705A">
        <w:rPr>
          <w:color w:val="000000"/>
        </w:rPr>
        <w:t>s</w:t>
      </w:r>
      <w:r w:rsidRPr="00453F29">
        <w:rPr>
          <w:color w:val="000000"/>
        </w:rPr>
        <w:t xml:space="preserve">cenarios. It is important to emphasise that the total funding for the 3 triennia for Stage I plus Stage II, changes depending on the </w:t>
      </w:r>
      <w:r w:rsidR="00BF705A">
        <w:rPr>
          <w:color w:val="000000"/>
        </w:rPr>
        <w:t>s</w:t>
      </w:r>
      <w:r w:rsidRPr="00453F29">
        <w:rPr>
          <w:color w:val="000000"/>
        </w:rPr>
        <w:t xml:space="preserve">cenario, but the allocation does not </w:t>
      </w:r>
      <w:r w:rsidR="00170135">
        <w:rPr>
          <w:color w:val="000000"/>
        </w:rPr>
        <w:t xml:space="preserve">affect </w:t>
      </w:r>
      <w:r w:rsidRPr="00453F29">
        <w:rPr>
          <w:color w:val="000000"/>
        </w:rPr>
        <w:t xml:space="preserve">the total funding. The total funding per </w:t>
      </w:r>
      <w:r w:rsidR="00B54813">
        <w:rPr>
          <w:color w:val="000000"/>
        </w:rPr>
        <w:t>s</w:t>
      </w:r>
      <w:r w:rsidRPr="00453F29">
        <w:rPr>
          <w:color w:val="000000"/>
        </w:rPr>
        <w:t>cenario only shifts from one triennium to another.</w:t>
      </w:r>
      <w:bookmarkStart w:id="383" w:name="_Toc227477973"/>
      <w:bookmarkEnd w:id="364"/>
      <w:bookmarkEnd w:id="365"/>
      <w:bookmarkEnd w:id="366"/>
      <w:bookmarkEnd w:id="367"/>
      <w:bookmarkEnd w:id="368"/>
      <w:bookmarkEnd w:id="369"/>
      <w:bookmarkEnd w:id="370"/>
      <w:r w:rsidR="00BD26AD">
        <w:rPr>
          <w:rFonts w:eastAsia="Calibri"/>
        </w:rPr>
        <w:br w:type="page"/>
      </w:r>
    </w:p>
    <w:p w14:paraId="7E6007C0" w14:textId="58C9628D" w:rsidR="004812BA" w:rsidRPr="00E242FE" w:rsidRDefault="004812BA" w:rsidP="005D31A7">
      <w:pPr>
        <w:pStyle w:val="Heading1"/>
        <w:rPr>
          <w:color w:val="auto"/>
        </w:rPr>
      </w:pPr>
      <w:bookmarkStart w:id="384" w:name="_Toc230099167"/>
      <w:r w:rsidRPr="15705D21">
        <w:lastRenderedPageBreak/>
        <w:t xml:space="preserve">ANNEX </w:t>
      </w:r>
      <w:r w:rsidR="18818741" w:rsidRPr="15705D21">
        <w:t>5</w:t>
      </w:r>
      <w:r w:rsidRPr="15705D21">
        <w:t>:</w:t>
      </w:r>
      <w:r w:rsidR="00F6417D">
        <w:t xml:space="preserve"> </w:t>
      </w:r>
      <w:r w:rsidRPr="717A1814">
        <w:t>L</w:t>
      </w:r>
      <w:r w:rsidR="74D07FD6" w:rsidRPr="717A1814">
        <w:t xml:space="preserve">IST OF </w:t>
      </w:r>
      <w:r w:rsidR="74D07FD6" w:rsidRPr="1C87E4B0">
        <w:t xml:space="preserve">PARTIES FUNDED </w:t>
      </w:r>
      <w:r w:rsidR="74D07FD6" w:rsidRPr="14281D6E">
        <w:t xml:space="preserve">AS </w:t>
      </w:r>
      <w:r w:rsidR="457963D7" w:rsidRPr="09EDE6B9">
        <w:t xml:space="preserve">LVC </w:t>
      </w:r>
      <w:r w:rsidR="74D07FD6" w:rsidRPr="14281D6E">
        <w:t xml:space="preserve">UNDER THE HCFC </w:t>
      </w:r>
      <w:r w:rsidR="74D07FD6" w:rsidRPr="582DEF17">
        <w:t>PHASE</w:t>
      </w:r>
      <w:r w:rsidR="00B54813">
        <w:t>-</w:t>
      </w:r>
      <w:r w:rsidR="74D07FD6" w:rsidRPr="582DEF17">
        <w:t>OUT</w:t>
      </w:r>
      <w:r w:rsidR="74D07FD6" w:rsidRPr="14281D6E">
        <w:t xml:space="preserve"> AND </w:t>
      </w:r>
      <w:r w:rsidR="74D07FD6" w:rsidRPr="356453F0">
        <w:t xml:space="preserve">HFC </w:t>
      </w:r>
      <w:r w:rsidR="74D07FD6" w:rsidRPr="6430BB9B">
        <w:t>PHASE</w:t>
      </w:r>
      <w:r w:rsidR="00B54813">
        <w:t>-</w:t>
      </w:r>
      <w:r w:rsidR="74D07FD6" w:rsidRPr="6430BB9B">
        <w:t>D</w:t>
      </w:r>
      <w:r w:rsidR="22D6939E" w:rsidRPr="6430BB9B">
        <w:t>O</w:t>
      </w:r>
      <w:r w:rsidR="74D07FD6" w:rsidRPr="6430BB9B">
        <w:t>WN</w:t>
      </w:r>
      <w:bookmarkEnd w:id="384"/>
      <w:r w:rsidR="74D07FD6" w:rsidRPr="356453F0">
        <w:t xml:space="preserve"> </w:t>
      </w:r>
      <w:bookmarkEnd w:id="383"/>
    </w:p>
    <w:tbl>
      <w:tblPr>
        <w:tblW w:w="9224" w:type="dxa"/>
        <w:jc w:val="center"/>
        <w:tblLook w:val="04A0" w:firstRow="1" w:lastRow="0" w:firstColumn="1" w:lastColumn="0" w:noHBand="0" w:noVBand="1"/>
      </w:tblPr>
      <w:tblGrid>
        <w:gridCol w:w="472"/>
        <w:gridCol w:w="1868"/>
        <w:gridCol w:w="457"/>
        <w:gridCol w:w="1569"/>
        <w:gridCol w:w="459"/>
        <w:gridCol w:w="1918"/>
        <w:gridCol w:w="472"/>
        <w:gridCol w:w="2009"/>
      </w:tblGrid>
      <w:tr w:rsidR="004812BA" w:rsidRPr="00E242FE" w14:paraId="05D8BF0C" w14:textId="77777777" w:rsidTr="00036298">
        <w:trPr>
          <w:trHeight w:val="331"/>
          <w:jc w:val="center"/>
        </w:trPr>
        <w:tc>
          <w:tcPr>
            <w:tcW w:w="9224" w:type="dxa"/>
            <w:gridSpan w:val="8"/>
            <w:tcBorders>
              <w:top w:val="single" w:sz="4" w:space="0" w:color="auto"/>
              <w:left w:val="single" w:sz="4" w:space="0" w:color="auto"/>
              <w:bottom w:val="single" w:sz="4" w:space="0" w:color="auto"/>
              <w:right w:val="single" w:sz="4" w:space="0" w:color="000000" w:themeColor="text1"/>
            </w:tcBorders>
            <w:shd w:val="clear" w:color="auto" w:fill="B7DEE8"/>
            <w:vAlign w:val="center"/>
            <w:hideMark/>
          </w:tcPr>
          <w:p w14:paraId="046882AA" w14:textId="77777777" w:rsidR="004812BA" w:rsidRDefault="004812BA" w:rsidP="00036298">
            <w:pPr>
              <w:spacing w:after="0"/>
              <w:jc w:val="center"/>
              <w:rPr>
                <w:b/>
                <w:color w:val="auto"/>
                <w:sz w:val="20"/>
                <w:szCs w:val="20"/>
                <w:lang w:val="en-US"/>
              </w:rPr>
            </w:pPr>
            <w:r w:rsidRPr="2818B29D">
              <w:rPr>
                <w:b/>
                <w:color w:val="auto"/>
                <w:sz w:val="20"/>
                <w:szCs w:val="20"/>
                <w:lang w:val="en-US"/>
              </w:rPr>
              <w:t xml:space="preserve">Countries Funded as LVCs </w:t>
            </w:r>
            <w:r w:rsidR="00975C3F" w:rsidRPr="2818B29D">
              <w:rPr>
                <w:b/>
                <w:color w:val="auto"/>
                <w:sz w:val="20"/>
                <w:szCs w:val="20"/>
                <w:lang w:val="en-US"/>
              </w:rPr>
              <w:t xml:space="preserve">under HCFC Phase-out </w:t>
            </w:r>
            <w:r w:rsidRPr="2818B29D">
              <w:rPr>
                <w:b/>
                <w:color w:val="auto"/>
                <w:sz w:val="20"/>
                <w:szCs w:val="20"/>
                <w:lang w:val="en-US"/>
              </w:rPr>
              <w:t>– 94</w:t>
            </w:r>
          </w:p>
          <w:p w14:paraId="45165C1E" w14:textId="269757EA" w:rsidR="004812BA" w:rsidRPr="00E242FE" w:rsidRDefault="004812BA" w:rsidP="00036298">
            <w:pPr>
              <w:spacing w:after="0"/>
              <w:jc w:val="center"/>
              <w:rPr>
                <w:b/>
                <w:color w:val="auto"/>
                <w:sz w:val="20"/>
                <w:szCs w:val="20"/>
                <w:lang w:val="en-US"/>
              </w:rPr>
            </w:pPr>
          </w:p>
        </w:tc>
      </w:tr>
      <w:tr w:rsidR="004812BA" w:rsidRPr="00E105BF" w14:paraId="69C0558D"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6725E229" w14:textId="77777777" w:rsidR="004812BA" w:rsidRPr="00E105BF" w:rsidRDefault="004812BA" w:rsidP="006233FA">
            <w:pPr>
              <w:spacing w:after="0"/>
              <w:rPr>
                <w:color w:val="000000"/>
                <w:sz w:val="20"/>
                <w:szCs w:val="20"/>
                <w:lang w:val="en-US"/>
              </w:rPr>
            </w:pPr>
            <w:r w:rsidRPr="00E105BF">
              <w:rPr>
                <w:color w:val="000000"/>
                <w:sz w:val="20"/>
                <w:szCs w:val="20"/>
                <w:lang w:val="en-US"/>
              </w:rPr>
              <w:t>1</w:t>
            </w:r>
          </w:p>
        </w:tc>
        <w:tc>
          <w:tcPr>
            <w:tcW w:w="1868" w:type="dxa"/>
            <w:tcBorders>
              <w:top w:val="nil"/>
              <w:left w:val="nil"/>
              <w:bottom w:val="single" w:sz="4" w:space="0" w:color="auto"/>
              <w:right w:val="single" w:sz="4" w:space="0" w:color="auto"/>
            </w:tcBorders>
            <w:hideMark/>
          </w:tcPr>
          <w:p w14:paraId="33621E94" w14:textId="77777777" w:rsidR="004812BA" w:rsidRPr="00E105BF" w:rsidRDefault="004812BA" w:rsidP="006233FA">
            <w:pPr>
              <w:spacing w:after="0"/>
              <w:rPr>
                <w:color w:val="000000"/>
                <w:sz w:val="20"/>
                <w:szCs w:val="20"/>
                <w:lang w:val="en-US"/>
              </w:rPr>
            </w:pPr>
            <w:r w:rsidRPr="00E105BF">
              <w:rPr>
                <w:color w:val="000000"/>
                <w:sz w:val="20"/>
                <w:szCs w:val="20"/>
                <w:lang w:val="en-US"/>
              </w:rPr>
              <w:t>Albania</w:t>
            </w:r>
          </w:p>
        </w:tc>
        <w:tc>
          <w:tcPr>
            <w:tcW w:w="457" w:type="dxa"/>
            <w:tcBorders>
              <w:top w:val="nil"/>
              <w:left w:val="nil"/>
              <w:bottom w:val="single" w:sz="4" w:space="0" w:color="auto"/>
              <w:right w:val="single" w:sz="4" w:space="0" w:color="auto"/>
            </w:tcBorders>
            <w:shd w:val="clear" w:color="auto" w:fill="B7DEE8"/>
          </w:tcPr>
          <w:p w14:paraId="563BEBE1" w14:textId="77777777" w:rsidR="004812BA" w:rsidRPr="00E105BF" w:rsidRDefault="004812BA" w:rsidP="006233FA">
            <w:pPr>
              <w:spacing w:after="0"/>
              <w:rPr>
                <w:color w:val="000000"/>
                <w:sz w:val="20"/>
                <w:szCs w:val="20"/>
                <w:lang w:val="en-US"/>
              </w:rPr>
            </w:pPr>
            <w:r w:rsidRPr="6EB47483">
              <w:rPr>
                <w:sz w:val="20"/>
                <w:szCs w:val="20"/>
                <w:lang w:val="en-US"/>
              </w:rPr>
              <w:t>25</w:t>
            </w:r>
          </w:p>
        </w:tc>
        <w:tc>
          <w:tcPr>
            <w:tcW w:w="1569" w:type="dxa"/>
            <w:tcBorders>
              <w:top w:val="nil"/>
              <w:left w:val="nil"/>
              <w:bottom w:val="single" w:sz="4" w:space="0" w:color="auto"/>
              <w:right w:val="single" w:sz="4" w:space="0" w:color="auto"/>
            </w:tcBorders>
          </w:tcPr>
          <w:p w14:paraId="53D507F4" w14:textId="6600BE81" w:rsidR="004812BA" w:rsidRPr="00E105BF" w:rsidRDefault="004812BA" w:rsidP="006233FA">
            <w:pPr>
              <w:spacing w:after="0"/>
              <w:rPr>
                <w:color w:val="000000"/>
                <w:sz w:val="20"/>
                <w:szCs w:val="20"/>
                <w:lang w:val="en-US"/>
              </w:rPr>
            </w:pPr>
            <w:r w:rsidRPr="00CE0AAB">
              <w:rPr>
                <w:sz w:val="20"/>
                <w:szCs w:val="20"/>
                <w:lang w:val="en-US"/>
              </w:rPr>
              <w:t xml:space="preserve">Democratic Republic of the Congo </w:t>
            </w:r>
          </w:p>
        </w:tc>
        <w:tc>
          <w:tcPr>
            <w:tcW w:w="459" w:type="dxa"/>
            <w:tcBorders>
              <w:top w:val="nil"/>
              <w:left w:val="nil"/>
              <w:bottom w:val="single" w:sz="4" w:space="0" w:color="auto"/>
              <w:right w:val="single" w:sz="4" w:space="0" w:color="auto"/>
            </w:tcBorders>
            <w:shd w:val="clear" w:color="auto" w:fill="B7DEE8"/>
          </w:tcPr>
          <w:p w14:paraId="2E9F0717" w14:textId="77777777" w:rsidR="004812BA" w:rsidRPr="00E105BF" w:rsidRDefault="004812BA" w:rsidP="006233FA">
            <w:pPr>
              <w:spacing w:after="0"/>
              <w:rPr>
                <w:color w:val="000000"/>
                <w:sz w:val="20"/>
                <w:szCs w:val="20"/>
                <w:lang w:val="en-US"/>
              </w:rPr>
            </w:pPr>
            <w:r w:rsidRPr="6EB47483">
              <w:rPr>
                <w:sz w:val="20"/>
                <w:szCs w:val="20"/>
                <w:lang w:val="en-US"/>
              </w:rPr>
              <w:t>49</w:t>
            </w:r>
          </w:p>
        </w:tc>
        <w:tc>
          <w:tcPr>
            <w:tcW w:w="1918" w:type="dxa"/>
            <w:tcBorders>
              <w:top w:val="nil"/>
              <w:left w:val="nil"/>
              <w:bottom w:val="single" w:sz="4" w:space="0" w:color="auto"/>
              <w:right w:val="single" w:sz="4" w:space="0" w:color="auto"/>
            </w:tcBorders>
          </w:tcPr>
          <w:p w14:paraId="25DFC2F7" w14:textId="77777777" w:rsidR="004812BA" w:rsidRPr="00E105BF" w:rsidRDefault="004812BA" w:rsidP="006233FA">
            <w:pPr>
              <w:spacing w:after="0"/>
              <w:rPr>
                <w:color w:val="000000"/>
                <w:sz w:val="20"/>
                <w:szCs w:val="20"/>
                <w:lang w:val="en-US"/>
              </w:rPr>
            </w:pPr>
            <w:r w:rsidRPr="6EB47483">
              <w:rPr>
                <w:sz w:val="20"/>
                <w:szCs w:val="20"/>
                <w:lang w:val="en-US"/>
              </w:rPr>
              <w:t>Liberia</w:t>
            </w:r>
          </w:p>
        </w:tc>
        <w:tc>
          <w:tcPr>
            <w:tcW w:w="472" w:type="dxa"/>
            <w:tcBorders>
              <w:top w:val="nil"/>
              <w:left w:val="nil"/>
              <w:bottom w:val="single" w:sz="4" w:space="0" w:color="auto"/>
              <w:right w:val="single" w:sz="4" w:space="0" w:color="auto"/>
            </w:tcBorders>
            <w:shd w:val="clear" w:color="auto" w:fill="B7DEE8"/>
          </w:tcPr>
          <w:p w14:paraId="14474DC2" w14:textId="77777777" w:rsidR="004812BA" w:rsidRPr="00E105BF" w:rsidRDefault="004812BA" w:rsidP="006233FA">
            <w:pPr>
              <w:spacing w:after="0"/>
              <w:rPr>
                <w:color w:val="auto"/>
                <w:sz w:val="20"/>
                <w:szCs w:val="20"/>
                <w:lang w:val="en-US"/>
              </w:rPr>
            </w:pPr>
            <w:r w:rsidRPr="2818B29D">
              <w:rPr>
                <w:color w:val="auto"/>
                <w:sz w:val="20"/>
                <w:szCs w:val="20"/>
                <w:lang w:val="en-US"/>
              </w:rPr>
              <w:t>73</w:t>
            </w:r>
          </w:p>
        </w:tc>
        <w:tc>
          <w:tcPr>
            <w:tcW w:w="2005" w:type="dxa"/>
            <w:tcBorders>
              <w:top w:val="nil"/>
              <w:left w:val="nil"/>
              <w:bottom w:val="single" w:sz="4" w:space="0" w:color="auto"/>
              <w:right w:val="single" w:sz="4" w:space="0" w:color="auto"/>
            </w:tcBorders>
          </w:tcPr>
          <w:p w14:paraId="0E7EBEA8" w14:textId="77777777" w:rsidR="004812BA" w:rsidRPr="00E105BF" w:rsidRDefault="004812BA" w:rsidP="006233FA">
            <w:pPr>
              <w:spacing w:after="0"/>
              <w:rPr>
                <w:sz w:val="20"/>
                <w:szCs w:val="20"/>
                <w:lang w:val="en-US"/>
              </w:rPr>
            </w:pPr>
            <w:r w:rsidRPr="6EB47483">
              <w:rPr>
                <w:sz w:val="20"/>
                <w:szCs w:val="20"/>
                <w:lang w:val="en-US"/>
              </w:rPr>
              <w:t>Saint Kitts and Nevis</w:t>
            </w:r>
          </w:p>
          <w:p w14:paraId="2F64E8D5" w14:textId="77777777" w:rsidR="004812BA" w:rsidRPr="00E105BF" w:rsidRDefault="004812BA" w:rsidP="006233FA">
            <w:pPr>
              <w:spacing w:after="0"/>
              <w:rPr>
                <w:sz w:val="20"/>
                <w:szCs w:val="20"/>
                <w:lang w:val="en-US"/>
              </w:rPr>
            </w:pPr>
          </w:p>
          <w:p w14:paraId="4D44F6E4" w14:textId="77777777" w:rsidR="004812BA" w:rsidRPr="00E105BF" w:rsidRDefault="004812BA" w:rsidP="006233FA">
            <w:pPr>
              <w:spacing w:after="0"/>
              <w:rPr>
                <w:color w:val="000000"/>
                <w:sz w:val="20"/>
                <w:szCs w:val="20"/>
                <w:lang w:val="en-US"/>
              </w:rPr>
            </w:pPr>
          </w:p>
        </w:tc>
      </w:tr>
      <w:tr w:rsidR="004812BA" w:rsidRPr="00E105BF" w14:paraId="216285E2"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129F026E" w14:textId="77777777" w:rsidR="004812BA" w:rsidRPr="00E105BF" w:rsidRDefault="004812BA" w:rsidP="006233FA">
            <w:pPr>
              <w:spacing w:after="0"/>
              <w:rPr>
                <w:color w:val="000000"/>
                <w:sz w:val="20"/>
                <w:szCs w:val="20"/>
                <w:lang w:val="en-US"/>
              </w:rPr>
            </w:pPr>
            <w:r w:rsidRPr="00E105BF">
              <w:rPr>
                <w:color w:val="000000"/>
                <w:sz w:val="20"/>
                <w:szCs w:val="20"/>
                <w:lang w:val="en-US"/>
              </w:rPr>
              <w:t>2</w:t>
            </w:r>
          </w:p>
        </w:tc>
        <w:tc>
          <w:tcPr>
            <w:tcW w:w="1868" w:type="dxa"/>
            <w:tcBorders>
              <w:top w:val="nil"/>
              <w:left w:val="nil"/>
              <w:bottom w:val="single" w:sz="4" w:space="0" w:color="auto"/>
              <w:right w:val="single" w:sz="4" w:space="0" w:color="auto"/>
            </w:tcBorders>
            <w:hideMark/>
          </w:tcPr>
          <w:p w14:paraId="792CE144" w14:textId="77777777" w:rsidR="004812BA" w:rsidRPr="00E105BF" w:rsidRDefault="004812BA" w:rsidP="006233FA">
            <w:pPr>
              <w:spacing w:after="0"/>
              <w:rPr>
                <w:color w:val="000000"/>
                <w:sz w:val="20"/>
                <w:szCs w:val="20"/>
                <w:lang w:val="en-US"/>
              </w:rPr>
            </w:pPr>
            <w:r w:rsidRPr="00E105BF">
              <w:rPr>
                <w:color w:val="000000"/>
                <w:sz w:val="20"/>
                <w:szCs w:val="20"/>
                <w:lang w:val="en-US"/>
              </w:rPr>
              <w:t>Angola</w:t>
            </w:r>
          </w:p>
        </w:tc>
        <w:tc>
          <w:tcPr>
            <w:tcW w:w="457" w:type="dxa"/>
            <w:tcBorders>
              <w:top w:val="nil"/>
              <w:left w:val="nil"/>
              <w:bottom w:val="single" w:sz="4" w:space="0" w:color="auto"/>
              <w:right w:val="single" w:sz="4" w:space="0" w:color="auto"/>
            </w:tcBorders>
            <w:shd w:val="clear" w:color="auto" w:fill="B7DEE8"/>
          </w:tcPr>
          <w:p w14:paraId="49CAED75" w14:textId="77777777" w:rsidR="004812BA" w:rsidRPr="00E105BF" w:rsidRDefault="004812BA" w:rsidP="006233FA">
            <w:pPr>
              <w:spacing w:after="0"/>
              <w:rPr>
                <w:color w:val="000000"/>
                <w:sz w:val="20"/>
                <w:szCs w:val="20"/>
                <w:lang w:val="en-US"/>
              </w:rPr>
            </w:pPr>
            <w:r w:rsidRPr="6EB47483">
              <w:rPr>
                <w:sz w:val="20"/>
                <w:szCs w:val="20"/>
                <w:lang w:val="en-US"/>
              </w:rPr>
              <w:t>26</w:t>
            </w:r>
          </w:p>
        </w:tc>
        <w:tc>
          <w:tcPr>
            <w:tcW w:w="1569" w:type="dxa"/>
            <w:tcBorders>
              <w:top w:val="nil"/>
              <w:left w:val="nil"/>
              <w:bottom w:val="single" w:sz="4" w:space="0" w:color="auto"/>
              <w:right w:val="single" w:sz="4" w:space="0" w:color="auto"/>
            </w:tcBorders>
          </w:tcPr>
          <w:p w14:paraId="09046FCF" w14:textId="77777777" w:rsidR="004812BA" w:rsidRPr="00E105BF" w:rsidRDefault="004812BA" w:rsidP="006233FA">
            <w:pPr>
              <w:spacing w:after="0"/>
              <w:rPr>
                <w:color w:val="000000"/>
                <w:sz w:val="20"/>
                <w:szCs w:val="20"/>
                <w:lang w:val="en-US"/>
              </w:rPr>
            </w:pPr>
            <w:r w:rsidRPr="00E105BF">
              <w:rPr>
                <w:color w:val="000000"/>
                <w:sz w:val="20"/>
                <w:szCs w:val="20"/>
                <w:lang w:val="en-US"/>
              </w:rPr>
              <w:t>Djibouti</w:t>
            </w:r>
          </w:p>
        </w:tc>
        <w:tc>
          <w:tcPr>
            <w:tcW w:w="459" w:type="dxa"/>
            <w:tcBorders>
              <w:top w:val="nil"/>
              <w:left w:val="nil"/>
              <w:bottom w:val="single" w:sz="4" w:space="0" w:color="auto"/>
              <w:right w:val="single" w:sz="4" w:space="0" w:color="auto"/>
            </w:tcBorders>
            <w:shd w:val="clear" w:color="auto" w:fill="B7DEE8"/>
          </w:tcPr>
          <w:p w14:paraId="0A42048F" w14:textId="77777777" w:rsidR="004812BA" w:rsidRPr="00E105BF" w:rsidRDefault="004812BA" w:rsidP="006233FA">
            <w:pPr>
              <w:spacing w:after="0"/>
              <w:rPr>
                <w:color w:val="000000"/>
                <w:sz w:val="20"/>
                <w:szCs w:val="20"/>
                <w:lang w:val="en-US"/>
              </w:rPr>
            </w:pPr>
            <w:r w:rsidRPr="6EB47483">
              <w:rPr>
                <w:sz w:val="20"/>
                <w:szCs w:val="20"/>
                <w:lang w:val="en-US"/>
              </w:rPr>
              <w:t>50</w:t>
            </w:r>
          </w:p>
        </w:tc>
        <w:tc>
          <w:tcPr>
            <w:tcW w:w="1918" w:type="dxa"/>
            <w:tcBorders>
              <w:top w:val="nil"/>
              <w:left w:val="nil"/>
              <w:bottom w:val="single" w:sz="4" w:space="0" w:color="auto"/>
              <w:right w:val="single" w:sz="4" w:space="0" w:color="auto"/>
            </w:tcBorders>
          </w:tcPr>
          <w:p w14:paraId="21B5A9CF" w14:textId="67F2ECEF" w:rsidR="004812BA" w:rsidRPr="00E105BF" w:rsidRDefault="004812BA" w:rsidP="006233FA">
            <w:pPr>
              <w:spacing w:after="0"/>
              <w:rPr>
                <w:sz w:val="20"/>
                <w:szCs w:val="20"/>
                <w:lang w:val="en-US"/>
              </w:rPr>
            </w:pPr>
            <w:r w:rsidRPr="15705D21">
              <w:rPr>
                <w:sz w:val="20"/>
                <w:szCs w:val="20"/>
                <w:lang w:val="en-US"/>
              </w:rPr>
              <w:t xml:space="preserve">Madagascar </w:t>
            </w:r>
          </w:p>
        </w:tc>
        <w:tc>
          <w:tcPr>
            <w:tcW w:w="472" w:type="dxa"/>
            <w:tcBorders>
              <w:top w:val="nil"/>
              <w:left w:val="nil"/>
              <w:bottom w:val="single" w:sz="4" w:space="0" w:color="auto"/>
              <w:right w:val="single" w:sz="4" w:space="0" w:color="auto"/>
            </w:tcBorders>
            <w:shd w:val="clear" w:color="auto" w:fill="B7DEE8"/>
          </w:tcPr>
          <w:p w14:paraId="51402518" w14:textId="77777777" w:rsidR="004812BA" w:rsidRPr="00E105BF" w:rsidRDefault="004812BA" w:rsidP="006233FA">
            <w:pPr>
              <w:spacing w:after="0"/>
              <w:rPr>
                <w:color w:val="auto"/>
                <w:sz w:val="20"/>
                <w:szCs w:val="20"/>
                <w:lang w:val="en-US"/>
              </w:rPr>
            </w:pPr>
            <w:r w:rsidRPr="2818B29D">
              <w:rPr>
                <w:color w:val="auto"/>
                <w:sz w:val="20"/>
                <w:szCs w:val="20"/>
                <w:lang w:val="en-US"/>
              </w:rPr>
              <w:t>74</w:t>
            </w:r>
          </w:p>
        </w:tc>
        <w:tc>
          <w:tcPr>
            <w:tcW w:w="2005" w:type="dxa"/>
            <w:tcBorders>
              <w:top w:val="nil"/>
              <w:left w:val="nil"/>
              <w:bottom w:val="single" w:sz="4" w:space="0" w:color="auto"/>
              <w:right w:val="single" w:sz="4" w:space="0" w:color="auto"/>
            </w:tcBorders>
          </w:tcPr>
          <w:p w14:paraId="24DBDAB8" w14:textId="77777777" w:rsidR="004812BA" w:rsidRPr="00E105BF" w:rsidRDefault="004812BA" w:rsidP="006233FA">
            <w:pPr>
              <w:spacing w:after="0"/>
              <w:rPr>
                <w:color w:val="000000"/>
                <w:sz w:val="20"/>
                <w:szCs w:val="20"/>
                <w:lang w:val="en-US"/>
              </w:rPr>
            </w:pPr>
            <w:r w:rsidRPr="6EB47483">
              <w:rPr>
                <w:sz w:val="20"/>
                <w:szCs w:val="20"/>
                <w:lang w:val="en-US"/>
              </w:rPr>
              <w:t>Saint Lucia</w:t>
            </w:r>
          </w:p>
        </w:tc>
      </w:tr>
      <w:tr w:rsidR="004812BA" w:rsidRPr="00E105BF" w14:paraId="4C3A68A8" w14:textId="77777777" w:rsidTr="00340872">
        <w:trPr>
          <w:trHeight w:val="607"/>
          <w:jc w:val="center"/>
        </w:trPr>
        <w:tc>
          <w:tcPr>
            <w:tcW w:w="472" w:type="dxa"/>
            <w:tcBorders>
              <w:top w:val="nil"/>
              <w:left w:val="single" w:sz="4" w:space="0" w:color="auto"/>
              <w:bottom w:val="single" w:sz="4" w:space="0" w:color="auto"/>
              <w:right w:val="single" w:sz="4" w:space="0" w:color="auto"/>
            </w:tcBorders>
            <w:shd w:val="clear" w:color="auto" w:fill="B7DEE8"/>
            <w:hideMark/>
          </w:tcPr>
          <w:p w14:paraId="5BB6FC0D" w14:textId="77777777" w:rsidR="004812BA" w:rsidRPr="00E105BF" w:rsidRDefault="004812BA" w:rsidP="006233FA">
            <w:pPr>
              <w:spacing w:after="0"/>
              <w:rPr>
                <w:color w:val="000000"/>
                <w:sz w:val="20"/>
                <w:szCs w:val="20"/>
                <w:lang w:val="en-US"/>
              </w:rPr>
            </w:pPr>
            <w:r w:rsidRPr="00E105BF">
              <w:rPr>
                <w:color w:val="000000"/>
                <w:sz w:val="20"/>
                <w:szCs w:val="20"/>
                <w:lang w:val="en-US"/>
              </w:rPr>
              <w:t>3</w:t>
            </w:r>
          </w:p>
        </w:tc>
        <w:tc>
          <w:tcPr>
            <w:tcW w:w="1868" w:type="dxa"/>
            <w:tcBorders>
              <w:top w:val="nil"/>
              <w:left w:val="nil"/>
              <w:bottom w:val="single" w:sz="4" w:space="0" w:color="auto"/>
              <w:right w:val="single" w:sz="4" w:space="0" w:color="auto"/>
            </w:tcBorders>
            <w:hideMark/>
          </w:tcPr>
          <w:p w14:paraId="15F06D78" w14:textId="77777777" w:rsidR="004812BA" w:rsidRPr="00E105BF" w:rsidRDefault="004812BA" w:rsidP="006233FA">
            <w:pPr>
              <w:spacing w:after="0"/>
              <w:rPr>
                <w:color w:val="000000"/>
                <w:sz w:val="20"/>
                <w:szCs w:val="20"/>
                <w:lang w:val="en-US"/>
              </w:rPr>
            </w:pPr>
            <w:r w:rsidRPr="00E105BF">
              <w:rPr>
                <w:color w:val="000000"/>
                <w:sz w:val="20"/>
                <w:szCs w:val="20"/>
                <w:lang w:val="en-US"/>
              </w:rPr>
              <w:t>Antigua and Barbuda</w:t>
            </w:r>
          </w:p>
        </w:tc>
        <w:tc>
          <w:tcPr>
            <w:tcW w:w="457" w:type="dxa"/>
            <w:tcBorders>
              <w:top w:val="nil"/>
              <w:left w:val="nil"/>
              <w:bottom w:val="single" w:sz="4" w:space="0" w:color="auto"/>
              <w:right w:val="single" w:sz="4" w:space="0" w:color="auto"/>
            </w:tcBorders>
            <w:shd w:val="clear" w:color="auto" w:fill="B7DEE8"/>
          </w:tcPr>
          <w:p w14:paraId="43A459E7" w14:textId="77777777" w:rsidR="004812BA" w:rsidRPr="00E105BF" w:rsidRDefault="004812BA" w:rsidP="006233FA">
            <w:pPr>
              <w:spacing w:after="0"/>
              <w:rPr>
                <w:color w:val="000000"/>
                <w:sz w:val="20"/>
                <w:szCs w:val="20"/>
                <w:lang w:val="en-US"/>
              </w:rPr>
            </w:pPr>
            <w:r w:rsidRPr="6EB47483">
              <w:rPr>
                <w:sz w:val="20"/>
                <w:szCs w:val="20"/>
                <w:lang w:val="en-US"/>
              </w:rPr>
              <w:t>27</w:t>
            </w:r>
          </w:p>
        </w:tc>
        <w:tc>
          <w:tcPr>
            <w:tcW w:w="1569" w:type="dxa"/>
            <w:tcBorders>
              <w:top w:val="nil"/>
              <w:left w:val="nil"/>
              <w:bottom w:val="single" w:sz="4" w:space="0" w:color="auto"/>
              <w:right w:val="single" w:sz="4" w:space="0" w:color="auto"/>
            </w:tcBorders>
          </w:tcPr>
          <w:p w14:paraId="1319CD6F" w14:textId="77777777" w:rsidR="004812BA" w:rsidRPr="00E105BF" w:rsidRDefault="004812BA" w:rsidP="006233FA">
            <w:pPr>
              <w:spacing w:after="0"/>
              <w:rPr>
                <w:color w:val="000000"/>
                <w:sz w:val="20"/>
                <w:szCs w:val="20"/>
                <w:lang w:val="en-US"/>
              </w:rPr>
            </w:pPr>
            <w:r w:rsidRPr="00E105BF">
              <w:rPr>
                <w:color w:val="000000"/>
                <w:sz w:val="20"/>
                <w:szCs w:val="20"/>
                <w:lang w:val="en-US"/>
              </w:rPr>
              <w:t>Dominica</w:t>
            </w:r>
          </w:p>
        </w:tc>
        <w:tc>
          <w:tcPr>
            <w:tcW w:w="459" w:type="dxa"/>
            <w:tcBorders>
              <w:top w:val="nil"/>
              <w:left w:val="nil"/>
              <w:bottom w:val="single" w:sz="4" w:space="0" w:color="auto"/>
              <w:right w:val="single" w:sz="4" w:space="0" w:color="auto"/>
            </w:tcBorders>
            <w:shd w:val="clear" w:color="auto" w:fill="B7DEE8"/>
          </w:tcPr>
          <w:p w14:paraId="5FEADEFC" w14:textId="77777777" w:rsidR="004812BA" w:rsidRPr="00E105BF" w:rsidRDefault="004812BA" w:rsidP="006233FA">
            <w:pPr>
              <w:spacing w:after="0"/>
              <w:rPr>
                <w:color w:val="000000"/>
                <w:sz w:val="20"/>
                <w:szCs w:val="20"/>
                <w:lang w:val="en-US"/>
              </w:rPr>
            </w:pPr>
            <w:r w:rsidRPr="6EB47483">
              <w:rPr>
                <w:sz w:val="20"/>
                <w:szCs w:val="20"/>
                <w:lang w:val="en-US"/>
              </w:rPr>
              <w:t>51</w:t>
            </w:r>
          </w:p>
        </w:tc>
        <w:tc>
          <w:tcPr>
            <w:tcW w:w="1918" w:type="dxa"/>
            <w:tcBorders>
              <w:top w:val="nil"/>
              <w:left w:val="nil"/>
              <w:bottom w:val="single" w:sz="4" w:space="0" w:color="auto"/>
              <w:right w:val="single" w:sz="4" w:space="0" w:color="auto"/>
            </w:tcBorders>
          </w:tcPr>
          <w:p w14:paraId="50794436" w14:textId="77777777" w:rsidR="004812BA" w:rsidRPr="00E105BF" w:rsidRDefault="004812BA" w:rsidP="006233FA">
            <w:pPr>
              <w:spacing w:after="0"/>
              <w:rPr>
                <w:sz w:val="20"/>
                <w:szCs w:val="20"/>
                <w:lang w:val="en-US"/>
              </w:rPr>
            </w:pPr>
            <w:r w:rsidRPr="6EB47483">
              <w:rPr>
                <w:sz w:val="20"/>
                <w:szCs w:val="20"/>
                <w:lang w:val="en-US"/>
              </w:rPr>
              <w:t>Malawi</w:t>
            </w:r>
          </w:p>
          <w:p w14:paraId="573A9D37" w14:textId="77777777" w:rsidR="004812BA" w:rsidRPr="00E105BF" w:rsidRDefault="004812BA" w:rsidP="006233FA">
            <w:pPr>
              <w:spacing w:after="0"/>
              <w:rPr>
                <w:sz w:val="20"/>
                <w:szCs w:val="20"/>
                <w:lang w:val="en-US"/>
              </w:rPr>
            </w:pPr>
          </w:p>
        </w:tc>
        <w:tc>
          <w:tcPr>
            <w:tcW w:w="472" w:type="dxa"/>
            <w:tcBorders>
              <w:top w:val="nil"/>
              <w:left w:val="nil"/>
              <w:bottom w:val="single" w:sz="4" w:space="0" w:color="auto"/>
              <w:right w:val="single" w:sz="4" w:space="0" w:color="auto"/>
            </w:tcBorders>
            <w:shd w:val="clear" w:color="auto" w:fill="B7DEE8"/>
          </w:tcPr>
          <w:p w14:paraId="7EAE1966" w14:textId="77777777" w:rsidR="004812BA" w:rsidRPr="00E105BF" w:rsidRDefault="004812BA" w:rsidP="006233FA">
            <w:pPr>
              <w:spacing w:after="0"/>
              <w:rPr>
                <w:color w:val="auto"/>
                <w:sz w:val="20"/>
                <w:szCs w:val="20"/>
                <w:lang w:val="en-US"/>
              </w:rPr>
            </w:pPr>
            <w:r w:rsidRPr="2818B29D">
              <w:rPr>
                <w:color w:val="auto"/>
                <w:sz w:val="20"/>
                <w:szCs w:val="20"/>
                <w:lang w:val="en-US"/>
              </w:rPr>
              <w:t>75</w:t>
            </w:r>
          </w:p>
        </w:tc>
        <w:tc>
          <w:tcPr>
            <w:tcW w:w="2005" w:type="dxa"/>
            <w:tcBorders>
              <w:top w:val="nil"/>
              <w:left w:val="nil"/>
              <w:bottom w:val="single" w:sz="4" w:space="0" w:color="auto"/>
              <w:right w:val="single" w:sz="4" w:space="0" w:color="auto"/>
            </w:tcBorders>
          </w:tcPr>
          <w:p w14:paraId="781156C3" w14:textId="77777777" w:rsidR="004812BA" w:rsidRPr="00E105BF" w:rsidRDefault="004812BA" w:rsidP="006233FA">
            <w:pPr>
              <w:spacing w:after="0"/>
              <w:rPr>
                <w:color w:val="000000"/>
                <w:sz w:val="20"/>
                <w:szCs w:val="20"/>
                <w:lang w:val="en-US"/>
              </w:rPr>
            </w:pPr>
            <w:r w:rsidRPr="6EB47483">
              <w:rPr>
                <w:sz w:val="20"/>
                <w:szCs w:val="20"/>
                <w:lang w:val="en-US"/>
              </w:rPr>
              <w:t>Saint Vincent and the Grenadines</w:t>
            </w:r>
          </w:p>
        </w:tc>
      </w:tr>
      <w:tr w:rsidR="004812BA" w:rsidRPr="00E105BF" w14:paraId="7E9DF47D"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77CDCB92" w14:textId="77777777" w:rsidR="004812BA" w:rsidRPr="00E105BF" w:rsidRDefault="004812BA" w:rsidP="006233FA">
            <w:pPr>
              <w:spacing w:after="0"/>
              <w:rPr>
                <w:color w:val="000000"/>
                <w:sz w:val="20"/>
                <w:szCs w:val="20"/>
                <w:lang w:val="en-US"/>
              </w:rPr>
            </w:pPr>
            <w:r w:rsidRPr="00E105BF">
              <w:rPr>
                <w:color w:val="000000"/>
                <w:sz w:val="20"/>
                <w:szCs w:val="20"/>
                <w:lang w:val="en-US"/>
              </w:rPr>
              <w:t>4</w:t>
            </w:r>
          </w:p>
        </w:tc>
        <w:tc>
          <w:tcPr>
            <w:tcW w:w="1868" w:type="dxa"/>
            <w:tcBorders>
              <w:top w:val="nil"/>
              <w:left w:val="nil"/>
              <w:bottom w:val="single" w:sz="4" w:space="0" w:color="auto"/>
              <w:right w:val="single" w:sz="4" w:space="0" w:color="auto"/>
            </w:tcBorders>
            <w:hideMark/>
          </w:tcPr>
          <w:p w14:paraId="2D079860" w14:textId="77777777" w:rsidR="004812BA" w:rsidRPr="00E105BF" w:rsidRDefault="004812BA" w:rsidP="006233FA">
            <w:pPr>
              <w:spacing w:after="0"/>
              <w:rPr>
                <w:color w:val="000000"/>
                <w:sz w:val="20"/>
                <w:szCs w:val="20"/>
                <w:lang w:val="en-US"/>
              </w:rPr>
            </w:pPr>
            <w:r w:rsidRPr="00E105BF">
              <w:rPr>
                <w:color w:val="000000"/>
                <w:sz w:val="20"/>
                <w:szCs w:val="20"/>
                <w:lang w:val="en-US"/>
              </w:rPr>
              <w:t>Armenia</w:t>
            </w:r>
          </w:p>
        </w:tc>
        <w:tc>
          <w:tcPr>
            <w:tcW w:w="457" w:type="dxa"/>
            <w:tcBorders>
              <w:top w:val="nil"/>
              <w:left w:val="nil"/>
              <w:bottom w:val="single" w:sz="4" w:space="0" w:color="auto"/>
              <w:right w:val="single" w:sz="4" w:space="0" w:color="auto"/>
            </w:tcBorders>
            <w:shd w:val="clear" w:color="auto" w:fill="B7DEE8"/>
          </w:tcPr>
          <w:p w14:paraId="176D69ED" w14:textId="77777777" w:rsidR="004812BA" w:rsidRPr="00E105BF" w:rsidRDefault="004812BA" w:rsidP="006233FA">
            <w:pPr>
              <w:spacing w:after="0"/>
              <w:rPr>
                <w:color w:val="000000"/>
                <w:sz w:val="20"/>
                <w:szCs w:val="20"/>
                <w:lang w:val="en-US"/>
              </w:rPr>
            </w:pPr>
            <w:r w:rsidRPr="6EB47483">
              <w:rPr>
                <w:sz w:val="20"/>
                <w:szCs w:val="20"/>
                <w:lang w:val="en-US"/>
              </w:rPr>
              <w:t>28</w:t>
            </w:r>
          </w:p>
        </w:tc>
        <w:tc>
          <w:tcPr>
            <w:tcW w:w="1569" w:type="dxa"/>
            <w:tcBorders>
              <w:top w:val="nil"/>
              <w:left w:val="nil"/>
              <w:bottom w:val="single" w:sz="4" w:space="0" w:color="auto"/>
              <w:right w:val="single" w:sz="4" w:space="0" w:color="auto"/>
            </w:tcBorders>
          </w:tcPr>
          <w:p w14:paraId="5B8574C6" w14:textId="11455EBD" w:rsidR="004812BA" w:rsidRPr="00CE0AAB" w:rsidRDefault="004812BA" w:rsidP="006233FA">
            <w:pPr>
              <w:spacing w:after="0"/>
              <w:rPr>
                <w:sz w:val="20"/>
                <w:szCs w:val="20"/>
                <w:lang w:val="en-US"/>
              </w:rPr>
            </w:pPr>
            <w:r w:rsidRPr="15705D21">
              <w:rPr>
                <w:sz w:val="20"/>
                <w:szCs w:val="20"/>
                <w:lang w:val="en-US"/>
              </w:rPr>
              <w:t xml:space="preserve">Ecuador </w:t>
            </w:r>
          </w:p>
        </w:tc>
        <w:tc>
          <w:tcPr>
            <w:tcW w:w="459" w:type="dxa"/>
            <w:tcBorders>
              <w:top w:val="nil"/>
              <w:left w:val="nil"/>
              <w:bottom w:val="single" w:sz="4" w:space="0" w:color="auto"/>
              <w:right w:val="single" w:sz="4" w:space="0" w:color="auto"/>
            </w:tcBorders>
            <w:shd w:val="clear" w:color="auto" w:fill="B7DEE8"/>
          </w:tcPr>
          <w:p w14:paraId="29DDBB4E" w14:textId="77777777" w:rsidR="004812BA" w:rsidRPr="00E105BF" w:rsidRDefault="004812BA" w:rsidP="006233FA">
            <w:pPr>
              <w:spacing w:after="0"/>
              <w:rPr>
                <w:color w:val="000000"/>
                <w:sz w:val="20"/>
                <w:szCs w:val="20"/>
                <w:lang w:val="en-US"/>
              </w:rPr>
            </w:pPr>
            <w:r w:rsidRPr="6EB47483">
              <w:rPr>
                <w:sz w:val="20"/>
                <w:szCs w:val="20"/>
                <w:lang w:val="en-US"/>
              </w:rPr>
              <w:t>52</w:t>
            </w:r>
          </w:p>
        </w:tc>
        <w:tc>
          <w:tcPr>
            <w:tcW w:w="1918" w:type="dxa"/>
            <w:tcBorders>
              <w:top w:val="nil"/>
              <w:left w:val="nil"/>
              <w:bottom w:val="single" w:sz="4" w:space="0" w:color="auto"/>
              <w:right w:val="single" w:sz="4" w:space="0" w:color="auto"/>
            </w:tcBorders>
          </w:tcPr>
          <w:p w14:paraId="3A675DFA" w14:textId="77777777" w:rsidR="004812BA" w:rsidRPr="00E105BF" w:rsidRDefault="004812BA" w:rsidP="006233FA">
            <w:pPr>
              <w:spacing w:after="0"/>
              <w:rPr>
                <w:color w:val="000000"/>
                <w:sz w:val="20"/>
                <w:szCs w:val="20"/>
                <w:lang w:val="en-US"/>
              </w:rPr>
            </w:pPr>
            <w:r w:rsidRPr="6EB47483">
              <w:rPr>
                <w:sz w:val="20"/>
                <w:szCs w:val="20"/>
                <w:lang w:val="en-US"/>
              </w:rPr>
              <w:t>Maldives</w:t>
            </w:r>
          </w:p>
        </w:tc>
        <w:tc>
          <w:tcPr>
            <w:tcW w:w="472" w:type="dxa"/>
            <w:tcBorders>
              <w:top w:val="nil"/>
              <w:left w:val="nil"/>
              <w:bottom w:val="single" w:sz="4" w:space="0" w:color="auto"/>
              <w:right w:val="single" w:sz="4" w:space="0" w:color="auto"/>
            </w:tcBorders>
            <w:shd w:val="clear" w:color="auto" w:fill="B7DEE8"/>
          </w:tcPr>
          <w:p w14:paraId="2A8D13F7" w14:textId="77777777" w:rsidR="004812BA" w:rsidRPr="00E105BF" w:rsidRDefault="004812BA" w:rsidP="006233FA">
            <w:pPr>
              <w:spacing w:after="0"/>
              <w:rPr>
                <w:color w:val="auto"/>
                <w:sz w:val="20"/>
                <w:szCs w:val="20"/>
                <w:lang w:val="en-US"/>
              </w:rPr>
            </w:pPr>
            <w:r w:rsidRPr="2818B29D">
              <w:rPr>
                <w:color w:val="auto"/>
                <w:sz w:val="20"/>
                <w:szCs w:val="20"/>
                <w:lang w:val="en-US"/>
              </w:rPr>
              <w:t>76</w:t>
            </w:r>
          </w:p>
        </w:tc>
        <w:tc>
          <w:tcPr>
            <w:tcW w:w="2005" w:type="dxa"/>
            <w:tcBorders>
              <w:top w:val="nil"/>
              <w:left w:val="nil"/>
              <w:bottom w:val="single" w:sz="4" w:space="0" w:color="auto"/>
              <w:right w:val="single" w:sz="4" w:space="0" w:color="auto"/>
            </w:tcBorders>
          </w:tcPr>
          <w:p w14:paraId="0143C3E6" w14:textId="3BD9D4DC" w:rsidR="004812BA" w:rsidRPr="00E105BF" w:rsidRDefault="004812BA" w:rsidP="006233FA">
            <w:pPr>
              <w:spacing w:after="0"/>
              <w:rPr>
                <w:sz w:val="20"/>
                <w:szCs w:val="20"/>
                <w:lang w:val="en-US"/>
              </w:rPr>
            </w:pPr>
            <w:r w:rsidRPr="6EB47483">
              <w:rPr>
                <w:sz w:val="20"/>
                <w:szCs w:val="20"/>
                <w:lang w:val="en-US"/>
              </w:rPr>
              <w:t>Samoa</w:t>
            </w:r>
          </w:p>
          <w:p w14:paraId="1FBF07E1" w14:textId="77777777" w:rsidR="004812BA" w:rsidRPr="00E105BF" w:rsidRDefault="004812BA" w:rsidP="006233FA">
            <w:pPr>
              <w:spacing w:after="0"/>
              <w:rPr>
                <w:color w:val="000000"/>
                <w:sz w:val="20"/>
                <w:szCs w:val="20"/>
                <w:lang w:val="en-US"/>
              </w:rPr>
            </w:pPr>
          </w:p>
        </w:tc>
      </w:tr>
      <w:tr w:rsidR="004812BA" w:rsidRPr="00E105BF" w14:paraId="1D04F0EE"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0CB95C22" w14:textId="77777777" w:rsidR="004812BA" w:rsidRPr="00E105BF" w:rsidRDefault="004812BA" w:rsidP="006233FA">
            <w:pPr>
              <w:spacing w:after="0"/>
              <w:rPr>
                <w:color w:val="000000"/>
                <w:sz w:val="20"/>
                <w:szCs w:val="20"/>
                <w:lang w:val="en-US"/>
              </w:rPr>
            </w:pPr>
            <w:r w:rsidRPr="00E105BF">
              <w:rPr>
                <w:color w:val="000000"/>
                <w:sz w:val="20"/>
                <w:szCs w:val="20"/>
                <w:lang w:val="en-US"/>
              </w:rPr>
              <w:t>5</w:t>
            </w:r>
          </w:p>
        </w:tc>
        <w:tc>
          <w:tcPr>
            <w:tcW w:w="1868" w:type="dxa"/>
            <w:tcBorders>
              <w:top w:val="nil"/>
              <w:left w:val="nil"/>
              <w:bottom w:val="single" w:sz="4" w:space="0" w:color="auto"/>
              <w:right w:val="single" w:sz="4" w:space="0" w:color="auto"/>
            </w:tcBorders>
            <w:hideMark/>
          </w:tcPr>
          <w:p w14:paraId="3E1031D5" w14:textId="77777777" w:rsidR="004812BA" w:rsidRPr="00E105BF" w:rsidRDefault="004812BA" w:rsidP="006233FA">
            <w:pPr>
              <w:spacing w:after="0"/>
              <w:rPr>
                <w:color w:val="000000"/>
                <w:sz w:val="20"/>
                <w:szCs w:val="20"/>
                <w:lang w:val="en-US"/>
              </w:rPr>
            </w:pPr>
            <w:r w:rsidRPr="00E105BF">
              <w:rPr>
                <w:color w:val="000000"/>
                <w:sz w:val="20"/>
                <w:szCs w:val="20"/>
                <w:lang w:val="en-US"/>
              </w:rPr>
              <w:t>Bahamas</w:t>
            </w:r>
          </w:p>
        </w:tc>
        <w:tc>
          <w:tcPr>
            <w:tcW w:w="457" w:type="dxa"/>
            <w:tcBorders>
              <w:top w:val="nil"/>
              <w:left w:val="nil"/>
              <w:bottom w:val="single" w:sz="4" w:space="0" w:color="auto"/>
              <w:right w:val="single" w:sz="4" w:space="0" w:color="auto"/>
            </w:tcBorders>
            <w:shd w:val="clear" w:color="auto" w:fill="B7DEE8"/>
          </w:tcPr>
          <w:p w14:paraId="0E549C09" w14:textId="77777777" w:rsidR="004812BA" w:rsidRPr="00E105BF" w:rsidRDefault="004812BA" w:rsidP="006233FA">
            <w:pPr>
              <w:spacing w:after="0"/>
              <w:rPr>
                <w:color w:val="000000"/>
                <w:sz w:val="20"/>
                <w:szCs w:val="20"/>
                <w:lang w:val="en-US"/>
              </w:rPr>
            </w:pPr>
            <w:r w:rsidRPr="6EB47483">
              <w:rPr>
                <w:sz w:val="20"/>
                <w:szCs w:val="20"/>
                <w:lang w:val="en-US"/>
              </w:rPr>
              <w:t>29</w:t>
            </w:r>
          </w:p>
        </w:tc>
        <w:tc>
          <w:tcPr>
            <w:tcW w:w="1569" w:type="dxa"/>
            <w:tcBorders>
              <w:top w:val="nil"/>
              <w:left w:val="nil"/>
              <w:bottom w:val="single" w:sz="4" w:space="0" w:color="auto"/>
              <w:right w:val="single" w:sz="4" w:space="0" w:color="auto"/>
            </w:tcBorders>
          </w:tcPr>
          <w:p w14:paraId="5EF2CF13" w14:textId="77777777" w:rsidR="004812BA" w:rsidRPr="00E105BF" w:rsidRDefault="004812BA" w:rsidP="006233FA">
            <w:pPr>
              <w:spacing w:after="0"/>
              <w:rPr>
                <w:color w:val="000000"/>
                <w:sz w:val="20"/>
                <w:szCs w:val="20"/>
                <w:lang w:val="en-US"/>
              </w:rPr>
            </w:pPr>
            <w:r w:rsidRPr="00E105BF">
              <w:rPr>
                <w:color w:val="000000"/>
                <w:sz w:val="20"/>
                <w:szCs w:val="20"/>
                <w:lang w:val="en-US"/>
              </w:rPr>
              <w:t>El Salvador</w:t>
            </w:r>
          </w:p>
        </w:tc>
        <w:tc>
          <w:tcPr>
            <w:tcW w:w="459" w:type="dxa"/>
            <w:tcBorders>
              <w:top w:val="nil"/>
              <w:left w:val="nil"/>
              <w:bottom w:val="single" w:sz="4" w:space="0" w:color="auto"/>
              <w:right w:val="single" w:sz="4" w:space="0" w:color="auto"/>
            </w:tcBorders>
            <w:shd w:val="clear" w:color="auto" w:fill="B7DEE8"/>
          </w:tcPr>
          <w:p w14:paraId="23FEE286" w14:textId="77777777" w:rsidR="004812BA" w:rsidRPr="00E105BF" w:rsidRDefault="004812BA" w:rsidP="006233FA">
            <w:pPr>
              <w:spacing w:after="0"/>
              <w:rPr>
                <w:color w:val="000000"/>
                <w:sz w:val="20"/>
                <w:szCs w:val="20"/>
                <w:lang w:val="en-US"/>
              </w:rPr>
            </w:pPr>
            <w:r w:rsidRPr="6EB47483">
              <w:rPr>
                <w:sz w:val="20"/>
                <w:szCs w:val="20"/>
                <w:lang w:val="en-US"/>
              </w:rPr>
              <w:t>53</w:t>
            </w:r>
          </w:p>
        </w:tc>
        <w:tc>
          <w:tcPr>
            <w:tcW w:w="1918" w:type="dxa"/>
            <w:tcBorders>
              <w:top w:val="nil"/>
              <w:left w:val="nil"/>
              <w:bottom w:val="single" w:sz="4" w:space="0" w:color="auto"/>
              <w:right w:val="single" w:sz="4" w:space="0" w:color="auto"/>
            </w:tcBorders>
          </w:tcPr>
          <w:p w14:paraId="0444E143" w14:textId="77777777" w:rsidR="004812BA" w:rsidRPr="00E105BF" w:rsidRDefault="004812BA" w:rsidP="006233FA">
            <w:pPr>
              <w:spacing w:after="0"/>
              <w:rPr>
                <w:color w:val="000000"/>
                <w:sz w:val="20"/>
                <w:szCs w:val="20"/>
                <w:lang w:val="en-US"/>
              </w:rPr>
            </w:pPr>
            <w:r w:rsidRPr="6EB47483">
              <w:rPr>
                <w:sz w:val="20"/>
                <w:szCs w:val="20"/>
                <w:lang w:val="en-US"/>
              </w:rPr>
              <w:t>Mali</w:t>
            </w:r>
          </w:p>
        </w:tc>
        <w:tc>
          <w:tcPr>
            <w:tcW w:w="472" w:type="dxa"/>
            <w:tcBorders>
              <w:top w:val="nil"/>
              <w:left w:val="nil"/>
              <w:bottom w:val="single" w:sz="4" w:space="0" w:color="auto"/>
              <w:right w:val="single" w:sz="4" w:space="0" w:color="auto"/>
            </w:tcBorders>
            <w:shd w:val="clear" w:color="auto" w:fill="B7DEE8"/>
          </w:tcPr>
          <w:p w14:paraId="61826BC1" w14:textId="77777777" w:rsidR="004812BA" w:rsidRPr="00E105BF" w:rsidRDefault="004812BA" w:rsidP="006233FA">
            <w:pPr>
              <w:spacing w:after="0"/>
              <w:rPr>
                <w:color w:val="auto"/>
                <w:sz w:val="20"/>
                <w:szCs w:val="20"/>
                <w:lang w:val="en-US"/>
              </w:rPr>
            </w:pPr>
            <w:r w:rsidRPr="2818B29D">
              <w:rPr>
                <w:color w:val="auto"/>
                <w:sz w:val="20"/>
                <w:szCs w:val="20"/>
                <w:lang w:val="en-US"/>
              </w:rPr>
              <w:t>77</w:t>
            </w:r>
          </w:p>
        </w:tc>
        <w:tc>
          <w:tcPr>
            <w:tcW w:w="2005" w:type="dxa"/>
            <w:tcBorders>
              <w:top w:val="nil"/>
              <w:left w:val="nil"/>
              <w:bottom w:val="single" w:sz="4" w:space="0" w:color="auto"/>
              <w:right w:val="single" w:sz="4" w:space="0" w:color="auto"/>
            </w:tcBorders>
          </w:tcPr>
          <w:p w14:paraId="636CAF97" w14:textId="77777777" w:rsidR="004812BA" w:rsidRPr="00E105BF" w:rsidRDefault="004812BA" w:rsidP="006233FA">
            <w:pPr>
              <w:spacing w:after="0"/>
              <w:rPr>
                <w:sz w:val="20"/>
                <w:szCs w:val="20"/>
                <w:lang w:val="en-US"/>
              </w:rPr>
            </w:pPr>
            <w:r w:rsidRPr="6EB47483">
              <w:rPr>
                <w:sz w:val="20"/>
                <w:szCs w:val="20"/>
                <w:lang w:val="en-US"/>
              </w:rPr>
              <w:t>Sao Tome and Principe</w:t>
            </w:r>
          </w:p>
          <w:p w14:paraId="5B9923F2" w14:textId="77777777" w:rsidR="004812BA" w:rsidRPr="00E105BF" w:rsidRDefault="004812BA" w:rsidP="006233FA">
            <w:pPr>
              <w:spacing w:after="0"/>
              <w:rPr>
                <w:color w:val="000000"/>
                <w:sz w:val="20"/>
                <w:szCs w:val="20"/>
                <w:lang w:val="en-US"/>
              </w:rPr>
            </w:pPr>
          </w:p>
        </w:tc>
      </w:tr>
      <w:tr w:rsidR="004812BA" w:rsidRPr="00E105BF" w14:paraId="746005B1"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619B9128" w14:textId="77777777" w:rsidR="004812BA" w:rsidRPr="00E105BF" w:rsidRDefault="004812BA" w:rsidP="006233FA">
            <w:pPr>
              <w:spacing w:after="0"/>
              <w:rPr>
                <w:color w:val="000000"/>
                <w:sz w:val="20"/>
                <w:szCs w:val="20"/>
                <w:lang w:val="en-US"/>
              </w:rPr>
            </w:pPr>
            <w:r w:rsidRPr="00E105BF">
              <w:rPr>
                <w:color w:val="000000"/>
                <w:sz w:val="20"/>
                <w:szCs w:val="20"/>
                <w:lang w:val="en-US"/>
              </w:rPr>
              <w:t>6</w:t>
            </w:r>
          </w:p>
        </w:tc>
        <w:tc>
          <w:tcPr>
            <w:tcW w:w="1868" w:type="dxa"/>
            <w:tcBorders>
              <w:top w:val="nil"/>
              <w:left w:val="nil"/>
              <w:bottom w:val="single" w:sz="4" w:space="0" w:color="auto"/>
              <w:right w:val="single" w:sz="4" w:space="0" w:color="auto"/>
            </w:tcBorders>
            <w:hideMark/>
          </w:tcPr>
          <w:p w14:paraId="281C9C4D" w14:textId="77777777" w:rsidR="004812BA" w:rsidRPr="00E105BF" w:rsidRDefault="004812BA" w:rsidP="006233FA">
            <w:pPr>
              <w:spacing w:after="0"/>
              <w:rPr>
                <w:color w:val="000000"/>
                <w:sz w:val="20"/>
                <w:szCs w:val="20"/>
                <w:lang w:val="en-US"/>
              </w:rPr>
            </w:pPr>
            <w:r w:rsidRPr="00E105BF">
              <w:rPr>
                <w:color w:val="000000"/>
                <w:sz w:val="20"/>
                <w:szCs w:val="20"/>
                <w:lang w:val="en-US"/>
              </w:rPr>
              <w:t>Barbados</w:t>
            </w:r>
          </w:p>
        </w:tc>
        <w:tc>
          <w:tcPr>
            <w:tcW w:w="457" w:type="dxa"/>
            <w:tcBorders>
              <w:top w:val="nil"/>
              <w:left w:val="nil"/>
              <w:bottom w:val="single" w:sz="4" w:space="0" w:color="auto"/>
              <w:right w:val="single" w:sz="4" w:space="0" w:color="auto"/>
            </w:tcBorders>
            <w:shd w:val="clear" w:color="auto" w:fill="B7DEE8"/>
          </w:tcPr>
          <w:p w14:paraId="6CA4F79C" w14:textId="77777777" w:rsidR="004812BA" w:rsidRPr="00E105BF" w:rsidRDefault="004812BA" w:rsidP="006233FA">
            <w:pPr>
              <w:spacing w:after="0"/>
              <w:rPr>
                <w:color w:val="000000"/>
                <w:sz w:val="20"/>
                <w:szCs w:val="20"/>
                <w:lang w:val="en-US"/>
              </w:rPr>
            </w:pPr>
            <w:r w:rsidRPr="6EB47483">
              <w:rPr>
                <w:sz w:val="20"/>
                <w:szCs w:val="20"/>
                <w:lang w:val="en-US"/>
              </w:rPr>
              <w:t>30</w:t>
            </w:r>
          </w:p>
        </w:tc>
        <w:tc>
          <w:tcPr>
            <w:tcW w:w="1569" w:type="dxa"/>
            <w:tcBorders>
              <w:top w:val="nil"/>
              <w:left w:val="nil"/>
              <w:bottom w:val="single" w:sz="4" w:space="0" w:color="auto"/>
              <w:right w:val="single" w:sz="4" w:space="0" w:color="auto"/>
            </w:tcBorders>
          </w:tcPr>
          <w:p w14:paraId="0FBBFA03" w14:textId="77777777" w:rsidR="004812BA" w:rsidRPr="00E105BF" w:rsidRDefault="004812BA" w:rsidP="006233FA">
            <w:pPr>
              <w:spacing w:after="0"/>
              <w:rPr>
                <w:color w:val="000000"/>
                <w:sz w:val="20"/>
                <w:szCs w:val="20"/>
                <w:lang w:val="en-US"/>
              </w:rPr>
            </w:pPr>
            <w:r w:rsidRPr="00E105BF">
              <w:rPr>
                <w:color w:val="000000"/>
                <w:sz w:val="20"/>
                <w:szCs w:val="20"/>
                <w:lang w:val="en-US"/>
              </w:rPr>
              <w:t>Equatorial Guinea</w:t>
            </w:r>
          </w:p>
        </w:tc>
        <w:tc>
          <w:tcPr>
            <w:tcW w:w="459" w:type="dxa"/>
            <w:tcBorders>
              <w:top w:val="nil"/>
              <w:left w:val="nil"/>
              <w:bottom w:val="single" w:sz="4" w:space="0" w:color="auto"/>
              <w:right w:val="single" w:sz="4" w:space="0" w:color="auto"/>
            </w:tcBorders>
            <w:shd w:val="clear" w:color="auto" w:fill="B7DEE8"/>
          </w:tcPr>
          <w:p w14:paraId="3972EC94" w14:textId="77777777" w:rsidR="004812BA" w:rsidRPr="00E105BF" w:rsidRDefault="004812BA" w:rsidP="006233FA">
            <w:pPr>
              <w:spacing w:after="0"/>
              <w:rPr>
                <w:color w:val="000000"/>
                <w:sz w:val="20"/>
                <w:szCs w:val="20"/>
                <w:lang w:val="en-US"/>
              </w:rPr>
            </w:pPr>
            <w:r w:rsidRPr="6EB47483">
              <w:rPr>
                <w:sz w:val="20"/>
                <w:szCs w:val="20"/>
                <w:lang w:val="en-US"/>
              </w:rPr>
              <w:t>54</w:t>
            </w:r>
          </w:p>
        </w:tc>
        <w:tc>
          <w:tcPr>
            <w:tcW w:w="1918" w:type="dxa"/>
            <w:tcBorders>
              <w:top w:val="nil"/>
              <w:left w:val="nil"/>
              <w:bottom w:val="single" w:sz="4" w:space="0" w:color="auto"/>
              <w:right w:val="single" w:sz="4" w:space="0" w:color="auto"/>
            </w:tcBorders>
          </w:tcPr>
          <w:p w14:paraId="08EAB90B" w14:textId="77777777" w:rsidR="004812BA" w:rsidRPr="00E105BF" w:rsidRDefault="004812BA" w:rsidP="006233FA">
            <w:pPr>
              <w:spacing w:after="0"/>
              <w:rPr>
                <w:sz w:val="20"/>
                <w:szCs w:val="20"/>
                <w:lang w:val="en-US"/>
              </w:rPr>
            </w:pPr>
            <w:r w:rsidRPr="6EB47483">
              <w:rPr>
                <w:sz w:val="20"/>
                <w:szCs w:val="20"/>
                <w:lang w:val="en-US"/>
              </w:rPr>
              <w:t>Marshall Islands</w:t>
            </w:r>
          </w:p>
          <w:p w14:paraId="2FC99537" w14:textId="77777777" w:rsidR="004812BA" w:rsidRPr="00E105BF" w:rsidRDefault="004812BA" w:rsidP="006233FA">
            <w:pPr>
              <w:spacing w:after="0"/>
              <w:rPr>
                <w:color w:val="000000"/>
                <w:sz w:val="20"/>
                <w:szCs w:val="20"/>
                <w:lang w:val="en-US"/>
              </w:rPr>
            </w:pPr>
          </w:p>
        </w:tc>
        <w:tc>
          <w:tcPr>
            <w:tcW w:w="472" w:type="dxa"/>
            <w:tcBorders>
              <w:top w:val="nil"/>
              <w:left w:val="nil"/>
              <w:bottom w:val="single" w:sz="4" w:space="0" w:color="auto"/>
              <w:right w:val="single" w:sz="4" w:space="0" w:color="auto"/>
            </w:tcBorders>
            <w:shd w:val="clear" w:color="auto" w:fill="B7DEE8"/>
          </w:tcPr>
          <w:p w14:paraId="636E3DFD" w14:textId="77777777" w:rsidR="004812BA" w:rsidRPr="00E105BF" w:rsidRDefault="004812BA" w:rsidP="006233FA">
            <w:pPr>
              <w:spacing w:after="0"/>
              <w:rPr>
                <w:color w:val="auto"/>
                <w:sz w:val="20"/>
                <w:szCs w:val="20"/>
                <w:lang w:val="en-US"/>
              </w:rPr>
            </w:pPr>
            <w:r w:rsidRPr="2818B29D">
              <w:rPr>
                <w:color w:val="auto"/>
                <w:sz w:val="20"/>
                <w:szCs w:val="20"/>
                <w:lang w:val="en-US"/>
              </w:rPr>
              <w:t>78</w:t>
            </w:r>
          </w:p>
        </w:tc>
        <w:tc>
          <w:tcPr>
            <w:tcW w:w="2005" w:type="dxa"/>
            <w:tcBorders>
              <w:top w:val="nil"/>
              <w:left w:val="nil"/>
              <w:bottom w:val="single" w:sz="4" w:space="0" w:color="auto"/>
              <w:right w:val="single" w:sz="4" w:space="0" w:color="auto"/>
            </w:tcBorders>
          </w:tcPr>
          <w:p w14:paraId="174CF90A" w14:textId="77777777" w:rsidR="004812BA" w:rsidRPr="00E105BF" w:rsidRDefault="004812BA" w:rsidP="006233FA">
            <w:pPr>
              <w:spacing w:after="0"/>
              <w:rPr>
                <w:sz w:val="20"/>
                <w:szCs w:val="20"/>
                <w:lang w:val="en-US"/>
              </w:rPr>
            </w:pPr>
            <w:r w:rsidRPr="6EB47483">
              <w:rPr>
                <w:sz w:val="20"/>
                <w:szCs w:val="20"/>
                <w:lang w:val="en-US"/>
              </w:rPr>
              <w:t>Serbia</w:t>
            </w:r>
          </w:p>
          <w:p w14:paraId="7EFABE35" w14:textId="77777777" w:rsidR="004812BA" w:rsidRPr="00E105BF" w:rsidRDefault="004812BA" w:rsidP="006233FA">
            <w:pPr>
              <w:spacing w:after="0"/>
              <w:rPr>
                <w:color w:val="000000"/>
                <w:sz w:val="20"/>
                <w:szCs w:val="20"/>
                <w:lang w:val="en-US"/>
              </w:rPr>
            </w:pPr>
          </w:p>
        </w:tc>
      </w:tr>
      <w:tr w:rsidR="004812BA" w:rsidRPr="00E105BF" w14:paraId="433CF5EE"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22C73CAE" w14:textId="77777777" w:rsidR="004812BA" w:rsidRPr="00E105BF" w:rsidRDefault="004812BA" w:rsidP="006233FA">
            <w:pPr>
              <w:spacing w:after="0"/>
              <w:rPr>
                <w:color w:val="000000"/>
                <w:sz w:val="20"/>
                <w:szCs w:val="20"/>
                <w:lang w:val="en-US"/>
              </w:rPr>
            </w:pPr>
            <w:r w:rsidRPr="00E105BF">
              <w:rPr>
                <w:color w:val="000000"/>
                <w:sz w:val="20"/>
                <w:szCs w:val="20"/>
                <w:lang w:val="en-US"/>
              </w:rPr>
              <w:t>7</w:t>
            </w:r>
          </w:p>
        </w:tc>
        <w:tc>
          <w:tcPr>
            <w:tcW w:w="1868" w:type="dxa"/>
            <w:tcBorders>
              <w:top w:val="nil"/>
              <w:left w:val="nil"/>
              <w:bottom w:val="single" w:sz="4" w:space="0" w:color="auto"/>
              <w:right w:val="single" w:sz="4" w:space="0" w:color="auto"/>
            </w:tcBorders>
            <w:hideMark/>
          </w:tcPr>
          <w:p w14:paraId="506FAFE8" w14:textId="77777777" w:rsidR="004812BA" w:rsidRPr="00E105BF" w:rsidRDefault="004812BA" w:rsidP="006233FA">
            <w:pPr>
              <w:spacing w:after="0"/>
              <w:rPr>
                <w:color w:val="000000"/>
                <w:sz w:val="20"/>
                <w:szCs w:val="20"/>
                <w:lang w:val="en-US"/>
              </w:rPr>
            </w:pPr>
            <w:r w:rsidRPr="00E105BF">
              <w:rPr>
                <w:color w:val="000000"/>
                <w:sz w:val="20"/>
                <w:szCs w:val="20"/>
                <w:lang w:val="en-US"/>
              </w:rPr>
              <w:t>Belize</w:t>
            </w:r>
          </w:p>
        </w:tc>
        <w:tc>
          <w:tcPr>
            <w:tcW w:w="457" w:type="dxa"/>
            <w:tcBorders>
              <w:top w:val="nil"/>
              <w:left w:val="nil"/>
              <w:bottom w:val="single" w:sz="4" w:space="0" w:color="auto"/>
              <w:right w:val="single" w:sz="4" w:space="0" w:color="auto"/>
            </w:tcBorders>
            <w:shd w:val="clear" w:color="auto" w:fill="B7DEE8"/>
          </w:tcPr>
          <w:p w14:paraId="67BC492C" w14:textId="77777777" w:rsidR="004812BA" w:rsidRPr="00E105BF" w:rsidRDefault="004812BA" w:rsidP="006233FA">
            <w:pPr>
              <w:spacing w:after="0"/>
              <w:rPr>
                <w:color w:val="000000"/>
                <w:sz w:val="20"/>
                <w:szCs w:val="20"/>
                <w:lang w:val="en-US"/>
              </w:rPr>
            </w:pPr>
            <w:r w:rsidRPr="6EB47483">
              <w:rPr>
                <w:sz w:val="20"/>
                <w:szCs w:val="20"/>
                <w:lang w:val="en-US"/>
              </w:rPr>
              <w:t>31</w:t>
            </w:r>
          </w:p>
        </w:tc>
        <w:tc>
          <w:tcPr>
            <w:tcW w:w="1569" w:type="dxa"/>
            <w:tcBorders>
              <w:top w:val="nil"/>
              <w:left w:val="nil"/>
              <w:bottom w:val="single" w:sz="4" w:space="0" w:color="auto"/>
              <w:right w:val="single" w:sz="4" w:space="0" w:color="auto"/>
            </w:tcBorders>
          </w:tcPr>
          <w:p w14:paraId="3D4FFA6C" w14:textId="77777777" w:rsidR="004812BA" w:rsidRPr="00E105BF" w:rsidRDefault="004812BA" w:rsidP="006233FA">
            <w:pPr>
              <w:spacing w:after="0"/>
              <w:rPr>
                <w:color w:val="000000"/>
                <w:sz w:val="20"/>
                <w:szCs w:val="20"/>
                <w:lang w:val="en-US"/>
              </w:rPr>
            </w:pPr>
            <w:r w:rsidRPr="00E105BF">
              <w:rPr>
                <w:color w:val="000000"/>
                <w:sz w:val="20"/>
                <w:szCs w:val="20"/>
                <w:lang w:val="en-US"/>
              </w:rPr>
              <w:t>Eritrea</w:t>
            </w:r>
          </w:p>
        </w:tc>
        <w:tc>
          <w:tcPr>
            <w:tcW w:w="459" w:type="dxa"/>
            <w:tcBorders>
              <w:top w:val="nil"/>
              <w:left w:val="nil"/>
              <w:bottom w:val="single" w:sz="4" w:space="0" w:color="auto"/>
              <w:right w:val="single" w:sz="4" w:space="0" w:color="auto"/>
            </w:tcBorders>
            <w:shd w:val="clear" w:color="auto" w:fill="B7DEE8"/>
          </w:tcPr>
          <w:p w14:paraId="4046C81E" w14:textId="77777777" w:rsidR="004812BA" w:rsidRPr="00E105BF" w:rsidRDefault="004812BA" w:rsidP="006233FA">
            <w:pPr>
              <w:spacing w:after="0"/>
              <w:rPr>
                <w:color w:val="000000"/>
                <w:sz w:val="20"/>
                <w:szCs w:val="20"/>
                <w:lang w:val="en-US"/>
              </w:rPr>
            </w:pPr>
            <w:r w:rsidRPr="6EB47483">
              <w:rPr>
                <w:sz w:val="20"/>
                <w:szCs w:val="20"/>
                <w:lang w:val="en-US"/>
              </w:rPr>
              <w:t>55</w:t>
            </w:r>
          </w:p>
        </w:tc>
        <w:tc>
          <w:tcPr>
            <w:tcW w:w="1918" w:type="dxa"/>
            <w:tcBorders>
              <w:top w:val="nil"/>
              <w:left w:val="nil"/>
              <w:bottom w:val="single" w:sz="4" w:space="0" w:color="auto"/>
              <w:right w:val="single" w:sz="4" w:space="0" w:color="auto"/>
            </w:tcBorders>
          </w:tcPr>
          <w:p w14:paraId="7677FA4A" w14:textId="77777777" w:rsidR="004812BA" w:rsidRPr="00E105BF" w:rsidRDefault="004812BA" w:rsidP="006233FA">
            <w:pPr>
              <w:spacing w:after="0"/>
              <w:rPr>
                <w:color w:val="000000"/>
                <w:sz w:val="20"/>
                <w:szCs w:val="20"/>
                <w:lang w:val="en-US"/>
              </w:rPr>
            </w:pPr>
            <w:r w:rsidRPr="6EB47483">
              <w:rPr>
                <w:sz w:val="20"/>
                <w:szCs w:val="20"/>
                <w:lang w:val="en-US"/>
              </w:rPr>
              <w:t>Mauritius</w:t>
            </w:r>
          </w:p>
        </w:tc>
        <w:tc>
          <w:tcPr>
            <w:tcW w:w="472" w:type="dxa"/>
            <w:tcBorders>
              <w:top w:val="nil"/>
              <w:left w:val="nil"/>
              <w:bottom w:val="single" w:sz="4" w:space="0" w:color="auto"/>
              <w:right w:val="single" w:sz="4" w:space="0" w:color="auto"/>
            </w:tcBorders>
            <w:shd w:val="clear" w:color="auto" w:fill="B7DEE8"/>
          </w:tcPr>
          <w:p w14:paraId="73C9EF74" w14:textId="77777777" w:rsidR="004812BA" w:rsidRPr="00E105BF" w:rsidRDefault="004812BA" w:rsidP="006233FA">
            <w:pPr>
              <w:spacing w:after="0"/>
              <w:rPr>
                <w:color w:val="auto"/>
                <w:sz w:val="20"/>
                <w:szCs w:val="20"/>
                <w:lang w:val="en-US"/>
              </w:rPr>
            </w:pPr>
            <w:r w:rsidRPr="2818B29D">
              <w:rPr>
                <w:color w:val="auto"/>
                <w:sz w:val="20"/>
                <w:szCs w:val="20"/>
                <w:lang w:val="en-US"/>
              </w:rPr>
              <w:t>79</w:t>
            </w:r>
          </w:p>
        </w:tc>
        <w:tc>
          <w:tcPr>
            <w:tcW w:w="2005" w:type="dxa"/>
            <w:tcBorders>
              <w:top w:val="nil"/>
              <w:left w:val="nil"/>
              <w:bottom w:val="single" w:sz="4" w:space="0" w:color="auto"/>
              <w:right w:val="single" w:sz="4" w:space="0" w:color="auto"/>
            </w:tcBorders>
          </w:tcPr>
          <w:p w14:paraId="24F417AC" w14:textId="66AF5D4B" w:rsidR="004812BA" w:rsidRPr="00E105BF" w:rsidRDefault="004812BA" w:rsidP="006233FA">
            <w:pPr>
              <w:spacing w:after="0"/>
              <w:rPr>
                <w:color w:val="000000"/>
                <w:sz w:val="20"/>
                <w:szCs w:val="20"/>
                <w:lang w:val="en-US"/>
              </w:rPr>
            </w:pPr>
            <w:r w:rsidRPr="6EB47483">
              <w:rPr>
                <w:sz w:val="20"/>
                <w:szCs w:val="20"/>
                <w:lang w:val="en-US"/>
              </w:rPr>
              <w:t>Seychelles</w:t>
            </w:r>
          </w:p>
        </w:tc>
      </w:tr>
      <w:tr w:rsidR="004812BA" w14:paraId="5E5970A3"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14B37A23" w14:textId="77777777" w:rsidR="004812BA" w:rsidRDefault="004812BA" w:rsidP="006233FA">
            <w:pPr>
              <w:spacing w:after="0"/>
              <w:rPr>
                <w:sz w:val="20"/>
                <w:szCs w:val="20"/>
                <w:lang w:val="en-US"/>
              </w:rPr>
            </w:pPr>
            <w:r w:rsidRPr="6EB47483">
              <w:rPr>
                <w:sz w:val="20"/>
                <w:szCs w:val="20"/>
                <w:lang w:val="en-US"/>
              </w:rPr>
              <w:t>8</w:t>
            </w:r>
          </w:p>
        </w:tc>
        <w:tc>
          <w:tcPr>
            <w:tcW w:w="1868" w:type="dxa"/>
            <w:tcBorders>
              <w:top w:val="nil"/>
              <w:left w:val="nil"/>
              <w:bottom w:val="single" w:sz="4" w:space="0" w:color="auto"/>
              <w:right w:val="single" w:sz="4" w:space="0" w:color="auto"/>
            </w:tcBorders>
            <w:hideMark/>
          </w:tcPr>
          <w:p w14:paraId="44615FEA" w14:textId="59C5848D" w:rsidR="004812BA" w:rsidRPr="00CE0AAB" w:rsidRDefault="004812BA" w:rsidP="006233FA">
            <w:pPr>
              <w:spacing w:after="0"/>
              <w:rPr>
                <w:sz w:val="20"/>
                <w:szCs w:val="20"/>
                <w:lang w:val="en-US"/>
              </w:rPr>
            </w:pPr>
            <w:r w:rsidRPr="2818B29D">
              <w:rPr>
                <w:sz w:val="20"/>
                <w:szCs w:val="20"/>
                <w:lang w:val="en-US"/>
              </w:rPr>
              <w:t>Benin</w:t>
            </w:r>
          </w:p>
        </w:tc>
        <w:tc>
          <w:tcPr>
            <w:tcW w:w="457" w:type="dxa"/>
            <w:tcBorders>
              <w:top w:val="nil"/>
              <w:left w:val="nil"/>
              <w:bottom w:val="single" w:sz="4" w:space="0" w:color="auto"/>
              <w:right w:val="single" w:sz="4" w:space="0" w:color="auto"/>
            </w:tcBorders>
            <w:shd w:val="clear" w:color="auto" w:fill="B7DEE8"/>
          </w:tcPr>
          <w:p w14:paraId="66A96D9F" w14:textId="77777777" w:rsidR="004812BA" w:rsidRDefault="004812BA" w:rsidP="006233FA">
            <w:pPr>
              <w:spacing w:after="0"/>
              <w:rPr>
                <w:sz w:val="20"/>
                <w:szCs w:val="20"/>
                <w:lang w:val="en-US"/>
              </w:rPr>
            </w:pPr>
            <w:r w:rsidRPr="6EB47483">
              <w:rPr>
                <w:sz w:val="20"/>
                <w:szCs w:val="20"/>
                <w:lang w:val="en-US"/>
              </w:rPr>
              <w:t>32</w:t>
            </w:r>
          </w:p>
        </w:tc>
        <w:tc>
          <w:tcPr>
            <w:tcW w:w="1569" w:type="dxa"/>
            <w:tcBorders>
              <w:top w:val="nil"/>
              <w:left w:val="nil"/>
              <w:bottom w:val="single" w:sz="4" w:space="0" w:color="auto"/>
              <w:right w:val="single" w:sz="4" w:space="0" w:color="auto"/>
            </w:tcBorders>
          </w:tcPr>
          <w:p w14:paraId="0CDF4FE5" w14:textId="77777777" w:rsidR="004812BA" w:rsidRDefault="004812BA" w:rsidP="006233FA">
            <w:pPr>
              <w:spacing w:after="0"/>
              <w:rPr>
                <w:sz w:val="20"/>
                <w:szCs w:val="20"/>
                <w:lang w:val="en-US"/>
              </w:rPr>
            </w:pPr>
            <w:r w:rsidRPr="2196A3FD">
              <w:rPr>
                <w:sz w:val="20"/>
                <w:szCs w:val="20"/>
                <w:lang w:val="en-US"/>
              </w:rPr>
              <w:t>Eswatini</w:t>
            </w:r>
          </w:p>
        </w:tc>
        <w:tc>
          <w:tcPr>
            <w:tcW w:w="459" w:type="dxa"/>
            <w:tcBorders>
              <w:top w:val="nil"/>
              <w:left w:val="nil"/>
              <w:bottom w:val="single" w:sz="4" w:space="0" w:color="auto"/>
              <w:right w:val="single" w:sz="4" w:space="0" w:color="auto"/>
            </w:tcBorders>
            <w:shd w:val="clear" w:color="auto" w:fill="B7DEE8"/>
          </w:tcPr>
          <w:p w14:paraId="6E08C394" w14:textId="77777777" w:rsidR="004812BA" w:rsidRDefault="004812BA" w:rsidP="006233FA">
            <w:pPr>
              <w:spacing w:after="0"/>
              <w:rPr>
                <w:sz w:val="20"/>
                <w:szCs w:val="20"/>
                <w:lang w:val="en-US"/>
              </w:rPr>
            </w:pPr>
            <w:r w:rsidRPr="6EB47483">
              <w:rPr>
                <w:sz w:val="20"/>
                <w:szCs w:val="20"/>
                <w:lang w:val="en-US"/>
              </w:rPr>
              <w:t>56</w:t>
            </w:r>
          </w:p>
        </w:tc>
        <w:tc>
          <w:tcPr>
            <w:tcW w:w="1918" w:type="dxa"/>
            <w:tcBorders>
              <w:top w:val="nil"/>
              <w:left w:val="nil"/>
              <w:bottom w:val="single" w:sz="4" w:space="0" w:color="auto"/>
              <w:right w:val="single" w:sz="4" w:space="0" w:color="auto"/>
            </w:tcBorders>
          </w:tcPr>
          <w:p w14:paraId="6143F83A" w14:textId="77777777" w:rsidR="004812BA" w:rsidRDefault="004812BA" w:rsidP="006233FA">
            <w:pPr>
              <w:spacing w:after="0"/>
              <w:rPr>
                <w:sz w:val="20"/>
                <w:szCs w:val="20"/>
                <w:lang w:val="en-US"/>
              </w:rPr>
            </w:pPr>
            <w:r w:rsidRPr="6EB47483">
              <w:rPr>
                <w:sz w:val="20"/>
                <w:szCs w:val="20"/>
                <w:lang w:val="en-US"/>
              </w:rPr>
              <w:t>Micronesia (Federated States of)</w:t>
            </w:r>
          </w:p>
        </w:tc>
        <w:tc>
          <w:tcPr>
            <w:tcW w:w="472" w:type="dxa"/>
            <w:tcBorders>
              <w:top w:val="nil"/>
              <w:left w:val="nil"/>
              <w:bottom w:val="single" w:sz="4" w:space="0" w:color="auto"/>
              <w:right w:val="single" w:sz="4" w:space="0" w:color="auto"/>
            </w:tcBorders>
            <w:shd w:val="clear" w:color="auto" w:fill="B7DEE8"/>
          </w:tcPr>
          <w:p w14:paraId="0796C5D4" w14:textId="77777777" w:rsidR="004812BA" w:rsidRDefault="004812BA" w:rsidP="006233FA">
            <w:pPr>
              <w:spacing w:after="0"/>
              <w:rPr>
                <w:color w:val="auto"/>
                <w:sz w:val="20"/>
                <w:szCs w:val="20"/>
                <w:lang w:val="en-US"/>
              </w:rPr>
            </w:pPr>
            <w:r w:rsidRPr="2818B29D">
              <w:rPr>
                <w:color w:val="auto"/>
                <w:sz w:val="20"/>
                <w:szCs w:val="20"/>
                <w:lang w:val="en-US"/>
              </w:rPr>
              <w:t>80</w:t>
            </w:r>
          </w:p>
        </w:tc>
        <w:tc>
          <w:tcPr>
            <w:tcW w:w="2005" w:type="dxa"/>
            <w:tcBorders>
              <w:top w:val="nil"/>
              <w:left w:val="nil"/>
              <w:bottom w:val="single" w:sz="4" w:space="0" w:color="auto"/>
              <w:right w:val="single" w:sz="4" w:space="0" w:color="auto"/>
            </w:tcBorders>
          </w:tcPr>
          <w:p w14:paraId="3E301A0D" w14:textId="77777777" w:rsidR="004812BA" w:rsidRPr="00E105BF" w:rsidRDefault="004812BA" w:rsidP="006233FA">
            <w:pPr>
              <w:spacing w:after="0"/>
              <w:rPr>
                <w:sz w:val="20"/>
                <w:szCs w:val="20"/>
                <w:lang w:val="en-US"/>
              </w:rPr>
            </w:pPr>
            <w:r w:rsidRPr="6EB47483">
              <w:rPr>
                <w:sz w:val="20"/>
                <w:szCs w:val="20"/>
                <w:lang w:val="en-US"/>
              </w:rPr>
              <w:t>Sierra Leone</w:t>
            </w:r>
          </w:p>
          <w:p w14:paraId="56643BDD" w14:textId="77777777" w:rsidR="004812BA" w:rsidRDefault="004812BA" w:rsidP="006233FA">
            <w:pPr>
              <w:spacing w:after="0"/>
              <w:rPr>
                <w:sz w:val="20"/>
                <w:szCs w:val="20"/>
                <w:lang w:val="en-US"/>
              </w:rPr>
            </w:pPr>
          </w:p>
        </w:tc>
      </w:tr>
      <w:tr w:rsidR="004812BA" w:rsidRPr="00E105BF" w14:paraId="079306DA"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284317E0" w14:textId="77777777" w:rsidR="004812BA" w:rsidRPr="00E105BF" w:rsidRDefault="004812BA" w:rsidP="006233FA">
            <w:pPr>
              <w:spacing w:after="0"/>
              <w:rPr>
                <w:color w:val="000000"/>
                <w:sz w:val="20"/>
                <w:szCs w:val="20"/>
                <w:lang w:val="en-US"/>
              </w:rPr>
            </w:pPr>
            <w:r w:rsidRPr="6EB47483">
              <w:rPr>
                <w:sz w:val="20"/>
                <w:szCs w:val="20"/>
                <w:lang w:val="en-US"/>
              </w:rPr>
              <w:t>9</w:t>
            </w:r>
          </w:p>
        </w:tc>
        <w:tc>
          <w:tcPr>
            <w:tcW w:w="1868" w:type="dxa"/>
            <w:tcBorders>
              <w:top w:val="nil"/>
              <w:left w:val="nil"/>
              <w:bottom w:val="single" w:sz="4" w:space="0" w:color="auto"/>
              <w:right w:val="single" w:sz="4" w:space="0" w:color="auto"/>
            </w:tcBorders>
            <w:hideMark/>
          </w:tcPr>
          <w:p w14:paraId="30F7AD1D" w14:textId="77777777" w:rsidR="004812BA" w:rsidRPr="00E105BF" w:rsidRDefault="004812BA" w:rsidP="006233FA">
            <w:pPr>
              <w:spacing w:after="0"/>
              <w:rPr>
                <w:color w:val="000000"/>
                <w:sz w:val="20"/>
                <w:szCs w:val="20"/>
                <w:lang w:val="en-US"/>
              </w:rPr>
            </w:pPr>
            <w:r w:rsidRPr="00E105BF">
              <w:rPr>
                <w:color w:val="000000"/>
                <w:sz w:val="20"/>
                <w:szCs w:val="20"/>
                <w:lang w:val="en-US"/>
              </w:rPr>
              <w:t>Bhutan</w:t>
            </w:r>
          </w:p>
        </w:tc>
        <w:tc>
          <w:tcPr>
            <w:tcW w:w="457" w:type="dxa"/>
            <w:tcBorders>
              <w:top w:val="nil"/>
              <w:left w:val="nil"/>
              <w:bottom w:val="single" w:sz="4" w:space="0" w:color="auto"/>
              <w:right w:val="single" w:sz="4" w:space="0" w:color="auto"/>
            </w:tcBorders>
            <w:shd w:val="clear" w:color="auto" w:fill="B7DEE8"/>
          </w:tcPr>
          <w:p w14:paraId="28B908FA" w14:textId="77777777" w:rsidR="004812BA" w:rsidRPr="00E105BF" w:rsidRDefault="004812BA" w:rsidP="006233FA">
            <w:pPr>
              <w:spacing w:after="0"/>
              <w:rPr>
                <w:color w:val="000000"/>
                <w:sz w:val="20"/>
                <w:szCs w:val="20"/>
                <w:lang w:val="en-US"/>
              </w:rPr>
            </w:pPr>
            <w:r w:rsidRPr="6EB47483">
              <w:rPr>
                <w:sz w:val="20"/>
                <w:szCs w:val="20"/>
                <w:lang w:val="en-US"/>
              </w:rPr>
              <w:t>33</w:t>
            </w:r>
          </w:p>
        </w:tc>
        <w:tc>
          <w:tcPr>
            <w:tcW w:w="1569" w:type="dxa"/>
            <w:tcBorders>
              <w:top w:val="nil"/>
              <w:left w:val="nil"/>
              <w:bottom w:val="single" w:sz="4" w:space="0" w:color="auto"/>
              <w:right w:val="single" w:sz="4" w:space="0" w:color="auto"/>
            </w:tcBorders>
          </w:tcPr>
          <w:p w14:paraId="5D9A37AF" w14:textId="77777777" w:rsidR="004812BA" w:rsidRPr="00E105BF" w:rsidRDefault="004812BA" w:rsidP="006233FA">
            <w:pPr>
              <w:spacing w:after="0"/>
              <w:rPr>
                <w:color w:val="000000"/>
                <w:sz w:val="20"/>
                <w:szCs w:val="20"/>
                <w:lang w:val="en-US"/>
              </w:rPr>
            </w:pPr>
            <w:r w:rsidRPr="2196A3FD">
              <w:rPr>
                <w:sz w:val="20"/>
                <w:szCs w:val="20"/>
                <w:lang w:val="en-US"/>
              </w:rPr>
              <w:t>Ethiopia</w:t>
            </w:r>
          </w:p>
        </w:tc>
        <w:tc>
          <w:tcPr>
            <w:tcW w:w="459" w:type="dxa"/>
            <w:tcBorders>
              <w:top w:val="nil"/>
              <w:left w:val="nil"/>
              <w:bottom w:val="single" w:sz="4" w:space="0" w:color="auto"/>
              <w:right w:val="single" w:sz="4" w:space="0" w:color="auto"/>
            </w:tcBorders>
            <w:shd w:val="clear" w:color="auto" w:fill="B7DEE8"/>
          </w:tcPr>
          <w:p w14:paraId="00571EC0" w14:textId="77777777" w:rsidR="004812BA" w:rsidRPr="00E105BF" w:rsidRDefault="004812BA" w:rsidP="006233FA">
            <w:pPr>
              <w:spacing w:after="0"/>
              <w:rPr>
                <w:color w:val="000000"/>
                <w:sz w:val="20"/>
                <w:szCs w:val="20"/>
                <w:lang w:val="en-US"/>
              </w:rPr>
            </w:pPr>
            <w:r w:rsidRPr="6EB47483">
              <w:rPr>
                <w:sz w:val="20"/>
                <w:szCs w:val="20"/>
                <w:lang w:val="en-US"/>
              </w:rPr>
              <w:t>57</w:t>
            </w:r>
          </w:p>
        </w:tc>
        <w:tc>
          <w:tcPr>
            <w:tcW w:w="1918" w:type="dxa"/>
            <w:tcBorders>
              <w:top w:val="nil"/>
              <w:left w:val="nil"/>
              <w:bottom w:val="single" w:sz="4" w:space="0" w:color="auto"/>
              <w:right w:val="single" w:sz="4" w:space="0" w:color="auto"/>
            </w:tcBorders>
          </w:tcPr>
          <w:p w14:paraId="29436DFD" w14:textId="77777777" w:rsidR="004812BA" w:rsidRPr="00E105BF" w:rsidRDefault="004812BA" w:rsidP="006233FA">
            <w:pPr>
              <w:spacing w:after="0"/>
              <w:rPr>
                <w:color w:val="000000"/>
                <w:sz w:val="20"/>
                <w:szCs w:val="20"/>
                <w:lang w:val="en-US"/>
              </w:rPr>
            </w:pPr>
            <w:r w:rsidRPr="6EB47483">
              <w:rPr>
                <w:sz w:val="20"/>
                <w:szCs w:val="20"/>
                <w:lang w:val="en-US"/>
              </w:rPr>
              <w:t>Mongolia</w:t>
            </w:r>
          </w:p>
        </w:tc>
        <w:tc>
          <w:tcPr>
            <w:tcW w:w="472" w:type="dxa"/>
            <w:tcBorders>
              <w:top w:val="nil"/>
              <w:left w:val="nil"/>
              <w:bottom w:val="single" w:sz="4" w:space="0" w:color="auto"/>
              <w:right w:val="single" w:sz="4" w:space="0" w:color="auto"/>
            </w:tcBorders>
            <w:shd w:val="clear" w:color="auto" w:fill="B7DEE8"/>
          </w:tcPr>
          <w:p w14:paraId="1ADF4C45" w14:textId="77777777" w:rsidR="004812BA" w:rsidRPr="00E105BF" w:rsidRDefault="004812BA" w:rsidP="006233FA">
            <w:pPr>
              <w:spacing w:after="0"/>
              <w:rPr>
                <w:color w:val="auto"/>
                <w:sz w:val="20"/>
                <w:szCs w:val="20"/>
                <w:lang w:val="en-US"/>
              </w:rPr>
            </w:pPr>
            <w:r w:rsidRPr="2818B29D">
              <w:rPr>
                <w:color w:val="auto"/>
                <w:sz w:val="20"/>
                <w:szCs w:val="20"/>
                <w:lang w:val="en-US"/>
              </w:rPr>
              <w:t>81</w:t>
            </w:r>
          </w:p>
        </w:tc>
        <w:tc>
          <w:tcPr>
            <w:tcW w:w="2005" w:type="dxa"/>
            <w:tcBorders>
              <w:top w:val="nil"/>
              <w:left w:val="nil"/>
              <w:bottom w:val="single" w:sz="4" w:space="0" w:color="auto"/>
              <w:right w:val="single" w:sz="4" w:space="0" w:color="auto"/>
            </w:tcBorders>
          </w:tcPr>
          <w:p w14:paraId="037DAE44" w14:textId="77777777" w:rsidR="004812BA" w:rsidRPr="00E105BF" w:rsidRDefault="004812BA" w:rsidP="006233FA">
            <w:pPr>
              <w:spacing w:after="0"/>
              <w:rPr>
                <w:color w:val="000000"/>
                <w:sz w:val="20"/>
                <w:szCs w:val="20"/>
                <w:lang w:val="en-US"/>
              </w:rPr>
            </w:pPr>
            <w:r w:rsidRPr="6EB47483">
              <w:rPr>
                <w:sz w:val="20"/>
                <w:szCs w:val="20"/>
                <w:lang w:val="en-US"/>
              </w:rPr>
              <w:t>Solomon Islands</w:t>
            </w:r>
          </w:p>
        </w:tc>
      </w:tr>
      <w:tr w:rsidR="004812BA" w:rsidRPr="00E105BF" w14:paraId="0562FE20"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2E7A89C0" w14:textId="77777777" w:rsidR="004812BA" w:rsidRPr="00E105BF" w:rsidRDefault="004812BA" w:rsidP="006233FA">
            <w:pPr>
              <w:spacing w:after="0"/>
              <w:rPr>
                <w:color w:val="000000"/>
                <w:sz w:val="20"/>
                <w:szCs w:val="20"/>
                <w:lang w:val="en-US"/>
              </w:rPr>
            </w:pPr>
            <w:r w:rsidRPr="6EB47483">
              <w:rPr>
                <w:sz w:val="20"/>
                <w:szCs w:val="20"/>
                <w:lang w:val="en-US"/>
              </w:rPr>
              <w:t>10</w:t>
            </w:r>
          </w:p>
        </w:tc>
        <w:tc>
          <w:tcPr>
            <w:tcW w:w="1868" w:type="dxa"/>
            <w:tcBorders>
              <w:top w:val="nil"/>
              <w:left w:val="nil"/>
              <w:bottom w:val="single" w:sz="4" w:space="0" w:color="auto"/>
              <w:right w:val="single" w:sz="4" w:space="0" w:color="auto"/>
            </w:tcBorders>
            <w:hideMark/>
          </w:tcPr>
          <w:p w14:paraId="2E035934" w14:textId="77777777" w:rsidR="004812BA" w:rsidRPr="00E105BF" w:rsidRDefault="004812BA" w:rsidP="006233FA">
            <w:pPr>
              <w:spacing w:after="0"/>
              <w:rPr>
                <w:color w:val="000000"/>
                <w:sz w:val="20"/>
                <w:szCs w:val="20"/>
                <w:lang w:val="en-US"/>
              </w:rPr>
            </w:pPr>
            <w:r w:rsidRPr="00E105BF">
              <w:rPr>
                <w:color w:val="000000"/>
                <w:sz w:val="20"/>
                <w:szCs w:val="20"/>
                <w:lang w:val="en-US"/>
              </w:rPr>
              <w:t>Bolivia (Plurinational State of)</w:t>
            </w:r>
          </w:p>
        </w:tc>
        <w:tc>
          <w:tcPr>
            <w:tcW w:w="457" w:type="dxa"/>
            <w:tcBorders>
              <w:top w:val="nil"/>
              <w:left w:val="nil"/>
              <w:bottom w:val="single" w:sz="4" w:space="0" w:color="auto"/>
              <w:right w:val="single" w:sz="4" w:space="0" w:color="auto"/>
            </w:tcBorders>
            <w:shd w:val="clear" w:color="auto" w:fill="B7DEE8"/>
          </w:tcPr>
          <w:p w14:paraId="5181DA2F" w14:textId="77777777" w:rsidR="004812BA" w:rsidRPr="00E105BF" w:rsidRDefault="004812BA" w:rsidP="006233FA">
            <w:pPr>
              <w:spacing w:after="0"/>
              <w:rPr>
                <w:color w:val="000000"/>
                <w:sz w:val="20"/>
                <w:szCs w:val="20"/>
                <w:lang w:val="en-US"/>
              </w:rPr>
            </w:pPr>
            <w:r w:rsidRPr="6EB47483">
              <w:rPr>
                <w:sz w:val="20"/>
                <w:szCs w:val="20"/>
                <w:lang w:val="en-US"/>
              </w:rPr>
              <w:t>34</w:t>
            </w:r>
          </w:p>
        </w:tc>
        <w:tc>
          <w:tcPr>
            <w:tcW w:w="1569" w:type="dxa"/>
            <w:tcBorders>
              <w:top w:val="nil"/>
              <w:left w:val="nil"/>
              <w:bottom w:val="single" w:sz="4" w:space="0" w:color="auto"/>
              <w:right w:val="single" w:sz="4" w:space="0" w:color="auto"/>
            </w:tcBorders>
          </w:tcPr>
          <w:p w14:paraId="7D9C230C" w14:textId="77777777" w:rsidR="004812BA" w:rsidRPr="00E105BF" w:rsidRDefault="004812BA" w:rsidP="006233FA">
            <w:pPr>
              <w:spacing w:after="0"/>
              <w:rPr>
                <w:color w:val="000000"/>
                <w:sz w:val="20"/>
                <w:szCs w:val="20"/>
                <w:lang w:val="en-US"/>
              </w:rPr>
            </w:pPr>
            <w:r w:rsidRPr="069A5846">
              <w:rPr>
                <w:sz w:val="20"/>
                <w:szCs w:val="20"/>
                <w:lang w:val="en-US"/>
              </w:rPr>
              <w:t>Fiji</w:t>
            </w:r>
          </w:p>
        </w:tc>
        <w:tc>
          <w:tcPr>
            <w:tcW w:w="459" w:type="dxa"/>
            <w:tcBorders>
              <w:top w:val="nil"/>
              <w:left w:val="nil"/>
              <w:bottom w:val="single" w:sz="4" w:space="0" w:color="auto"/>
              <w:right w:val="single" w:sz="4" w:space="0" w:color="auto"/>
            </w:tcBorders>
            <w:shd w:val="clear" w:color="auto" w:fill="B7DEE8"/>
          </w:tcPr>
          <w:p w14:paraId="69F98BBA" w14:textId="77777777" w:rsidR="004812BA" w:rsidRPr="00E105BF" w:rsidRDefault="004812BA" w:rsidP="006233FA">
            <w:pPr>
              <w:spacing w:after="0"/>
              <w:rPr>
                <w:color w:val="000000"/>
                <w:sz w:val="20"/>
                <w:szCs w:val="20"/>
                <w:lang w:val="en-US"/>
              </w:rPr>
            </w:pPr>
            <w:r w:rsidRPr="6EB47483">
              <w:rPr>
                <w:sz w:val="20"/>
                <w:szCs w:val="20"/>
                <w:lang w:val="en-US"/>
              </w:rPr>
              <w:t>58</w:t>
            </w:r>
          </w:p>
        </w:tc>
        <w:tc>
          <w:tcPr>
            <w:tcW w:w="1918" w:type="dxa"/>
            <w:tcBorders>
              <w:top w:val="nil"/>
              <w:left w:val="nil"/>
              <w:bottom w:val="single" w:sz="4" w:space="0" w:color="auto"/>
              <w:right w:val="single" w:sz="4" w:space="0" w:color="auto"/>
            </w:tcBorders>
          </w:tcPr>
          <w:p w14:paraId="25724EE4" w14:textId="77777777" w:rsidR="004812BA" w:rsidRPr="00E105BF" w:rsidRDefault="004812BA" w:rsidP="006233FA">
            <w:pPr>
              <w:spacing w:after="0"/>
              <w:rPr>
                <w:color w:val="000000"/>
                <w:sz w:val="20"/>
                <w:szCs w:val="20"/>
                <w:lang w:val="en-US"/>
              </w:rPr>
            </w:pPr>
            <w:r w:rsidRPr="6EB47483">
              <w:rPr>
                <w:sz w:val="20"/>
                <w:szCs w:val="20"/>
                <w:lang w:val="en-US"/>
              </w:rPr>
              <w:t>Montenegro</w:t>
            </w:r>
          </w:p>
        </w:tc>
        <w:tc>
          <w:tcPr>
            <w:tcW w:w="472" w:type="dxa"/>
            <w:tcBorders>
              <w:top w:val="nil"/>
              <w:left w:val="nil"/>
              <w:bottom w:val="single" w:sz="4" w:space="0" w:color="auto"/>
              <w:right w:val="single" w:sz="4" w:space="0" w:color="auto"/>
            </w:tcBorders>
            <w:shd w:val="clear" w:color="auto" w:fill="B7DEE8"/>
          </w:tcPr>
          <w:p w14:paraId="2D493F05" w14:textId="77777777" w:rsidR="004812BA" w:rsidRPr="00E105BF" w:rsidRDefault="004812BA" w:rsidP="006233FA">
            <w:pPr>
              <w:spacing w:after="0"/>
              <w:rPr>
                <w:color w:val="auto"/>
                <w:sz w:val="20"/>
                <w:szCs w:val="20"/>
                <w:lang w:val="en-US"/>
              </w:rPr>
            </w:pPr>
            <w:r w:rsidRPr="2818B29D">
              <w:rPr>
                <w:color w:val="auto"/>
                <w:sz w:val="20"/>
                <w:szCs w:val="20"/>
                <w:lang w:val="en-US"/>
              </w:rPr>
              <w:t>82</w:t>
            </w:r>
          </w:p>
        </w:tc>
        <w:tc>
          <w:tcPr>
            <w:tcW w:w="2005" w:type="dxa"/>
            <w:tcBorders>
              <w:top w:val="nil"/>
              <w:left w:val="nil"/>
              <w:bottom w:val="single" w:sz="4" w:space="0" w:color="auto"/>
              <w:right w:val="single" w:sz="4" w:space="0" w:color="auto"/>
            </w:tcBorders>
          </w:tcPr>
          <w:p w14:paraId="6E037383" w14:textId="77777777" w:rsidR="004812BA" w:rsidRPr="00E105BF" w:rsidRDefault="004812BA" w:rsidP="006233FA">
            <w:pPr>
              <w:spacing w:after="0"/>
              <w:rPr>
                <w:sz w:val="20"/>
                <w:szCs w:val="20"/>
                <w:lang w:val="en-US"/>
              </w:rPr>
            </w:pPr>
            <w:r w:rsidRPr="002B612C">
              <w:rPr>
                <w:sz w:val="20"/>
                <w:szCs w:val="20"/>
                <w:lang w:val="en-US"/>
              </w:rPr>
              <w:t>South Sudan</w:t>
            </w:r>
          </w:p>
          <w:p w14:paraId="15735A7C" w14:textId="77777777" w:rsidR="004812BA" w:rsidRPr="00E105BF" w:rsidRDefault="004812BA" w:rsidP="006233FA">
            <w:pPr>
              <w:spacing w:after="0"/>
              <w:rPr>
                <w:color w:val="000000"/>
                <w:sz w:val="20"/>
                <w:szCs w:val="20"/>
                <w:lang w:val="en-US"/>
              </w:rPr>
            </w:pPr>
          </w:p>
        </w:tc>
      </w:tr>
      <w:tr w:rsidR="004812BA" w:rsidRPr="00E105BF" w14:paraId="6939EE17"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41BBB225" w14:textId="77777777" w:rsidR="004812BA" w:rsidRPr="00E105BF" w:rsidRDefault="004812BA" w:rsidP="006233FA">
            <w:pPr>
              <w:spacing w:after="0"/>
              <w:rPr>
                <w:color w:val="000000"/>
                <w:sz w:val="20"/>
                <w:szCs w:val="20"/>
                <w:lang w:val="en-US"/>
              </w:rPr>
            </w:pPr>
            <w:r w:rsidRPr="6EB47483">
              <w:rPr>
                <w:sz w:val="20"/>
                <w:szCs w:val="20"/>
                <w:lang w:val="en-US"/>
              </w:rPr>
              <w:t>11</w:t>
            </w:r>
          </w:p>
        </w:tc>
        <w:tc>
          <w:tcPr>
            <w:tcW w:w="1868" w:type="dxa"/>
            <w:tcBorders>
              <w:top w:val="nil"/>
              <w:left w:val="nil"/>
              <w:bottom w:val="single" w:sz="4" w:space="0" w:color="auto"/>
              <w:right w:val="single" w:sz="4" w:space="0" w:color="auto"/>
            </w:tcBorders>
            <w:hideMark/>
          </w:tcPr>
          <w:p w14:paraId="58AE08D6" w14:textId="77777777" w:rsidR="004812BA" w:rsidRPr="00E105BF" w:rsidRDefault="004812BA" w:rsidP="006233FA">
            <w:pPr>
              <w:spacing w:after="0"/>
              <w:rPr>
                <w:color w:val="000000"/>
                <w:sz w:val="20"/>
                <w:szCs w:val="20"/>
                <w:lang w:val="en-US"/>
              </w:rPr>
            </w:pPr>
            <w:r w:rsidRPr="00E105BF">
              <w:rPr>
                <w:color w:val="000000"/>
                <w:sz w:val="20"/>
                <w:szCs w:val="20"/>
                <w:lang w:val="en-US"/>
              </w:rPr>
              <w:t>Bosnia and Herzegovina</w:t>
            </w:r>
          </w:p>
        </w:tc>
        <w:tc>
          <w:tcPr>
            <w:tcW w:w="457" w:type="dxa"/>
            <w:tcBorders>
              <w:top w:val="nil"/>
              <w:left w:val="nil"/>
              <w:bottom w:val="single" w:sz="4" w:space="0" w:color="auto"/>
              <w:right w:val="single" w:sz="4" w:space="0" w:color="auto"/>
            </w:tcBorders>
            <w:shd w:val="clear" w:color="auto" w:fill="B7DEE8"/>
          </w:tcPr>
          <w:p w14:paraId="2795D9F4" w14:textId="77777777" w:rsidR="004812BA" w:rsidRPr="00E105BF" w:rsidRDefault="004812BA" w:rsidP="006233FA">
            <w:pPr>
              <w:spacing w:after="0"/>
              <w:rPr>
                <w:color w:val="000000"/>
                <w:sz w:val="20"/>
                <w:szCs w:val="20"/>
                <w:lang w:val="en-US"/>
              </w:rPr>
            </w:pPr>
            <w:r w:rsidRPr="6EB47483">
              <w:rPr>
                <w:sz w:val="20"/>
                <w:szCs w:val="20"/>
                <w:lang w:val="en-US"/>
              </w:rPr>
              <w:t>35</w:t>
            </w:r>
          </w:p>
        </w:tc>
        <w:tc>
          <w:tcPr>
            <w:tcW w:w="1569" w:type="dxa"/>
            <w:tcBorders>
              <w:top w:val="nil"/>
              <w:left w:val="nil"/>
              <w:bottom w:val="single" w:sz="4" w:space="0" w:color="auto"/>
              <w:right w:val="single" w:sz="4" w:space="0" w:color="auto"/>
            </w:tcBorders>
          </w:tcPr>
          <w:p w14:paraId="3AD721CF" w14:textId="74012009" w:rsidR="004812BA" w:rsidRPr="00CE0AAB" w:rsidRDefault="004812BA" w:rsidP="006233FA">
            <w:pPr>
              <w:spacing w:after="0"/>
              <w:rPr>
                <w:sz w:val="20"/>
                <w:szCs w:val="20"/>
                <w:lang w:val="en-US"/>
              </w:rPr>
            </w:pPr>
            <w:r w:rsidRPr="15705D21">
              <w:rPr>
                <w:sz w:val="20"/>
                <w:szCs w:val="20"/>
                <w:lang w:val="en-US"/>
              </w:rPr>
              <w:t xml:space="preserve">Gabon </w:t>
            </w:r>
          </w:p>
        </w:tc>
        <w:tc>
          <w:tcPr>
            <w:tcW w:w="459" w:type="dxa"/>
            <w:tcBorders>
              <w:top w:val="nil"/>
              <w:left w:val="nil"/>
              <w:bottom w:val="single" w:sz="4" w:space="0" w:color="auto"/>
              <w:right w:val="single" w:sz="4" w:space="0" w:color="auto"/>
            </w:tcBorders>
            <w:shd w:val="clear" w:color="auto" w:fill="B7DEE8"/>
          </w:tcPr>
          <w:p w14:paraId="6A38D691" w14:textId="77777777" w:rsidR="004812BA" w:rsidRPr="00E105BF" w:rsidRDefault="004812BA" w:rsidP="006233FA">
            <w:pPr>
              <w:spacing w:after="0"/>
              <w:rPr>
                <w:color w:val="000000"/>
                <w:sz w:val="20"/>
                <w:szCs w:val="20"/>
                <w:lang w:val="en-US"/>
              </w:rPr>
            </w:pPr>
            <w:r w:rsidRPr="6EB47483">
              <w:rPr>
                <w:sz w:val="20"/>
                <w:szCs w:val="20"/>
                <w:lang w:val="en-US"/>
              </w:rPr>
              <w:t>59</w:t>
            </w:r>
          </w:p>
        </w:tc>
        <w:tc>
          <w:tcPr>
            <w:tcW w:w="1918" w:type="dxa"/>
            <w:tcBorders>
              <w:top w:val="nil"/>
              <w:left w:val="nil"/>
              <w:bottom w:val="single" w:sz="4" w:space="0" w:color="auto"/>
              <w:right w:val="single" w:sz="4" w:space="0" w:color="auto"/>
            </w:tcBorders>
          </w:tcPr>
          <w:p w14:paraId="218C66BF" w14:textId="77777777" w:rsidR="004812BA" w:rsidRPr="00E105BF" w:rsidRDefault="004812BA" w:rsidP="006233FA">
            <w:pPr>
              <w:spacing w:after="0"/>
              <w:rPr>
                <w:sz w:val="20"/>
                <w:szCs w:val="20"/>
                <w:lang w:val="en-US"/>
              </w:rPr>
            </w:pPr>
            <w:r w:rsidRPr="6EB47483">
              <w:rPr>
                <w:sz w:val="20"/>
                <w:szCs w:val="20"/>
                <w:lang w:val="en-US"/>
              </w:rPr>
              <w:t>Mozambique</w:t>
            </w:r>
          </w:p>
          <w:p w14:paraId="224E80B6" w14:textId="77777777" w:rsidR="004812BA" w:rsidRPr="00E105BF" w:rsidRDefault="004812BA" w:rsidP="006233FA">
            <w:pPr>
              <w:spacing w:after="0"/>
              <w:rPr>
                <w:color w:val="000000"/>
                <w:sz w:val="20"/>
                <w:szCs w:val="20"/>
                <w:lang w:val="en-US"/>
              </w:rPr>
            </w:pPr>
          </w:p>
        </w:tc>
        <w:tc>
          <w:tcPr>
            <w:tcW w:w="472" w:type="dxa"/>
            <w:tcBorders>
              <w:top w:val="nil"/>
              <w:left w:val="nil"/>
              <w:bottom w:val="single" w:sz="4" w:space="0" w:color="auto"/>
              <w:right w:val="single" w:sz="4" w:space="0" w:color="auto"/>
            </w:tcBorders>
            <w:shd w:val="clear" w:color="auto" w:fill="B7DEE8"/>
          </w:tcPr>
          <w:p w14:paraId="38AC78FF" w14:textId="77777777" w:rsidR="004812BA" w:rsidRPr="00E105BF" w:rsidRDefault="004812BA" w:rsidP="006233FA">
            <w:pPr>
              <w:spacing w:after="0"/>
              <w:rPr>
                <w:color w:val="auto"/>
                <w:sz w:val="20"/>
                <w:szCs w:val="20"/>
                <w:lang w:val="en-US"/>
              </w:rPr>
            </w:pPr>
            <w:r w:rsidRPr="2818B29D">
              <w:rPr>
                <w:color w:val="auto"/>
                <w:sz w:val="20"/>
                <w:szCs w:val="20"/>
                <w:lang w:val="en-US"/>
              </w:rPr>
              <w:t>83</w:t>
            </w:r>
          </w:p>
        </w:tc>
        <w:tc>
          <w:tcPr>
            <w:tcW w:w="2005" w:type="dxa"/>
            <w:tcBorders>
              <w:top w:val="nil"/>
              <w:left w:val="nil"/>
              <w:bottom w:val="single" w:sz="4" w:space="0" w:color="auto"/>
              <w:right w:val="single" w:sz="4" w:space="0" w:color="auto"/>
            </w:tcBorders>
          </w:tcPr>
          <w:p w14:paraId="4BAA8EED" w14:textId="77777777" w:rsidR="004812BA" w:rsidRPr="00E105BF" w:rsidRDefault="004812BA" w:rsidP="006233FA">
            <w:pPr>
              <w:spacing w:after="0"/>
              <w:rPr>
                <w:color w:val="000000"/>
                <w:sz w:val="20"/>
                <w:szCs w:val="20"/>
                <w:highlight w:val="yellow"/>
                <w:lang w:val="en-US"/>
              </w:rPr>
            </w:pPr>
            <w:r w:rsidRPr="6EB47483">
              <w:rPr>
                <w:sz w:val="20"/>
                <w:szCs w:val="20"/>
                <w:lang w:val="en-US"/>
              </w:rPr>
              <w:t>Sri Lanka</w:t>
            </w:r>
          </w:p>
        </w:tc>
      </w:tr>
      <w:tr w:rsidR="004812BA" w:rsidRPr="00E105BF" w14:paraId="5F44DCEF"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6E6FD9F2" w14:textId="77777777" w:rsidR="004812BA" w:rsidRPr="00E105BF" w:rsidRDefault="004812BA" w:rsidP="006233FA">
            <w:pPr>
              <w:spacing w:after="0"/>
              <w:rPr>
                <w:color w:val="000000"/>
                <w:sz w:val="20"/>
                <w:szCs w:val="20"/>
                <w:lang w:val="en-US"/>
              </w:rPr>
            </w:pPr>
            <w:r w:rsidRPr="6EB47483">
              <w:rPr>
                <w:sz w:val="20"/>
                <w:szCs w:val="20"/>
                <w:lang w:val="en-US"/>
              </w:rPr>
              <w:t>12</w:t>
            </w:r>
          </w:p>
        </w:tc>
        <w:tc>
          <w:tcPr>
            <w:tcW w:w="1868" w:type="dxa"/>
            <w:tcBorders>
              <w:top w:val="nil"/>
              <w:left w:val="nil"/>
              <w:bottom w:val="single" w:sz="4" w:space="0" w:color="auto"/>
              <w:right w:val="single" w:sz="4" w:space="0" w:color="auto"/>
            </w:tcBorders>
            <w:hideMark/>
          </w:tcPr>
          <w:p w14:paraId="540900D7" w14:textId="77777777" w:rsidR="004812BA" w:rsidRPr="00E105BF" w:rsidRDefault="004812BA" w:rsidP="006233FA">
            <w:pPr>
              <w:spacing w:after="0"/>
              <w:rPr>
                <w:color w:val="000000"/>
                <w:sz w:val="20"/>
                <w:szCs w:val="20"/>
                <w:lang w:val="en-US"/>
              </w:rPr>
            </w:pPr>
            <w:r w:rsidRPr="00E105BF">
              <w:rPr>
                <w:color w:val="000000"/>
                <w:sz w:val="20"/>
                <w:szCs w:val="20"/>
                <w:lang w:val="en-US"/>
              </w:rPr>
              <w:t>Botswana</w:t>
            </w:r>
          </w:p>
        </w:tc>
        <w:tc>
          <w:tcPr>
            <w:tcW w:w="457" w:type="dxa"/>
            <w:tcBorders>
              <w:top w:val="nil"/>
              <w:left w:val="nil"/>
              <w:bottom w:val="single" w:sz="4" w:space="0" w:color="auto"/>
              <w:right w:val="single" w:sz="4" w:space="0" w:color="auto"/>
            </w:tcBorders>
            <w:shd w:val="clear" w:color="auto" w:fill="B7DEE8"/>
          </w:tcPr>
          <w:p w14:paraId="78720F8B" w14:textId="77777777" w:rsidR="004812BA" w:rsidRPr="00E105BF" w:rsidRDefault="004812BA" w:rsidP="006233FA">
            <w:pPr>
              <w:spacing w:after="0"/>
              <w:rPr>
                <w:color w:val="000000"/>
                <w:sz w:val="20"/>
                <w:szCs w:val="20"/>
                <w:lang w:val="en-US"/>
              </w:rPr>
            </w:pPr>
            <w:r w:rsidRPr="6EB47483">
              <w:rPr>
                <w:sz w:val="20"/>
                <w:szCs w:val="20"/>
                <w:lang w:val="en-US"/>
              </w:rPr>
              <w:t>36</w:t>
            </w:r>
          </w:p>
        </w:tc>
        <w:tc>
          <w:tcPr>
            <w:tcW w:w="1569" w:type="dxa"/>
            <w:tcBorders>
              <w:top w:val="nil"/>
              <w:left w:val="nil"/>
              <w:bottom w:val="single" w:sz="4" w:space="0" w:color="auto"/>
              <w:right w:val="single" w:sz="4" w:space="0" w:color="auto"/>
            </w:tcBorders>
          </w:tcPr>
          <w:p w14:paraId="4ACB46B9" w14:textId="77777777" w:rsidR="004812BA" w:rsidRPr="27938C69" w:rsidRDefault="004812BA" w:rsidP="006233FA">
            <w:pPr>
              <w:spacing w:after="0"/>
              <w:rPr>
                <w:sz w:val="20"/>
                <w:szCs w:val="20"/>
                <w:lang w:val="en-US"/>
              </w:rPr>
            </w:pPr>
            <w:r w:rsidRPr="6EB47483">
              <w:rPr>
                <w:sz w:val="20"/>
                <w:szCs w:val="20"/>
                <w:lang w:val="en-US"/>
              </w:rPr>
              <w:t>Gambia</w:t>
            </w:r>
          </w:p>
        </w:tc>
        <w:tc>
          <w:tcPr>
            <w:tcW w:w="459" w:type="dxa"/>
            <w:tcBorders>
              <w:top w:val="nil"/>
              <w:left w:val="nil"/>
              <w:bottom w:val="single" w:sz="4" w:space="0" w:color="auto"/>
              <w:right w:val="single" w:sz="4" w:space="0" w:color="auto"/>
            </w:tcBorders>
            <w:shd w:val="clear" w:color="auto" w:fill="B7DEE8"/>
          </w:tcPr>
          <w:p w14:paraId="73651187" w14:textId="77777777" w:rsidR="004812BA" w:rsidRPr="00E105BF" w:rsidRDefault="004812BA" w:rsidP="006233FA">
            <w:pPr>
              <w:spacing w:after="0"/>
              <w:rPr>
                <w:color w:val="000000"/>
                <w:sz w:val="20"/>
                <w:szCs w:val="20"/>
                <w:lang w:val="en-US"/>
              </w:rPr>
            </w:pPr>
            <w:r w:rsidRPr="6EB47483">
              <w:rPr>
                <w:sz w:val="20"/>
                <w:szCs w:val="20"/>
                <w:lang w:val="en-US"/>
              </w:rPr>
              <w:t>60</w:t>
            </w:r>
          </w:p>
        </w:tc>
        <w:tc>
          <w:tcPr>
            <w:tcW w:w="1918" w:type="dxa"/>
            <w:tcBorders>
              <w:top w:val="nil"/>
              <w:left w:val="nil"/>
              <w:bottom w:val="single" w:sz="4" w:space="0" w:color="auto"/>
              <w:right w:val="single" w:sz="4" w:space="0" w:color="auto"/>
            </w:tcBorders>
          </w:tcPr>
          <w:p w14:paraId="075E5E95" w14:textId="77777777" w:rsidR="004812BA" w:rsidRPr="00E105BF" w:rsidRDefault="004812BA" w:rsidP="006233FA">
            <w:pPr>
              <w:spacing w:after="0"/>
              <w:rPr>
                <w:color w:val="000000"/>
                <w:sz w:val="20"/>
                <w:szCs w:val="20"/>
                <w:lang w:val="en-US"/>
              </w:rPr>
            </w:pPr>
            <w:r w:rsidRPr="6EB47483">
              <w:rPr>
                <w:sz w:val="20"/>
                <w:szCs w:val="20"/>
                <w:lang w:val="en-US"/>
              </w:rPr>
              <w:t>Myanmar</w:t>
            </w:r>
          </w:p>
        </w:tc>
        <w:tc>
          <w:tcPr>
            <w:tcW w:w="472" w:type="dxa"/>
            <w:tcBorders>
              <w:top w:val="nil"/>
              <w:left w:val="nil"/>
              <w:bottom w:val="single" w:sz="4" w:space="0" w:color="auto"/>
              <w:right w:val="single" w:sz="4" w:space="0" w:color="auto"/>
            </w:tcBorders>
            <w:shd w:val="clear" w:color="auto" w:fill="B7DEE8"/>
          </w:tcPr>
          <w:p w14:paraId="4A5F3B64" w14:textId="77777777" w:rsidR="004812BA" w:rsidRPr="00E105BF" w:rsidRDefault="004812BA" w:rsidP="006233FA">
            <w:pPr>
              <w:spacing w:after="0"/>
              <w:rPr>
                <w:color w:val="auto"/>
                <w:sz w:val="20"/>
                <w:szCs w:val="20"/>
                <w:lang w:val="en-US"/>
              </w:rPr>
            </w:pPr>
            <w:r w:rsidRPr="2818B29D">
              <w:rPr>
                <w:color w:val="auto"/>
                <w:sz w:val="20"/>
                <w:szCs w:val="20"/>
                <w:lang w:val="en-US"/>
              </w:rPr>
              <w:t>84</w:t>
            </w:r>
          </w:p>
        </w:tc>
        <w:tc>
          <w:tcPr>
            <w:tcW w:w="2005" w:type="dxa"/>
            <w:tcBorders>
              <w:top w:val="nil"/>
              <w:left w:val="nil"/>
              <w:bottom w:val="single" w:sz="4" w:space="0" w:color="auto"/>
              <w:right w:val="single" w:sz="4" w:space="0" w:color="auto"/>
            </w:tcBorders>
          </w:tcPr>
          <w:p w14:paraId="42764D2F" w14:textId="77777777" w:rsidR="004812BA" w:rsidRPr="00E105BF" w:rsidRDefault="004812BA" w:rsidP="006233FA">
            <w:pPr>
              <w:spacing w:after="0"/>
              <w:rPr>
                <w:sz w:val="20"/>
                <w:szCs w:val="20"/>
                <w:lang w:val="en-US"/>
              </w:rPr>
            </w:pPr>
            <w:r w:rsidRPr="6EB47483">
              <w:rPr>
                <w:sz w:val="20"/>
                <w:szCs w:val="20"/>
                <w:lang w:val="en-US"/>
              </w:rPr>
              <w:t>Suriname</w:t>
            </w:r>
          </w:p>
          <w:p w14:paraId="4F7BE674" w14:textId="77777777" w:rsidR="004812BA" w:rsidRPr="00E105BF" w:rsidRDefault="004812BA" w:rsidP="006233FA">
            <w:pPr>
              <w:spacing w:after="0"/>
              <w:rPr>
                <w:color w:val="000000"/>
                <w:sz w:val="20"/>
                <w:szCs w:val="20"/>
                <w:lang w:val="en-US"/>
              </w:rPr>
            </w:pPr>
          </w:p>
        </w:tc>
      </w:tr>
      <w:tr w:rsidR="004812BA" w:rsidRPr="00E105BF" w14:paraId="7C8CAB99"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6FDCB322" w14:textId="77777777" w:rsidR="004812BA" w:rsidRPr="00E105BF" w:rsidRDefault="004812BA" w:rsidP="006233FA">
            <w:pPr>
              <w:spacing w:after="0"/>
              <w:rPr>
                <w:color w:val="000000"/>
                <w:sz w:val="20"/>
                <w:szCs w:val="20"/>
                <w:lang w:val="en-US"/>
              </w:rPr>
            </w:pPr>
            <w:r w:rsidRPr="6EB47483">
              <w:rPr>
                <w:sz w:val="20"/>
                <w:szCs w:val="20"/>
                <w:lang w:val="en-US"/>
              </w:rPr>
              <w:t>13</w:t>
            </w:r>
          </w:p>
        </w:tc>
        <w:tc>
          <w:tcPr>
            <w:tcW w:w="1868" w:type="dxa"/>
            <w:tcBorders>
              <w:top w:val="nil"/>
              <w:left w:val="nil"/>
              <w:bottom w:val="single" w:sz="4" w:space="0" w:color="auto"/>
              <w:right w:val="single" w:sz="4" w:space="0" w:color="auto"/>
            </w:tcBorders>
            <w:hideMark/>
          </w:tcPr>
          <w:p w14:paraId="00D1184A" w14:textId="77777777" w:rsidR="004812BA" w:rsidRPr="00E105BF" w:rsidRDefault="004812BA" w:rsidP="006233FA">
            <w:pPr>
              <w:spacing w:after="0"/>
              <w:rPr>
                <w:color w:val="000000"/>
                <w:sz w:val="20"/>
                <w:szCs w:val="20"/>
                <w:lang w:val="en-US"/>
              </w:rPr>
            </w:pPr>
            <w:r w:rsidRPr="00E105BF">
              <w:rPr>
                <w:color w:val="000000"/>
                <w:sz w:val="20"/>
                <w:szCs w:val="20"/>
                <w:lang w:val="en-US"/>
              </w:rPr>
              <w:t>Brunei Darussalam</w:t>
            </w:r>
          </w:p>
        </w:tc>
        <w:tc>
          <w:tcPr>
            <w:tcW w:w="457" w:type="dxa"/>
            <w:tcBorders>
              <w:top w:val="nil"/>
              <w:left w:val="nil"/>
              <w:bottom w:val="single" w:sz="4" w:space="0" w:color="auto"/>
              <w:right w:val="single" w:sz="4" w:space="0" w:color="auto"/>
            </w:tcBorders>
            <w:shd w:val="clear" w:color="auto" w:fill="B7DEE8"/>
          </w:tcPr>
          <w:p w14:paraId="709D88F3" w14:textId="77777777" w:rsidR="004812BA" w:rsidRPr="00E105BF" w:rsidRDefault="004812BA" w:rsidP="006233FA">
            <w:pPr>
              <w:spacing w:after="0"/>
              <w:rPr>
                <w:color w:val="000000"/>
                <w:sz w:val="20"/>
                <w:szCs w:val="20"/>
                <w:lang w:val="en-US"/>
              </w:rPr>
            </w:pPr>
            <w:r w:rsidRPr="6EB47483">
              <w:rPr>
                <w:sz w:val="20"/>
                <w:szCs w:val="20"/>
                <w:lang w:val="en-US"/>
              </w:rPr>
              <w:t>37</w:t>
            </w:r>
          </w:p>
        </w:tc>
        <w:tc>
          <w:tcPr>
            <w:tcW w:w="1569" w:type="dxa"/>
            <w:tcBorders>
              <w:top w:val="nil"/>
              <w:left w:val="nil"/>
              <w:bottom w:val="single" w:sz="4" w:space="0" w:color="auto"/>
              <w:right w:val="single" w:sz="4" w:space="0" w:color="auto"/>
            </w:tcBorders>
          </w:tcPr>
          <w:p w14:paraId="669BC9B6" w14:textId="77777777" w:rsidR="004812BA" w:rsidRDefault="004812BA" w:rsidP="006233FA">
            <w:pPr>
              <w:spacing w:after="0"/>
              <w:rPr>
                <w:sz w:val="20"/>
                <w:szCs w:val="20"/>
                <w:lang w:val="en-US"/>
              </w:rPr>
            </w:pPr>
            <w:r w:rsidRPr="6EB47483">
              <w:rPr>
                <w:sz w:val="20"/>
                <w:szCs w:val="20"/>
                <w:lang w:val="en-US"/>
              </w:rPr>
              <w:t>Georgia</w:t>
            </w:r>
          </w:p>
        </w:tc>
        <w:tc>
          <w:tcPr>
            <w:tcW w:w="459" w:type="dxa"/>
            <w:tcBorders>
              <w:top w:val="nil"/>
              <w:left w:val="nil"/>
              <w:bottom w:val="single" w:sz="4" w:space="0" w:color="auto"/>
              <w:right w:val="single" w:sz="4" w:space="0" w:color="auto"/>
            </w:tcBorders>
            <w:shd w:val="clear" w:color="auto" w:fill="B7DEE8"/>
          </w:tcPr>
          <w:p w14:paraId="01964508" w14:textId="77777777" w:rsidR="004812BA" w:rsidRPr="00E105BF" w:rsidRDefault="004812BA" w:rsidP="006233FA">
            <w:pPr>
              <w:spacing w:after="0"/>
              <w:rPr>
                <w:color w:val="000000"/>
                <w:sz w:val="20"/>
                <w:szCs w:val="20"/>
                <w:lang w:val="en-US"/>
              </w:rPr>
            </w:pPr>
            <w:r w:rsidRPr="6EB47483">
              <w:rPr>
                <w:sz w:val="20"/>
                <w:szCs w:val="20"/>
                <w:lang w:val="en-US"/>
              </w:rPr>
              <w:t>61</w:t>
            </w:r>
          </w:p>
        </w:tc>
        <w:tc>
          <w:tcPr>
            <w:tcW w:w="1918" w:type="dxa"/>
            <w:tcBorders>
              <w:top w:val="nil"/>
              <w:left w:val="nil"/>
              <w:bottom w:val="single" w:sz="4" w:space="0" w:color="auto"/>
              <w:right w:val="single" w:sz="4" w:space="0" w:color="auto"/>
            </w:tcBorders>
          </w:tcPr>
          <w:p w14:paraId="7CE2E552" w14:textId="77777777" w:rsidR="004812BA" w:rsidRPr="00E105BF" w:rsidRDefault="004812BA" w:rsidP="006233FA">
            <w:pPr>
              <w:spacing w:after="0"/>
              <w:rPr>
                <w:color w:val="000000"/>
                <w:sz w:val="20"/>
                <w:szCs w:val="20"/>
                <w:lang w:val="en-US"/>
              </w:rPr>
            </w:pPr>
            <w:r w:rsidRPr="6EB47483">
              <w:rPr>
                <w:sz w:val="20"/>
                <w:szCs w:val="20"/>
                <w:lang w:val="en-US"/>
              </w:rPr>
              <w:t>Namibia</w:t>
            </w:r>
          </w:p>
        </w:tc>
        <w:tc>
          <w:tcPr>
            <w:tcW w:w="472" w:type="dxa"/>
            <w:tcBorders>
              <w:top w:val="nil"/>
              <w:left w:val="nil"/>
              <w:bottom w:val="single" w:sz="4" w:space="0" w:color="auto"/>
              <w:right w:val="single" w:sz="4" w:space="0" w:color="auto"/>
            </w:tcBorders>
            <w:shd w:val="clear" w:color="auto" w:fill="B7DEE8"/>
          </w:tcPr>
          <w:p w14:paraId="27847B72" w14:textId="77777777" w:rsidR="004812BA" w:rsidRPr="00E105BF" w:rsidRDefault="004812BA" w:rsidP="006233FA">
            <w:pPr>
              <w:spacing w:after="0"/>
              <w:rPr>
                <w:color w:val="auto"/>
                <w:sz w:val="20"/>
                <w:szCs w:val="20"/>
                <w:lang w:val="en-US"/>
              </w:rPr>
            </w:pPr>
            <w:r w:rsidRPr="2818B29D">
              <w:rPr>
                <w:color w:val="auto"/>
                <w:sz w:val="20"/>
                <w:szCs w:val="20"/>
                <w:lang w:val="en-US"/>
              </w:rPr>
              <w:t>85</w:t>
            </w:r>
          </w:p>
        </w:tc>
        <w:tc>
          <w:tcPr>
            <w:tcW w:w="2005" w:type="dxa"/>
            <w:tcBorders>
              <w:top w:val="nil"/>
              <w:left w:val="nil"/>
              <w:bottom w:val="single" w:sz="4" w:space="0" w:color="auto"/>
              <w:right w:val="single" w:sz="4" w:space="0" w:color="auto"/>
            </w:tcBorders>
          </w:tcPr>
          <w:p w14:paraId="20807EC9" w14:textId="77777777" w:rsidR="004812BA" w:rsidRPr="00E105BF" w:rsidRDefault="004812BA" w:rsidP="006233FA">
            <w:pPr>
              <w:spacing w:after="0"/>
              <w:rPr>
                <w:color w:val="000000"/>
                <w:sz w:val="20"/>
                <w:szCs w:val="20"/>
                <w:lang w:val="en-US"/>
              </w:rPr>
            </w:pPr>
            <w:r w:rsidRPr="6EB47483">
              <w:rPr>
                <w:sz w:val="20"/>
                <w:szCs w:val="20"/>
                <w:lang w:val="en-US"/>
              </w:rPr>
              <w:t>Timor-Leste</w:t>
            </w:r>
          </w:p>
        </w:tc>
      </w:tr>
      <w:tr w:rsidR="004812BA" w:rsidRPr="00E105BF" w14:paraId="1E4BF6BC"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3BA010D5" w14:textId="77777777" w:rsidR="004812BA" w:rsidRPr="00CE0AAB" w:rsidRDefault="004812BA" w:rsidP="006233FA">
            <w:pPr>
              <w:spacing w:after="0"/>
              <w:rPr>
                <w:color w:val="000000"/>
                <w:sz w:val="20"/>
                <w:szCs w:val="20"/>
                <w:lang w:val="en-US"/>
              </w:rPr>
            </w:pPr>
            <w:r w:rsidRPr="00CE0AAB">
              <w:rPr>
                <w:sz w:val="20"/>
                <w:szCs w:val="20"/>
                <w:lang w:val="en-US"/>
              </w:rPr>
              <w:t>14</w:t>
            </w:r>
          </w:p>
        </w:tc>
        <w:tc>
          <w:tcPr>
            <w:tcW w:w="1868" w:type="dxa"/>
            <w:tcBorders>
              <w:top w:val="nil"/>
              <w:left w:val="nil"/>
              <w:bottom w:val="single" w:sz="4" w:space="0" w:color="auto"/>
              <w:right w:val="single" w:sz="4" w:space="0" w:color="auto"/>
            </w:tcBorders>
            <w:hideMark/>
          </w:tcPr>
          <w:p w14:paraId="06B285C9" w14:textId="475B5930" w:rsidR="004812BA" w:rsidRPr="00E105BF" w:rsidRDefault="004812BA" w:rsidP="006233FA">
            <w:pPr>
              <w:spacing w:after="0"/>
              <w:rPr>
                <w:sz w:val="20"/>
                <w:szCs w:val="20"/>
                <w:lang w:val="en-US"/>
              </w:rPr>
            </w:pPr>
            <w:r w:rsidRPr="0B8B7AC9">
              <w:rPr>
                <w:sz w:val="20"/>
                <w:szCs w:val="20"/>
                <w:lang w:val="en-US"/>
              </w:rPr>
              <w:t xml:space="preserve">Burkina Faso </w:t>
            </w:r>
          </w:p>
        </w:tc>
        <w:tc>
          <w:tcPr>
            <w:tcW w:w="457" w:type="dxa"/>
            <w:tcBorders>
              <w:top w:val="nil"/>
              <w:left w:val="nil"/>
              <w:bottom w:val="single" w:sz="4" w:space="0" w:color="auto"/>
              <w:right w:val="single" w:sz="4" w:space="0" w:color="auto"/>
            </w:tcBorders>
            <w:shd w:val="clear" w:color="auto" w:fill="B7DEE8"/>
          </w:tcPr>
          <w:p w14:paraId="09C331A9" w14:textId="77777777" w:rsidR="004812BA" w:rsidRPr="00E105BF" w:rsidRDefault="004812BA" w:rsidP="006233FA">
            <w:pPr>
              <w:spacing w:after="0"/>
              <w:rPr>
                <w:color w:val="000000"/>
                <w:sz w:val="20"/>
                <w:szCs w:val="20"/>
                <w:lang w:val="en-US"/>
              </w:rPr>
            </w:pPr>
            <w:r w:rsidRPr="6EB47483">
              <w:rPr>
                <w:sz w:val="20"/>
                <w:szCs w:val="20"/>
                <w:lang w:val="en-US"/>
              </w:rPr>
              <w:t>38</w:t>
            </w:r>
          </w:p>
        </w:tc>
        <w:tc>
          <w:tcPr>
            <w:tcW w:w="1569" w:type="dxa"/>
            <w:tcBorders>
              <w:top w:val="nil"/>
              <w:left w:val="nil"/>
              <w:bottom w:val="single" w:sz="4" w:space="0" w:color="auto"/>
              <w:right w:val="single" w:sz="4" w:space="0" w:color="auto"/>
            </w:tcBorders>
          </w:tcPr>
          <w:p w14:paraId="2054D85E" w14:textId="77777777" w:rsidR="004812BA" w:rsidRPr="00E105BF" w:rsidRDefault="004812BA" w:rsidP="006233FA">
            <w:pPr>
              <w:spacing w:after="0"/>
              <w:rPr>
                <w:color w:val="000000"/>
                <w:sz w:val="20"/>
                <w:szCs w:val="20"/>
                <w:lang w:val="en-US"/>
              </w:rPr>
            </w:pPr>
            <w:r w:rsidRPr="6EB47483">
              <w:rPr>
                <w:sz w:val="20"/>
                <w:szCs w:val="20"/>
                <w:lang w:val="en-US"/>
              </w:rPr>
              <w:t>Grenada</w:t>
            </w:r>
          </w:p>
        </w:tc>
        <w:tc>
          <w:tcPr>
            <w:tcW w:w="459" w:type="dxa"/>
            <w:tcBorders>
              <w:top w:val="nil"/>
              <w:left w:val="nil"/>
              <w:bottom w:val="single" w:sz="4" w:space="0" w:color="auto"/>
              <w:right w:val="single" w:sz="4" w:space="0" w:color="auto"/>
            </w:tcBorders>
            <w:shd w:val="clear" w:color="auto" w:fill="B7DEE8"/>
          </w:tcPr>
          <w:p w14:paraId="71FD5BEC" w14:textId="77777777" w:rsidR="004812BA" w:rsidRPr="00E105BF" w:rsidRDefault="004812BA" w:rsidP="006233FA">
            <w:pPr>
              <w:spacing w:after="0"/>
              <w:rPr>
                <w:color w:val="000000"/>
                <w:sz w:val="20"/>
                <w:szCs w:val="20"/>
                <w:lang w:val="en-US"/>
              </w:rPr>
            </w:pPr>
            <w:r w:rsidRPr="6EB47483">
              <w:rPr>
                <w:sz w:val="20"/>
                <w:szCs w:val="20"/>
                <w:lang w:val="en-US"/>
              </w:rPr>
              <w:t>62</w:t>
            </w:r>
          </w:p>
        </w:tc>
        <w:tc>
          <w:tcPr>
            <w:tcW w:w="1918" w:type="dxa"/>
            <w:tcBorders>
              <w:top w:val="nil"/>
              <w:left w:val="nil"/>
              <w:bottom w:val="single" w:sz="4" w:space="0" w:color="auto"/>
              <w:right w:val="single" w:sz="4" w:space="0" w:color="auto"/>
            </w:tcBorders>
          </w:tcPr>
          <w:p w14:paraId="1FBC5B68" w14:textId="77777777" w:rsidR="004812BA" w:rsidRPr="00E105BF" w:rsidRDefault="004812BA" w:rsidP="006233FA">
            <w:pPr>
              <w:spacing w:after="0"/>
              <w:rPr>
                <w:sz w:val="20"/>
                <w:szCs w:val="20"/>
                <w:lang w:val="en-US"/>
              </w:rPr>
            </w:pPr>
            <w:r w:rsidRPr="6EB47483">
              <w:rPr>
                <w:sz w:val="20"/>
                <w:szCs w:val="20"/>
                <w:lang w:val="en-US"/>
              </w:rPr>
              <w:t>Nauru</w:t>
            </w:r>
          </w:p>
        </w:tc>
        <w:tc>
          <w:tcPr>
            <w:tcW w:w="472" w:type="dxa"/>
            <w:tcBorders>
              <w:top w:val="nil"/>
              <w:left w:val="nil"/>
              <w:bottom w:val="single" w:sz="4" w:space="0" w:color="auto"/>
              <w:right w:val="single" w:sz="4" w:space="0" w:color="auto"/>
            </w:tcBorders>
            <w:shd w:val="clear" w:color="auto" w:fill="B7DEE8"/>
          </w:tcPr>
          <w:p w14:paraId="180B6333" w14:textId="77777777" w:rsidR="004812BA" w:rsidRPr="00E105BF" w:rsidRDefault="004812BA" w:rsidP="006233FA">
            <w:pPr>
              <w:spacing w:after="0"/>
              <w:rPr>
                <w:color w:val="auto"/>
                <w:sz w:val="20"/>
                <w:szCs w:val="20"/>
                <w:lang w:val="en-US"/>
              </w:rPr>
            </w:pPr>
            <w:r w:rsidRPr="2818B29D">
              <w:rPr>
                <w:color w:val="auto"/>
                <w:sz w:val="20"/>
                <w:szCs w:val="20"/>
                <w:lang w:val="en-US"/>
              </w:rPr>
              <w:t>86</w:t>
            </w:r>
          </w:p>
        </w:tc>
        <w:tc>
          <w:tcPr>
            <w:tcW w:w="2005" w:type="dxa"/>
            <w:tcBorders>
              <w:top w:val="nil"/>
              <w:left w:val="nil"/>
              <w:bottom w:val="single" w:sz="4" w:space="0" w:color="auto"/>
              <w:right w:val="single" w:sz="4" w:space="0" w:color="auto"/>
            </w:tcBorders>
          </w:tcPr>
          <w:p w14:paraId="07E95AC5" w14:textId="6DE7DDAB" w:rsidR="004812BA" w:rsidRPr="00E105BF" w:rsidRDefault="004812BA" w:rsidP="006233FA">
            <w:pPr>
              <w:spacing w:after="0"/>
              <w:rPr>
                <w:sz w:val="20"/>
                <w:szCs w:val="20"/>
                <w:lang w:val="en-US"/>
              </w:rPr>
            </w:pPr>
            <w:r w:rsidRPr="15705D21">
              <w:rPr>
                <w:sz w:val="20"/>
                <w:szCs w:val="20"/>
                <w:lang w:val="en-US"/>
              </w:rPr>
              <w:t xml:space="preserve">Togo </w:t>
            </w:r>
          </w:p>
        </w:tc>
      </w:tr>
      <w:tr w:rsidR="004812BA" w:rsidRPr="00E105BF" w14:paraId="42091295"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6345427E" w14:textId="77777777" w:rsidR="004812BA" w:rsidRPr="00E105BF" w:rsidRDefault="004812BA" w:rsidP="006233FA">
            <w:pPr>
              <w:spacing w:after="0"/>
              <w:rPr>
                <w:color w:val="000000"/>
                <w:sz w:val="20"/>
                <w:szCs w:val="20"/>
                <w:lang w:val="en-US"/>
              </w:rPr>
            </w:pPr>
            <w:r w:rsidRPr="6EB47483">
              <w:rPr>
                <w:sz w:val="20"/>
                <w:szCs w:val="20"/>
                <w:lang w:val="en-US"/>
              </w:rPr>
              <w:t>15</w:t>
            </w:r>
          </w:p>
        </w:tc>
        <w:tc>
          <w:tcPr>
            <w:tcW w:w="1868" w:type="dxa"/>
            <w:tcBorders>
              <w:top w:val="nil"/>
              <w:left w:val="nil"/>
              <w:bottom w:val="single" w:sz="4" w:space="0" w:color="auto"/>
              <w:right w:val="single" w:sz="4" w:space="0" w:color="auto"/>
            </w:tcBorders>
            <w:hideMark/>
          </w:tcPr>
          <w:p w14:paraId="7314BE74" w14:textId="77777777" w:rsidR="004812BA" w:rsidRPr="00E105BF" w:rsidRDefault="004812BA" w:rsidP="006233FA">
            <w:pPr>
              <w:spacing w:after="0"/>
              <w:rPr>
                <w:color w:val="000000"/>
                <w:sz w:val="20"/>
                <w:szCs w:val="20"/>
                <w:lang w:val="en-US"/>
              </w:rPr>
            </w:pPr>
            <w:r w:rsidRPr="00E105BF">
              <w:rPr>
                <w:color w:val="000000"/>
                <w:sz w:val="20"/>
                <w:szCs w:val="20"/>
                <w:lang w:val="en-US"/>
              </w:rPr>
              <w:t>Burundi</w:t>
            </w:r>
          </w:p>
        </w:tc>
        <w:tc>
          <w:tcPr>
            <w:tcW w:w="457" w:type="dxa"/>
            <w:tcBorders>
              <w:top w:val="nil"/>
              <w:left w:val="nil"/>
              <w:bottom w:val="single" w:sz="4" w:space="0" w:color="auto"/>
              <w:right w:val="single" w:sz="4" w:space="0" w:color="auto"/>
            </w:tcBorders>
            <w:shd w:val="clear" w:color="auto" w:fill="B7DEE8"/>
          </w:tcPr>
          <w:p w14:paraId="7DDB4A71" w14:textId="77777777" w:rsidR="004812BA" w:rsidRPr="00E105BF" w:rsidRDefault="004812BA" w:rsidP="006233FA">
            <w:pPr>
              <w:spacing w:after="0"/>
              <w:rPr>
                <w:color w:val="000000"/>
                <w:sz w:val="20"/>
                <w:szCs w:val="20"/>
                <w:lang w:val="en-US"/>
              </w:rPr>
            </w:pPr>
            <w:r w:rsidRPr="6EB47483">
              <w:rPr>
                <w:sz w:val="20"/>
                <w:szCs w:val="20"/>
                <w:lang w:val="en-US"/>
              </w:rPr>
              <w:t>39</w:t>
            </w:r>
          </w:p>
        </w:tc>
        <w:tc>
          <w:tcPr>
            <w:tcW w:w="1569" w:type="dxa"/>
            <w:tcBorders>
              <w:top w:val="nil"/>
              <w:left w:val="nil"/>
              <w:bottom w:val="single" w:sz="4" w:space="0" w:color="auto"/>
              <w:right w:val="single" w:sz="4" w:space="0" w:color="auto"/>
            </w:tcBorders>
          </w:tcPr>
          <w:p w14:paraId="60C3DD3D" w14:textId="77777777" w:rsidR="004812BA" w:rsidRPr="00E105BF" w:rsidRDefault="004812BA" w:rsidP="006233FA">
            <w:pPr>
              <w:spacing w:after="0"/>
              <w:rPr>
                <w:color w:val="000000"/>
                <w:sz w:val="20"/>
                <w:szCs w:val="20"/>
                <w:lang w:val="en-US"/>
              </w:rPr>
            </w:pPr>
            <w:r w:rsidRPr="6EB47483">
              <w:rPr>
                <w:sz w:val="20"/>
                <w:szCs w:val="20"/>
                <w:lang w:val="en-US"/>
              </w:rPr>
              <w:t>Guatemala</w:t>
            </w:r>
          </w:p>
        </w:tc>
        <w:tc>
          <w:tcPr>
            <w:tcW w:w="459" w:type="dxa"/>
            <w:tcBorders>
              <w:top w:val="nil"/>
              <w:left w:val="nil"/>
              <w:bottom w:val="single" w:sz="4" w:space="0" w:color="auto"/>
              <w:right w:val="single" w:sz="4" w:space="0" w:color="auto"/>
            </w:tcBorders>
            <w:shd w:val="clear" w:color="auto" w:fill="B7DEE8"/>
          </w:tcPr>
          <w:p w14:paraId="550B67AB" w14:textId="77777777" w:rsidR="004812BA" w:rsidRPr="00E105BF" w:rsidRDefault="004812BA" w:rsidP="006233FA">
            <w:pPr>
              <w:spacing w:after="0"/>
              <w:rPr>
                <w:color w:val="000000"/>
                <w:sz w:val="20"/>
                <w:szCs w:val="20"/>
                <w:lang w:val="en-US"/>
              </w:rPr>
            </w:pPr>
            <w:r w:rsidRPr="6EB47483">
              <w:rPr>
                <w:sz w:val="20"/>
                <w:szCs w:val="20"/>
                <w:lang w:val="en-US"/>
              </w:rPr>
              <w:t>63</w:t>
            </w:r>
          </w:p>
        </w:tc>
        <w:tc>
          <w:tcPr>
            <w:tcW w:w="1918" w:type="dxa"/>
            <w:tcBorders>
              <w:top w:val="nil"/>
              <w:left w:val="nil"/>
              <w:bottom w:val="single" w:sz="4" w:space="0" w:color="auto"/>
              <w:right w:val="single" w:sz="4" w:space="0" w:color="auto"/>
            </w:tcBorders>
          </w:tcPr>
          <w:p w14:paraId="3194E449" w14:textId="77777777" w:rsidR="004812BA" w:rsidRPr="00E105BF" w:rsidRDefault="004812BA" w:rsidP="006233FA">
            <w:pPr>
              <w:spacing w:after="0"/>
              <w:rPr>
                <w:color w:val="000000"/>
                <w:sz w:val="20"/>
                <w:szCs w:val="20"/>
                <w:lang w:val="en-US"/>
              </w:rPr>
            </w:pPr>
            <w:r w:rsidRPr="6EB47483">
              <w:rPr>
                <w:sz w:val="20"/>
                <w:szCs w:val="20"/>
                <w:lang w:val="en-US"/>
              </w:rPr>
              <w:t xml:space="preserve">Nepal </w:t>
            </w:r>
          </w:p>
        </w:tc>
        <w:tc>
          <w:tcPr>
            <w:tcW w:w="472" w:type="dxa"/>
            <w:tcBorders>
              <w:top w:val="nil"/>
              <w:left w:val="nil"/>
              <w:bottom w:val="single" w:sz="4" w:space="0" w:color="auto"/>
              <w:right w:val="single" w:sz="4" w:space="0" w:color="auto"/>
            </w:tcBorders>
            <w:shd w:val="clear" w:color="auto" w:fill="B7DEE8"/>
          </w:tcPr>
          <w:p w14:paraId="3806A434" w14:textId="77777777" w:rsidR="004812BA" w:rsidRPr="00E105BF" w:rsidRDefault="004812BA" w:rsidP="006233FA">
            <w:pPr>
              <w:spacing w:after="0"/>
              <w:rPr>
                <w:color w:val="auto"/>
                <w:sz w:val="20"/>
                <w:szCs w:val="20"/>
                <w:lang w:val="en-US"/>
              </w:rPr>
            </w:pPr>
            <w:r w:rsidRPr="2818B29D">
              <w:rPr>
                <w:color w:val="auto"/>
                <w:sz w:val="20"/>
                <w:szCs w:val="20"/>
                <w:lang w:val="en-US"/>
              </w:rPr>
              <w:t>87</w:t>
            </w:r>
          </w:p>
        </w:tc>
        <w:tc>
          <w:tcPr>
            <w:tcW w:w="2005" w:type="dxa"/>
            <w:tcBorders>
              <w:top w:val="nil"/>
              <w:left w:val="nil"/>
              <w:bottom w:val="single" w:sz="4" w:space="0" w:color="auto"/>
              <w:right w:val="single" w:sz="4" w:space="0" w:color="auto"/>
            </w:tcBorders>
          </w:tcPr>
          <w:p w14:paraId="71D63701" w14:textId="77777777" w:rsidR="004812BA" w:rsidRPr="00E105BF" w:rsidRDefault="004812BA" w:rsidP="006233FA">
            <w:pPr>
              <w:spacing w:after="0"/>
              <w:rPr>
                <w:color w:val="000000"/>
                <w:sz w:val="20"/>
                <w:szCs w:val="20"/>
                <w:lang w:val="en-US"/>
              </w:rPr>
            </w:pPr>
            <w:r w:rsidRPr="6EB47483">
              <w:rPr>
                <w:sz w:val="20"/>
                <w:szCs w:val="20"/>
                <w:lang w:val="en-US"/>
              </w:rPr>
              <w:t>Tonga</w:t>
            </w:r>
          </w:p>
        </w:tc>
      </w:tr>
      <w:tr w:rsidR="004812BA" w:rsidRPr="00E105BF" w14:paraId="4A4B77A7"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711AA349" w14:textId="77777777" w:rsidR="004812BA" w:rsidRPr="00E105BF" w:rsidRDefault="004812BA" w:rsidP="006233FA">
            <w:pPr>
              <w:spacing w:after="0"/>
              <w:rPr>
                <w:color w:val="000000"/>
                <w:sz w:val="20"/>
                <w:szCs w:val="20"/>
                <w:lang w:val="en-US"/>
              </w:rPr>
            </w:pPr>
            <w:r w:rsidRPr="6EB47483">
              <w:rPr>
                <w:sz w:val="20"/>
                <w:szCs w:val="20"/>
                <w:lang w:val="en-US"/>
              </w:rPr>
              <w:t>16</w:t>
            </w:r>
          </w:p>
        </w:tc>
        <w:tc>
          <w:tcPr>
            <w:tcW w:w="1868" w:type="dxa"/>
            <w:tcBorders>
              <w:top w:val="nil"/>
              <w:left w:val="nil"/>
              <w:bottom w:val="single" w:sz="4" w:space="0" w:color="auto"/>
              <w:right w:val="single" w:sz="4" w:space="0" w:color="auto"/>
            </w:tcBorders>
            <w:hideMark/>
          </w:tcPr>
          <w:p w14:paraId="25F71A76" w14:textId="77777777" w:rsidR="004812BA" w:rsidRPr="00E105BF" w:rsidRDefault="004812BA" w:rsidP="006233FA">
            <w:pPr>
              <w:spacing w:after="0"/>
              <w:rPr>
                <w:color w:val="000000"/>
                <w:sz w:val="20"/>
                <w:szCs w:val="20"/>
                <w:lang w:val="en-US"/>
              </w:rPr>
            </w:pPr>
            <w:r w:rsidRPr="00E105BF">
              <w:rPr>
                <w:color w:val="000000"/>
                <w:sz w:val="20"/>
                <w:szCs w:val="20"/>
                <w:lang w:val="en-US"/>
              </w:rPr>
              <w:t>Cambodia</w:t>
            </w:r>
          </w:p>
        </w:tc>
        <w:tc>
          <w:tcPr>
            <w:tcW w:w="457" w:type="dxa"/>
            <w:tcBorders>
              <w:top w:val="nil"/>
              <w:left w:val="nil"/>
              <w:bottom w:val="single" w:sz="4" w:space="0" w:color="auto"/>
              <w:right w:val="single" w:sz="4" w:space="0" w:color="auto"/>
            </w:tcBorders>
            <w:shd w:val="clear" w:color="auto" w:fill="B7DEE8"/>
          </w:tcPr>
          <w:p w14:paraId="13BEECEC" w14:textId="77777777" w:rsidR="004812BA" w:rsidRPr="00E105BF" w:rsidRDefault="004812BA" w:rsidP="006233FA">
            <w:pPr>
              <w:spacing w:after="0"/>
              <w:rPr>
                <w:color w:val="000000"/>
                <w:sz w:val="20"/>
                <w:szCs w:val="20"/>
                <w:lang w:val="en-US"/>
              </w:rPr>
            </w:pPr>
            <w:r w:rsidRPr="6EB47483">
              <w:rPr>
                <w:sz w:val="20"/>
                <w:szCs w:val="20"/>
                <w:lang w:val="en-US"/>
              </w:rPr>
              <w:t>40</w:t>
            </w:r>
          </w:p>
        </w:tc>
        <w:tc>
          <w:tcPr>
            <w:tcW w:w="1569" w:type="dxa"/>
            <w:tcBorders>
              <w:top w:val="nil"/>
              <w:left w:val="nil"/>
              <w:bottom w:val="single" w:sz="4" w:space="0" w:color="auto"/>
              <w:right w:val="single" w:sz="4" w:space="0" w:color="auto"/>
            </w:tcBorders>
          </w:tcPr>
          <w:p w14:paraId="1E93DB39" w14:textId="77777777" w:rsidR="004812BA" w:rsidRPr="00E105BF" w:rsidRDefault="004812BA" w:rsidP="006233FA">
            <w:pPr>
              <w:spacing w:after="0"/>
              <w:rPr>
                <w:color w:val="000000"/>
                <w:sz w:val="20"/>
                <w:szCs w:val="20"/>
                <w:lang w:val="en-US"/>
              </w:rPr>
            </w:pPr>
            <w:r w:rsidRPr="6EB47483">
              <w:rPr>
                <w:sz w:val="20"/>
                <w:szCs w:val="20"/>
                <w:lang w:val="en-US"/>
              </w:rPr>
              <w:t>Guinea Bissau</w:t>
            </w:r>
          </w:p>
        </w:tc>
        <w:tc>
          <w:tcPr>
            <w:tcW w:w="459" w:type="dxa"/>
            <w:tcBorders>
              <w:top w:val="nil"/>
              <w:left w:val="nil"/>
              <w:bottom w:val="single" w:sz="4" w:space="0" w:color="auto"/>
              <w:right w:val="single" w:sz="4" w:space="0" w:color="auto"/>
            </w:tcBorders>
            <w:shd w:val="clear" w:color="auto" w:fill="B7DEE8"/>
          </w:tcPr>
          <w:p w14:paraId="294DEA1B" w14:textId="77777777" w:rsidR="004812BA" w:rsidRPr="00E105BF" w:rsidRDefault="004812BA" w:rsidP="006233FA">
            <w:pPr>
              <w:spacing w:after="0"/>
              <w:rPr>
                <w:color w:val="000000"/>
                <w:sz w:val="20"/>
                <w:szCs w:val="20"/>
                <w:lang w:val="en-US"/>
              </w:rPr>
            </w:pPr>
            <w:r w:rsidRPr="6EB47483">
              <w:rPr>
                <w:sz w:val="20"/>
                <w:szCs w:val="20"/>
                <w:lang w:val="en-US"/>
              </w:rPr>
              <w:t>64</w:t>
            </w:r>
          </w:p>
        </w:tc>
        <w:tc>
          <w:tcPr>
            <w:tcW w:w="1918" w:type="dxa"/>
            <w:tcBorders>
              <w:top w:val="nil"/>
              <w:left w:val="nil"/>
              <w:bottom w:val="single" w:sz="4" w:space="0" w:color="auto"/>
              <w:right w:val="single" w:sz="4" w:space="0" w:color="auto"/>
            </w:tcBorders>
          </w:tcPr>
          <w:p w14:paraId="2D1AE3D4" w14:textId="77777777" w:rsidR="004812BA" w:rsidRPr="00E105BF" w:rsidRDefault="004812BA" w:rsidP="006233FA">
            <w:pPr>
              <w:spacing w:after="0"/>
              <w:rPr>
                <w:sz w:val="20"/>
                <w:szCs w:val="20"/>
                <w:lang w:val="en-US"/>
              </w:rPr>
            </w:pPr>
            <w:r w:rsidRPr="6EB47483">
              <w:rPr>
                <w:sz w:val="20"/>
                <w:szCs w:val="20"/>
                <w:lang w:val="en-US"/>
              </w:rPr>
              <w:t>Nicaragua</w:t>
            </w:r>
          </w:p>
        </w:tc>
        <w:tc>
          <w:tcPr>
            <w:tcW w:w="472" w:type="dxa"/>
            <w:tcBorders>
              <w:top w:val="nil"/>
              <w:left w:val="nil"/>
              <w:bottom w:val="single" w:sz="4" w:space="0" w:color="auto"/>
              <w:right w:val="single" w:sz="4" w:space="0" w:color="auto"/>
            </w:tcBorders>
            <w:shd w:val="clear" w:color="auto" w:fill="B7DEE8"/>
          </w:tcPr>
          <w:p w14:paraId="7BA30392" w14:textId="77777777" w:rsidR="004812BA" w:rsidRPr="00E105BF" w:rsidRDefault="004812BA" w:rsidP="006233FA">
            <w:pPr>
              <w:spacing w:after="0"/>
              <w:rPr>
                <w:color w:val="auto"/>
                <w:sz w:val="20"/>
                <w:szCs w:val="20"/>
                <w:lang w:val="en-US"/>
              </w:rPr>
            </w:pPr>
            <w:r w:rsidRPr="2818B29D">
              <w:rPr>
                <w:color w:val="auto"/>
                <w:sz w:val="20"/>
                <w:szCs w:val="20"/>
                <w:lang w:val="en-US"/>
              </w:rPr>
              <w:t>88</w:t>
            </w:r>
          </w:p>
        </w:tc>
        <w:tc>
          <w:tcPr>
            <w:tcW w:w="2005" w:type="dxa"/>
            <w:tcBorders>
              <w:top w:val="nil"/>
              <w:left w:val="nil"/>
              <w:bottom w:val="single" w:sz="4" w:space="0" w:color="auto"/>
              <w:right w:val="single" w:sz="4" w:space="0" w:color="auto"/>
            </w:tcBorders>
          </w:tcPr>
          <w:p w14:paraId="37CCE3C9" w14:textId="17A16D02" w:rsidR="004812BA" w:rsidRPr="00E105BF" w:rsidRDefault="004812BA" w:rsidP="006233FA">
            <w:pPr>
              <w:spacing w:after="0"/>
              <w:rPr>
                <w:color w:val="000000"/>
                <w:sz w:val="20"/>
                <w:szCs w:val="20"/>
                <w:lang w:val="en-US"/>
              </w:rPr>
            </w:pPr>
            <w:r w:rsidRPr="6EB47483">
              <w:rPr>
                <w:sz w:val="20"/>
                <w:szCs w:val="20"/>
                <w:lang w:val="en-US"/>
              </w:rPr>
              <w:t>Turkmenistan</w:t>
            </w:r>
          </w:p>
        </w:tc>
      </w:tr>
      <w:tr w:rsidR="004812BA" w:rsidRPr="00E105BF" w14:paraId="0C3E28B7"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4C3A0F25" w14:textId="77777777" w:rsidR="004812BA" w:rsidRPr="00E105BF" w:rsidRDefault="004812BA" w:rsidP="006233FA">
            <w:pPr>
              <w:spacing w:after="0"/>
              <w:rPr>
                <w:color w:val="000000"/>
                <w:sz w:val="20"/>
                <w:szCs w:val="20"/>
                <w:lang w:val="en-US"/>
              </w:rPr>
            </w:pPr>
            <w:r w:rsidRPr="6EB47483">
              <w:rPr>
                <w:sz w:val="20"/>
                <w:szCs w:val="20"/>
                <w:lang w:val="en-US"/>
              </w:rPr>
              <w:t>17</w:t>
            </w:r>
          </w:p>
        </w:tc>
        <w:tc>
          <w:tcPr>
            <w:tcW w:w="1868" w:type="dxa"/>
            <w:tcBorders>
              <w:top w:val="nil"/>
              <w:left w:val="nil"/>
              <w:bottom w:val="single" w:sz="4" w:space="0" w:color="auto"/>
              <w:right w:val="single" w:sz="4" w:space="0" w:color="auto"/>
            </w:tcBorders>
            <w:hideMark/>
          </w:tcPr>
          <w:p w14:paraId="6A63D13C" w14:textId="77777777" w:rsidR="004812BA" w:rsidRPr="00E105BF" w:rsidRDefault="004812BA" w:rsidP="006233FA">
            <w:pPr>
              <w:spacing w:after="0"/>
              <w:rPr>
                <w:color w:val="000000"/>
                <w:sz w:val="20"/>
                <w:szCs w:val="20"/>
                <w:lang w:val="en-US"/>
              </w:rPr>
            </w:pPr>
            <w:r w:rsidRPr="00E105BF">
              <w:rPr>
                <w:color w:val="000000"/>
                <w:sz w:val="20"/>
                <w:szCs w:val="20"/>
                <w:lang w:val="en-US"/>
              </w:rPr>
              <w:t>Cabo Verde</w:t>
            </w:r>
          </w:p>
        </w:tc>
        <w:tc>
          <w:tcPr>
            <w:tcW w:w="457" w:type="dxa"/>
            <w:tcBorders>
              <w:top w:val="nil"/>
              <w:left w:val="nil"/>
              <w:bottom w:val="single" w:sz="4" w:space="0" w:color="auto"/>
              <w:right w:val="single" w:sz="4" w:space="0" w:color="auto"/>
            </w:tcBorders>
            <w:shd w:val="clear" w:color="auto" w:fill="B7DEE8"/>
          </w:tcPr>
          <w:p w14:paraId="125EDFFD" w14:textId="77777777" w:rsidR="004812BA" w:rsidRPr="00E105BF" w:rsidRDefault="004812BA" w:rsidP="006233FA">
            <w:pPr>
              <w:spacing w:after="0"/>
              <w:rPr>
                <w:color w:val="000000"/>
                <w:sz w:val="20"/>
                <w:szCs w:val="20"/>
                <w:lang w:val="en-US"/>
              </w:rPr>
            </w:pPr>
            <w:r w:rsidRPr="6EB47483">
              <w:rPr>
                <w:sz w:val="20"/>
                <w:szCs w:val="20"/>
                <w:lang w:val="en-US"/>
              </w:rPr>
              <w:t>41</w:t>
            </w:r>
          </w:p>
        </w:tc>
        <w:tc>
          <w:tcPr>
            <w:tcW w:w="1569" w:type="dxa"/>
            <w:tcBorders>
              <w:top w:val="nil"/>
              <w:left w:val="nil"/>
              <w:bottom w:val="single" w:sz="4" w:space="0" w:color="auto"/>
              <w:right w:val="single" w:sz="4" w:space="0" w:color="auto"/>
            </w:tcBorders>
          </w:tcPr>
          <w:p w14:paraId="5CC3A3AE" w14:textId="77777777" w:rsidR="004812BA" w:rsidRPr="00E105BF" w:rsidRDefault="004812BA" w:rsidP="006233FA">
            <w:pPr>
              <w:spacing w:after="0"/>
              <w:rPr>
                <w:color w:val="000000"/>
                <w:sz w:val="20"/>
                <w:szCs w:val="20"/>
                <w:lang w:val="en-US"/>
              </w:rPr>
            </w:pPr>
            <w:r w:rsidRPr="6EB47483">
              <w:rPr>
                <w:sz w:val="20"/>
                <w:szCs w:val="20"/>
                <w:lang w:val="en-US"/>
              </w:rPr>
              <w:t>Guyana</w:t>
            </w:r>
          </w:p>
        </w:tc>
        <w:tc>
          <w:tcPr>
            <w:tcW w:w="459" w:type="dxa"/>
            <w:tcBorders>
              <w:top w:val="nil"/>
              <w:left w:val="nil"/>
              <w:bottom w:val="single" w:sz="4" w:space="0" w:color="auto"/>
              <w:right w:val="single" w:sz="4" w:space="0" w:color="auto"/>
            </w:tcBorders>
            <w:shd w:val="clear" w:color="auto" w:fill="B7DEE8"/>
          </w:tcPr>
          <w:p w14:paraId="586B41F2" w14:textId="77777777" w:rsidR="004812BA" w:rsidRPr="00E105BF" w:rsidRDefault="004812BA" w:rsidP="006233FA">
            <w:pPr>
              <w:spacing w:after="0"/>
              <w:rPr>
                <w:color w:val="000000"/>
                <w:sz w:val="20"/>
                <w:szCs w:val="20"/>
                <w:lang w:val="en-US"/>
              </w:rPr>
            </w:pPr>
            <w:r w:rsidRPr="6EB47483">
              <w:rPr>
                <w:sz w:val="20"/>
                <w:szCs w:val="20"/>
                <w:lang w:val="en-US"/>
              </w:rPr>
              <w:t>65</w:t>
            </w:r>
          </w:p>
        </w:tc>
        <w:tc>
          <w:tcPr>
            <w:tcW w:w="1918" w:type="dxa"/>
            <w:tcBorders>
              <w:top w:val="nil"/>
              <w:left w:val="nil"/>
              <w:bottom w:val="single" w:sz="4" w:space="0" w:color="auto"/>
              <w:right w:val="single" w:sz="4" w:space="0" w:color="auto"/>
            </w:tcBorders>
          </w:tcPr>
          <w:p w14:paraId="25CDC4CC" w14:textId="77777777" w:rsidR="004812BA" w:rsidRPr="00E105BF" w:rsidRDefault="004812BA" w:rsidP="006233FA">
            <w:pPr>
              <w:spacing w:after="0"/>
              <w:rPr>
                <w:sz w:val="20"/>
                <w:szCs w:val="20"/>
                <w:lang w:val="en-US"/>
              </w:rPr>
            </w:pPr>
            <w:r w:rsidRPr="1AB6E3AA">
              <w:rPr>
                <w:sz w:val="20"/>
                <w:szCs w:val="20"/>
                <w:lang w:val="en-US"/>
              </w:rPr>
              <w:t xml:space="preserve">Niger </w:t>
            </w:r>
          </w:p>
          <w:p w14:paraId="62037E74" w14:textId="77777777" w:rsidR="004812BA" w:rsidRPr="00E105BF" w:rsidRDefault="004812BA" w:rsidP="006233FA">
            <w:pPr>
              <w:spacing w:after="0"/>
              <w:rPr>
                <w:color w:val="000000"/>
                <w:sz w:val="20"/>
                <w:szCs w:val="20"/>
                <w:lang w:val="en-US"/>
              </w:rPr>
            </w:pPr>
          </w:p>
        </w:tc>
        <w:tc>
          <w:tcPr>
            <w:tcW w:w="472" w:type="dxa"/>
            <w:tcBorders>
              <w:top w:val="nil"/>
              <w:left w:val="nil"/>
              <w:bottom w:val="single" w:sz="4" w:space="0" w:color="auto"/>
              <w:right w:val="single" w:sz="4" w:space="0" w:color="auto"/>
            </w:tcBorders>
            <w:shd w:val="clear" w:color="auto" w:fill="B7DEE8"/>
          </w:tcPr>
          <w:p w14:paraId="3B1718C2" w14:textId="77777777" w:rsidR="004812BA" w:rsidRPr="00E105BF" w:rsidRDefault="004812BA" w:rsidP="006233FA">
            <w:pPr>
              <w:spacing w:after="0"/>
              <w:rPr>
                <w:color w:val="auto"/>
                <w:sz w:val="20"/>
                <w:szCs w:val="20"/>
                <w:lang w:val="en-US"/>
              </w:rPr>
            </w:pPr>
            <w:r w:rsidRPr="2818B29D">
              <w:rPr>
                <w:color w:val="auto"/>
                <w:sz w:val="20"/>
                <w:szCs w:val="20"/>
                <w:lang w:val="en-US"/>
              </w:rPr>
              <w:t>89</w:t>
            </w:r>
          </w:p>
        </w:tc>
        <w:tc>
          <w:tcPr>
            <w:tcW w:w="2005" w:type="dxa"/>
            <w:tcBorders>
              <w:top w:val="nil"/>
              <w:left w:val="nil"/>
              <w:bottom w:val="single" w:sz="4" w:space="0" w:color="auto"/>
              <w:right w:val="single" w:sz="4" w:space="0" w:color="auto"/>
            </w:tcBorders>
          </w:tcPr>
          <w:p w14:paraId="001DA48B" w14:textId="7FDDFF2D" w:rsidR="004812BA" w:rsidRPr="00E105BF" w:rsidRDefault="004812BA" w:rsidP="006233FA">
            <w:pPr>
              <w:spacing w:after="0"/>
              <w:rPr>
                <w:color w:val="000000"/>
                <w:sz w:val="20"/>
                <w:szCs w:val="20"/>
                <w:lang w:val="en-US"/>
              </w:rPr>
            </w:pPr>
            <w:r w:rsidRPr="6EB47483">
              <w:rPr>
                <w:sz w:val="20"/>
                <w:szCs w:val="20"/>
                <w:lang w:val="en-US"/>
              </w:rPr>
              <w:t>Tuvalu</w:t>
            </w:r>
          </w:p>
        </w:tc>
      </w:tr>
      <w:tr w:rsidR="004812BA" w:rsidRPr="00E105BF" w14:paraId="23EAD0E3"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47AC9B25" w14:textId="77777777" w:rsidR="004812BA" w:rsidRPr="00E105BF" w:rsidRDefault="004812BA" w:rsidP="006233FA">
            <w:pPr>
              <w:spacing w:after="0"/>
              <w:rPr>
                <w:color w:val="000000"/>
                <w:sz w:val="20"/>
                <w:szCs w:val="20"/>
                <w:lang w:val="en-US"/>
              </w:rPr>
            </w:pPr>
            <w:r w:rsidRPr="6EB47483">
              <w:rPr>
                <w:sz w:val="20"/>
                <w:szCs w:val="20"/>
                <w:lang w:val="en-US"/>
              </w:rPr>
              <w:t>18</w:t>
            </w:r>
          </w:p>
        </w:tc>
        <w:tc>
          <w:tcPr>
            <w:tcW w:w="1868" w:type="dxa"/>
            <w:tcBorders>
              <w:top w:val="nil"/>
              <w:left w:val="nil"/>
              <w:bottom w:val="single" w:sz="4" w:space="0" w:color="auto"/>
              <w:right w:val="single" w:sz="4" w:space="0" w:color="auto"/>
            </w:tcBorders>
            <w:hideMark/>
          </w:tcPr>
          <w:p w14:paraId="43C8B82B" w14:textId="19A53C97" w:rsidR="004812BA" w:rsidRPr="00E105BF" w:rsidRDefault="004812BA" w:rsidP="006233FA">
            <w:pPr>
              <w:spacing w:after="0"/>
              <w:rPr>
                <w:sz w:val="20"/>
                <w:szCs w:val="20"/>
                <w:lang w:val="en-US"/>
              </w:rPr>
            </w:pPr>
            <w:r w:rsidRPr="6EB47483">
              <w:rPr>
                <w:sz w:val="20"/>
                <w:szCs w:val="20"/>
                <w:lang w:val="en-US"/>
              </w:rPr>
              <w:t>Central African Republic</w:t>
            </w:r>
          </w:p>
          <w:p w14:paraId="064E1D18" w14:textId="77777777" w:rsidR="004812BA" w:rsidRPr="00E105BF" w:rsidRDefault="004812BA" w:rsidP="006233FA">
            <w:pPr>
              <w:spacing w:after="0"/>
              <w:rPr>
                <w:color w:val="000000"/>
                <w:sz w:val="20"/>
                <w:szCs w:val="20"/>
                <w:lang w:val="en-US"/>
              </w:rPr>
            </w:pPr>
          </w:p>
        </w:tc>
        <w:tc>
          <w:tcPr>
            <w:tcW w:w="457" w:type="dxa"/>
            <w:tcBorders>
              <w:top w:val="nil"/>
              <w:left w:val="nil"/>
              <w:bottom w:val="single" w:sz="4" w:space="0" w:color="auto"/>
              <w:right w:val="single" w:sz="4" w:space="0" w:color="auto"/>
            </w:tcBorders>
            <w:shd w:val="clear" w:color="auto" w:fill="B7DEE8"/>
          </w:tcPr>
          <w:p w14:paraId="7DBEE287" w14:textId="77777777" w:rsidR="004812BA" w:rsidRPr="00E105BF" w:rsidRDefault="004812BA" w:rsidP="006233FA">
            <w:pPr>
              <w:spacing w:after="0"/>
              <w:rPr>
                <w:color w:val="000000"/>
                <w:sz w:val="20"/>
                <w:szCs w:val="20"/>
                <w:lang w:val="en-US"/>
              </w:rPr>
            </w:pPr>
            <w:r w:rsidRPr="6EB47483">
              <w:rPr>
                <w:sz w:val="20"/>
                <w:szCs w:val="20"/>
                <w:lang w:val="en-US"/>
              </w:rPr>
              <w:t>42</w:t>
            </w:r>
          </w:p>
        </w:tc>
        <w:tc>
          <w:tcPr>
            <w:tcW w:w="1569" w:type="dxa"/>
            <w:tcBorders>
              <w:top w:val="nil"/>
              <w:left w:val="nil"/>
              <w:bottom w:val="single" w:sz="4" w:space="0" w:color="auto"/>
              <w:right w:val="single" w:sz="4" w:space="0" w:color="auto"/>
            </w:tcBorders>
          </w:tcPr>
          <w:p w14:paraId="1F0559D1" w14:textId="77777777" w:rsidR="004812BA" w:rsidRPr="00E105BF" w:rsidRDefault="004812BA" w:rsidP="006233FA">
            <w:pPr>
              <w:spacing w:after="0"/>
              <w:rPr>
                <w:sz w:val="20"/>
                <w:szCs w:val="20"/>
                <w:lang w:val="en-US"/>
              </w:rPr>
            </w:pPr>
            <w:r w:rsidRPr="6EB47483">
              <w:rPr>
                <w:sz w:val="20"/>
                <w:szCs w:val="20"/>
                <w:lang w:val="en-US"/>
              </w:rPr>
              <w:t>Haiti</w:t>
            </w:r>
          </w:p>
          <w:p w14:paraId="2B537BAC" w14:textId="77777777" w:rsidR="004812BA" w:rsidRPr="00E105BF" w:rsidRDefault="004812BA" w:rsidP="006233FA">
            <w:pPr>
              <w:spacing w:after="0"/>
              <w:rPr>
                <w:color w:val="000000"/>
                <w:sz w:val="20"/>
                <w:szCs w:val="20"/>
                <w:lang w:val="en-US"/>
              </w:rPr>
            </w:pPr>
          </w:p>
        </w:tc>
        <w:tc>
          <w:tcPr>
            <w:tcW w:w="459" w:type="dxa"/>
            <w:tcBorders>
              <w:top w:val="nil"/>
              <w:left w:val="nil"/>
              <w:bottom w:val="single" w:sz="4" w:space="0" w:color="auto"/>
              <w:right w:val="single" w:sz="4" w:space="0" w:color="auto"/>
            </w:tcBorders>
            <w:shd w:val="clear" w:color="auto" w:fill="B7DEE8"/>
          </w:tcPr>
          <w:p w14:paraId="3CBC39AB" w14:textId="77777777" w:rsidR="004812BA" w:rsidRPr="00E105BF" w:rsidRDefault="004812BA" w:rsidP="006233FA">
            <w:pPr>
              <w:spacing w:after="0"/>
              <w:rPr>
                <w:color w:val="000000"/>
                <w:sz w:val="20"/>
                <w:szCs w:val="20"/>
                <w:lang w:val="en-US"/>
              </w:rPr>
            </w:pPr>
            <w:r w:rsidRPr="6EB47483">
              <w:rPr>
                <w:sz w:val="20"/>
                <w:szCs w:val="20"/>
                <w:lang w:val="en-US"/>
              </w:rPr>
              <w:t>66</w:t>
            </w:r>
          </w:p>
        </w:tc>
        <w:tc>
          <w:tcPr>
            <w:tcW w:w="1918" w:type="dxa"/>
            <w:tcBorders>
              <w:top w:val="nil"/>
              <w:left w:val="nil"/>
              <w:bottom w:val="single" w:sz="4" w:space="0" w:color="auto"/>
              <w:right w:val="single" w:sz="4" w:space="0" w:color="auto"/>
            </w:tcBorders>
          </w:tcPr>
          <w:p w14:paraId="1BFD3A34" w14:textId="77777777" w:rsidR="004812BA" w:rsidRPr="00E105BF" w:rsidRDefault="004812BA" w:rsidP="006233FA">
            <w:pPr>
              <w:spacing w:after="0"/>
              <w:rPr>
                <w:sz w:val="20"/>
                <w:szCs w:val="20"/>
                <w:lang w:val="en-US"/>
              </w:rPr>
            </w:pPr>
            <w:r w:rsidRPr="6EB47483">
              <w:rPr>
                <w:sz w:val="20"/>
                <w:szCs w:val="20"/>
                <w:lang w:val="en-US"/>
              </w:rPr>
              <w:t>Niue</w:t>
            </w:r>
          </w:p>
          <w:p w14:paraId="5CAE91A4" w14:textId="77777777" w:rsidR="004812BA" w:rsidRPr="00E105BF" w:rsidRDefault="004812BA" w:rsidP="006233FA">
            <w:pPr>
              <w:spacing w:after="0"/>
              <w:rPr>
                <w:color w:val="000000"/>
                <w:sz w:val="20"/>
                <w:szCs w:val="20"/>
                <w:lang w:val="en-US"/>
              </w:rPr>
            </w:pPr>
          </w:p>
        </w:tc>
        <w:tc>
          <w:tcPr>
            <w:tcW w:w="472" w:type="dxa"/>
            <w:tcBorders>
              <w:top w:val="nil"/>
              <w:left w:val="nil"/>
              <w:bottom w:val="single" w:sz="4" w:space="0" w:color="auto"/>
              <w:right w:val="single" w:sz="4" w:space="0" w:color="auto"/>
            </w:tcBorders>
            <w:shd w:val="clear" w:color="auto" w:fill="B7DEE8"/>
          </w:tcPr>
          <w:p w14:paraId="3016159F" w14:textId="77777777" w:rsidR="004812BA" w:rsidRPr="00E105BF" w:rsidRDefault="004812BA" w:rsidP="006233FA">
            <w:pPr>
              <w:spacing w:after="0"/>
              <w:rPr>
                <w:color w:val="auto"/>
                <w:sz w:val="20"/>
                <w:szCs w:val="20"/>
                <w:lang w:val="en-US"/>
              </w:rPr>
            </w:pPr>
            <w:r w:rsidRPr="2818B29D">
              <w:rPr>
                <w:color w:val="auto"/>
                <w:sz w:val="20"/>
                <w:szCs w:val="20"/>
                <w:lang w:val="en-US"/>
              </w:rPr>
              <w:t>90</w:t>
            </w:r>
          </w:p>
        </w:tc>
        <w:tc>
          <w:tcPr>
            <w:tcW w:w="2005" w:type="dxa"/>
            <w:tcBorders>
              <w:top w:val="nil"/>
              <w:left w:val="nil"/>
              <w:bottom w:val="single" w:sz="4" w:space="0" w:color="auto"/>
              <w:right w:val="single" w:sz="4" w:space="0" w:color="auto"/>
            </w:tcBorders>
          </w:tcPr>
          <w:p w14:paraId="5A4854D2" w14:textId="22E5B619" w:rsidR="004812BA" w:rsidRPr="00E105BF" w:rsidRDefault="004812BA" w:rsidP="006233FA">
            <w:pPr>
              <w:spacing w:after="0"/>
              <w:rPr>
                <w:color w:val="000000"/>
                <w:sz w:val="20"/>
                <w:szCs w:val="20"/>
                <w:lang w:val="en-US"/>
              </w:rPr>
            </w:pPr>
            <w:r w:rsidRPr="6EB47483">
              <w:rPr>
                <w:sz w:val="20"/>
                <w:szCs w:val="20"/>
                <w:lang w:val="en-US"/>
              </w:rPr>
              <w:t>Uganda</w:t>
            </w:r>
          </w:p>
        </w:tc>
      </w:tr>
      <w:tr w:rsidR="004812BA" w:rsidRPr="00E105BF" w14:paraId="1AA8A0DC" w14:textId="77777777" w:rsidTr="00340872">
        <w:trPr>
          <w:trHeight w:val="537"/>
          <w:jc w:val="center"/>
        </w:trPr>
        <w:tc>
          <w:tcPr>
            <w:tcW w:w="472" w:type="dxa"/>
            <w:tcBorders>
              <w:top w:val="nil"/>
              <w:left w:val="single" w:sz="4" w:space="0" w:color="auto"/>
              <w:bottom w:val="single" w:sz="4" w:space="0" w:color="auto"/>
              <w:right w:val="single" w:sz="4" w:space="0" w:color="auto"/>
            </w:tcBorders>
            <w:shd w:val="clear" w:color="auto" w:fill="B7DEE8"/>
            <w:hideMark/>
          </w:tcPr>
          <w:p w14:paraId="025C4AB8" w14:textId="77777777" w:rsidR="004812BA" w:rsidRPr="00E105BF" w:rsidRDefault="004812BA" w:rsidP="006233FA">
            <w:pPr>
              <w:spacing w:after="0"/>
              <w:rPr>
                <w:color w:val="000000"/>
                <w:sz w:val="20"/>
                <w:szCs w:val="20"/>
                <w:lang w:val="en-US"/>
              </w:rPr>
            </w:pPr>
            <w:r w:rsidRPr="6EB47483">
              <w:rPr>
                <w:sz w:val="20"/>
                <w:szCs w:val="20"/>
                <w:lang w:val="en-US"/>
              </w:rPr>
              <w:t>19</w:t>
            </w:r>
          </w:p>
        </w:tc>
        <w:tc>
          <w:tcPr>
            <w:tcW w:w="1868" w:type="dxa"/>
            <w:tcBorders>
              <w:top w:val="nil"/>
              <w:left w:val="nil"/>
              <w:bottom w:val="single" w:sz="4" w:space="0" w:color="auto"/>
              <w:right w:val="single" w:sz="4" w:space="0" w:color="auto"/>
            </w:tcBorders>
            <w:hideMark/>
          </w:tcPr>
          <w:p w14:paraId="29AB1570" w14:textId="77777777" w:rsidR="004812BA" w:rsidRPr="00E105BF" w:rsidRDefault="004812BA" w:rsidP="006233FA">
            <w:pPr>
              <w:spacing w:after="0"/>
              <w:rPr>
                <w:color w:val="000000"/>
                <w:sz w:val="20"/>
                <w:szCs w:val="20"/>
                <w:lang w:val="en-US"/>
              </w:rPr>
            </w:pPr>
            <w:r w:rsidRPr="00E105BF">
              <w:rPr>
                <w:color w:val="000000"/>
                <w:sz w:val="20"/>
                <w:szCs w:val="20"/>
                <w:lang w:val="en-US"/>
              </w:rPr>
              <w:t>Chad</w:t>
            </w:r>
          </w:p>
        </w:tc>
        <w:tc>
          <w:tcPr>
            <w:tcW w:w="457" w:type="dxa"/>
            <w:tcBorders>
              <w:top w:val="nil"/>
              <w:left w:val="nil"/>
              <w:bottom w:val="single" w:sz="4" w:space="0" w:color="auto"/>
              <w:right w:val="single" w:sz="4" w:space="0" w:color="auto"/>
            </w:tcBorders>
            <w:shd w:val="clear" w:color="auto" w:fill="B7DEE8"/>
          </w:tcPr>
          <w:p w14:paraId="2362440E" w14:textId="77777777" w:rsidR="004812BA" w:rsidRPr="00E105BF" w:rsidRDefault="004812BA" w:rsidP="006233FA">
            <w:pPr>
              <w:spacing w:after="0"/>
              <w:rPr>
                <w:color w:val="000000"/>
                <w:sz w:val="20"/>
                <w:szCs w:val="20"/>
                <w:lang w:val="en-US"/>
              </w:rPr>
            </w:pPr>
            <w:r w:rsidRPr="6EB47483">
              <w:rPr>
                <w:sz w:val="20"/>
                <w:szCs w:val="20"/>
                <w:lang w:val="en-US"/>
              </w:rPr>
              <w:t>43</w:t>
            </w:r>
          </w:p>
        </w:tc>
        <w:tc>
          <w:tcPr>
            <w:tcW w:w="1569" w:type="dxa"/>
            <w:tcBorders>
              <w:top w:val="nil"/>
              <w:left w:val="nil"/>
              <w:bottom w:val="single" w:sz="4" w:space="0" w:color="auto"/>
              <w:right w:val="single" w:sz="4" w:space="0" w:color="auto"/>
            </w:tcBorders>
          </w:tcPr>
          <w:p w14:paraId="0C02D2C0" w14:textId="23E47D1B" w:rsidR="004812BA" w:rsidRPr="00E105BF" w:rsidRDefault="004812BA" w:rsidP="006233FA">
            <w:pPr>
              <w:spacing w:after="0"/>
              <w:rPr>
                <w:color w:val="000000"/>
                <w:sz w:val="20"/>
                <w:szCs w:val="20"/>
                <w:lang w:val="en-US"/>
              </w:rPr>
            </w:pPr>
            <w:r w:rsidRPr="6EB47483">
              <w:rPr>
                <w:sz w:val="20"/>
                <w:szCs w:val="20"/>
                <w:lang w:val="en-US"/>
              </w:rPr>
              <w:t>Honduras</w:t>
            </w:r>
          </w:p>
        </w:tc>
        <w:tc>
          <w:tcPr>
            <w:tcW w:w="459" w:type="dxa"/>
            <w:tcBorders>
              <w:top w:val="nil"/>
              <w:left w:val="nil"/>
              <w:bottom w:val="single" w:sz="4" w:space="0" w:color="auto"/>
              <w:right w:val="single" w:sz="4" w:space="0" w:color="auto"/>
            </w:tcBorders>
            <w:shd w:val="clear" w:color="auto" w:fill="B7DEE8"/>
          </w:tcPr>
          <w:p w14:paraId="635BB79C" w14:textId="77777777" w:rsidR="004812BA" w:rsidRPr="00E105BF" w:rsidRDefault="004812BA" w:rsidP="006233FA">
            <w:pPr>
              <w:spacing w:after="0"/>
              <w:rPr>
                <w:color w:val="000000"/>
                <w:sz w:val="20"/>
                <w:szCs w:val="20"/>
                <w:lang w:val="en-US"/>
              </w:rPr>
            </w:pPr>
            <w:r w:rsidRPr="6EB47483">
              <w:rPr>
                <w:sz w:val="20"/>
                <w:szCs w:val="20"/>
                <w:lang w:val="en-US"/>
              </w:rPr>
              <w:t>67</w:t>
            </w:r>
          </w:p>
        </w:tc>
        <w:tc>
          <w:tcPr>
            <w:tcW w:w="1918" w:type="dxa"/>
            <w:tcBorders>
              <w:top w:val="nil"/>
              <w:left w:val="nil"/>
              <w:bottom w:val="single" w:sz="4" w:space="0" w:color="auto"/>
              <w:right w:val="single" w:sz="4" w:space="0" w:color="auto"/>
            </w:tcBorders>
          </w:tcPr>
          <w:p w14:paraId="509FCDC9" w14:textId="77777777" w:rsidR="004812BA" w:rsidRPr="00E105BF" w:rsidRDefault="004812BA" w:rsidP="006233FA">
            <w:pPr>
              <w:spacing w:after="0"/>
              <w:rPr>
                <w:color w:val="000000"/>
                <w:sz w:val="20"/>
                <w:szCs w:val="20"/>
                <w:lang w:val="en-US"/>
              </w:rPr>
            </w:pPr>
            <w:r w:rsidRPr="6EB47483">
              <w:rPr>
                <w:sz w:val="20"/>
                <w:szCs w:val="20"/>
                <w:lang w:val="en-US"/>
              </w:rPr>
              <w:t>North Macedonia</w:t>
            </w:r>
          </w:p>
        </w:tc>
        <w:tc>
          <w:tcPr>
            <w:tcW w:w="472" w:type="dxa"/>
            <w:tcBorders>
              <w:top w:val="nil"/>
              <w:left w:val="nil"/>
              <w:bottom w:val="single" w:sz="4" w:space="0" w:color="auto"/>
              <w:right w:val="single" w:sz="4" w:space="0" w:color="auto"/>
            </w:tcBorders>
            <w:shd w:val="clear" w:color="auto" w:fill="B7DEE8"/>
          </w:tcPr>
          <w:p w14:paraId="1DA68A5D" w14:textId="77777777" w:rsidR="004812BA" w:rsidRPr="00E105BF" w:rsidRDefault="004812BA" w:rsidP="006233FA">
            <w:pPr>
              <w:spacing w:after="0"/>
              <w:rPr>
                <w:color w:val="auto"/>
                <w:sz w:val="20"/>
                <w:szCs w:val="20"/>
                <w:lang w:val="en-US"/>
              </w:rPr>
            </w:pPr>
            <w:r w:rsidRPr="2818B29D">
              <w:rPr>
                <w:color w:val="auto"/>
                <w:sz w:val="20"/>
                <w:szCs w:val="20"/>
                <w:lang w:val="en-US"/>
              </w:rPr>
              <w:t>91</w:t>
            </w:r>
          </w:p>
        </w:tc>
        <w:tc>
          <w:tcPr>
            <w:tcW w:w="2005" w:type="dxa"/>
            <w:tcBorders>
              <w:top w:val="nil"/>
              <w:left w:val="nil"/>
              <w:bottom w:val="single" w:sz="4" w:space="0" w:color="auto"/>
              <w:right w:val="single" w:sz="4" w:space="0" w:color="auto"/>
            </w:tcBorders>
          </w:tcPr>
          <w:p w14:paraId="1916CC4F" w14:textId="131CE888" w:rsidR="004812BA" w:rsidRPr="00E105BF" w:rsidRDefault="004812BA" w:rsidP="006233FA">
            <w:pPr>
              <w:spacing w:after="0"/>
              <w:rPr>
                <w:color w:val="000000"/>
                <w:sz w:val="20"/>
                <w:szCs w:val="20"/>
                <w:lang w:val="en-US"/>
              </w:rPr>
            </w:pPr>
            <w:r w:rsidRPr="6EB47483">
              <w:rPr>
                <w:sz w:val="20"/>
                <w:szCs w:val="20"/>
                <w:lang w:val="en-US"/>
              </w:rPr>
              <w:t>United Republic of Tanzania</w:t>
            </w:r>
          </w:p>
        </w:tc>
      </w:tr>
      <w:tr w:rsidR="004812BA" w:rsidRPr="00E105BF" w14:paraId="3127CB19"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522FC733" w14:textId="77777777" w:rsidR="004812BA" w:rsidRPr="00E105BF" w:rsidRDefault="004812BA" w:rsidP="006233FA">
            <w:pPr>
              <w:spacing w:after="0"/>
              <w:rPr>
                <w:color w:val="000000"/>
                <w:sz w:val="20"/>
                <w:szCs w:val="20"/>
                <w:lang w:val="en-US"/>
              </w:rPr>
            </w:pPr>
            <w:r w:rsidRPr="6EB47483">
              <w:rPr>
                <w:sz w:val="20"/>
                <w:szCs w:val="20"/>
                <w:lang w:val="en-US"/>
              </w:rPr>
              <w:t>20</w:t>
            </w:r>
          </w:p>
        </w:tc>
        <w:tc>
          <w:tcPr>
            <w:tcW w:w="1868" w:type="dxa"/>
            <w:tcBorders>
              <w:top w:val="nil"/>
              <w:left w:val="nil"/>
              <w:bottom w:val="single" w:sz="4" w:space="0" w:color="auto"/>
              <w:right w:val="single" w:sz="4" w:space="0" w:color="auto"/>
            </w:tcBorders>
            <w:hideMark/>
          </w:tcPr>
          <w:p w14:paraId="0DF9E0F9" w14:textId="77777777" w:rsidR="004812BA" w:rsidRPr="00E105BF" w:rsidRDefault="004812BA" w:rsidP="006233FA">
            <w:pPr>
              <w:spacing w:after="0"/>
              <w:rPr>
                <w:color w:val="000000"/>
                <w:sz w:val="20"/>
                <w:szCs w:val="20"/>
                <w:lang w:val="en-US"/>
              </w:rPr>
            </w:pPr>
            <w:r w:rsidRPr="00E105BF">
              <w:rPr>
                <w:color w:val="000000"/>
                <w:sz w:val="20"/>
                <w:szCs w:val="20"/>
                <w:lang w:val="en-US"/>
              </w:rPr>
              <w:t>Comoros</w:t>
            </w:r>
          </w:p>
        </w:tc>
        <w:tc>
          <w:tcPr>
            <w:tcW w:w="457" w:type="dxa"/>
            <w:tcBorders>
              <w:top w:val="nil"/>
              <w:left w:val="nil"/>
              <w:bottom w:val="single" w:sz="4" w:space="0" w:color="auto"/>
              <w:right w:val="single" w:sz="4" w:space="0" w:color="auto"/>
            </w:tcBorders>
            <w:shd w:val="clear" w:color="auto" w:fill="B7DEE8"/>
          </w:tcPr>
          <w:p w14:paraId="46386415" w14:textId="77777777" w:rsidR="004812BA" w:rsidRPr="00E105BF" w:rsidRDefault="004812BA" w:rsidP="006233FA">
            <w:pPr>
              <w:spacing w:after="0"/>
              <w:rPr>
                <w:color w:val="000000"/>
                <w:sz w:val="20"/>
                <w:szCs w:val="20"/>
                <w:lang w:val="en-US"/>
              </w:rPr>
            </w:pPr>
            <w:r w:rsidRPr="6EB47483">
              <w:rPr>
                <w:sz w:val="20"/>
                <w:szCs w:val="20"/>
                <w:lang w:val="en-US"/>
              </w:rPr>
              <w:t>44</w:t>
            </w:r>
          </w:p>
        </w:tc>
        <w:tc>
          <w:tcPr>
            <w:tcW w:w="1569" w:type="dxa"/>
            <w:tcBorders>
              <w:top w:val="nil"/>
              <w:left w:val="nil"/>
              <w:bottom w:val="single" w:sz="4" w:space="0" w:color="auto"/>
              <w:right w:val="single" w:sz="4" w:space="0" w:color="auto"/>
            </w:tcBorders>
          </w:tcPr>
          <w:p w14:paraId="7C64593C" w14:textId="77777777" w:rsidR="004812BA" w:rsidRPr="00E105BF" w:rsidRDefault="004812BA" w:rsidP="006233FA">
            <w:pPr>
              <w:spacing w:after="0"/>
              <w:rPr>
                <w:color w:val="000000"/>
                <w:sz w:val="20"/>
                <w:szCs w:val="20"/>
                <w:lang w:val="en-US"/>
              </w:rPr>
            </w:pPr>
            <w:r w:rsidRPr="6EB47483">
              <w:rPr>
                <w:sz w:val="20"/>
                <w:szCs w:val="20"/>
                <w:lang w:val="en-US"/>
              </w:rPr>
              <w:t>Jamaica</w:t>
            </w:r>
          </w:p>
        </w:tc>
        <w:tc>
          <w:tcPr>
            <w:tcW w:w="459" w:type="dxa"/>
            <w:tcBorders>
              <w:top w:val="nil"/>
              <w:left w:val="nil"/>
              <w:bottom w:val="single" w:sz="4" w:space="0" w:color="auto"/>
              <w:right w:val="single" w:sz="4" w:space="0" w:color="auto"/>
            </w:tcBorders>
            <w:shd w:val="clear" w:color="auto" w:fill="B7DEE8"/>
          </w:tcPr>
          <w:p w14:paraId="30C04A4F" w14:textId="77777777" w:rsidR="004812BA" w:rsidRPr="00E105BF" w:rsidRDefault="004812BA" w:rsidP="006233FA">
            <w:pPr>
              <w:spacing w:after="0"/>
              <w:rPr>
                <w:color w:val="000000"/>
                <w:sz w:val="20"/>
                <w:szCs w:val="20"/>
                <w:lang w:val="en-US"/>
              </w:rPr>
            </w:pPr>
            <w:r w:rsidRPr="6EB47483">
              <w:rPr>
                <w:sz w:val="20"/>
                <w:szCs w:val="20"/>
                <w:lang w:val="en-US"/>
              </w:rPr>
              <w:t>68</w:t>
            </w:r>
          </w:p>
        </w:tc>
        <w:tc>
          <w:tcPr>
            <w:tcW w:w="1918" w:type="dxa"/>
            <w:tcBorders>
              <w:top w:val="nil"/>
              <w:left w:val="nil"/>
              <w:bottom w:val="single" w:sz="4" w:space="0" w:color="auto"/>
              <w:right w:val="single" w:sz="4" w:space="0" w:color="auto"/>
            </w:tcBorders>
          </w:tcPr>
          <w:p w14:paraId="5BEF87BF" w14:textId="77777777" w:rsidR="004812BA" w:rsidRPr="00E105BF" w:rsidRDefault="004812BA" w:rsidP="006233FA">
            <w:pPr>
              <w:spacing w:after="0"/>
              <w:rPr>
                <w:color w:val="000000"/>
                <w:sz w:val="20"/>
                <w:szCs w:val="20"/>
                <w:lang w:val="en-US"/>
              </w:rPr>
            </w:pPr>
            <w:r w:rsidRPr="6EB47483">
              <w:rPr>
                <w:sz w:val="20"/>
                <w:szCs w:val="20"/>
                <w:lang w:val="en-US"/>
              </w:rPr>
              <w:t>Palau</w:t>
            </w:r>
          </w:p>
        </w:tc>
        <w:tc>
          <w:tcPr>
            <w:tcW w:w="472" w:type="dxa"/>
            <w:tcBorders>
              <w:top w:val="nil"/>
              <w:left w:val="nil"/>
              <w:bottom w:val="single" w:sz="4" w:space="0" w:color="auto"/>
              <w:right w:val="single" w:sz="4" w:space="0" w:color="auto"/>
            </w:tcBorders>
            <w:shd w:val="clear" w:color="auto" w:fill="B7DEE8"/>
          </w:tcPr>
          <w:p w14:paraId="0F379C6E" w14:textId="77777777" w:rsidR="004812BA" w:rsidRPr="00E105BF" w:rsidRDefault="004812BA" w:rsidP="006233FA">
            <w:pPr>
              <w:spacing w:after="0"/>
              <w:rPr>
                <w:color w:val="auto"/>
                <w:sz w:val="20"/>
                <w:szCs w:val="20"/>
                <w:lang w:val="en-US"/>
              </w:rPr>
            </w:pPr>
            <w:r w:rsidRPr="2818B29D">
              <w:rPr>
                <w:color w:val="auto"/>
                <w:sz w:val="20"/>
                <w:szCs w:val="20"/>
                <w:lang w:val="en-US"/>
              </w:rPr>
              <w:t>92</w:t>
            </w:r>
          </w:p>
        </w:tc>
        <w:tc>
          <w:tcPr>
            <w:tcW w:w="2005" w:type="dxa"/>
            <w:tcBorders>
              <w:top w:val="nil"/>
              <w:left w:val="nil"/>
              <w:bottom w:val="single" w:sz="4" w:space="0" w:color="auto"/>
              <w:right w:val="single" w:sz="4" w:space="0" w:color="auto"/>
            </w:tcBorders>
          </w:tcPr>
          <w:p w14:paraId="6378ECF8" w14:textId="7C2E12D7" w:rsidR="004812BA" w:rsidRPr="00E105BF" w:rsidRDefault="004812BA" w:rsidP="006233FA">
            <w:pPr>
              <w:spacing w:after="0"/>
              <w:rPr>
                <w:color w:val="000000"/>
                <w:sz w:val="20"/>
                <w:szCs w:val="20"/>
                <w:lang w:val="en-US"/>
              </w:rPr>
            </w:pPr>
            <w:r w:rsidRPr="6EB47483">
              <w:rPr>
                <w:sz w:val="20"/>
                <w:szCs w:val="20"/>
                <w:lang w:val="en-US"/>
              </w:rPr>
              <w:t>Vanuatu</w:t>
            </w:r>
          </w:p>
        </w:tc>
      </w:tr>
      <w:tr w:rsidR="004812BA" w:rsidRPr="00E105BF" w14:paraId="143C476B"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5EA7523A" w14:textId="77777777" w:rsidR="004812BA" w:rsidRPr="00E105BF" w:rsidRDefault="004812BA" w:rsidP="006233FA">
            <w:pPr>
              <w:spacing w:after="0"/>
              <w:rPr>
                <w:color w:val="000000"/>
                <w:sz w:val="20"/>
                <w:szCs w:val="20"/>
                <w:lang w:val="en-US"/>
              </w:rPr>
            </w:pPr>
            <w:r w:rsidRPr="6EB47483">
              <w:rPr>
                <w:sz w:val="20"/>
                <w:szCs w:val="20"/>
                <w:lang w:val="en-US"/>
              </w:rPr>
              <w:t>21</w:t>
            </w:r>
          </w:p>
        </w:tc>
        <w:tc>
          <w:tcPr>
            <w:tcW w:w="1868" w:type="dxa"/>
            <w:tcBorders>
              <w:top w:val="nil"/>
              <w:left w:val="nil"/>
              <w:bottom w:val="single" w:sz="4" w:space="0" w:color="auto"/>
              <w:right w:val="single" w:sz="4" w:space="0" w:color="auto"/>
            </w:tcBorders>
            <w:hideMark/>
          </w:tcPr>
          <w:p w14:paraId="540A543C" w14:textId="77777777" w:rsidR="004812BA" w:rsidRPr="00E105BF" w:rsidRDefault="004812BA" w:rsidP="006233FA">
            <w:pPr>
              <w:spacing w:after="0"/>
              <w:rPr>
                <w:color w:val="000000"/>
                <w:sz w:val="20"/>
                <w:szCs w:val="20"/>
                <w:lang w:val="en-US"/>
              </w:rPr>
            </w:pPr>
            <w:r w:rsidRPr="00E105BF">
              <w:rPr>
                <w:color w:val="000000"/>
                <w:sz w:val="20"/>
                <w:szCs w:val="20"/>
                <w:lang w:val="en-US"/>
              </w:rPr>
              <w:t>Congo</w:t>
            </w:r>
          </w:p>
        </w:tc>
        <w:tc>
          <w:tcPr>
            <w:tcW w:w="457" w:type="dxa"/>
            <w:tcBorders>
              <w:top w:val="nil"/>
              <w:left w:val="nil"/>
              <w:bottom w:val="single" w:sz="4" w:space="0" w:color="auto"/>
              <w:right w:val="single" w:sz="4" w:space="0" w:color="auto"/>
            </w:tcBorders>
            <w:shd w:val="clear" w:color="auto" w:fill="B7DEE8"/>
          </w:tcPr>
          <w:p w14:paraId="2B4E617B" w14:textId="77777777" w:rsidR="004812BA" w:rsidRPr="00E105BF" w:rsidRDefault="004812BA" w:rsidP="006233FA">
            <w:pPr>
              <w:spacing w:after="0"/>
              <w:rPr>
                <w:color w:val="000000"/>
                <w:sz w:val="20"/>
                <w:szCs w:val="20"/>
                <w:lang w:val="en-US"/>
              </w:rPr>
            </w:pPr>
            <w:r w:rsidRPr="6EB47483">
              <w:rPr>
                <w:sz w:val="20"/>
                <w:szCs w:val="20"/>
                <w:lang w:val="en-US"/>
              </w:rPr>
              <w:t>45</w:t>
            </w:r>
          </w:p>
        </w:tc>
        <w:tc>
          <w:tcPr>
            <w:tcW w:w="1569" w:type="dxa"/>
            <w:tcBorders>
              <w:top w:val="nil"/>
              <w:left w:val="nil"/>
              <w:bottom w:val="single" w:sz="4" w:space="0" w:color="auto"/>
              <w:right w:val="single" w:sz="4" w:space="0" w:color="auto"/>
            </w:tcBorders>
          </w:tcPr>
          <w:p w14:paraId="78FE83CC" w14:textId="77777777" w:rsidR="004812BA" w:rsidRPr="00E105BF" w:rsidRDefault="004812BA" w:rsidP="006233FA">
            <w:pPr>
              <w:spacing w:after="0"/>
              <w:rPr>
                <w:color w:val="000000"/>
                <w:sz w:val="20"/>
                <w:szCs w:val="20"/>
                <w:lang w:val="en-US"/>
              </w:rPr>
            </w:pPr>
            <w:r w:rsidRPr="6EB47483">
              <w:rPr>
                <w:sz w:val="20"/>
                <w:szCs w:val="20"/>
                <w:lang w:val="en-US"/>
              </w:rPr>
              <w:t>Kiribati</w:t>
            </w:r>
          </w:p>
        </w:tc>
        <w:tc>
          <w:tcPr>
            <w:tcW w:w="459" w:type="dxa"/>
            <w:tcBorders>
              <w:top w:val="nil"/>
              <w:left w:val="nil"/>
              <w:bottom w:val="single" w:sz="4" w:space="0" w:color="auto"/>
              <w:right w:val="single" w:sz="4" w:space="0" w:color="auto"/>
            </w:tcBorders>
            <w:shd w:val="clear" w:color="auto" w:fill="B7DEE8"/>
          </w:tcPr>
          <w:p w14:paraId="57131A53" w14:textId="77777777" w:rsidR="004812BA" w:rsidRPr="00E105BF" w:rsidRDefault="004812BA" w:rsidP="006233FA">
            <w:pPr>
              <w:spacing w:after="0"/>
              <w:rPr>
                <w:color w:val="000000"/>
                <w:sz w:val="20"/>
                <w:szCs w:val="20"/>
                <w:lang w:val="en-US"/>
              </w:rPr>
            </w:pPr>
            <w:r w:rsidRPr="6EB47483">
              <w:rPr>
                <w:sz w:val="20"/>
                <w:szCs w:val="20"/>
                <w:lang w:val="en-US"/>
              </w:rPr>
              <w:t>69</w:t>
            </w:r>
          </w:p>
        </w:tc>
        <w:tc>
          <w:tcPr>
            <w:tcW w:w="1918" w:type="dxa"/>
            <w:tcBorders>
              <w:top w:val="nil"/>
              <w:left w:val="nil"/>
              <w:bottom w:val="single" w:sz="4" w:space="0" w:color="auto"/>
              <w:right w:val="single" w:sz="4" w:space="0" w:color="auto"/>
            </w:tcBorders>
          </w:tcPr>
          <w:p w14:paraId="12E5CDAD" w14:textId="77777777" w:rsidR="004812BA" w:rsidRPr="00E105BF" w:rsidRDefault="004812BA" w:rsidP="006233FA">
            <w:pPr>
              <w:spacing w:after="0"/>
              <w:rPr>
                <w:color w:val="000000"/>
                <w:sz w:val="20"/>
                <w:szCs w:val="20"/>
                <w:lang w:val="en-US"/>
              </w:rPr>
            </w:pPr>
            <w:r w:rsidRPr="6EB47483">
              <w:rPr>
                <w:sz w:val="20"/>
                <w:szCs w:val="20"/>
                <w:lang w:val="en-US"/>
              </w:rPr>
              <w:t>Papua New Guinea</w:t>
            </w:r>
          </w:p>
        </w:tc>
        <w:tc>
          <w:tcPr>
            <w:tcW w:w="472" w:type="dxa"/>
            <w:tcBorders>
              <w:top w:val="nil"/>
              <w:left w:val="nil"/>
              <w:bottom w:val="single" w:sz="4" w:space="0" w:color="auto"/>
              <w:right w:val="single" w:sz="4" w:space="0" w:color="auto"/>
            </w:tcBorders>
            <w:shd w:val="clear" w:color="auto" w:fill="B7DEE8"/>
          </w:tcPr>
          <w:p w14:paraId="1510326D" w14:textId="77777777" w:rsidR="004812BA" w:rsidRPr="00E105BF" w:rsidRDefault="004812BA" w:rsidP="006233FA">
            <w:pPr>
              <w:spacing w:after="0"/>
              <w:rPr>
                <w:color w:val="auto"/>
                <w:sz w:val="20"/>
                <w:szCs w:val="20"/>
                <w:lang w:val="en-US"/>
              </w:rPr>
            </w:pPr>
            <w:r w:rsidRPr="2818B29D">
              <w:rPr>
                <w:color w:val="auto"/>
                <w:sz w:val="20"/>
                <w:szCs w:val="20"/>
                <w:lang w:val="en-US"/>
              </w:rPr>
              <w:t>93</w:t>
            </w:r>
          </w:p>
        </w:tc>
        <w:tc>
          <w:tcPr>
            <w:tcW w:w="2005" w:type="dxa"/>
            <w:tcBorders>
              <w:top w:val="nil"/>
              <w:left w:val="nil"/>
              <w:bottom w:val="single" w:sz="4" w:space="0" w:color="auto"/>
              <w:right w:val="single" w:sz="4" w:space="0" w:color="auto"/>
            </w:tcBorders>
          </w:tcPr>
          <w:p w14:paraId="296B4B80" w14:textId="0AF6EDDF" w:rsidR="004812BA" w:rsidRPr="00E105BF" w:rsidRDefault="004812BA" w:rsidP="006233FA">
            <w:pPr>
              <w:spacing w:after="0"/>
              <w:rPr>
                <w:color w:val="000000"/>
                <w:sz w:val="20"/>
                <w:szCs w:val="20"/>
                <w:lang w:val="en-US"/>
              </w:rPr>
            </w:pPr>
            <w:r w:rsidRPr="6EB47483">
              <w:rPr>
                <w:sz w:val="20"/>
                <w:szCs w:val="20"/>
                <w:lang w:val="en-US"/>
              </w:rPr>
              <w:t>Zambia</w:t>
            </w:r>
          </w:p>
        </w:tc>
      </w:tr>
      <w:tr w:rsidR="004812BA" w:rsidRPr="00E105BF" w14:paraId="0335FC80"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678C8625" w14:textId="77777777" w:rsidR="004812BA" w:rsidRPr="00E105BF" w:rsidRDefault="004812BA" w:rsidP="006233FA">
            <w:pPr>
              <w:spacing w:after="0"/>
              <w:rPr>
                <w:color w:val="000000"/>
                <w:sz w:val="20"/>
                <w:szCs w:val="20"/>
                <w:lang w:val="en-US"/>
              </w:rPr>
            </w:pPr>
            <w:r w:rsidRPr="6EB47483">
              <w:rPr>
                <w:sz w:val="20"/>
                <w:szCs w:val="20"/>
                <w:lang w:val="en-US"/>
              </w:rPr>
              <w:t>22</w:t>
            </w:r>
          </w:p>
        </w:tc>
        <w:tc>
          <w:tcPr>
            <w:tcW w:w="1868" w:type="dxa"/>
            <w:tcBorders>
              <w:top w:val="nil"/>
              <w:left w:val="nil"/>
              <w:bottom w:val="single" w:sz="4" w:space="0" w:color="auto"/>
              <w:right w:val="single" w:sz="4" w:space="0" w:color="auto"/>
            </w:tcBorders>
          </w:tcPr>
          <w:p w14:paraId="15033513" w14:textId="77777777" w:rsidR="004812BA" w:rsidRPr="00E105BF" w:rsidRDefault="004812BA" w:rsidP="006233FA">
            <w:pPr>
              <w:spacing w:after="0"/>
              <w:rPr>
                <w:color w:val="000000"/>
                <w:sz w:val="20"/>
                <w:szCs w:val="20"/>
                <w:lang w:val="en-US"/>
              </w:rPr>
            </w:pPr>
            <w:r w:rsidRPr="00E105BF">
              <w:rPr>
                <w:color w:val="000000"/>
                <w:sz w:val="20"/>
                <w:szCs w:val="20"/>
                <w:lang w:val="en-US"/>
              </w:rPr>
              <w:t>Cook Islands</w:t>
            </w:r>
          </w:p>
        </w:tc>
        <w:tc>
          <w:tcPr>
            <w:tcW w:w="457" w:type="dxa"/>
            <w:tcBorders>
              <w:top w:val="nil"/>
              <w:left w:val="nil"/>
              <w:bottom w:val="single" w:sz="4" w:space="0" w:color="auto"/>
              <w:right w:val="single" w:sz="4" w:space="0" w:color="auto"/>
            </w:tcBorders>
            <w:shd w:val="clear" w:color="auto" w:fill="B7DEE8"/>
          </w:tcPr>
          <w:p w14:paraId="3717E881" w14:textId="77777777" w:rsidR="004812BA" w:rsidRPr="00E105BF" w:rsidRDefault="004812BA" w:rsidP="006233FA">
            <w:pPr>
              <w:spacing w:after="0"/>
              <w:rPr>
                <w:color w:val="000000"/>
                <w:sz w:val="20"/>
                <w:szCs w:val="20"/>
                <w:lang w:val="en-US"/>
              </w:rPr>
            </w:pPr>
            <w:r w:rsidRPr="6EB47483">
              <w:rPr>
                <w:sz w:val="20"/>
                <w:szCs w:val="20"/>
                <w:lang w:val="en-US"/>
              </w:rPr>
              <w:t>46</w:t>
            </w:r>
          </w:p>
        </w:tc>
        <w:tc>
          <w:tcPr>
            <w:tcW w:w="1569" w:type="dxa"/>
            <w:tcBorders>
              <w:top w:val="nil"/>
              <w:left w:val="nil"/>
              <w:bottom w:val="single" w:sz="4" w:space="0" w:color="auto"/>
              <w:right w:val="single" w:sz="4" w:space="0" w:color="auto"/>
            </w:tcBorders>
          </w:tcPr>
          <w:p w14:paraId="2B3F6519" w14:textId="77777777" w:rsidR="004812BA" w:rsidRPr="00E105BF" w:rsidRDefault="004812BA" w:rsidP="006233FA">
            <w:pPr>
              <w:spacing w:after="0"/>
              <w:rPr>
                <w:color w:val="000000"/>
                <w:sz w:val="20"/>
                <w:szCs w:val="20"/>
                <w:lang w:val="en-US"/>
              </w:rPr>
            </w:pPr>
            <w:r w:rsidRPr="6EB47483">
              <w:rPr>
                <w:sz w:val="20"/>
                <w:szCs w:val="20"/>
                <w:lang w:val="en-US"/>
              </w:rPr>
              <w:t>Kyrgyzstan</w:t>
            </w:r>
          </w:p>
        </w:tc>
        <w:tc>
          <w:tcPr>
            <w:tcW w:w="459" w:type="dxa"/>
            <w:tcBorders>
              <w:top w:val="nil"/>
              <w:left w:val="nil"/>
              <w:bottom w:val="single" w:sz="4" w:space="0" w:color="auto"/>
              <w:right w:val="single" w:sz="4" w:space="0" w:color="auto"/>
            </w:tcBorders>
            <w:shd w:val="clear" w:color="auto" w:fill="B7DEE8"/>
          </w:tcPr>
          <w:p w14:paraId="3A162774" w14:textId="77777777" w:rsidR="004812BA" w:rsidRPr="00E105BF" w:rsidRDefault="004812BA" w:rsidP="006233FA">
            <w:pPr>
              <w:spacing w:after="0"/>
              <w:rPr>
                <w:color w:val="000000"/>
                <w:sz w:val="20"/>
                <w:szCs w:val="20"/>
                <w:lang w:val="en-US"/>
              </w:rPr>
            </w:pPr>
            <w:r w:rsidRPr="6EB47483">
              <w:rPr>
                <w:sz w:val="20"/>
                <w:szCs w:val="20"/>
                <w:lang w:val="en-US"/>
              </w:rPr>
              <w:t>70</w:t>
            </w:r>
          </w:p>
        </w:tc>
        <w:tc>
          <w:tcPr>
            <w:tcW w:w="1918" w:type="dxa"/>
            <w:tcBorders>
              <w:top w:val="nil"/>
              <w:left w:val="nil"/>
              <w:bottom w:val="single" w:sz="4" w:space="0" w:color="auto"/>
              <w:right w:val="single" w:sz="4" w:space="0" w:color="auto"/>
            </w:tcBorders>
          </w:tcPr>
          <w:p w14:paraId="7EF46FE5" w14:textId="77777777" w:rsidR="004812BA" w:rsidRPr="00E105BF" w:rsidRDefault="004812BA" w:rsidP="006233FA">
            <w:pPr>
              <w:spacing w:after="0"/>
              <w:rPr>
                <w:sz w:val="20"/>
                <w:szCs w:val="20"/>
                <w:lang w:val="en-US"/>
              </w:rPr>
            </w:pPr>
            <w:r w:rsidRPr="6EB47483">
              <w:rPr>
                <w:sz w:val="20"/>
                <w:szCs w:val="20"/>
                <w:lang w:val="en-US"/>
              </w:rPr>
              <w:t>Paraguay</w:t>
            </w:r>
          </w:p>
          <w:p w14:paraId="02758D78" w14:textId="77777777" w:rsidR="004812BA" w:rsidRPr="00E105BF" w:rsidRDefault="004812BA" w:rsidP="006233FA">
            <w:pPr>
              <w:spacing w:after="0"/>
              <w:rPr>
                <w:color w:val="000000"/>
                <w:sz w:val="20"/>
                <w:szCs w:val="20"/>
                <w:lang w:val="en-US"/>
              </w:rPr>
            </w:pPr>
          </w:p>
        </w:tc>
        <w:tc>
          <w:tcPr>
            <w:tcW w:w="472" w:type="dxa"/>
            <w:tcBorders>
              <w:top w:val="nil"/>
              <w:left w:val="nil"/>
              <w:bottom w:val="single" w:sz="4" w:space="0" w:color="auto"/>
              <w:right w:val="single" w:sz="4" w:space="0" w:color="auto"/>
            </w:tcBorders>
            <w:shd w:val="clear" w:color="auto" w:fill="B7DEE8"/>
          </w:tcPr>
          <w:p w14:paraId="72C0F002" w14:textId="77777777" w:rsidR="004812BA" w:rsidRPr="00E105BF" w:rsidRDefault="004812BA" w:rsidP="006233FA">
            <w:pPr>
              <w:spacing w:after="0"/>
              <w:rPr>
                <w:color w:val="auto"/>
                <w:sz w:val="20"/>
                <w:szCs w:val="20"/>
                <w:lang w:val="en-US"/>
              </w:rPr>
            </w:pPr>
            <w:r w:rsidRPr="2818B29D">
              <w:rPr>
                <w:color w:val="auto"/>
                <w:sz w:val="20"/>
                <w:szCs w:val="20"/>
                <w:lang w:val="en-US"/>
              </w:rPr>
              <w:t>94</w:t>
            </w:r>
          </w:p>
        </w:tc>
        <w:tc>
          <w:tcPr>
            <w:tcW w:w="2005" w:type="dxa"/>
            <w:tcBorders>
              <w:top w:val="nil"/>
              <w:left w:val="nil"/>
              <w:bottom w:val="single" w:sz="4" w:space="0" w:color="auto"/>
              <w:right w:val="single" w:sz="4" w:space="0" w:color="auto"/>
            </w:tcBorders>
          </w:tcPr>
          <w:p w14:paraId="6EC47E81" w14:textId="71F21A78" w:rsidR="004812BA" w:rsidRPr="00E105BF" w:rsidRDefault="004812BA" w:rsidP="006233FA">
            <w:pPr>
              <w:spacing w:after="0"/>
              <w:rPr>
                <w:color w:val="000000"/>
                <w:sz w:val="20"/>
                <w:szCs w:val="20"/>
                <w:lang w:val="en-US"/>
              </w:rPr>
            </w:pPr>
            <w:r w:rsidRPr="6EB47483">
              <w:rPr>
                <w:sz w:val="20"/>
                <w:szCs w:val="20"/>
                <w:lang w:val="en-US"/>
              </w:rPr>
              <w:t>Zimbabwe</w:t>
            </w:r>
          </w:p>
        </w:tc>
      </w:tr>
      <w:tr w:rsidR="004812BA" w:rsidRPr="00E105BF" w14:paraId="3F76F373" w14:textId="77777777" w:rsidTr="00340872">
        <w:trPr>
          <w:trHeight w:val="331"/>
          <w:jc w:val="center"/>
        </w:trPr>
        <w:tc>
          <w:tcPr>
            <w:tcW w:w="472" w:type="dxa"/>
            <w:tcBorders>
              <w:top w:val="nil"/>
              <w:left w:val="single" w:sz="4" w:space="0" w:color="auto"/>
              <w:bottom w:val="single" w:sz="4" w:space="0" w:color="auto"/>
              <w:right w:val="single" w:sz="4" w:space="0" w:color="auto"/>
            </w:tcBorders>
            <w:shd w:val="clear" w:color="auto" w:fill="B7DEE8"/>
            <w:hideMark/>
          </w:tcPr>
          <w:p w14:paraId="492461B0" w14:textId="77777777" w:rsidR="004812BA" w:rsidRPr="00E105BF" w:rsidRDefault="004812BA" w:rsidP="006233FA">
            <w:pPr>
              <w:spacing w:after="0"/>
              <w:rPr>
                <w:color w:val="000000"/>
                <w:sz w:val="20"/>
                <w:szCs w:val="20"/>
                <w:lang w:val="en-US"/>
              </w:rPr>
            </w:pPr>
            <w:r w:rsidRPr="6EB47483">
              <w:rPr>
                <w:sz w:val="20"/>
                <w:szCs w:val="20"/>
                <w:lang w:val="en-US"/>
              </w:rPr>
              <w:t>23</w:t>
            </w:r>
          </w:p>
        </w:tc>
        <w:tc>
          <w:tcPr>
            <w:tcW w:w="1868" w:type="dxa"/>
            <w:tcBorders>
              <w:top w:val="nil"/>
              <w:left w:val="nil"/>
              <w:bottom w:val="single" w:sz="4" w:space="0" w:color="auto"/>
              <w:right w:val="single" w:sz="4" w:space="0" w:color="auto"/>
            </w:tcBorders>
            <w:hideMark/>
          </w:tcPr>
          <w:p w14:paraId="13C476B5" w14:textId="77777777" w:rsidR="004812BA" w:rsidRPr="00E105BF" w:rsidRDefault="004812BA" w:rsidP="006233FA">
            <w:pPr>
              <w:spacing w:after="0"/>
              <w:rPr>
                <w:color w:val="000000"/>
                <w:sz w:val="20"/>
                <w:szCs w:val="20"/>
                <w:lang w:val="en-US"/>
              </w:rPr>
            </w:pPr>
            <w:r w:rsidRPr="00E105BF">
              <w:rPr>
                <w:color w:val="000000"/>
                <w:sz w:val="20"/>
                <w:szCs w:val="20"/>
                <w:lang w:val="en-US"/>
              </w:rPr>
              <w:t>Costa Rica</w:t>
            </w:r>
          </w:p>
        </w:tc>
        <w:tc>
          <w:tcPr>
            <w:tcW w:w="457" w:type="dxa"/>
            <w:tcBorders>
              <w:top w:val="nil"/>
              <w:left w:val="nil"/>
              <w:bottom w:val="single" w:sz="4" w:space="0" w:color="auto"/>
              <w:right w:val="single" w:sz="4" w:space="0" w:color="auto"/>
            </w:tcBorders>
            <w:shd w:val="clear" w:color="auto" w:fill="B7DEE8"/>
          </w:tcPr>
          <w:p w14:paraId="730AB918" w14:textId="77777777" w:rsidR="004812BA" w:rsidRPr="00E105BF" w:rsidRDefault="004812BA" w:rsidP="006233FA">
            <w:pPr>
              <w:spacing w:after="0"/>
              <w:rPr>
                <w:color w:val="000000"/>
                <w:sz w:val="20"/>
                <w:szCs w:val="20"/>
                <w:lang w:val="en-US"/>
              </w:rPr>
            </w:pPr>
            <w:r w:rsidRPr="6EB47483">
              <w:rPr>
                <w:sz w:val="20"/>
                <w:szCs w:val="20"/>
                <w:lang w:val="en-US"/>
              </w:rPr>
              <w:t>47</w:t>
            </w:r>
          </w:p>
        </w:tc>
        <w:tc>
          <w:tcPr>
            <w:tcW w:w="1569" w:type="dxa"/>
            <w:tcBorders>
              <w:top w:val="nil"/>
              <w:left w:val="nil"/>
              <w:bottom w:val="single" w:sz="4" w:space="0" w:color="auto"/>
              <w:right w:val="single" w:sz="4" w:space="0" w:color="auto"/>
            </w:tcBorders>
          </w:tcPr>
          <w:p w14:paraId="7D6BC886" w14:textId="77777777" w:rsidR="004812BA" w:rsidRPr="00E105BF" w:rsidRDefault="004812BA" w:rsidP="006233FA">
            <w:pPr>
              <w:spacing w:after="0"/>
              <w:rPr>
                <w:sz w:val="20"/>
                <w:szCs w:val="20"/>
                <w:lang w:val="en-US"/>
              </w:rPr>
            </w:pPr>
            <w:r w:rsidRPr="00784DC9">
              <w:rPr>
                <w:sz w:val="20"/>
                <w:szCs w:val="20"/>
                <w:lang w:val="en-US"/>
              </w:rPr>
              <w:t>Lao People’s Democratic Republic</w:t>
            </w:r>
          </w:p>
        </w:tc>
        <w:tc>
          <w:tcPr>
            <w:tcW w:w="459" w:type="dxa"/>
            <w:tcBorders>
              <w:top w:val="nil"/>
              <w:left w:val="nil"/>
              <w:bottom w:val="single" w:sz="4" w:space="0" w:color="auto"/>
              <w:right w:val="single" w:sz="4" w:space="0" w:color="auto"/>
            </w:tcBorders>
            <w:shd w:val="clear" w:color="auto" w:fill="B7DEE8"/>
          </w:tcPr>
          <w:p w14:paraId="2AF8B1CB" w14:textId="77777777" w:rsidR="004812BA" w:rsidRPr="00E105BF" w:rsidRDefault="004812BA" w:rsidP="006233FA">
            <w:pPr>
              <w:spacing w:after="0"/>
              <w:rPr>
                <w:color w:val="000000"/>
                <w:sz w:val="20"/>
                <w:szCs w:val="20"/>
                <w:lang w:val="en-US"/>
              </w:rPr>
            </w:pPr>
            <w:r w:rsidRPr="6EB47483">
              <w:rPr>
                <w:sz w:val="20"/>
                <w:szCs w:val="20"/>
                <w:lang w:val="en-US"/>
              </w:rPr>
              <w:t>71</w:t>
            </w:r>
          </w:p>
        </w:tc>
        <w:tc>
          <w:tcPr>
            <w:tcW w:w="1918" w:type="dxa"/>
            <w:tcBorders>
              <w:top w:val="nil"/>
              <w:left w:val="nil"/>
              <w:bottom w:val="single" w:sz="4" w:space="0" w:color="auto"/>
              <w:right w:val="single" w:sz="4" w:space="0" w:color="auto"/>
            </w:tcBorders>
          </w:tcPr>
          <w:p w14:paraId="21C98EFE" w14:textId="77777777" w:rsidR="004812BA" w:rsidRPr="00E105BF" w:rsidRDefault="004812BA" w:rsidP="006233FA">
            <w:pPr>
              <w:spacing w:after="0"/>
              <w:rPr>
                <w:sz w:val="20"/>
                <w:szCs w:val="20"/>
                <w:lang w:val="en-US"/>
              </w:rPr>
            </w:pPr>
            <w:r w:rsidRPr="6EB47483">
              <w:rPr>
                <w:sz w:val="20"/>
                <w:szCs w:val="20"/>
                <w:lang w:val="en-US"/>
              </w:rPr>
              <w:t>Republic of Moldova</w:t>
            </w:r>
          </w:p>
          <w:p w14:paraId="4C7F5C5F" w14:textId="77777777" w:rsidR="004812BA" w:rsidRPr="00E105BF" w:rsidRDefault="004812BA" w:rsidP="006233FA">
            <w:pPr>
              <w:spacing w:after="0"/>
              <w:rPr>
                <w:color w:val="000000"/>
                <w:sz w:val="20"/>
                <w:szCs w:val="20"/>
                <w:lang w:val="en-US"/>
              </w:rPr>
            </w:pPr>
          </w:p>
        </w:tc>
        <w:tc>
          <w:tcPr>
            <w:tcW w:w="472" w:type="dxa"/>
            <w:tcBorders>
              <w:top w:val="nil"/>
              <w:left w:val="nil"/>
              <w:bottom w:val="single" w:sz="4" w:space="0" w:color="auto"/>
              <w:right w:val="single" w:sz="4" w:space="0" w:color="auto"/>
            </w:tcBorders>
            <w:shd w:val="clear" w:color="auto" w:fill="B7DEE8"/>
          </w:tcPr>
          <w:p w14:paraId="4D0787E5" w14:textId="77777777" w:rsidR="004812BA" w:rsidRPr="00E105BF" w:rsidRDefault="004812BA" w:rsidP="006233FA">
            <w:pPr>
              <w:spacing w:after="0"/>
              <w:rPr>
                <w:color w:val="auto"/>
                <w:sz w:val="20"/>
                <w:szCs w:val="20"/>
                <w:lang w:val="en-US"/>
              </w:rPr>
            </w:pPr>
          </w:p>
        </w:tc>
        <w:tc>
          <w:tcPr>
            <w:tcW w:w="2005" w:type="dxa"/>
            <w:tcBorders>
              <w:top w:val="nil"/>
              <w:left w:val="nil"/>
              <w:bottom w:val="single" w:sz="4" w:space="0" w:color="auto"/>
              <w:right w:val="single" w:sz="4" w:space="0" w:color="auto"/>
            </w:tcBorders>
          </w:tcPr>
          <w:p w14:paraId="34F53ECC" w14:textId="77777777" w:rsidR="004812BA" w:rsidRPr="00E105BF" w:rsidRDefault="004812BA" w:rsidP="006233FA">
            <w:pPr>
              <w:spacing w:after="0"/>
              <w:rPr>
                <w:color w:val="000000"/>
                <w:sz w:val="20"/>
                <w:szCs w:val="20"/>
                <w:lang w:val="en-US"/>
              </w:rPr>
            </w:pPr>
          </w:p>
        </w:tc>
      </w:tr>
      <w:tr w:rsidR="004812BA" w:rsidRPr="00E105BF" w14:paraId="0EB7B9D7" w14:textId="77777777" w:rsidTr="00340872">
        <w:trPr>
          <w:trHeight w:val="498"/>
          <w:jc w:val="center"/>
        </w:trPr>
        <w:tc>
          <w:tcPr>
            <w:tcW w:w="472" w:type="dxa"/>
            <w:tcBorders>
              <w:top w:val="single" w:sz="4" w:space="0" w:color="auto"/>
              <w:left w:val="single" w:sz="4" w:space="0" w:color="auto"/>
              <w:bottom w:val="single" w:sz="4" w:space="0" w:color="auto"/>
              <w:right w:val="single" w:sz="4" w:space="0" w:color="auto"/>
            </w:tcBorders>
            <w:shd w:val="clear" w:color="auto" w:fill="B7DEE8"/>
          </w:tcPr>
          <w:p w14:paraId="5166465D" w14:textId="77777777" w:rsidR="004812BA" w:rsidRPr="00E105BF" w:rsidRDefault="004812BA" w:rsidP="006233FA">
            <w:pPr>
              <w:spacing w:after="0"/>
              <w:rPr>
                <w:color w:val="000000"/>
                <w:sz w:val="20"/>
                <w:szCs w:val="20"/>
                <w:lang w:val="en-US"/>
              </w:rPr>
            </w:pPr>
            <w:r w:rsidRPr="6EB47483">
              <w:rPr>
                <w:sz w:val="20"/>
                <w:szCs w:val="20"/>
                <w:lang w:val="en-US"/>
              </w:rPr>
              <w:t>24</w:t>
            </w:r>
          </w:p>
        </w:tc>
        <w:tc>
          <w:tcPr>
            <w:tcW w:w="1868" w:type="dxa"/>
            <w:tcBorders>
              <w:top w:val="single" w:sz="4" w:space="0" w:color="auto"/>
              <w:left w:val="nil"/>
              <w:bottom w:val="single" w:sz="4" w:space="0" w:color="auto"/>
              <w:right w:val="single" w:sz="4" w:space="0" w:color="auto"/>
            </w:tcBorders>
          </w:tcPr>
          <w:p w14:paraId="5BA6317B" w14:textId="77777777" w:rsidR="004812BA" w:rsidRPr="00E105BF" w:rsidRDefault="004812BA" w:rsidP="006233FA">
            <w:pPr>
              <w:spacing w:after="0"/>
              <w:rPr>
                <w:color w:val="000000"/>
                <w:sz w:val="20"/>
                <w:szCs w:val="20"/>
                <w:lang w:val="en-US"/>
              </w:rPr>
            </w:pPr>
            <w:r w:rsidRPr="00E105BF">
              <w:rPr>
                <w:color w:val="000000"/>
                <w:sz w:val="20"/>
                <w:szCs w:val="20"/>
                <w:lang w:val="en-US"/>
              </w:rPr>
              <w:t>Cuba</w:t>
            </w:r>
          </w:p>
        </w:tc>
        <w:tc>
          <w:tcPr>
            <w:tcW w:w="457" w:type="dxa"/>
            <w:tcBorders>
              <w:top w:val="single" w:sz="4" w:space="0" w:color="auto"/>
              <w:left w:val="nil"/>
              <w:bottom w:val="single" w:sz="4" w:space="0" w:color="auto"/>
              <w:right w:val="single" w:sz="4" w:space="0" w:color="auto"/>
            </w:tcBorders>
            <w:shd w:val="clear" w:color="auto" w:fill="B7DEE8"/>
          </w:tcPr>
          <w:p w14:paraId="11C51168" w14:textId="77777777" w:rsidR="004812BA" w:rsidRPr="00E105BF" w:rsidRDefault="004812BA" w:rsidP="006233FA">
            <w:pPr>
              <w:spacing w:after="0"/>
              <w:rPr>
                <w:color w:val="000000"/>
                <w:sz w:val="20"/>
                <w:szCs w:val="20"/>
                <w:lang w:val="en-US"/>
              </w:rPr>
            </w:pPr>
            <w:r w:rsidRPr="6EB47483">
              <w:rPr>
                <w:sz w:val="20"/>
                <w:szCs w:val="20"/>
                <w:lang w:val="en-US"/>
              </w:rPr>
              <w:t>48</w:t>
            </w:r>
          </w:p>
        </w:tc>
        <w:tc>
          <w:tcPr>
            <w:tcW w:w="1569" w:type="dxa"/>
            <w:tcBorders>
              <w:top w:val="single" w:sz="4" w:space="0" w:color="auto"/>
              <w:left w:val="nil"/>
              <w:bottom w:val="single" w:sz="4" w:space="0" w:color="auto"/>
              <w:right w:val="single" w:sz="4" w:space="0" w:color="auto"/>
            </w:tcBorders>
          </w:tcPr>
          <w:p w14:paraId="50396E77" w14:textId="77777777" w:rsidR="004812BA" w:rsidRPr="00E105BF" w:rsidRDefault="004812BA" w:rsidP="006233FA">
            <w:pPr>
              <w:spacing w:after="0"/>
              <w:rPr>
                <w:color w:val="000000"/>
                <w:sz w:val="20"/>
                <w:szCs w:val="20"/>
                <w:highlight w:val="yellow"/>
                <w:lang w:val="en-US"/>
              </w:rPr>
            </w:pPr>
            <w:r w:rsidRPr="6EB47483">
              <w:rPr>
                <w:sz w:val="20"/>
                <w:szCs w:val="20"/>
                <w:lang w:val="en-US"/>
              </w:rPr>
              <w:t>Lesotho</w:t>
            </w:r>
          </w:p>
        </w:tc>
        <w:tc>
          <w:tcPr>
            <w:tcW w:w="459" w:type="dxa"/>
            <w:tcBorders>
              <w:top w:val="single" w:sz="4" w:space="0" w:color="auto"/>
              <w:left w:val="nil"/>
              <w:bottom w:val="single" w:sz="4" w:space="0" w:color="auto"/>
              <w:right w:val="single" w:sz="4" w:space="0" w:color="auto"/>
            </w:tcBorders>
            <w:shd w:val="clear" w:color="auto" w:fill="B7DEE8"/>
          </w:tcPr>
          <w:p w14:paraId="464FA119" w14:textId="77777777" w:rsidR="004812BA" w:rsidRPr="00E105BF" w:rsidRDefault="004812BA" w:rsidP="006233FA">
            <w:pPr>
              <w:spacing w:after="0"/>
              <w:rPr>
                <w:color w:val="000000"/>
                <w:sz w:val="20"/>
                <w:szCs w:val="20"/>
                <w:lang w:val="en-US"/>
              </w:rPr>
            </w:pPr>
            <w:r w:rsidRPr="6EB47483">
              <w:rPr>
                <w:sz w:val="20"/>
                <w:szCs w:val="20"/>
                <w:lang w:val="en-US"/>
              </w:rPr>
              <w:t>72</w:t>
            </w:r>
          </w:p>
        </w:tc>
        <w:tc>
          <w:tcPr>
            <w:tcW w:w="1918" w:type="dxa"/>
            <w:tcBorders>
              <w:top w:val="single" w:sz="4" w:space="0" w:color="auto"/>
              <w:left w:val="nil"/>
              <w:bottom w:val="single" w:sz="4" w:space="0" w:color="auto"/>
              <w:right w:val="single" w:sz="4" w:space="0" w:color="auto"/>
            </w:tcBorders>
          </w:tcPr>
          <w:p w14:paraId="77E41C10" w14:textId="77777777" w:rsidR="004812BA" w:rsidRPr="00E105BF" w:rsidRDefault="004812BA" w:rsidP="006233FA">
            <w:pPr>
              <w:spacing w:after="0"/>
              <w:rPr>
                <w:color w:val="000000"/>
                <w:sz w:val="20"/>
                <w:szCs w:val="20"/>
                <w:lang w:val="en-US"/>
              </w:rPr>
            </w:pPr>
            <w:r>
              <w:rPr>
                <w:sz w:val="20"/>
                <w:szCs w:val="20"/>
                <w:lang w:val="en-US"/>
              </w:rPr>
              <w:t>Rwanda</w:t>
            </w:r>
          </w:p>
        </w:tc>
        <w:tc>
          <w:tcPr>
            <w:tcW w:w="472" w:type="dxa"/>
            <w:tcBorders>
              <w:top w:val="single" w:sz="4" w:space="0" w:color="auto"/>
              <w:left w:val="nil"/>
              <w:bottom w:val="single" w:sz="4" w:space="0" w:color="auto"/>
              <w:right w:val="single" w:sz="4" w:space="0" w:color="auto"/>
            </w:tcBorders>
            <w:shd w:val="clear" w:color="auto" w:fill="B7DEE8"/>
          </w:tcPr>
          <w:p w14:paraId="051585CE" w14:textId="77777777" w:rsidR="004812BA" w:rsidRPr="00E105BF" w:rsidRDefault="004812BA" w:rsidP="006233FA">
            <w:pPr>
              <w:spacing w:after="0"/>
              <w:rPr>
                <w:color w:val="auto"/>
                <w:sz w:val="20"/>
                <w:szCs w:val="20"/>
                <w:lang w:val="en-US"/>
              </w:rPr>
            </w:pPr>
          </w:p>
        </w:tc>
        <w:tc>
          <w:tcPr>
            <w:tcW w:w="2005" w:type="dxa"/>
            <w:tcBorders>
              <w:top w:val="single" w:sz="4" w:space="0" w:color="auto"/>
              <w:left w:val="nil"/>
              <w:bottom w:val="single" w:sz="4" w:space="0" w:color="auto"/>
              <w:right w:val="single" w:sz="4" w:space="0" w:color="auto"/>
            </w:tcBorders>
          </w:tcPr>
          <w:p w14:paraId="25BAEA35" w14:textId="77777777" w:rsidR="004812BA" w:rsidRPr="00E105BF" w:rsidRDefault="004812BA" w:rsidP="006233FA">
            <w:pPr>
              <w:spacing w:after="0"/>
              <w:rPr>
                <w:color w:val="000000"/>
                <w:sz w:val="20"/>
                <w:szCs w:val="20"/>
                <w:lang w:val="en-US"/>
              </w:rPr>
            </w:pPr>
          </w:p>
        </w:tc>
      </w:tr>
    </w:tbl>
    <w:p w14:paraId="396124A1" w14:textId="77777777" w:rsidR="00340872" w:rsidRDefault="00340872" w:rsidP="004812BA"/>
    <w:p w14:paraId="72D06F64" w14:textId="77777777" w:rsidR="00340872" w:rsidRDefault="00340872">
      <w:pPr>
        <w:tabs>
          <w:tab w:val="clear" w:pos="0"/>
        </w:tabs>
        <w:spacing w:after="0"/>
      </w:pPr>
      <w:r>
        <w:br w:type="page"/>
      </w:r>
    </w:p>
    <w:tbl>
      <w:tblPr>
        <w:tblW w:w="9074" w:type="dxa"/>
        <w:jc w:val="center"/>
        <w:tblLook w:val="04A0" w:firstRow="1" w:lastRow="0" w:firstColumn="1" w:lastColumn="0" w:noHBand="0" w:noVBand="1"/>
      </w:tblPr>
      <w:tblGrid>
        <w:gridCol w:w="465"/>
        <w:gridCol w:w="1838"/>
        <w:gridCol w:w="450"/>
        <w:gridCol w:w="1544"/>
        <w:gridCol w:w="452"/>
        <w:gridCol w:w="1887"/>
        <w:gridCol w:w="465"/>
        <w:gridCol w:w="1973"/>
      </w:tblGrid>
      <w:tr w:rsidR="00EE0304" w:rsidRPr="00E242FE" w14:paraId="736B63BD" w14:textId="77777777" w:rsidTr="00036298">
        <w:trPr>
          <w:trHeight w:val="288"/>
          <w:jc w:val="center"/>
        </w:trPr>
        <w:tc>
          <w:tcPr>
            <w:tcW w:w="9074" w:type="dxa"/>
            <w:gridSpan w:val="8"/>
            <w:tcBorders>
              <w:top w:val="single" w:sz="4" w:space="0" w:color="auto"/>
              <w:left w:val="single" w:sz="4" w:space="0" w:color="auto"/>
              <w:bottom w:val="single" w:sz="4" w:space="0" w:color="auto"/>
              <w:right w:val="single" w:sz="4" w:space="0" w:color="000000" w:themeColor="text1"/>
            </w:tcBorders>
            <w:shd w:val="clear" w:color="auto" w:fill="B7DEE8"/>
            <w:vAlign w:val="center"/>
            <w:hideMark/>
          </w:tcPr>
          <w:p w14:paraId="13EC1A59" w14:textId="77777777" w:rsidR="00EE0304" w:rsidRDefault="00EE0304" w:rsidP="00036298">
            <w:pPr>
              <w:spacing w:after="0"/>
              <w:jc w:val="center"/>
              <w:rPr>
                <w:b/>
                <w:bCs/>
                <w:sz w:val="20"/>
                <w:szCs w:val="20"/>
                <w:lang w:val="en-US"/>
              </w:rPr>
            </w:pPr>
            <w:r w:rsidRPr="1AB6E3AA">
              <w:rPr>
                <w:b/>
                <w:bCs/>
                <w:sz w:val="20"/>
                <w:szCs w:val="20"/>
                <w:lang w:val="en-US"/>
              </w:rPr>
              <w:lastRenderedPageBreak/>
              <w:t>Countries Funded as LVCs</w:t>
            </w:r>
            <w:r>
              <w:rPr>
                <w:b/>
                <w:bCs/>
                <w:sz w:val="20"/>
                <w:szCs w:val="20"/>
                <w:lang w:val="en-US"/>
              </w:rPr>
              <w:t xml:space="preserve"> under</w:t>
            </w:r>
            <w:r w:rsidR="00C7233A">
              <w:rPr>
                <w:b/>
                <w:bCs/>
                <w:sz w:val="20"/>
                <w:szCs w:val="20"/>
                <w:lang w:val="en-US"/>
              </w:rPr>
              <w:t xml:space="preserve"> HFC Phase-down</w:t>
            </w:r>
            <w:r w:rsidRPr="1AB6E3AA">
              <w:rPr>
                <w:b/>
                <w:bCs/>
                <w:sz w:val="20"/>
                <w:szCs w:val="20"/>
                <w:lang w:val="en-US"/>
              </w:rPr>
              <w:t xml:space="preserve"> – </w:t>
            </w:r>
            <w:r w:rsidR="00C7233A">
              <w:rPr>
                <w:b/>
                <w:bCs/>
                <w:sz w:val="20"/>
                <w:szCs w:val="20"/>
                <w:lang w:val="en-US"/>
              </w:rPr>
              <w:t>8</w:t>
            </w:r>
            <w:r w:rsidRPr="1AB6E3AA">
              <w:rPr>
                <w:b/>
                <w:bCs/>
                <w:sz w:val="20"/>
                <w:szCs w:val="20"/>
                <w:lang w:val="en-US"/>
              </w:rPr>
              <w:t>4</w:t>
            </w:r>
          </w:p>
          <w:p w14:paraId="2F3DDD9C" w14:textId="0EED8BDB" w:rsidR="006906D1" w:rsidRPr="00E242FE" w:rsidRDefault="006906D1" w:rsidP="00036298">
            <w:pPr>
              <w:spacing w:after="0"/>
              <w:jc w:val="center"/>
              <w:rPr>
                <w:b/>
                <w:bCs/>
                <w:color w:val="000000"/>
                <w:sz w:val="20"/>
                <w:szCs w:val="20"/>
                <w:lang w:val="en-US"/>
              </w:rPr>
            </w:pPr>
          </w:p>
        </w:tc>
      </w:tr>
      <w:tr w:rsidR="00ED45AD" w:rsidRPr="00E105BF" w14:paraId="6EE0AD90"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79DE4118" w14:textId="77777777" w:rsidR="00ED45AD" w:rsidRPr="00E105BF" w:rsidRDefault="00ED45AD" w:rsidP="00ED45AD">
            <w:pPr>
              <w:spacing w:after="0"/>
              <w:rPr>
                <w:color w:val="000000"/>
                <w:sz w:val="20"/>
                <w:szCs w:val="20"/>
                <w:lang w:val="en-US"/>
              </w:rPr>
            </w:pPr>
            <w:r w:rsidRPr="2818B29D">
              <w:rPr>
                <w:sz w:val="20"/>
                <w:szCs w:val="20"/>
                <w:lang w:val="en-US"/>
              </w:rPr>
              <w:t>1</w:t>
            </w:r>
          </w:p>
        </w:tc>
        <w:tc>
          <w:tcPr>
            <w:tcW w:w="1838" w:type="dxa"/>
            <w:tcBorders>
              <w:top w:val="nil"/>
              <w:left w:val="nil"/>
              <w:bottom w:val="single" w:sz="4" w:space="0" w:color="auto"/>
              <w:right w:val="single" w:sz="4" w:space="0" w:color="auto"/>
            </w:tcBorders>
            <w:hideMark/>
          </w:tcPr>
          <w:p w14:paraId="5E74243D" w14:textId="77777777" w:rsidR="00ED45AD" w:rsidRPr="00E105BF" w:rsidRDefault="00ED45AD" w:rsidP="00ED45AD">
            <w:pPr>
              <w:spacing w:after="0"/>
              <w:rPr>
                <w:color w:val="000000"/>
                <w:sz w:val="20"/>
                <w:szCs w:val="20"/>
                <w:lang w:val="en-US"/>
              </w:rPr>
            </w:pPr>
            <w:r w:rsidRPr="2818B29D">
              <w:rPr>
                <w:sz w:val="20"/>
                <w:szCs w:val="20"/>
                <w:lang w:val="en-US"/>
              </w:rPr>
              <w:t>Albania</w:t>
            </w:r>
          </w:p>
        </w:tc>
        <w:tc>
          <w:tcPr>
            <w:tcW w:w="450" w:type="dxa"/>
            <w:tcBorders>
              <w:top w:val="nil"/>
              <w:left w:val="nil"/>
              <w:bottom w:val="single" w:sz="4" w:space="0" w:color="auto"/>
              <w:right w:val="single" w:sz="4" w:space="0" w:color="auto"/>
            </w:tcBorders>
            <w:shd w:val="clear" w:color="auto" w:fill="B7DEE8"/>
          </w:tcPr>
          <w:p w14:paraId="289F0F01" w14:textId="23377E08" w:rsidR="00ED45AD" w:rsidRPr="00E105BF" w:rsidRDefault="00ED45AD" w:rsidP="00ED45AD">
            <w:pPr>
              <w:spacing w:after="0"/>
              <w:rPr>
                <w:color w:val="000000"/>
                <w:sz w:val="20"/>
                <w:szCs w:val="20"/>
                <w:lang w:val="en-US"/>
              </w:rPr>
            </w:pPr>
            <w:r w:rsidRPr="6EB47483">
              <w:rPr>
                <w:sz w:val="20"/>
                <w:szCs w:val="20"/>
                <w:lang w:val="en-US"/>
              </w:rPr>
              <w:t>2</w:t>
            </w:r>
            <w:r>
              <w:rPr>
                <w:sz w:val="20"/>
                <w:szCs w:val="20"/>
                <w:lang w:val="en-US"/>
              </w:rPr>
              <w:t>2</w:t>
            </w:r>
          </w:p>
        </w:tc>
        <w:tc>
          <w:tcPr>
            <w:tcW w:w="1544" w:type="dxa"/>
            <w:tcBorders>
              <w:top w:val="nil"/>
              <w:left w:val="nil"/>
              <w:bottom w:val="single" w:sz="4" w:space="0" w:color="auto"/>
              <w:right w:val="single" w:sz="4" w:space="0" w:color="auto"/>
            </w:tcBorders>
          </w:tcPr>
          <w:p w14:paraId="790F60D7" w14:textId="7177E66B" w:rsidR="00ED45AD" w:rsidRPr="00E105BF" w:rsidRDefault="00ED45AD" w:rsidP="00ED45AD">
            <w:pPr>
              <w:spacing w:after="0"/>
              <w:rPr>
                <w:color w:val="000000"/>
                <w:sz w:val="20"/>
                <w:szCs w:val="20"/>
                <w:lang w:val="en-US"/>
              </w:rPr>
            </w:pPr>
            <w:r w:rsidRPr="2818B29D">
              <w:rPr>
                <w:sz w:val="20"/>
                <w:szCs w:val="20"/>
                <w:lang w:val="en-US"/>
              </w:rPr>
              <w:t>Dominica</w:t>
            </w:r>
          </w:p>
        </w:tc>
        <w:tc>
          <w:tcPr>
            <w:tcW w:w="452" w:type="dxa"/>
            <w:tcBorders>
              <w:top w:val="nil"/>
              <w:left w:val="nil"/>
              <w:bottom w:val="single" w:sz="4" w:space="0" w:color="auto"/>
              <w:right w:val="single" w:sz="4" w:space="0" w:color="auto"/>
            </w:tcBorders>
            <w:shd w:val="clear" w:color="auto" w:fill="B7DEE8"/>
          </w:tcPr>
          <w:p w14:paraId="5E03233F" w14:textId="2B4A60F0" w:rsidR="00ED45AD" w:rsidRPr="00E105BF" w:rsidRDefault="00ED45AD" w:rsidP="00ED45AD">
            <w:pPr>
              <w:spacing w:after="0"/>
              <w:rPr>
                <w:color w:val="000000"/>
                <w:sz w:val="20"/>
                <w:szCs w:val="20"/>
                <w:lang w:val="en-US"/>
              </w:rPr>
            </w:pPr>
            <w:r w:rsidRPr="6EB47483">
              <w:rPr>
                <w:sz w:val="20"/>
                <w:szCs w:val="20"/>
                <w:lang w:val="en-US"/>
              </w:rPr>
              <w:t>4</w:t>
            </w:r>
            <w:r w:rsidR="009043AD">
              <w:rPr>
                <w:sz w:val="20"/>
                <w:szCs w:val="20"/>
                <w:lang w:val="en-US"/>
              </w:rPr>
              <w:t>3</w:t>
            </w:r>
          </w:p>
        </w:tc>
        <w:tc>
          <w:tcPr>
            <w:tcW w:w="1887" w:type="dxa"/>
            <w:tcBorders>
              <w:top w:val="nil"/>
              <w:left w:val="nil"/>
              <w:bottom w:val="single" w:sz="4" w:space="0" w:color="auto"/>
              <w:right w:val="single" w:sz="4" w:space="0" w:color="auto"/>
            </w:tcBorders>
          </w:tcPr>
          <w:p w14:paraId="0E5A442B" w14:textId="77777777" w:rsidR="00ED45AD" w:rsidRPr="00E105BF" w:rsidRDefault="00ED45AD" w:rsidP="00ED45AD">
            <w:pPr>
              <w:spacing w:after="0"/>
              <w:rPr>
                <w:sz w:val="20"/>
                <w:szCs w:val="20"/>
                <w:lang w:val="en-US"/>
              </w:rPr>
            </w:pPr>
            <w:r w:rsidRPr="6EB47483">
              <w:rPr>
                <w:sz w:val="20"/>
                <w:szCs w:val="20"/>
                <w:lang w:val="en-US"/>
              </w:rPr>
              <w:t>Malawi</w:t>
            </w:r>
          </w:p>
          <w:p w14:paraId="396C0D91" w14:textId="7C99147E" w:rsidR="00ED45AD" w:rsidRPr="00E105BF" w:rsidRDefault="00ED45AD" w:rsidP="00ED45AD">
            <w:pPr>
              <w:spacing w:after="0"/>
              <w:rPr>
                <w:color w:val="000000"/>
                <w:sz w:val="20"/>
                <w:szCs w:val="20"/>
                <w:lang w:val="en-US"/>
              </w:rPr>
            </w:pPr>
          </w:p>
        </w:tc>
        <w:tc>
          <w:tcPr>
            <w:tcW w:w="465" w:type="dxa"/>
            <w:tcBorders>
              <w:top w:val="nil"/>
              <w:left w:val="nil"/>
              <w:bottom w:val="single" w:sz="4" w:space="0" w:color="auto"/>
              <w:right w:val="single" w:sz="4" w:space="0" w:color="auto"/>
            </w:tcBorders>
            <w:shd w:val="clear" w:color="auto" w:fill="B7DEE8"/>
          </w:tcPr>
          <w:p w14:paraId="015139D0" w14:textId="0543CA44" w:rsidR="00ED45AD" w:rsidRPr="00E105BF" w:rsidRDefault="00E66EEC" w:rsidP="00ED45AD">
            <w:pPr>
              <w:spacing w:after="0"/>
              <w:rPr>
                <w:color w:val="000000"/>
                <w:sz w:val="20"/>
                <w:szCs w:val="20"/>
                <w:lang w:val="en-US"/>
              </w:rPr>
            </w:pPr>
            <w:r>
              <w:rPr>
                <w:sz w:val="20"/>
                <w:szCs w:val="20"/>
                <w:lang w:val="en-US"/>
              </w:rPr>
              <w:t>64</w:t>
            </w:r>
          </w:p>
        </w:tc>
        <w:tc>
          <w:tcPr>
            <w:tcW w:w="1973" w:type="dxa"/>
            <w:tcBorders>
              <w:top w:val="nil"/>
              <w:left w:val="nil"/>
              <w:bottom w:val="single" w:sz="4" w:space="0" w:color="auto"/>
              <w:right w:val="single" w:sz="4" w:space="0" w:color="auto"/>
            </w:tcBorders>
          </w:tcPr>
          <w:p w14:paraId="040A1446" w14:textId="71EC3CFE" w:rsidR="00ED45AD" w:rsidRPr="00E105BF" w:rsidRDefault="00ED45AD" w:rsidP="00ED45AD">
            <w:pPr>
              <w:spacing w:after="0"/>
              <w:rPr>
                <w:sz w:val="20"/>
                <w:szCs w:val="20"/>
                <w:lang w:val="en-US"/>
              </w:rPr>
            </w:pPr>
            <w:r>
              <w:rPr>
                <w:sz w:val="20"/>
                <w:szCs w:val="20"/>
                <w:lang w:val="en-US"/>
              </w:rPr>
              <w:t>Rwanda</w:t>
            </w:r>
          </w:p>
          <w:p w14:paraId="11B8855B" w14:textId="77777777" w:rsidR="00ED45AD" w:rsidRPr="00E105BF" w:rsidRDefault="00ED45AD" w:rsidP="00ED45AD">
            <w:pPr>
              <w:spacing w:after="0"/>
              <w:rPr>
                <w:color w:val="000000"/>
                <w:sz w:val="20"/>
                <w:szCs w:val="20"/>
                <w:lang w:val="en-US"/>
              </w:rPr>
            </w:pPr>
          </w:p>
        </w:tc>
      </w:tr>
      <w:tr w:rsidR="00ED45AD" w:rsidRPr="00E105BF" w14:paraId="472789F7"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3C6F6A08" w14:textId="77777777" w:rsidR="00ED45AD" w:rsidRPr="00E105BF" w:rsidRDefault="00ED45AD" w:rsidP="00ED45AD">
            <w:pPr>
              <w:spacing w:after="0"/>
              <w:rPr>
                <w:color w:val="000000"/>
                <w:sz w:val="20"/>
                <w:szCs w:val="20"/>
                <w:lang w:val="en-US"/>
              </w:rPr>
            </w:pPr>
            <w:r w:rsidRPr="2818B29D">
              <w:rPr>
                <w:sz w:val="20"/>
                <w:szCs w:val="20"/>
                <w:lang w:val="en-US"/>
              </w:rPr>
              <w:t>2</w:t>
            </w:r>
          </w:p>
        </w:tc>
        <w:tc>
          <w:tcPr>
            <w:tcW w:w="1838" w:type="dxa"/>
            <w:tcBorders>
              <w:top w:val="nil"/>
              <w:left w:val="nil"/>
              <w:bottom w:val="single" w:sz="4" w:space="0" w:color="auto"/>
              <w:right w:val="single" w:sz="4" w:space="0" w:color="auto"/>
            </w:tcBorders>
            <w:hideMark/>
          </w:tcPr>
          <w:p w14:paraId="194388C1" w14:textId="16D23E1E" w:rsidR="00ED45AD" w:rsidRPr="00E105BF" w:rsidRDefault="00ED45AD" w:rsidP="00ED45AD">
            <w:pPr>
              <w:spacing w:after="0"/>
              <w:rPr>
                <w:color w:val="000000"/>
                <w:sz w:val="20"/>
                <w:szCs w:val="20"/>
                <w:lang w:val="en-US"/>
              </w:rPr>
            </w:pPr>
            <w:r w:rsidRPr="2818B29D">
              <w:rPr>
                <w:sz w:val="20"/>
                <w:szCs w:val="20"/>
                <w:lang w:val="en-US"/>
              </w:rPr>
              <w:t>Antigua and Barbuda</w:t>
            </w:r>
          </w:p>
        </w:tc>
        <w:tc>
          <w:tcPr>
            <w:tcW w:w="450" w:type="dxa"/>
            <w:tcBorders>
              <w:top w:val="nil"/>
              <w:left w:val="nil"/>
              <w:bottom w:val="single" w:sz="4" w:space="0" w:color="auto"/>
              <w:right w:val="single" w:sz="4" w:space="0" w:color="auto"/>
            </w:tcBorders>
            <w:shd w:val="clear" w:color="auto" w:fill="B7DEE8"/>
          </w:tcPr>
          <w:p w14:paraId="4EE21167" w14:textId="5567E960" w:rsidR="00ED45AD" w:rsidRPr="00E105BF" w:rsidRDefault="00ED45AD" w:rsidP="00ED45AD">
            <w:pPr>
              <w:spacing w:after="0"/>
              <w:rPr>
                <w:color w:val="000000"/>
                <w:sz w:val="20"/>
                <w:szCs w:val="20"/>
                <w:lang w:val="en-US"/>
              </w:rPr>
            </w:pPr>
            <w:r w:rsidRPr="6EB47483">
              <w:rPr>
                <w:sz w:val="20"/>
                <w:szCs w:val="20"/>
                <w:lang w:val="en-US"/>
              </w:rPr>
              <w:t>2</w:t>
            </w:r>
            <w:r>
              <w:rPr>
                <w:sz w:val="20"/>
                <w:szCs w:val="20"/>
                <w:lang w:val="en-US"/>
              </w:rPr>
              <w:t>3</w:t>
            </w:r>
          </w:p>
        </w:tc>
        <w:tc>
          <w:tcPr>
            <w:tcW w:w="1544" w:type="dxa"/>
            <w:tcBorders>
              <w:top w:val="nil"/>
              <w:left w:val="nil"/>
              <w:bottom w:val="single" w:sz="4" w:space="0" w:color="auto"/>
              <w:right w:val="single" w:sz="4" w:space="0" w:color="auto"/>
            </w:tcBorders>
          </w:tcPr>
          <w:p w14:paraId="51C28C96" w14:textId="3984CFFD" w:rsidR="00ED45AD" w:rsidRPr="00E105BF" w:rsidRDefault="00ED45AD" w:rsidP="00ED45AD">
            <w:pPr>
              <w:spacing w:after="0"/>
              <w:rPr>
                <w:color w:val="000000"/>
                <w:sz w:val="20"/>
                <w:szCs w:val="20"/>
                <w:lang w:val="en-US"/>
              </w:rPr>
            </w:pPr>
            <w:r w:rsidRPr="2818B29D">
              <w:rPr>
                <w:sz w:val="20"/>
                <w:szCs w:val="20"/>
                <w:lang w:val="en-US"/>
              </w:rPr>
              <w:t>El Salvador</w:t>
            </w:r>
          </w:p>
        </w:tc>
        <w:tc>
          <w:tcPr>
            <w:tcW w:w="452" w:type="dxa"/>
            <w:tcBorders>
              <w:top w:val="nil"/>
              <w:left w:val="nil"/>
              <w:bottom w:val="single" w:sz="4" w:space="0" w:color="auto"/>
              <w:right w:val="single" w:sz="4" w:space="0" w:color="auto"/>
            </w:tcBorders>
            <w:shd w:val="clear" w:color="auto" w:fill="B7DEE8"/>
          </w:tcPr>
          <w:p w14:paraId="2F982D1C" w14:textId="2FF3E591" w:rsidR="00ED45AD" w:rsidRPr="00E105BF" w:rsidRDefault="009043AD" w:rsidP="00ED45AD">
            <w:pPr>
              <w:spacing w:after="0"/>
              <w:rPr>
                <w:color w:val="000000"/>
                <w:sz w:val="20"/>
                <w:szCs w:val="20"/>
                <w:lang w:val="en-US"/>
              </w:rPr>
            </w:pPr>
            <w:r>
              <w:rPr>
                <w:sz w:val="20"/>
                <w:szCs w:val="20"/>
                <w:lang w:val="en-US"/>
              </w:rPr>
              <w:t>44</w:t>
            </w:r>
          </w:p>
        </w:tc>
        <w:tc>
          <w:tcPr>
            <w:tcW w:w="1887" w:type="dxa"/>
            <w:tcBorders>
              <w:top w:val="nil"/>
              <w:left w:val="nil"/>
              <w:bottom w:val="single" w:sz="4" w:space="0" w:color="auto"/>
              <w:right w:val="single" w:sz="4" w:space="0" w:color="auto"/>
            </w:tcBorders>
          </w:tcPr>
          <w:p w14:paraId="7C07641C" w14:textId="37F5DD38" w:rsidR="00ED45AD" w:rsidRPr="00E105BF" w:rsidRDefault="00ED45AD" w:rsidP="00ED45AD">
            <w:pPr>
              <w:spacing w:after="0"/>
              <w:rPr>
                <w:sz w:val="20"/>
                <w:szCs w:val="20"/>
                <w:lang w:val="en-US"/>
              </w:rPr>
            </w:pPr>
            <w:r w:rsidRPr="6EB47483">
              <w:rPr>
                <w:sz w:val="20"/>
                <w:szCs w:val="20"/>
                <w:lang w:val="en-US"/>
              </w:rPr>
              <w:t>Maldives</w:t>
            </w:r>
          </w:p>
        </w:tc>
        <w:tc>
          <w:tcPr>
            <w:tcW w:w="465" w:type="dxa"/>
            <w:tcBorders>
              <w:top w:val="nil"/>
              <w:left w:val="nil"/>
              <w:bottom w:val="single" w:sz="4" w:space="0" w:color="auto"/>
              <w:right w:val="single" w:sz="4" w:space="0" w:color="auto"/>
            </w:tcBorders>
            <w:shd w:val="clear" w:color="auto" w:fill="B7DEE8"/>
          </w:tcPr>
          <w:p w14:paraId="42987750" w14:textId="4DD13557" w:rsidR="00ED45AD" w:rsidRPr="00E105BF" w:rsidRDefault="00E66EEC" w:rsidP="00ED45AD">
            <w:pPr>
              <w:spacing w:after="0"/>
              <w:rPr>
                <w:color w:val="000000"/>
                <w:sz w:val="20"/>
                <w:szCs w:val="20"/>
                <w:lang w:val="en-US"/>
              </w:rPr>
            </w:pPr>
            <w:r>
              <w:rPr>
                <w:sz w:val="20"/>
                <w:szCs w:val="20"/>
                <w:lang w:val="en-US"/>
              </w:rPr>
              <w:t>65</w:t>
            </w:r>
          </w:p>
        </w:tc>
        <w:tc>
          <w:tcPr>
            <w:tcW w:w="1973" w:type="dxa"/>
            <w:tcBorders>
              <w:top w:val="nil"/>
              <w:left w:val="nil"/>
              <w:bottom w:val="single" w:sz="4" w:space="0" w:color="auto"/>
              <w:right w:val="single" w:sz="4" w:space="0" w:color="auto"/>
            </w:tcBorders>
          </w:tcPr>
          <w:p w14:paraId="1FC4441F" w14:textId="77777777" w:rsidR="00ED45AD" w:rsidRPr="00E105BF" w:rsidRDefault="00ED45AD" w:rsidP="00ED45AD">
            <w:pPr>
              <w:spacing w:after="0"/>
              <w:rPr>
                <w:sz w:val="20"/>
                <w:szCs w:val="20"/>
                <w:lang w:val="en-US"/>
              </w:rPr>
            </w:pPr>
            <w:r w:rsidRPr="6EB47483">
              <w:rPr>
                <w:sz w:val="20"/>
                <w:szCs w:val="20"/>
                <w:lang w:val="en-US"/>
              </w:rPr>
              <w:t>Saint Kitts and Nevis</w:t>
            </w:r>
          </w:p>
          <w:p w14:paraId="6E261CB0" w14:textId="6D8A101F" w:rsidR="00ED45AD" w:rsidRPr="00E105BF" w:rsidRDefault="00ED45AD" w:rsidP="00ED45AD">
            <w:pPr>
              <w:spacing w:after="0"/>
              <w:rPr>
                <w:color w:val="000000"/>
                <w:sz w:val="20"/>
                <w:szCs w:val="20"/>
                <w:lang w:val="en-US"/>
              </w:rPr>
            </w:pPr>
          </w:p>
        </w:tc>
      </w:tr>
      <w:tr w:rsidR="00ED45AD" w:rsidRPr="00E105BF" w14:paraId="5E287573" w14:textId="77777777">
        <w:trPr>
          <w:trHeight w:val="52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52E4B6A6" w14:textId="77777777" w:rsidR="00ED45AD" w:rsidRPr="00E105BF" w:rsidRDefault="00ED45AD" w:rsidP="00ED45AD">
            <w:pPr>
              <w:spacing w:after="0"/>
              <w:rPr>
                <w:color w:val="000000"/>
                <w:sz w:val="20"/>
                <w:szCs w:val="20"/>
                <w:lang w:val="en-US"/>
              </w:rPr>
            </w:pPr>
            <w:r w:rsidRPr="2818B29D">
              <w:rPr>
                <w:sz w:val="20"/>
                <w:szCs w:val="20"/>
                <w:lang w:val="en-US"/>
              </w:rPr>
              <w:t>3</w:t>
            </w:r>
          </w:p>
        </w:tc>
        <w:tc>
          <w:tcPr>
            <w:tcW w:w="1838" w:type="dxa"/>
            <w:tcBorders>
              <w:top w:val="nil"/>
              <w:left w:val="nil"/>
              <w:bottom w:val="single" w:sz="4" w:space="0" w:color="auto"/>
              <w:right w:val="single" w:sz="4" w:space="0" w:color="auto"/>
            </w:tcBorders>
            <w:hideMark/>
          </w:tcPr>
          <w:p w14:paraId="2B3FEA0E" w14:textId="32290C82" w:rsidR="00ED45AD" w:rsidRPr="00E105BF" w:rsidRDefault="00ED45AD" w:rsidP="00ED45AD">
            <w:pPr>
              <w:spacing w:after="0"/>
              <w:rPr>
                <w:color w:val="000000"/>
                <w:sz w:val="20"/>
                <w:szCs w:val="20"/>
                <w:lang w:val="en-US"/>
              </w:rPr>
            </w:pPr>
            <w:r w:rsidRPr="2818B29D">
              <w:rPr>
                <w:sz w:val="20"/>
                <w:szCs w:val="20"/>
                <w:lang w:val="en-US"/>
              </w:rPr>
              <w:t>Armenia</w:t>
            </w:r>
          </w:p>
        </w:tc>
        <w:tc>
          <w:tcPr>
            <w:tcW w:w="450" w:type="dxa"/>
            <w:tcBorders>
              <w:top w:val="nil"/>
              <w:left w:val="nil"/>
              <w:bottom w:val="single" w:sz="4" w:space="0" w:color="auto"/>
              <w:right w:val="single" w:sz="4" w:space="0" w:color="auto"/>
            </w:tcBorders>
            <w:shd w:val="clear" w:color="auto" w:fill="B7DEE8"/>
          </w:tcPr>
          <w:p w14:paraId="4E02D634" w14:textId="06FF091A" w:rsidR="00ED45AD" w:rsidRPr="00E105BF" w:rsidRDefault="00ED45AD" w:rsidP="00ED45AD">
            <w:pPr>
              <w:spacing w:after="0"/>
              <w:rPr>
                <w:color w:val="000000"/>
                <w:sz w:val="20"/>
                <w:szCs w:val="20"/>
                <w:lang w:val="en-US"/>
              </w:rPr>
            </w:pPr>
            <w:r w:rsidRPr="6EB47483">
              <w:rPr>
                <w:sz w:val="20"/>
                <w:szCs w:val="20"/>
                <w:lang w:val="en-US"/>
              </w:rPr>
              <w:t>2</w:t>
            </w:r>
            <w:r>
              <w:rPr>
                <w:sz w:val="20"/>
                <w:szCs w:val="20"/>
                <w:lang w:val="en-US"/>
              </w:rPr>
              <w:t>4</w:t>
            </w:r>
          </w:p>
        </w:tc>
        <w:tc>
          <w:tcPr>
            <w:tcW w:w="1544" w:type="dxa"/>
            <w:tcBorders>
              <w:top w:val="nil"/>
              <w:left w:val="nil"/>
              <w:bottom w:val="single" w:sz="4" w:space="0" w:color="auto"/>
              <w:right w:val="single" w:sz="4" w:space="0" w:color="auto"/>
            </w:tcBorders>
          </w:tcPr>
          <w:p w14:paraId="5DE06ECB" w14:textId="372BFDCB" w:rsidR="00ED45AD" w:rsidRPr="00E105BF" w:rsidRDefault="00ED45AD" w:rsidP="00ED45AD">
            <w:pPr>
              <w:spacing w:after="0"/>
              <w:rPr>
                <w:color w:val="000000"/>
                <w:sz w:val="20"/>
                <w:szCs w:val="20"/>
                <w:lang w:val="en-US"/>
              </w:rPr>
            </w:pPr>
            <w:r w:rsidRPr="2818B29D">
              <w:rPr>
                <w:sz w:val="20"/>
                <w:szCs w:val="20"/>
                <w:lang w:val="en-US"/>
              </w:rPr>
              <w:t>Equatorial Guinea</w:t>
            </w:r>
          </w:p>
        </w:tc>
        <w:tc>
          <w:tcPr>
            <w:tcW w:w="452" w:type="dxa"/>
            <w:tcBorders>
              <w:top w:val="nil"/>
              <w:left w:val="nil"/>
              <w:bottom w:val="single" w:sz="4" w:space="0" w:color="auto"/>
              <w:right w:val="single" w:sz="4" w:space="0" w:color="auto"/>
            </w:tcBorders>
            <w:shd w:val="clear" w:color="auto" w:fill="B7DEE8"/>
          </w:tcPr>
          <w:p w14:paraId="06073CCA" w14:textId="6A597610" w:rsidR="00ED45AD" w:rsidRPr="00E105BF" w:rsidRDefault="009043AD" w:rsidP="00ED45AD">
            <w:pPr>
              <w:spacing w:after="0"/>
              <w:rPr>
                <w:color w:val="000000"/>
                <w:sz w:val="20"/>
                <w:szCs w:val="20"/>
                <w:lang w:val="en-US"/>
              </w:rPr>
            </w:pPr>
            <w:r>
              <w:rPr>
                <w:sz w:val="20"/>
                <w:szCs w:val="20"/>
                <w:lang w:val="en-US"/>
              </w:rPr>
              <w:t>4</w:t>
            </w:r>
            <w:r w:rsidR="00ED45AD" w:rsidRPr="6EB47483">
              <w:rPr>
                <w:sz w:val="20"/>
                <w:szCs w:val="20"/>
                <w:lang w:val="en-US"/>
              </w:rPr>
              <w:t>5</w:t>
            </w:r>
          </w:p>
        </w:tc>
        <w:tc>
          <w:tcPr>
            <w:tcW w:w="1887" w:type="dxa"/>
            <w:tcBorders>
              <w:top w:val="nil"/>
              <w:left w:val="nil"/>
              <w:bottom w:val="single" w:sz="4" w:space="0" w:color="auto"/>
              <w:right w:val="single" w:sz="4" w:space="0" w:color="auto"/>
            </w:tcBorders>
          </w:tcPr>
          <w:p w14:paraId="2FD0B1E6" w14:textId="6E347EA3" w:rsidR="00ED45AD" w:rsidRPr="00E105BF" w:rsidRDefault="00ED45AD" w:rsidP="00ED45AD">
            <w:pPr>
              <w:spacing w:after="0"/>
              <w:rPr>
                <w:sz w:val="20"/>
                <w:szCs w:val="20"/>
                <w:lang w:val="en-US"/>
              </w:rPr>
            </w:pPr>
            <w:r w:rsidRPr="6EB47483">
              <w:rPr>
                <w:sz w:val="20"/>
                <w:szCs w:val="20"/>
                <w:lang w:val="en-US"/>
              </w:rPr>
              <w:t>Mali</w:t>
            </w:r>
          </w:p>
        </w:tc>
        <w:tc>
          <w:tcPr>
            <w:tcW w:w="465" w:type="dxa"/>
            <w:tcBorders>
              <w:top w:val="nil"/>
              <w:left w:val="nil"/>
              <w:bottom w:val="single" w:sz="4" w:space="0" w:color="auto"/>
              <w:right w:val="single" w:sz="4" w:space="0" w:color="auto"/>
            </w:tcBorders>
            <w:shd w:val="clear" w:color="auto" w:fill="B7DEE8"/>
          </w:tcPr>
          <w:p w14:paraId="744598C5" w14:textId="0645B54B" w:rsidR="00ED45AD" w:rsidRPr="00E105BF" w:rsidRDefault="00E66EEC" w:rsidP="00ED45AD">
            <w:pPr>
              <w:spacing w:after="0"/>
              <w:rPr>
                <w:color w:val="000000"/>
                <w:sz w:val="20"/>
                <w:szCs w:val="20"/>
                <w:lang w:val="en-US"/>
              </w:rPr>
            </w:pPr>
            <w:r>
              <w:rPr>
                <w:sz w:val="20"/>
                <w:szCs w:val="20"/>
                <w:lang w:val="en-US"/>
              </w:rPr>
              <w:t>66</w:t>
            </w:r>
          </w:p>
        </w:tc>
        <w:tc>
          <w:tcPr>
            <w:tcW w:w="1973" w:type="dxa"/>
            <w:tcBorders>
              <w:top w:val="nil"/>
              <w:left w:val="nil"/>
              <w:bottom w:val="single" w:sz="4" w:space="0" w:color="auto"/>
              <w:right w:val="single" w:sz="4" w:space="0" w:color="auto"/>
            </w:tcBorders>
          </w:tcPr>
          <w:p w14:paraId="2D02C410" w14:textId="64997802" w:rsidR="00ED45AD" w:rsidRPr="00E105BF" w:rsidRDefault="00ED45AD" w:rsidP="00ED45AD">
            <w:pPr>
              <w:spacing w:after="0"/>
              <w:rPr>
                <w:color w:val="000000"/>
                <w:sz w:val="20"/>
                <w:szCs w:val="20"/>
                <w:lang w:val="en-US"/>
              </w:rPr>
            </w:pPr>
            <w:r w:rsidRPr="6EB47483">
              <w:rPr>
                <w:sz w:val="20"/>
                <w:szCs w:val="20"/>
                <w:lang w:val="en-US"/>
              </w:rPr>
              <w:t>Saint Lucia</w:t>
            </w:r>
          </w:p>
        </w:tc>
      </w:tr>
      <w:tr w:rsidR="00ED45AD" w:rsidRPr="00E105BF" w14:paraId="19FA97A2"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512E9C3C" w14:textId="77777777" w:rsidR="00ED45AD" w:rsidRPr="00E105BF" w:rsidRDefault="00ED45AD" w:rsidP="00ED45AD">
            <w:pPr>
              <w:spacing w:after="0"/>
              <w:rPr>
                <w:color w:val="000000"/>
                <w:sz w:val="20"/>
                <w:szCs w:val="20"/>
                <w:lang w:val="en-US"/>
              </w:rPr>
            </w:pPr>
            <w:r w:rsidRPr="2818B29D">
              <w:rPr>
                <w:sz w:val="20"/>
                <w:szCs w:val="20"/>
                <w:lang w:val="en-US"/>
              </w:rPr>
              <w:t>4</w:t>
            </w:r>
          </w:p>
        </w:tc>
        <w:tc>
          <w:tcPr>
            <w:tcW w:w="1838" w:type="dxa"/>
            <w:tcBorders>
              <w:top w:val="nil"/>
              <w:left w:val="nil"/>
              <w:bottom w:val="single" w:sz="4" w:space="0" w:color="auto"/>
              <w:right w:val="single" w:sz="4" w:space="0" w:color="auto"/>
            </w:tcBorders>
            <w:hideMark/>
          </w:tcPr>
          <w:p w14:paraId="042C9360" w14:textId="6BD1A00E" w:rsidR="00ED45AD" w:rsidRPr="00E105BF" w:rsidRDefault="00ED45AD" w:rsidP="00ED45AD">
            <w:pPr>
              <w:spacing w:after="0"/>
              <w:rPr>
                <w:color w:val="000000"/>
                <w:sz w:val="20"/>
                <w:szCs w:val="20"/>
                <w:lang w:val="en-US"/>
              </w:rPr>
            </w:pPr>
            <w:r w:rsidRPr="2818B29D">
              <w:rPr>
                <w:sz w:val="20"/>
                <w:szCs w:val="20"/>
                <w:lang w:val="en-US"/>
              </w:rPr>
              <w:t>Bahamas</w:t>
            </w:r>
          </w:p>
        </w:tc>
        <w:tc>
          <w:tcPr>
            <w:tcW w:w="450" w:type="dxa"/>
            <w:tcBorders>
              <w:top w:val="nil"/>
              <w:left w:val="nil"/>
              <w:bottom w:val="single" w:sz="4" w:space="0" w:color="auto"/>
              <w:right w:val="single" w:sz="4" w:space="0" w:color="auto"/>
            </w:tcBorders>
            <w:shd w:val="clear" w:color="auto" w:fill="B7DEE8"/>
          </w:tcPr>
          <w:p w14:paraId="3D1E7ABB" w14:textId="6E72E23E" w:rsidR="00ED45AD" w:rsidRPr="00E105BF" w:rsidRDefault="00ED45AD" w:rsidP="00ED45AD">
            <w:pPr>
              <w:spacing w:after="0"/>
              <w:rPr>
                <w:color w:val="000000"/>
                <w:sz w:val="20"/>
                <w:szCs w:val="20"/>
                <w:lang w:val="en-US"/>
              </w:rPr>
            </w:pPr>
            <w:r w:rsidRPr="6EB47483">
              <w:rPr>
                <w:sz w:val="20"/>
                <w:szCs w:val="20"/>
                <w:lang w:val="en-US"/>
              </w:rPr>
              <w:t>2</w:t>
            </w:r>
            <w:r>
              <w:rPr>
                <w:sz w:val="20"/>
                <w:szCs w:val="20"/>
                <w:lang w:val="en-US"/>
              </w:rPr>
              <w:t>5</w:t>
            </w:r>
          </w:p>
        </w:tc>
        <w:tc>
          <w:tcPr>
            <w:tcW w:w="1544" w:type="dxa"/>
            <w:tcBorders>
              <w:top w:val="nil"/>
              <w:left w:val="nil"/>
              <w:bottom w:val="single" w:sz="4" w:space="0" w:color="auto"/>
              <w:right w:val="single" w:sz="4" w:space="0" w:color="auto"/>
            </w:tcBorders>
          </w:tcPr>
          <w:p w14:paraId="55571BE5" w14:textId="2DB42944" w:rsidR="00ED45AD" w:rsidRPr="00CE0AAB" w:rsidRDefault="00ED45AD" w:rsidP="00ED45AD">
            <w:pPr>
              <w:spacing w:after="0"/>
              <w:rPr>
                <w:color w:val="000000"/>
                <w:sz w:val="20"/>
                <w:szCs w:val="20"/>
                <w:lang w:val="en-US"/>
              </w:rPr>
            </w:pPr>
            <w:r w:rsidRPr="2818B29D">
              <w:rPr>
                <w:sz w:val="20"/>
                <w:szCs w:val="20"/>
                <w:lang w:val="en-US"/>
              </w:rPr>
              <w:t>Eritrea</w:t>
            </w:r>
          </w:p>
        </w:tc>
        <w:tc>
          <w:tcPr>
            <w:tcW w:w="452" w:type="dxa"/>
            <w:tcBorders>
              <w:top w:val="nil"/>
              <w:left w:val="nil"/>
              <w:bottom w:val="single" w:sz="4" w:space="0" w:color="auto"/>
              <w:right w:val="single" w:sz="4" w:space="0" w:color="auto"/>
            </w:tcBorders>
            <w:shd w:val="clear" w:color="auto" w:fill="B7DEE8"/>
          </w:tcPr>
          <w:p w14:paraId="09D5F05E" w14:textId="33B65D35" w:rsidR="00ED45AD" w:rsidRPr="00E105BF" w:rsidRDefault="009043AD" w:rsidP="00ED45AD">
            <w:pPr>
              <w:spacing w:after="0"/>
              <w:rPr>
                <w:color w:val="000000"/>
                <w:sz w:val="20"/>
                <w:szCs w:val="20"/>
                <w:lang w:val="en-US"/>
              </w:rPr>
            </w:pPr>
            <w:r>
              <w:rPr>
                <w:sz w:val="20"/>
                <w:szCs w:val="20"/>
                <w:lang w:val="en-US"/>
              </w:rPr>
              <w:t>46</w:t>
            </w:r>
          </w:p>
        </w:tc>
        <w:tc>
          <w:tcPr>
            <w:tcW w:w="1887" w:type="dxa"/>
            <w:tcBorders>
              <w:top w:val="nil"/>
              <w:left w:val="nil"/>
              <w:bottom w:val="single" w:sz="4" w:space="0" w:color="auto"/>
              <w:right w:val="single" w:sz="4" w:space="0" w:color="auto"/>
            </w:tcBorders>
          </w:tcPr>
          <w:p w14:paraId="6EEB367D" w14:textId="77777777" w:rsidR="00ED45AD" w:rsidRPr="00E105BF" w:rsidRDefault="00ED45AD" w:rsidP="00ED45AD">
            <w:pPr>
              <w:spacing w:after="0"/>
              <w:rPr>
                <w:sz w:val="20"/>
                <w:szCs w:val="20"/>
                <w:lang w:val="en-US"/>
              </w:rPr>
            </w:pPr>
            <w:r w:rsidRPr="6EB47483">
              <w:rPr>
                <w:sz w:val="20"/>
                <w:szCs w:val="20"/>
                <w:lang w:val="en-US"/>
              </w:rPr>
              <w:t>Marshall Islands</w:t>
            </w:r>
          </w:p>
          <w:p w14:paraId="6F730742" w14:textId="14FAF5EB" w:rsidR="00ED45AD" w:rsidRPr="00E105BF" w:rsidRDefault="00ED45AD" w:rsidP="00ED45AD">
            <w:pPr>
              <w:spacing w:after="0"/>
              <w:rPr>
                <w:color w:val="000000"/>
                <w:sz w:val="20"/>
                <w:szCs w:val="20"/>
                <w:lang w:val="en-US"/>
              </w:rPr>
            </w:pPr>
          </w:p>
        </w:tc>
        <w:tc>
          <w:tcPr>
            <w:tcW w:w="465" w:type="dxa"/>
            <w:tcBorders>
              <w:top w:val="nil"/>
              <w:left w:val="nil"/>
              <w:bottom w:val="single" w:sz="4" w:space="0" w:color="auto"/>
              <w:right w:val="single" w:sz="4" w:space="0" w:color="auto"/>
            </w:tcBorders>
            <w:shd w:val="clear" w:color="auto" w:fill="B7DEE8"/>
          </w:tcPr>
          <w:p w14:paraId="2AEA6943" w14:textId="6429BEC9" w:rsidR="00ED45AD" w:rsidRPr="00E105BF" w:rsidRDefault="00E66EEC" w:rsidP="00ED45AD">
            <w:pPr>
              <w:spacing w:after="0"/>
              <w:rPr>
                <w:color w:val="000000"/>
                <w:sz w:val="20"/>
                <w:szCs w:val="20"/>
                <w:lang w:val="en-US"/>
              </w:rPr>
            </w:pPr>
            <w:r>
              <w:rPr>
                <w:sz w:val="20"/>
                <w:szCs w:val="20"/>
                <w:lang w:val="en-US"/>
              </w:rPr>
              <w:t>67</w:t>
            </w:r>
          </w:p>
        </w:tc>
        <w:tc>
          <w:tcPr>
            <w:tcW w:w="1973" w:type="dxa"/>
            <w:tcBorders>
              <w:top w:val="nil"/>
              <w:left w:val="nil"/>
              <w:bottom w:val="single" w:sz="4" w:space="0" w:color="auto"/>
              <w:right w:val="single" w:sz="4" w:space="0" w:color="auto"/>
            </w:tcBorders>
          </w:tcPr>
          <w:p w14:paraId="6D9220A0" w14:textId="6EED6CEC" w:rsidR="00ED45AD" w:rsidRPr="00E105BF" w:rsidRDefault="00ED45AD" w:rsidP="00ED45AD">
            <w:pPr>
              <w:spacing w:after="0"/>
              <w:rPr>
                <w:color w:val="000000"/>
                <w:sz w:val="20"/>
                <w:szCs w:val="20"/>
                <w:lang w:val="en-US"/>
              </w:rPr>
            </w:pPr>
            <w:r w:rsidRPr="6EB47483">
              <w:rPr>
                <w:sz w:val="20"/>
                <w:szCs w:val="20"/>
                <w:lang w:val="en-US"/>
              </w:rPr>
              <w:t>Saint Vincent and the Grenadines</w:t>
            </w:r>
          </w:p>
        </w:tc>
      </w:tr>
      <w:tr w:rsidR="00ED45AD" w:rsidRPr="00E105BF" w14:paraId="336D9B8C"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3D97DEEB" w14:textId="77777777" w:rsidR="00ED45AD" w:rsidRPr="00E105BF" w:rsidRDefault="00ED45AD" w:rsidP="00ED45AD">
            <w:pPr>
              <w:spacing w:after="0"/>
              <w:rPr>
                <w:color w:val="000000"/>
                <w:sz w:val="20"/>
                <w:szCs w:val="20"/>
                <w:lang w:val="en-US"/>
              </w:rPr>
            </w:pPr>
            <w:r w:rsidRPr="2818B29D">
              <w:rPr>
                <w:sz w:val="20"/>
                <w:szCs w:val="20"/>
                <w:lang w:val="en-US"/>
              </w:rPr>
              <w:t>5</w:t>
            </w:r>
          </w:p>
        </w:tc>
        <w:tc>
          <w:tcPr>
            <w:tcW w:w="1838" w:type="dxa"/>
            <w:tcBorders>
              <w:top w:val="nil"/>
              <w:left w:val="nil"/>
              <w:bottom w:val="single" w:sz="4" w:space="0" w:color="auto"/>
              <w:right w:val="single" w:sz="4" w:space="0" w:color="auto"/>
            </w:tcBorders>
            <w:hideMark/>
          </w:tcPr>
          <w:p w14:paraId="064FB8A3" w14:textId="63F62834" w:rsidR="00ED45AD" w:rsidRPr="00E105BF" w:rsidRDefault="00ED45AD" w:rsidP="00ED45AD">
            <w:pPr>
              <w:spacing w:after="0"/>
              <w:rPr>
                <w:color w:val="000000"/>
                <w:sz w:val="20"/>
                <w:szCs w:val="20"/>
                <w:lang w:val="en-US"/>
              </w:rPr>
            </w:pPr>
            <w:r w:rsidRPr="2818B29D">
              <w:rPr>
                <w:sz w:val="20"/>
                <w:szCs w:val="20"/>
                <w:lang w:val="en-US"/>
              </w:rPr>
              <w:t>Barbados</w:t>
            </w:r>
          </w:p>
        </w:tc>
        <w:tc>
          <w:tcPr>
            <w:tcW w:w="450" w:type="dxa"/>
            <w:tcBorders>
              <w:top w:val="nil"/>
              <w:left w:val="nil"/>
              <w:bottom w:val="single" w:sz="4" w:space="0" w:color="auto"/>
              <w:right w:val="single" w:sz="4" w:space="0" w:color="auto"/>
            </w:tcBorders>
            <w:shd w:val="clear" w:color="auto" w:fill="B7DEE8"/>
          </w:tcPr>
          <w:p w14:paraId="3B6B01D5" w14:textId="3810F893" w:rsidR="00ED45AD" w:rsidRPr="00E105BF" w:rsidRDefault="00ED45AD" w:rsidP="00ED45AD">
            <w:pPr>
              <w:spacing w:after="0"/>
              <w:rPr>
                <w:color w:val="000000"/>
                <w:sz w:val="20"/>
                <w:szCs w:val="20"/>
                <w:lang w:val="en-US"/>
              </w:rPr>
            </w:pPr>
            <w:r w:rsidRPr="6EB47483">
              <w:rPr>
                <w:sz w:val="20"/>
                <w:szCs w:val="20"/>
                <w:lang w:val="en-US"/>
              </w:rPr>
              <w:t>2</w:t>
            </w:r>
            <w:r>
              <w:rPr>
                <w:sz w:val="20"/>
                <w:szCs w:val="20"/>
                <w:lang w:val="en-US"/>
              </w:rPr>
              <w:t>6</w:t>
            </w:r>
          </w:p>
        </w:tc>
        <w:tc>
          <w:tcPr>
            <w:tcW w:w="1544" w:type="dxa"/>
            <w:tcBorders>
              <w:top w:val="nil"/>
              <w:left w:val="nil"/>
              <w:bottom w:val="single" w:sz="4" w:space="0" w:color="auto"/>
              <w:right w:val="single" w:sz="4" w:space="0" w:color="auto"/>
            </w:tcBorders>
          </w:tcPr>
          <w:p w14:paraId="13322033" w14:textId="739FEB58" w:rsidR="00ED45AD" w:rsidRPr="00E105BF" w:rsidRDefault="00ED45AD" w:rsidP="00ED45AD">
            <w:pPr>
              <w:spacing w:after="0"/>
              <w:rPr>
                <w:color w:val="000000"/>
                <w:sz w:val="20"/>
                <w:szCs w:val="20"/>
                <w:lang w:val="en-US"/>
              </w:rPr>
            </w:pPr>
            <w:r w:rsidRPr="001C0D08">
              <w:rPr>
                <w:sz w:val="20"/>
                <w:szCs w:val="20"/>
                <w:lang w:val="en-US"/>
              </w:rPr>
              <w:t>Eswatini</w:t>
            </w:r>
          </w:p>
        </w:tc>
        <w:tc>
          <w:tcPr>
            <w:tcW w:w="452" w:type="dxa"/>
            <w:tcBorders>
              <w:top w:val="nil"/>
              <w:left w:val="nil"/>
              <w:bottom w:val="single" w:sz="4" w:space="0" w:color="auto"/>
              <w:right w:val="single" w:sz="4" w:space="0" w:color="auto"/>
            </w:tcBorders>
            <w:shd w:val="clear" w:color="auto" w:fill="B7DEE8"/>
          </w:tcPr>
          <w:p w14:paraId="0509F383" w14:textId="409CC86A" w:rsidR="00ED45AD" w:rsidRPr="00E105BF" w:rsidRDefault="009043AD" w:rsidP="00ED45AD">
            <w:pPr>
              <w:spacing w:after="0"/>
              <w:rPr>
                <w:color w:val="000000"/>
                <w:sz w:val="20"/>
                <w:szCs w:val="20"/>
                <w:lang w:val="en-US"/>
              </w:rPr>
            </w:pPr>
            <w:r>
              <w:rPr>
                <w:sz w:val="20"/>
                <w:szCs w:val="20"/>
                <w:lang w:val="en-US"/>
              </w:rPr>
              <w:t>47</w:t>
            </w:r>
          </w:p>
        </w:tc>
        <w:tc>
          <w:tcPr>
            <w:tcW w:w="1887" w:type="dxa"/>
            <w:tcBorders>
              <w:top w:val="nil"/>
              <w:left w:val="nil"/>
              <w:bottom w:val="single" w:sz="4" w:space="0" w:color="auto"/>
              <w:right w:val="single" w:sz="4" w:space="0" w:color="auto"/>
            </w:tcBorders>
          </w:tcPr>
          <w:p w14:paraId="69CF97CB" w14:textId="50963C3D" w:rsidR="00ED45AD" w:rsidRPr="00E105BF" w:rsidRDefault="00ED45AD" w:rsidP="00ED45AD">
            <w:pPr>
              <w:spacing w:after="0"/>
              <w:rPr>
                <w:color w:val="000000"/>
                <w:sz w:val="20"/>
                <w:szCs w:val="20"/>
                <w:lang w:val="en-US"/>
              </w:rPr>
            </w:pPr>
            <w:r w:rsidRPr="6EB47483">
              <w:rPr>
                <w:sz w:val="20"/>
                <w:szCs w:val="20"/>
                <w:lang w:val="en-US"/>
              </w:rPr>
              <w:t>Mauritius</w:t>
            </w:r>
          </w:p>
        </w:tc>
        <w:tc>
          <w:tcPr>
            <w:tcW w:w="465" w:type="dxa"/>
            <w:tcBorders>
              <w:top w:val="nil"/>
              <w:left w:val="nil"/>
              <w:bottom w:val="single" w:sz="4" w:space="0" w:color="auto"/>
              <w:right w:val="single" w:sz="4" w:space="0" w:color="auto"/>
            </w:tcBorders>
            <w:shd w:val="clear" w:color="auto" w:fill="B7DEE8"/>
          </w:tcPr>
          <w:p w14:paraId="5BFF3138" w14:textId="579F4015" w:rsidR="00ED45AD" w:rsidRPr="00E105BF" w:rsidRDefault="00E66EEC" w:rsidP="00ED45AD">
            <w:pPr>
              <w:spacing w:after="0"/>
              <w:rPr>
                <w:color w:val="000000"/>
                <w:sz w:val="20"/>
                <w:szCs w:val="20"/>
                <w:lang w:val="en-US"/>
              </w:rPr>
            </w:pPr>
            <w:r>
              <w:rPr>
                <w:sz w:val="20"/>
                <w:szCs w:val="20"/>
                <w:lang w:val="en-US"/>
              </w:rPr>
              <w:t>68</w:t>
            </w:r>
          </w:p>
        </w:tc>
        <w:tc>
          <w:tcPr>
            <w:tcW w:w="1973" w:type="dxa"/>
            <w:tcBorders>
              <w:top w:val="nil"/>
              <w:left w:val="nil"/>
              <w:bottom w:val="single" w:sz="4" w:space="0" w:color="auto"/>
              <w:right w:val="single" w:sz="4" w:space="0" w:color="auto"/>
            </w:tcBorders>
          </w:tcPr>
          <w:p w14:paraId="35C11F98" w14:textId="77777777" w:rsidR="00ED45AD" w:rsidRPr="00E105BF" w:rsidRDefault="00ED45AD" w:rsidP="00ED45AD">
            <w:pPr>
              <w:spacing w:after="0"/>
              <w:rPr>
                <w:sz w:val="20"/>
                <w:szCs w:val="20"/>
                <w:lang w:val="en-US"/>
              </w:rPr>
            </w:pPr>
            <w:r w:rsidRPr="6EB47483">
              <w:rPr>
                <w:sz w:val="20"/>
                <w:szCs w:val="20"/>
                <w:lang w:val="en-US"/>
              </w:rPr>
              <w:t>Samoa</w:t>
            </w:r>
          </w:p>
          <w:p w14:paraId="4B2DB460" w14:textId="77777777" w:rsidR="00ED45AD" w:rsidRPr="00E105BF" w:rsidRDefault="00ED45AD" w:rsidP="00ED45AD">
            <w:pPr>
              <w:spacing w:after="0"/>
              <w:rPr>
                <w:color w:val="000000"/>
                <w:sz w:val="20"/>
                <w:szCs w:val="20"/>
                <w:lang w:val="en-US"/>
              </w:rPr>
            </w:pPr>
          </w:p>
        </w:tc>
      </w:tr>
      <w:tr w:rsidR="00ED45AD" w:rsidRPr="00E105BF" w14:paraId="58BB07E8"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0EF50714" w14:textId="77777777" w:rsidR="00ED45AD" w:rsidRPr="00E105BF" w:rsidRDefault="00ED45AD" w:rsidP="00ED45AD">
            <w:pPr>
              <w:spacing w:after="0"/>
              <w:rPr>
                <w:color w:val="000000"/>
                <w:sz w:val="20"/>
                <w:szCs w:val="20"/>
                <w:lang w:val="en-US"/>
              </w:rPr>
            </w:pPr>
            <w:r w:rsidRPr="2818B29D">
              <w:rPr>
                <w:sz w:val="20"/>
                <w:szCs w:val="20"/>
                <w:lang w:val="en-US"/>
              </w:rPr>
              <w:t>6</w:t>
            </w:r>
          </w:p>
        </w:tc>
        <w:tc>
          <w:tcPr>
            <w:tcW w:w="1838" w:type="dxa"/>
            <w:tcBorders>
              <w:top w:val="nil"/>
              <w:left w:val="nil"/>
              <w:bottom w:val="single" w:sz="4" w:space="0" w:color="auto"/>
              <w:right w:val="single" w:sz="4" w:space="0" w:color="auto"/>
            </w:tcBorders>
            <w:hideMark/>
          </w:tcPr>
          <w:p w14:paraId="691D4D19" w14:textId="75713B1D" w:rsidR="00ED45AD" w:rsidRPr="00E105BF" w:rsidRDefault="00ED45AD" w:rsidP="00ED45AD">
            <w:pPr>
              <w:spacing w:after="0"/>
              <w:rPr>
                <w:color w:val="000000"/>
                <w:sz w:val="20"/>
                <w:szCs w:val="20"/>
                <w:lang w:val="en-US"/>
              </w:rPr>
            </w:pPr>
            <w:r w:rsidRPr="2818B29D">
              <w:rPr>
                <w:sz w:val="20"/>
                <w:szCs w:val="20"/>
                <w:lang w:val="en-US"/>
              </w:rPr>
              <w:t>Belize</w:t>
            </w:r>
          </w:p>
        </w:tc>
        <w:tc>
          <w:tcPr>
            <w:tcW w:w="450" w:type="dxa"/>
            <w:tcBorders>
              <w:top w:val="nil"/>
              <w:left w:val="nil"/>
              <w:bottom w:val="single" w:sz="4" w:space="0" w:color="auto"/>
              <w:right w:val="single" w:sz="4" w:space="0" w:color="auto"/>
            </w:tcBorders>
            <w:shd w:val="clear" w:color="auto" w:fill="B7DEE8"/>
          </w:tcPr>
          <w:p w14:paraId="2423B92F" w14:textId="5E0A7E48" w:rsidR="00ED45AD" w:rsidRPr="00E105BF" w:rsidRDefault="00ED45AD" w:rsidP="00ED45AD">
            <w:pPr>
              <w:spacing w:after="0"/>
              <w:rPr>
                <w:color w:val="000000"/>
                <w:sz w:val="20"/>
                <w:szCs w:val="20"/>
                <w:lang w:val="en-US"/>
              </w:rPr>
            </w:pPr>
            <w:r>
              <w:rPr>
                <w:sz w:val="20"/>
                <w:szCs w:val="20"/>
                <w:lang w:val="en-US"/>
              </w:rPr>
              <w:t>27</w:t>
            </w:r>
          </w:p>
        </w:tc>
        <w:tc>
          <w:tcPr>
            <w:tcW w:w="1544" w:type="dxa"/>
            <w:tcBorders>
              <w:top w:val="nil"/>
              <w:left w:val="nil"/>
              <w:bottom w:val="single" w:sz="4" w:space="0" w:color="auto"/>
              <w:right w:val="single" w:sz="4" w:space="0" w:color="auto"/>
            </w:tcBorders>
          </w:tcPr>
          <w:p w14:paraId="098418A5" w14:textId="59148069" w:rsidR="00ED45AD" w:rsidRPr="00E105BF" w:rsidRDefault="00ED45AD" w:rsidP="00ED45AD">
            <w:pPr>
              <w:spacing w:after="0"/>
              <w:rPr>
                <w:color w:val="000000"/>
                <w:sz w:val="20"/>
                <w:szCs w:val="20"/>
                <w:lang w:val="en-US"/>
              </w:rPr>
            </w:pPr>
            <w:r w:rsidRPr="2196A3FD">
              <w:rPr>
                <w:sz w:val="20"/>
                <w:szCs w:val="20"/>
                <w:lang w:val="en-US"/>
              </w:rPr>
              <w:t>Ethiopia</w:t>
            </w:r>
          </w:p>
        </w:tc>
        <w:tc>
          <w:tcPr>
            <w:tcW w:w="452" w:type="dxa"/>
            <w:tcBorders>
              <w:top w:val="nil"/>
              <w:left w:val="nil"/>
              <w:bottom w:val="single" w:sz="4" w:space="0" w:color="auto"/>
              <w:right w:val="single" w:sz="4" w:space="0" w:color="auto"/>
            </w:tcBorders>
            <w:shd w:val="clear" w:color="auto" w:fill="B7DEE8"/>
          </w:tcPr>
          <w:p w14:paraId="2BB219E1" w14:textId="2CB29B0A" w:rsidR="00ED45AD" w:rsidRPr="00E105BF" w:rsidRDefault="009043AD" w:rsidP="00ED45AD">
            <w:pPr>
              <w:spacing w:after="0"/>
              <w:rPr>
                <w:color w:val="000000"/>
                <w:sz w:val="20"/>
                <w:szCs w:val="20"/>
                <w:lang w:val="en-US"/>
              </w:rPr>
            </w:pPr>
            <w:r>
              <w:rPr>
                <w:sz w:val="20"/>
                <w:szCs w:val="20"/>
                <w:lang w:val="en-US"/>
              </w:rPr>
              <w:t>48</w:t>
            </w:r>
          </w:p>
        </w:tc>
        <w:tc>
          <w:tcPr>
            <w:tcW w:w="1887" w:type="dxa"/>
            <w:tcBorders>
              <w:top w:val="nil"/>
              <w:left w:val="nil"/>
              <w:bottom w:val="single" w:sz="4" w:space="0" w:color="auto"/>
              <w:right w:val="single" w:sz="4" w:space="0" w:color="auto"/>
            </w:tcBorders>
          </w:tcPr>
          <w:p w14:paraId="55CD39B9" w14:textId="2E91E07B" w:rsidR="00ED45AD" w:rsidRPr="00E105BF" w:rsidRDefault="00ED45AD" w:rsidP="00ED45AD">
            <w:pPr>
              <w:spacing w:after="0"/>
              <w:rPr>
                <w:color w:val="000000"/>
                <w:sz w:val="20"/>
                <w:szCs w:val="20"/>
                <w:lang w:val="en-US"/>
              </w:rPr>
            </w:pPr>
            <w:r w:rsidRPr="6EB47483">
              <w:rPr>
                <w:sz w:val="20"/>
                <w:szCs w:val="20"/>
                <w:lang w:val="en-US"/>
              </w:rPr>
              <w:t>Micronesia (Federated States of)</w:t>
            </w:r>
          </w:p>
        </w:tc>
        <w:tc>
          <w:tcPr>
            <w:tcW w:w="465" w:type="dxa"/>
            <w:tcBorders>
              <w:top w:val="nil"/>
              <w:left w:val="nil"/>
              <w:bottom w:val="single" w:sz="4" w:space="0" w:color="auto"/>
              <w:right w:val="single" w:sz="4" w:space="0" w:color="auto"/>
            </w:tcBorders>
            <w:shd w:val="clear" w:color="auto" w:fill="B7DEE8"/>
          </w:tcPr>
          <w:p w14:paraId="3D2C4F77" w14:textId="7E23F1BC" w:rsidR="00ED45AD" w:rsidRPr="00E105BF" w:rsidRDefault="00E66EEC" w:rsidP="00ED45AD">
            <w:pPr>
              <w:spacing w:after="0"/>
              <w:rPr>
                <w:color w:val="000000"/>
                <w:sz w:val="20"/>
                <w:szCs w:val="20"/>
                <w:lang w:val="en-US"/>
              </w:rPr>
            </w:pPr>
            <w:r>
              <w:rPr>
                <w:sz w:val="20"/>
                <w:szCs w:val="20"/>
                <w:lang w:val="en-US"/>
              </w:rPr>
              <w:t>69</w:t>
            </w:r>
          </w:p>
        </w:tc>
        <w:tc>
          <w:tcPr>
            <w:tcW w:w="1973" w:type="dxa"/>
            <w:tcBorders>
              <w:top w:val="nil"/>
              <w:left w:val="nil"/>
              <w:bottom w:val="single" w:sz="4" w:space="0" w:color="auto"/>
              <w:right w:val="single" w:sz="4" w:space="0" w:color="auto"/>
            </w:tcBorders>
          </w:tcPr>
          <w:p w14:paraId="56ECC710" w14:textId="77777777" w:rsidR="00ED45AD" w:rsidRPr="00E105BF" w:rsidRDefault="00ED45AD" w:rsidP="00ED45AD">
            <w:pPr>
              <w:spacing w:after="0"/>
              <w:rPr>
                <w:sz w:val="20"/>
                <w:szCs w:val="20"/>
                <w:lang w:val="en-US"/>
              </w:rPr>
            </w:pPr>
            <w:r w:rsidRPr="6EB47483">
              <w:rPr>
                <w:sz w:val="20"/>
                <w:szCs w:val="20"/>
                <w:lang w:val="en-US"/>
              </w:rPr>
              <w:t>Sao Tome and Principe</w:t>
            </w:r>
          </w:p>
          <w:p w14:paraId="30F8ED79" w14:textId="77777777" w:rsidR="00ED45AD" w:rsidRPr="00E105BF" w:rsidRDefault="00ED45AD" w:rsidP="00ED45AD">
            <w:pPr>
              <w:spacing w:after="0"/>
              <w:rPr>
                <w:color w:val="000000"/>
                <w:sz w:val="20"/>
                <w:szCs w:val="20"/>
                <w:lang w:val="en-US"/>
              </w:rPr>
            </w:pPr>
          </w:p>
        </w:tc>
      </w:tr>
      <w:tr w:rsidR="00ED45AD" w:rsidRPr="00E105BF" w14:paraId="26584DF3"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1A2B3E07" w14:textId="77777777" w:rsidR="00ED45AD" w:rsidRPr="00E105BF" w:rsidRDefault="00ED45AD" w:rsidP="00ED45AD">
            <w:pPr>
              <w:spacing w:after="0"/>
              <w:rPr>
                <w:color w:val="000000"/>
                <w:sz w:val="20"/>
                <w:szCs w:val="20"/>
                <w:lang w:val="en-US"/>
              </w:rPr>
            </w:pPr>
            <w:r w:rsidRPr="2818B29D">
              <w:rPr>
                <w:sz w:val="20"/>
                <w:szCs w:val="20"/>
                <w:lang w:val="en-US"/>
              </w:rPr>
              <w:t>7</w:t>
            </w:r>
          </w:p>
        </w:tc>
        <w:tc>
          <w:tcPr>
            <w:tcW w:w="1838" w:type="dxa"/>
            <w:tcBorders>
              <w:top w:val="nil"/>
              <w:left w:val="nil"/>
              <w:bottom w:val="single" w:sz="4" w:space="0" w:color="auto"/>
              <w:right w:val="single" w:sz="4" w:space="0" w:color="auto"/>
            </w:tcBorders>
            <w:hideMark/>
          </w:tcPr>
          <w:p w14:paraId="07F757DB" w14:textId="13F5BAC7" w:rsidR="00ED45AD" w:rsidRPr="00E105BF" w:rsidRDefault="00ED45AD" w:rsidP="00ED45AD">
            <w:pPr>
              <w:spacing w:after="0"/>
              <w:rPr>
                <w:color w:val="000000"/>
                <w:sz w:val="20"/>
                <w:szCs w:val="20"/>
                <w:lang w:val="en-US"/>
              </w:rPr>
            </w:pPr>
            <w:r w:rsidRPr="00CE0AAB">
              <w:rPr>
                <w:sz w:val="20"/>
                <w:szCs w:val="20"/>
                <w:lang w:val="en-US"/>
              </w:rPr>
              <w:t>Benin</w:t>
            </w:r>
          </w:p>
        </w:tc>
        <w:tc>
          <w:tcPr>
            <w:tcW w:w="450" w:type="dxa"/>
            <w:tcBorders>
              <w:top w:val="nil"/>
              <w:left w:val="nil"/>
              <w:bottom w:val="single" w:sz="4" w:space="0" w:color="auto"/>
              <w:right w:val="single" w:sz="4" w:space="0" w:color="auto"/>
            </w:tcBorders>
            <w:shd w:val="clear" w:color="auto" w:fill="B7DEE8"/>
          </w:tcPr>
          <w:p w14:paraId="36F220B6" w14:textId="43AFEDA9" w:rsidR="00ED45AD" w:rsidRPr="00E105BF" w:rsidRDefault="00ED45AD" w:rsidP="00ED45AD">
            <w:pPr>
              <w:spacing w:after="0"/>
              <w:rPr>
                <w:color w:val="000000"/>
                <w:sz w:val="20"/>
                <w:szCs w:val="20"/>
                <w:lang w:val="en-US"/>
              </w:rPr>
            </w:pPr>
            <w:r>
              <w:rPr>
                <w:sz w:val="20"/>
                <w:szCs w:val="20"/>
                <w:lang w:val="en-US"/>
              </w:rPr>
              <w:t>28</w:t>
            </w:r>
          </w:p>
        </w:tc>
        <w:tc>
          <w:tcPr>
            <w:tcW w:w="1544" w:type="dxa"/>
            <w:tcBorders>
              <w:top w:val="nil"/>
              <w:left w:val="nil"/>
              <w:bottom w:val="single" w:sz="4" w:space="0" w:color="auto"/>
              <w:right w:val="single" w:sz="4" w:space="0" w:color="auto"/>
            </w:tcBorders>
          </w:tcPr>
          <w:p w14:paraId="01DDA9C8" w14:textId="028F164A" w:rsidR="00ED45AD" w:rsidRPr="00E105BF" w:rsidRDefault="00ED45AD" w:rsidP="00ED45AD">
            <w:pPr>
              <w:spacing w:after="0"/>
              <w:rPr>
                <w:color w:val="000000"/>
                <w:sz w:val="20"/>
                <w:szCs w:val="20"/>
                <w:lang w:val="en-US"/>
              </w:rPr>
            </w:pPr>
            <w:r w:rsidRPr="069A5846">
              <w:rPr>
                <w:sz w:val="20"/>
                <w:szCs w:val="20"/>
                <w:lang w:val="en-US"/>
              </w:rPr>
              <w:t>Fiji</w:t>
            </w:r>
          </w:p>
        </w:tc>
        <w:tc>
          <w:tcPr>
            <w:tcW w:w="452" w:type="dxa"/>
            <w:tcBorders>
              <w:top w:val="nil"/>
              <w:left w:val="nil"/>
              <w:bottom w:val="single" w:sz="4" w:space="0" w:color="auto"/>
              <w:right w:val="single" w:sz="4" w:space="0" w:color="auto"/>
            </w:tcBorders>
            <w:shd w:val="clear" w:color="auto" w:fill="B7DEE8"/>
          </w:tcPr>
          <w:p w14:paraId="2FC711F5" w14:textId="3B0696EC" w:rsidR="00ED45AD" w:rsidRPr="00E105BF" w:rsidRDefault="009043AD" w:rsidP="00ED45AD">
            <w:pPr>
              <w:spacing w:after="0"/>
              <w:rPr>
                <w:color w:val="000000"/>
                <w:sz w:val="20"/>
                <w:szCs w:val="20"/>
                <w:lang w:val="en-US"/>
              </w:rPr>
            </w:pPr>
            <w:r>
              <w:rPr>
                <w:sz w:val="20"/>
                <w:szCs w:val="20"/>
                <w:lang w:val="en-US"/>
              </w:rPr>
              <w:t>49</w:t>
            </w:r>
          </w:p>
        </w:tc>
        <w:tc>
          <w:tcPr>
            <w:tcW w:w="1887" w:type="dxa"/>
            <w:tcBorders>
              <w:top w:val="nil"/>
              <w:left w:val="nil"/>
              <w:bottom w:val="single" w:sz="4" w:space="0" w:color="auto"/>
              <w:right w:val="single" w:sz="4" w:space="0" w:color="auto"/>
            </w:tcBorders>
          </w:tcPr>
          <w:p w14:paraId="0308B59B" w14:textId="2D5D8CE0" w:rsidR="00ED45AD" w:rsidRPr="00E105BF" w:rsidRDefault="00ED45AD" w:rsidP="00ED45AD">
            <w:pPr>
              <w:spacing w:after="0"/>
              <w:rPr>
                <w:color w:val="000000"/>
                <w:sz w:val="20"/>
                <w:szCs w:val="20"/>
                <w:lang w:val="en-US"/>
              </w:rPr>
            </w:pPr>
            <w:r w:rsidRPr="6EB47483">
              <w:rPr>
                <w:sz w:val="20"/>
                <w:szCs w:val="20"/>
                <w:lang w:val="en-US"/>
              </w:rPr>
              <w:t>Mongolia</w:t>
            </w:r>
          </w:p>
        </w:tc>
        <w:tc>
          <w:tcPr>
            <w:tcW w:w="465" w:type="dxa"/>
            <w:tcBorders>
              <w:top w:val="nil"/>
              <w:left w:val="nil"/>
              <w:bottom w:val="single" w:sz="4" w:space="0" w:color="auto"/>
              <w:right w:val="single" w:sz="4" w:space="0" w:color="auto"/>
            </w:tcBorders>
            <w:shd w:val="clear" w:color="auto" w:fill="B7DEE8"/>
          </w:tcPr>
          <w:p w14:paraId="002BBE60" w14:textId="717EDCF8" w:rsidR="00ED45AD" w:rsidRPr="00E105BF" w:rsidRDefault="00E66EEC" w:rsidP="00ED45AD">
            <w:pPr>
              <w:spacing w:after="0"/>
              <w:rPr>
                <w:color w:val="000000"/>
                <w:sz w:val="20"/>
                <w:szCs w:val="20"/>
                <w:lang w:val="en-US"/>
              </w:rPr>
            </w:pPr>
            <w:r>
              <w:rPr>
                <w:sz w:val="20"/>
                <w:szCs w:val="20"/>
                <w:lang w:val="en-US"/>
              </w:rPr>
              <w:t>70</w:t>
            </w:r>
          </w:p>
        </w:tc>
        <w:tc>
          <w:tcPr>
            <w:tcW w:w="1973" w:type="dxa"/>
            <w:tcBorders>
              <w:top w:val="nil"/>
              <w:left w:val="nil"/>
              <w:bottom w:val="single" w:sz="4" w:space="0" w:color="auto"/>
              <w:right w:val="single" w:sz="4" w:space="0" w:color="auto"/>
            </w:tcBorders>
          </w:tcPr>
          <w:p w14:paraId="03460D83" w14:textId="4E223E66" w:rsidR="00ED45AD" w:rsidRPr="00E105BF" w:rsidRDefault="00ED45AD" w:rsidP="00ED45AD">
            <w:pPr>
              <w:spacing w:after="0"/>
              <w:rPr>
                <w:sz w:val="20"/>
                <w:szCs w:val="20"/>
                <w:lang w:val="en-US"/>
              </w:rPr>
            </w:pPr>
            <w:r w:rsidRPr="6EB47483">
              <w:rPr>
                <w:sz w:val="20"/>
                <w:szCs w:val="20"/>
                <w:lang w:val="en-US"/>
              </w:rPr>
              <w:t>Serbia</w:t>
            </w:r>
          </w:p>
          <w:p w14:paraId="29330BCC" w14:textId="31811316" w:rsidR="00ED45AD" w:rsidRPr="00E105BF" w:rsidRDefault="00ED45AD" w:rsidP="00ED45AD">
            <w:pPr>
              <w:spacing w:after="0"/>
              <w:rPr>
                <w:color w:val="000000"/>
                <w:sz w:val="20"/>
                <w:szCs w:val="20"/>
                <w:lang w:val="en-US"/>
              </w:rPr>
            </w:pPr>
          </w:p>
        </w:tc>
      </w:tr>
      <w:tr w:rsidR="00ED45AD" w14:paraId="5A2AFD8D"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24B31961" w14:textId="77777777" w:rsidR="00ED45AD" w:rsidRDefault="00ED45AD" w:rsidP="00ED45AD">
            <w:pPr>
              <w:spacing w:after="0"/>
              <w:rPr>
                <w:sz w:val="20"/>
                <w:szCs w:val="20"/>
                <w:lang w:val="en-US"/>
              </w:rPr>
            </w:pPr>
            <w:r w:rsidRPr="6EB47483">
              <w:rPr>
                <w:sz w:val="20"/>
                <w:szCs w:val="20"/>
                <w:lang w:val="en-US"/>
              </w:rPr>
              <w:t>8</w:t>
            </w:r>
          </w:p>
        </w:tc>
        <w:tc>
          <w:tcPr>
            <w:tcW w:w="1838" w:type="dxa"/>
            <w:tcBorders>
              <w:top w:val="nil"/>
              <w:left w:val="nil"/>
              <w:bottom w:val="single" w:sz="4" w:space="0" w:color="auto"/>
              <w:right w:val="single" w:sz="4" w:space="0" w:color="auto"/>
            </w:tcBorders>
            <w:hideMark/>
          </w:tcPr>
          <w:p w14:paraId="05E15743" w14:textId="550B25DB" w:rsidR="00ED45AD" w:rsidRPr="00CE0AAB" w:rsidRDefault="00ED45AD" w:rsidP="00ED45AD">
            <w:pPr>
              <w:spacing w:after="0"/>
              <w:rPr>
                <w:sz w:val="20"/>
                <w:szCs w:val="20"/>
                <w:lang w:val="en-US"/>
              </w:rPr>
            </w:pPr>
            <w:r w:rsidRPr="2818B29D">
              <w:rPr>
                <w:sz w:val="20"/>
                <w:szCs w:val="20"/>
                <w:lang w:val="en-US"/>
              </w:rPr>
              <w:t>Bhutan</w:t>
            </w:r>
          </w:p>
        </w:tc>
        <w:tc>
          <w:tcPr>
            <w:tcW w:w="450" w:type="dxa"/>
            <w:tcBorders>
              <w:top w:val="nil"/>
              <w:left w:val="nil"/>
              <w:bottom w:val="single" w:sz="4" w:space="0" w:color="auto"/>
              <w:right w:val="single" w:sz="4" w:space="0" w:color="auto"/>
            </w:tcBorders>
            <w:shd w:val="clear" w:color="auto" w:fill="B7DEE8"/>
          </w:tcPr>
          <w:p w14:paraId="30DD6195" w14:textId="42D26B67" w:rsidR="00ED45AD" w:rsidRDefault="00ED45AD" w:rsidP="00ED45AD">
            <w:pPr>
              <w:spacing w:after="0"/>
              <w:rPr>
                <w:sz w:val="20"/>
                <w:szCs w:val="20"/>
                <w:lang w:val="en-US"/>
              </w:rPr>
            </w:pPr>
            <w:r>
              <w:rPr>
                <w:sz w:val="20"/>
                <w:szCs w:val="20"/>
                <w:lang w:val="en-US"/>
              </w:rPr>
              <w:t>29</w:t>
            </w:r>
          </w:p>
        </w:tc>
        <w:tc>
          <w:tcPr>
            <w:tcW w:w="1544" w:type="dxa"/>
            <w:tcBorders>
              <w:top w:val="nil"/>
              <w:left w:val="nil"/>
              <w:bottom w:val="single" w:sz="4" w:space="0" w:color="auto"/>
              <w:right w:val="single" w:sz="4" w:space="0" w:color="auto"/>
            </w:tcBorders>
          </w:tcPr>
          <w:p w14:paraId="37F56C78" w14:textId="415F2395" w:rsidR="00ED45AD" w:rsidRDefault="00ED45AD" w:rsidP="00ED45AD">
            <w:pPr>
              <w:spacing w:after="0"/>
              <w:rPr>
                <w:sz w:val="20"/>
                <w:szCs w:val="20"/>
                <w:lang w:val="en-US"/>
              </w:rPr>
            </w:pPr>
            <w:r w:rsidRPr="6EB47483">
              <w:rPr>
                <w:sz w:val="20"/>
                <w:szCs w:val="20"/>
                <w:lang w:val="en-US"/>
              </w:rPr>
              <w:t>Gambia</w:t>
            </w:r>
          </w:p>
        </w:tc>
        <w:tc>
          <w:tcPr>
            <w:tcW w:w="452" w:type="dxa"/>
            <w:tcBorders>
              <w:top w:val="nil"/>
              <w:left w:val="nil"/>
              <w:bottom w:val="single" w:sz="4" w:space="0" w:color="auto"/>
              <w:right w:val="single" w:sz="4" w:space="0" w:color="auto"/>
            </w:tcBorders>
            <w:shd w:val="clear" w:color="auto" w:fill="B7DEE8"/>
          </w:tcPr>
          <w:p w14:paraId="5D4EFB2D" w14:textId="18E142BA" w:rsidR="00ED45AD" w:rsidRDefault="00E66EEC" w:rsidP="00ED45AD">
            <w:pPr>
              <w:spacing w:after="0"/>
              <w:rPr>
                <w:sz w:val="20"/>
                <w:szCs w:val="20"/>
                <w:lang w:val="en-US"/>
              </w:rPr>
            </w:pPr>
            <w:r>
              <w:rPr>
                <w:sz w:val="20"/>
                <w:szCs w:val="20"/>
                <w:lang w:val="en-US"/>
              </w:rPr>
              <w:t>50</w:t>
            </w:r>
          </w:p>
        </w:tc>
        <w:tc>
          <w:tcPr>
            <w:tcW w:w="1887" w:type="dxa"/>
            <w:tcBorders>
              <w:top w:val="nil"/>
              <w:left w:val="nil"/>
              <w:bottom w:val="single" w:sz="4" w:space="0" w:color="auto"/>
              <w:right w:val="single" w:sz="4" w:space="0" w:color="auto"/>
            </w:tcBorders>
          </w:tcPr>
          <w:p w14:paraId="3A06E768" w14:textId="78F23E12" w:rsidR="00ED45AD" w:rsidRDefault="00ED45AD" w:rsidP="00ED45AD">
            <w:pPr>
              <w:spacing w:after="0"/>
              <w:rPr>
                <w:sz w:val="20"/>
                <w:szCs w:val="20"/>
                <w:lang w:val="en-US"/>
              </w:rPr>
            </w:pPr>
            <w:r w:rsidRPr="6EB47483">
              <w:rPr>
                <w:sz w:val="20"/>
                <w:szCs w:val="20"/>
                <w:lang w:val="en-US"/>
              </w:rPr>
              <w:t>Montenegro</w:t>
            </w:r>
          </w:p>
        </w:tc>
        <w:tc>
          <w:tcPr>
            <w:tcW w:w="465" w:type="dxa"/>
            <w:tcBorders>
              <w:top w:val="nil"/>
              <w:left w:val="nil"/>
              <w:bottom w:val="single" w:sz="4" w:space="0" w:color="auto"/>
              <w:right w:val="single" w:sz="4" w:space="0" w:color="auto"/>
            </w:tcBorders>
            <w:shd w:val="clear" w:color="auto" w:fill="B7DEE8"/>
          </w:tcPr>
          <w:p w14:paraId="35E85680" w14:textId="664C2F1A" w:rsidR="00ED45AD" w:rsidRDefault="00E66EEC" w:rsidP="00ED45AD">
            <w:pPr>
              <w:spacing w:after="0"/>
              <w:rPr>
                <w:sz w:val="20"/>
                <w:szCs w:val="20"/>
                <w:lang w:val="en-US"/>
              </w:rPr>
            </w:pPr>
            <w:r>
              <w:rPr>
                <w:sz w:val="20"/>
                <w:szCs w:val="20"/>
                <w:lang w:val="en-US"/>
              </w:rPr>
              <w:t>71</w:t>
            </w:r>
          </w:p>
        </w:tc>
        <w:tc>
          <w:tcPr>
            <w:tcW w:w="1973" w:type="dxa"/>
            <w:tcBorders>
              <w:top w:val="nil"/>
              <w:left w:val="nil"/>
              <w:bottom w:val="single" w:sz="4" w:space="0" w:color="auto"/>
              <w:right w:val="single" w:sz="4" w:space="0" w:color="auto"/>
            </w:tcBorders>
          </w:tcPr>
          <w:p w14:paraId="3AAB56BA" w14:textId="2AC75289" w:rsidR="00ED45AD" w:rsidRDefault="00ED45AD" w:rsidP="00ED45AD">
            <w:pPr>
              <w:spacing w:after="0"/>
              <w:rPr>
                <w:sz w:val="20"/>
                <w:szCs w:val="20"/>
                <w:lang w:val="en-US"/>
              </w:rPr>
            </w:pPr>
            <w:r w:rsidRPr="6EB47483">
              <w:rPr>
                <w:sz w:val="20"/>
                <w:szCs w:val="20"/>
                <w:lang w:val="en-US"/>
              </w:rPr>
              <w:t>Seychelles</w:t>
            </w:r>
          </w:p>
        </w:tc>
      </w:tr>
      <w:tr w:rsidR="00ED45AD" w:rsidRPr="00E105BF" w14:paraId="45A9F9EE"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3E4DFE36" w14:textId="77777777" w:rsidR="00ED45AD" w:rsidRPr="00E105BF" w:rsidRDefault="00ED45AD" w:rsidP="00ED45AD">
            <w:pPr>
              <w:spacing w:after="0"/>
              <w:rPr>
                <w:color w:val="000000"/>
                <w:sz w:val="20"/>
                <w:szCs w:val="20"/>
                <w:lang w:val="en-US"/>
              </w:rPr>
            </w:pPr>
            <w:r w:rsidRPr="6EB47483">
              <w:rPr>
                <w:sz w:val="20"/>
                <w:szCs w:val="20"/>
                <w:lang w:val="en-US"/>
              </w:rPr>
              <w:t>9</w:t>
            </w:r>
          </w:p>
        </w:tc>
        <w:tc>
          <w:tcPr>
            <w:tcW w:w="1838" w:type="dxa"/>
            <w:tcBorders>
              <w:top w:val="nil"/>
              <w:left w:val="nil"/>
              <w:bottom w:val="single" w:sz="4" w:space="0" w:color="auto"/>
              <w:right w:val="single" w:sz="4" w:space="0" w:color="auto"/>
            </w:tcBorders>
            <w:hideMark/>
          </w:tcPr>
          <w:p w14:paraId="511E3E59" w14:textId="27B819ED" w:rsidR="00ED45AD" w:rsidRPr="00E105BF" w:rsidRDefault="00ED45AD" w:rsidP="00ED45AD">
            <w:pPr>
              <w:spacing w:after="0"/>
              <w:rPr>
                <w:color w:val="000000"/>
                <w:sz w:val="20"/>
                <w:szCs w:val="20"/>
                <w:lang w:val="en-US"/>
              </w:rPr>
            </w:pPr>
            <w:r w:rsidRPr="2818B29D">
              <w:rPr>
                <w:sz w:val="20"/>
                <w:szCs w:val="20"/>
                <w:lang w:val="en-US"/>
              </w:rPr>
              <w:t>Bolivia (Plurinational State of)</w:t>
            </w:r>
          </w:p>
        </w:tc>
        <w:tc>
          <w:tcPr>
            <w:tcW w:w="450" w:type="dxa"/>
            <w:tcBorders>
              <w:top w:val="nil"/>
              <w:left w:val="nil"/>
              <w:bottom w:val="single" w:sz="4" w:space="0" w:color="auto"/>
              <w:right w:val="single" w:sz="4" w:space="0" w:color="auto"/>
            </w:tcBorders>
            <w:shd w:val="clear" w:color="auto" w:fill="B7DEE8"/>
          </w:tcPr>
          <w:p w14:paraId="104AC948" w14:textId="4AF5F6F2" w:rsidR="00ED45AD" w:rsidRPr="00E105BF" w:rsidRDefault="00ED45AD" w:rsidP="00ED45AD">
            <w:pPr>
              <w:spacing w:after="0"/>
              <w:rPr>
                <w:color w:val="000000"/>
                <w:sz w:val="20"/>
                <w:szCs w:val="20"/>
                <w:lang w:val="en-US"/>
              </w:rPr>
            </w:pPr>
            <w:r w:rsidRPr="6EB47483">
              <w:rPr>
                <w:sz w:val="20"/>
                <w:szCs w:val="20"/>
                <w:lang w:val="en-US"/>
              </w:rPr>
              <w:t>3</w:t>
            </w:r>
            <w:r>
              <w:rPr>
                <w:sz w:val="20"/>
                <w:szCs w:val="20"/>
                <w:lang w:val="en-US"/>
              </w:rPr>
              <w:t>0</w:t>
            </w:r>
          </w:p>
        </w:tc>
        <w:tc>
          <w:tcPr>
            <w:tcW w:w="1544" w:type="dxa"/>
            <w:tcBorders>
              <w:top w:val="nil"/>
              <w:left w:val="nil"/>
              <w:bottom w:val="single" w:sz="4" w:space="0" w:color="auto"/>
              <w:right w:val="single" w:sz="4" w:space="0" w:color="auto"/>
            </w:tcBorders>
          </w:tcPr>
          <w:p w14:paraId="201886AE" w14:textId="79E4E0EB" w:rsidR="00ED45AD" w:rsidRPr="00E105BF" w:rsidRDefault="00ED45AD" w:rsidP="00ED45AD">
            <w:pPr>
              <w:spacing w:after="0"/>
              <w:rPr>
                <w:color w:val="000000"/>
                <w:sz w:val="20"/>
                <w:szCs w:val="20"/>
                <w:lang w:val="en-US"/>
              </w:rPr>
            </w:pPr>
            <w:r w:rsidRPr="6EB47483">
              <w:rPr>
                <w:sz w:val="20"/>
                <w:szCs w:val="20"/>
                <w:lang w:val="en-US"/>
              </w:rPr>
              <w:t>Georgia</w:t>
            </w:r>
          </w:p>
        </w:tc>
        <w:tc>
          <w:tcPr>
            <w:tcW w:w="452" w:type="dxa"/>
            <w:tcBorders>
              <w:top w:val="nil"/>
              <w:left w:val="nil"/>
              <w:bottom w:val="single" w:sz="4" w:space="0" w:color="auto"/>
              <w:right w:val="single" w:sz="4" w:space="0" w:color="auto"/>
            </w:tcBorders>
            <w:shd w:val="clear" w:color="auto" w:fill="B7DEE8"/>
          </w:tcPr>
          <w:p w14:paraId="67F38B8A" w14:textId="4975FC5B" w:rsidR="00ED45AD" w:rsidRPr="00E105BF" w:rsidRDefault="00ED45AD" w:rsidP="00ED45AD">
            <w:pPr>
              <w:spacing w:after="0"/>
              <w:rPr>
                <w:color w:val="000000"/>
                <w:sz w:val="20"/>
                <w:szCs w:val="20"/>
                <w:lang w:val="en-US"/>
              </w:rPr>
            </w:pPr>
            <w:r w:rsidRPr="6EB47483">
              <w:rPr>
                <w:sz w:val="20"/>
                <w:szCs w:val="20"/>
                <w:lang w:val="en-US"/>
              </w:rPr>
              <w:t>5</w:t>
            </w:r>
            <w:r w:rsidR="00E66EEC">
              <w:rPr>
                <w:sz w:val="20"/>
                <w:szCs w:val="20"/>
                <w:lang w:val="en-US"/>
              </w:rPr>
              <w:t>1</w:t>
            </w:r>
          </w:p>
        </w:tc>
        <w:tc>
          <w:tcPr>
            <w:tcW w:w="1887" w:type="dxa"/>
            <w:tcBorders>
              <w:top w:val="nil"/>
              <w:left w:val="nil"/>
              <w:bottom w:val="single" w:sz="4" w:space="0" w:color="auto"/>
              <w:right w:val="single" w:sz="4" w:space="0" w:color="auto"/>
            </w:tcBorders>
          </w:tcPr>
          <w:p w14:paraId="00442A6F" w14:textId="77777777" w:rsidR="00ED45AD" w:rsidRPr="00E105BF" w:rsidRDefault="00ED45AD" w:rsidP="00ED45AD">
            <w:pPr>
              <w:spacing w:after="0"/>
              <w:rPr>
                <w:sz w:val="20"/>
                <w:szCs w:val="20"/>
                <w:lang w:val="en-US"/>
              </w:rPr>
            </w:pPr>
            <w:r w:rsidRPr="6EB47483">
              <w:rPr>
                <w:sz w:val="20"/>
                <w:szCs w:val="20"/>
                <w:lang w:val="en-US"/>
              </w:rPr>
              <w:t>Mozambique</w:t>
            </w:r>
          </w:p>
          <w:p w14:paraId="053D0E2B" w14:textId="601043B0" w:rsidR="00ED45AD" w:rsidRPr="00E105BF" w:rsidRDefault="00ED45AD" w:rsidP="00ED45AD">
            <w:pPr>
              <w:spacing w:after="0"/>
              <w:rPr>
                <w:color w:val="000000"/>
                <w:sz w:val="20"/>
                <w:szCs w:val="20"/>
                <w:lang w:val="en-US"/>
              </w:rPr>
            </w:pPr>
          </w:p>
        </w:tc>
        <w:tc>
          <w:tcPr>
            <w:tcW w:w="465" w:type="dxa"/>
            <w:tcBorders>
              <w:top w:val="nil"/>
              <w:left w:val="nil"/>
              <w:bottom w:val="single" w:sz="4" w:space="0" w:color="auto"/>
              <w:right w:val="single" w:sz="4" w:space="0" w:color="auto"/>
            </w:tcBorders>
            <w:shd w:val="clear" w:color="auto" w:fill="B7DEE8"/>
          </w:tcPr>
          <w:p w14:paraId="125543B7" w14:textId="40F394DF" w:rsidR="00ED45AD" w:rsidRPr="00E105BF" w:rsidRDefault="00E66EEC" w:rsidP="00ED45AD">
            <w:pPr>
              <w:spacing w:after="0"/>
              <w:rPr>
                <w:color w:val="000000"/>
                <w:sz w:val="20"/>
                <w:szCs w:val="20"/>
                <w:lang w:val="en-US"/>
              </w:rPr>
            </w:pPr>
            <w:r>
              <w:rPr>
                <w:sz w:val="20"/>
                <w:szCs w:val="20"/>
                <w:lang w:val="en-US"/>
              </w:rPr>
              <w:t>7</w:t>
            </w:r>
            <w:r w:rsidR="00F45D53">
              <w:rPr>
                <w:sz w:val="20"/>
                <w:szCs w:val="20"/>
                <w:lang w:val="en-US"/>
              </w:rPr>
              <w:t>2</w:t>
            </w:r>
          </w:p>
        </w:tc>
        <w:tc>
          <w:tcPr>
            <w:tcW w:w="1973" w:type="dxa"/>
            <w:tcBorders>
              <w:top w:val="nil"/>
              <w:left w:val="nil"/>
              <w:bottom w:val="single" w:sz="4" w:space="0" w:color="auto"/>
              <w:right w:val="single" w:sz="4" w:space="0" w:color="auto"/>
            </w:tcBorders>
          </w:tcPr>
          <w:p w14:paraId="46AD513C" w14:textId="77777777" w:rsidR="00ED45AD" w:rsidRPr="00E105BF" w:rsidRDefault="00ED45AD" w:rsidP="00ED45AD">
            <w:pPr>
              <w:spacing w:after="0"/>
              <w:rPr>
                <w:sz w:val="20"/>
                <w:szCs w:val="20"/>
                <w:lang w:val="en-US"/>
              </w:rPr>
            </w:pPr>
            <w:r w:rsidRPr="6EB47483">
              <w:rPr>
                <w:sz w:val="20"/>
                <w:szCs w:val="20"/>
                <w:lang w:val="en-US"/>
              </w:rPr>
              <w:t>Sierra Leone</w:t>
            </w:r>
          </w:p>
          <w:p w14:paraId="6C1390E1" w14:textId="04C2C849" w:rsidR="00ED45AD" w:rsidRPr="00E105BF" w:rsidRDefault="00ED45AD" w:rsidP="00ED45AD">
            <w:pPr>
              <w:spacing w:after="0"/>
              <w:rPr>
                <w:color w:val="000000"/>
                <w:sz w:val="20"/>
                <w:szCs w:val="20"/>
                <w:lang w:val="en-US"/>
              </w:rPr>
            </w:pPr>
          </w:p>
        </w:tc>
      </w:tr>
      <w:tr w:rsidR="00ED45AD" w:rsidRPr="00E105BF" w14:paraId="3718EBF1"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24E5F269" w14:textId="77777777" w:rsidR="00ED45AD" w:rsidRPr="00E105BF" w:rsidRDefault="00ED45AD" w:rsidP="00ED45AD">
            <w:pPr>
              <w:spacing w:after="0"/>
              <w:rPr>
                <w:color w:val="000000"/>
                <w:sz w:val="20"/>
                <w:szCs w:val="20"/>
                <w:lang w:val="en-US"/>
              </w:rPr>
            </w:pPr>
            <w:r w:rsidRPr="6EB47483">
              <w:rPr>
                <w:sz w:val="20"/>
                <w:szCs w:val="20"/>
                <w:lang w:val="en-US"/>
              </w:rPr>
              <w:t>10</w:t>
            </w:r>
          </w:p>
        </w:tc>
        <w:tc>
          <w:tcPr>
            <w:tcW w:w="1838" w:type="dxa"/>
            <w:tcBorders>
              <w:top w:val="nil"/>
              <w:left w:val="nil"/>
              <w:bottom w:val="single" w:sz="4" w:space="0" w:color="auto"/>
              <w:right w:val="single" w:sz="4" w:space="0" w:color="auto"/>
            </w:tcBorders>
            <w:hideMark/>
          </w:tcPr>
          <w:p w14:paraId="24915C8B" w14:textId="1A69458A" w:rsidR="00ED45AD" w:rsidRPr="00E105BF" w:rsidRDefault="00ED45AD" w:rsidP="00ED45AD">
            <w:pPr>
              <w:spacing w:after="0"/>
              <w:rPr>
                <w:color w:val="000000"/>
                <w:sz w:val="20"/>
                <w:szCs w:val="20"/>
                <w:lang w:val="en-US"/>
              </w:rPr>
            </w:pPr>
            <w:r w:rsidRPr="2818B29D">
              <w:rPr>
                <w:sz w:val="20"/>
                <w:szCs w:val="20"/>
                <w:lang w:val="en-US"/>
              </w:rPr>
              <w:t>Botswana</w:t>
            </w:r>
          </w:p>
        </w:tc>
        <w:tc>
          <w:tcPr>
            <w:tcW w:w="450" w:type="dxa"/>
            <w:tcBorders>
              <w:top w:val="nil"/>
              <w:left w:val="nil"/>
              <w:bottom w:val="single" w:sz="4" w:space="0" w:color="auto"/>
              <w:right w:val="single" w:sz="4" w:space="0" w:color="auto"/>
            </w:tcBorders>
            <w:shd w:val="clear" w:color="auto" w:fill="B7DEE8"/>
          </w:tcPr>
          <w:p w14:paraId="77981563" w14:textId="3EFE3854" w:rsidR="00ED45AD" w:rsidRPr="00E105BF" w:rsidRDefault="00ED45AD" w:rsidP="00ED45AD">
            <w:pPr>
              <w:spacing w:after="0"/>
              <w:rPr>
                <w:color w:val="000000"/>
                <w:sz w:val="20"/>
                <w:szCs w:val="20"/>
                <w:lang w:val="en-US"/>
              </w:rPr>
            </w:pPr>
            <w:r w:rsidRPr="6EB47483">
              <w:rPr>
                <w:sz w:val="20"/>
                <w:szCs w:val="20"/>
                <w:lang w:val="en-US"/>
              </w:rPr>
              <w:t>3</w:t>
            </w:r>
            <w:r>
              <w:rPr>
                <w:sz w:val="20"/>
                <w:szCs w:val="20"/>
                <w:lang w:val="en-US"/>
              </w:rPr>
              <w:t>1</w:t>
            </w:r>
          </w:p>
        </w:tc>
        <w:tc>
          <w:tcPr>
            <w:tcW w:w="1544" w:type="dxa"/>
            <w:tcBorders>
              <w:top w:val="nil"/>
              <w:left w:val="nil"/>
              <w:bottom w:val="single" w:sz="4" w:space="0" w:color="auto"/>
              <w:right w:val="single" w:sz="4" w:space="0" w:color="auto"/>
            </w:tcBorders>
          </w:tcPr>
          <w:p w14:paraId="20796F74" w14:textId="5C9596BF" w:rsidR="00ED45AD" w:rsidRPr="00E105BF" w:rsidRDefault="00ED45AD" w:rsidP="00ED45AD">
            <w:pPr>
              <w:spacing w:after="0"/>
              <w:rPr>
                <w:color w:val="000000"/>
                <w:sz w:val="20"/>
                <w:szCs w:val="20"/>
                <w:lang w:val="en-US"/>
              </w:rPr>
            </w:pPr>
            <w:r w:rsidRPr="2818B29D">
              <w:rPr>
                <w:sz w:val="20"/>
                <w:szCs w:val="20"/>
                <w:lang w:val="en-US"/>
              </w:rPr>
              <w:t>Ghana</w:t>
            </w:r>
          </w:p>
        </w:tc>
        <w:tc>
          <w:tcPr>
            <w:tcW w:w="452" w:type="dxa"/>
            <w:tcBorders>
              <w:top w:val="nil"/>
              <w:left w:val="nil"/>
              <w:bottom w:val="single" w:sz="4" w:space="0" w:color="auto"/>
              <w:right w:val="single" w:sz="4" w:space="0" w:color="auto"/>
            </w:tcBorders>
            <w:shd w:val="clear" w:color="auto" w:fill="B7DEE8"/>
          </w:tcPr>
          <w:p w14:paraId="6DB56B9C" w14:textId="50B35D74" w:rsidR="00ED45AD" w:rsidRPr="00E105BF" w:rsidRDefault="00ED45AD" w:rsidP="00ED45AD">
            <w:pPr>
              <w:spacing w:after="0"/>
              <w:rPr>
                <w:color w:val="000000"/>
                <w:sz w:val="20"/>
                <w:szCs w:val="20"/>
                <w:lang w:val="en-US"/>
              </w:rPr>
            </w:pPr>
            <w:r w:rsidRPr="6EB47483">
              <w:rPr>
                <w:sz w:val="20"/>
                <w:szCs w:val="20"/>
                <w:lang w:val="en-US"/>
              </w:rPr>
              <w:t>5</w:t>
            </w:r>
            <w:r w:rsidR="00E66EEC">
              <w:rPr>
                <w:sz w:val="20"/>
                <w:szCs w:val="20"/>
                <w:lang w:val="en-US"/>
              </w:rPr>
              <w:t>2</w:t>
            </w:r>
          </w:p>
        </w:tc>
        <w:tc>
          <w:tcPr>
            <w:tcW w:w="1887" w:type="dxa"/>
            <w:tcBorders>
              <w:top w:val="nil"/>
              <w:left w:val="nil"/>
              <w:bottom w:val="single" w:sz="4" w:space="0" w:color="auto"/>
              <w:right w:val="single" w:sz="4" w:space="0" w:color="auto"/>
            </w:tcBorders>
          </w:tcPr>
          <w:p w14:paraId="63EE41E5" w14:textId="521C9B65" w:rsidR="00ED45AD" w:rsidRPr="00E105BF" w:rsidRDefault="00ED45AD" w:rsidP="00ED45AD">
            <w:pPr>
              <w:spacing w:after="0"/>
              <w:rPr>
                <w:color w:val="000000"/>
                <w:sz w:val="20"/>
                <w:szCs w:val="20"/>
                <w:lang w:val="en-US"/>
              </w:rPr>
            </w:pPr>
            <w:r w:rsidRPr="6EB47483">
              <w:rPr>
                <w:sz w:val="20"/>
                <w:szCs w:val="20"/>
                <w:lang w:val="en-US"/>
              </w:rPr>
              <w:t>Myanmar</w:t>
            </w:r>
          </w:p>
        </w:tc>
        <w:tc>
          <w:tcPr>
            <w:tcW w:w="465" w:type="dxa"/>
            <w:tcBorders>
              <w:top w:val="nil"/>
              <w:left w:val="nil"/>
              <w:bottom w:val="single" w:sz="4" w:space="0" w:color="auto"/>
              <w:right w:val="single" w:sz="4" w:space="0" w:color="auto"/>
            </w:tcBorders>
            <w:shd w:val="clear" w:color="auto" w:fill="B7DEE8"/>
          </w:tcPr>
          <w:p w14:paraId="4662E2B4" w14:textId="4152AF5B" w:rsidR="00ED45AD" w:rsidRPr="00E105BF" w:rsidRDefault="00F45D53" w:rsidP="00ED45AD">
            <w:pPr>
              <w:spacing w:after="0"/>
              <w:rPr>
                <w:color w:val="000000"/>
                <w:sz w:val="20"/>
                <w:szCs w:val="20"/>
                <w:lang w:val="en-US"/>
              </w:rPr>
            </w:pPr>
            <w:r>
              <w:rPr>
                <w:sz w:val="20"/>
                <w:szCs w:val="20"/>
                <w:lang w:val="en-US"/>
              </w:rPr>
              <w:t>73</w:t>
            </w:r>
          </w:p>
        </w:tc>
        <w:tc>
          <w:tcPr>
            <w:tcW w:w="1973" w:type="dxa"/>
            <w:tcBorders>
              <w:top w:val="nil"/>
              <w:left w:val="nil"/>
              <w:bottom w:val="single" w:sz="4" w:space="0" w:color="auto"/>
              <w:right w:val="single" w:sz="4" w:space="0" w:color="auto"/>
            </w:tcBorders>
          </w:tcPr>
          <w:p w14:paraId="46F4C43B" w14:textId="3F8A4673" w:rsidR="00ED45AD" w:rsidRPr="00E105BF" w:rsidRDefault="00ED45AD" w:rsidP="00ED45AD">
            <w:pPr>
              <w:spacing w:after="0"/>
              <w:rPr>
                <w:color w:val="000000"/>
                <w:sz w:val="20"/>
                <w:szCs w:val="20"/>
                <w:lang w:val="en-US"/>
              </w:rPr>
            </w:pPr>
            <w:r w:rsidRPr="6EB47483">
              <w:rPr>
                <w:sz w:val="20"/>
                <w:szCs w:val="20"/>
                <w:lang w:val="en-US"/>
              </w:rPr>
              <w:t>Solomon Islands</w:t>
            </w:r>
          </w:p>
        </w:tc>
      </w:tr>
      <w:tr w:rsidR="00ED45AD" w:rsidRPr="00E105BF" w14:paraId="58C6A242"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52205497" w14:textId="77777777" w:rsidR="00ED45AD" w:rsidRPr="00E105BF" w:rsidRDefault="00ED45AD" w:rsidP="00ED45AD">
            <w:pPr>
              <w:spacing w:after="0"/>
              <w:rPr>
                <w:color w:val="000000"/>
                <w:sz w:val="20"/>
                <w:szCs w:val="20"/>
                <w:lang w:val="en-US"/>
              </w:rPr>
            </w:pPr>
            <w:r w:rsidRPr="6EB47483">
              <w:rPr>
                <w:sz w:val="20"/>
                <w:szCs w:val="20"/>
                <w:lang w:val="en-US"/>
              </w:rPr>
              <w:t>11</w:t>
            </w:r>
          </w:p>
        </w:tc>
        <w:tc>
          <w:tcPr>
            <w:tcW w:w="1838" w:type="dxa"/>
            <w:tcBorders>
              <w:top w:val="nil"/>
              <w:left w:val="nil"/>
              <w:bottom w:val="single" w:sz="4" w:space="0" w:color="auto"/>
              <w:right w:val="single" w:sz="4" w:space="0" w:color="auto"/>
            </w:tcBorders>
            <w:hideMark/>
          </w:tcPr>
          <w:p w14:paraId="3D5A0F1B" w14:textId="539D7814" w:rsidR="00ED45AD" w:rsidRPr="00E105BF" w:rsidRDefault="00ED45AD" w:rsidP="00ED45AD">
            <w:pPr>
              <w:spacing w:after="0"/>
              <w:rPr>
                <w:color w:val="000000"/>
                <w:sz w:val="20"/>
                <w:szCs w:val="20"/>
                <w:lang w:val="en-US"/>
              </w:rPr>
            </w:pPr>
            <w:r w:rsidRPr="2818B29D">
              <w:rPr>
                <w:sz w:val="20"/>
                <w:szCs w:val="20"/>
                <w:lang w:val="en-US"/>
              </w:rPr>
              <w:t>Brunei Darussalam</w:t>
            </w:r>
          </w:p>
        </w:tc>
        <w:tc>
          <w:tcPr>
            <w:tcW w:w="450" w:type="dxa"/>
            <w:tcBorders>
              <w:top w:val="nil"/>
              <w:left w:val="nil"/>
              <w:bottom w:val="single" w:sz="4" w:space="0" w:color="auto"/>
              <w:right w:val="single" w:sz="4" w:space="0" w:color="auto"/>
            </w:tcBorders>
            <w:shd w:val="clear" w:color="auto" w:fill="B7DEE8"/>
          </w:tcPr>
          <w:p w14:paraId="43024804" w14:textId="2F1AB495" w:rsidR="00ED45AD" w:rsidRPr="00E105BF" w:rsidRDefault="00ED45AD" w:rsidP="00ED45AD">
            <w:pPr>
              <w:spacing w:after="0"/>
              <w:rPr>
                <w:color w:val="000000"/>
                <w:sz w:val="20"/>
                <w:szCs w:val="20"/>
                <w:lang w:val="en-US"/>
              </w:rPr>
            </w:pPr>
            <w:r w:rsidRPr="6EB47483">
              <w:rPr>
                <w:sz w:val="20"/>
                <w:szCs w:val="20"/>
                <w:lang w:val="en-US"/>
              </w:rPr>
              <w:t>3</w:t>
            </w:r>
            <w:r>
              <w:rPr>
                <w:sz w:val="20"/>
                <w:szCs w:val="20"/>
                <w:lang w:val="en-US"/>
              </w:rPr>
              <w:t>2</w:t>
            </w:r>
          </w:p>
        </w:tc>
        <w:tc>
          <w:tcPr>
            <w:tcW w:w="1544" w:type="dxa"/>
            <w:tcBorders>
              <w:top w:val="nil"/>
              <w:left w:val="nil"/>
              <w:bottom w:val="single" w:sz="4" w:space="0" w:color="auto"/>
              <w:right w:val="single" w:sz="4" w:space="0" w:color="auto"/>
            </w:tcBorders>
          </w:tcPr>
          <w:p w14:paraId="499186B0" w14:textId="71C5157E" w:rsidR="00ED45AD" w:rsidRPr="00CE0AAB" w:rsidRDefault="00ED45AD" w:rsidP="00ED45AD">
            <w:pPr>
              <w:spacing w:after="0"/>
              <w:rPr>
                <w:sz w:val="20"/>
                <w:szCs w:val="20"/>
                <w:lang w:val="en-US"/>
              </w:rPr>
            </w:pPr>
            <w:r w:rsidRPr="6EB47483">
              <w:rPr>
                <w:sz w:val="20"/>
                <w:szCs w:val="20"/>
                <w:lang w:val="en-US"/>
              </w:rPr>
              <w:t>Grenada</w:t>
            </w:r>
          </w:p>
        </w:tc>
        <w:tc>
          <w:tcPr>
            <w:tcW w:w="452" w:type="dxa"/>
            <w:tcBorders>
              <w:top w:val="nil"/>
              <w:left w:val="nil"/>
              <w:bottom w:val="single" w:sz="4" w:space="0" w:color="auto"/>
              <w:right w:val="single" w:sz="4" w:space="0" w:color="auto"/>
            </w:tcBorders>
            <w:shd w:val="clear" w:color="auto" w:fill="B7DEE8"/>
          </w:tcPr>
          <w:p w14:paraId="6EE8E17B" w14:textId="3086DD46" w:rsidR="00ED45AD" w:rsidRPr="00E105BF" w:rsidRDefault="00ED45AD" w:rsidP="00ED45AD">
            <w:pPr>
              <w:spacing w:after="0"/>
              <w:rPr>
                <w:color w:val="000000"/>
                <w:sz w:val="20"/>
                <w:szCs w:val="20"/>
                <w:lang w:val="en-US"/>
              </w:rPr>
            </w:pPr>
            <w:r w:rsidRPr="6EB47483">
              <w:rPr>
                <w:sz w:val="20"/>
                <w:szCs w:val="20"/>
                <w:lang w:val="en-US"/>
              </w:rPr>
              <w:t>5</w:t>
            </w:r>
            <w:r w:rsidR="00E66EEC">
              <w:rPr>
                <w:sz w:val="20"/>
                <w:szCs w:val="20"/>
                <w:lang w:val="en-US"/>
              </w:rPr>
              <w:t>3</w:t>
            </w:r>
          </w:p>
        </w:tc>
        <w:tc>
          <w:tcPr>
            <w:tcW w:w="1887" w:type="dxa"/>
            <w:tcBorders>
              <w:top w:val="nil"/>
              <w:left w:val="nil"/>
              <w:bottom w:val="single" w:sz="4" w:space="0" w:color="auto"/>
              <w:right w:val="single" w:sz="4" w:space="0" w:color="auto"/>
            </w:tcBorders>
          </w:tcPr>
          <w:p w14:paraId="7F2EB473" w14:textId="2E825EF1" w:rsidR="00ED45AD" w:rsidRPr="00E105BF" w:rsidRDefault="00ED45AD" w:rsidP="00ED45AD">
            <w:pPr>
              <w:spacing w:after="0"/>
              <w:rPr>
                <w:color w:val="000000"/>
                <w:sz w:val="20"/>
                <w:szCs w:val="20"/>
                <w:lang w:val="en-US"/>
              </w:rPr>
            </w:pPr>
            <w:r w:rsidRPr="6EB47483">
              <w:rPr>
                <w:sz w:val="20"/>
                <w:szCs w:val="20"/>
                <w:lang w:val="en-US"/>
              </w:rPr>
              <w:t>Namibia</w:t>
            </w:r>
          </w:p>
        </w:tc>
        <w:tc>
          <w:tcPr>
            <w:tcW w:w="465" w:type="dxa"/>
            <w:tcBorders>
              <w:top w:val="nil"/>
              <w:left w:val="nil"/>
              <w:bottom w:val="single" w:sz="4" w:space="0" w:color="auto"/>
              <w:right w:val="single" w:sz="4" w:space="0" w:color="auto"/>
            </w:tcBorders>
            <w:shd w:val="clear" w:color="auto" w:fill="B7DEE8"/>
          </w:tcPr>
          <w:p w14:paraId="3DCDA945" w14:textId="1076D0B8" w:rsidR="00ED45AD" w:rsidRPr="00E105BF" w:rsidRDefault="00F45D53" w:rsidP="00ED45AD">
            <w:pPr>
              <w:spacing w:after="0"/>
              <w:rPr>
                <w:color w:val="000000"/>
                <w:sz w:val="20"/>
                <w:szCs w:val="20"/>
                <w:lang w:val="en-US"/>
              </w:rPr>
            </w:pPr>
            <w:r>
              <w:rPr>
                <w:sz w:val="20"/>
                <w:szCs w:val="20"/>
                <w:lang w:val="en-US"/>
              </w:rPr>
              <w:t>74</w:t>
            </w:r>
          </w:p>
        </w:tc>
        <w:tc>
          <w:tcPr>
            <w:tcW w:w="1973" w:type="dxa"/>
            <w:tcBorders>
              <w:top w:val="nil"/>
              <w:left w:val="nil"/>
              <w:bottom w:val="single" w:sz="4" w:space="0" w:color="auto"/>
              <w:right w:val="single" w:sz="4" w:space="0" w:color="auto"/>
            </w:tcBorders>
          </w:tcPr>
          <w:p w14:paraId="5EAA6970" w14:textId="77777777" w:rsidR="00ED45AD" w:rsidRPr="00E105BF" w:rsidRDefault="00ED45AD" w:rsidP="00ED45AD">
            <w:pPr>
              <w:spacing w:after="0"/>
              <w:rPr>
                <w:sz w:val="20"/>
                <w:szCs w:val="20"/>
                <w:lang w:val="en-US"/>
              </w:rPr>
            </w:pPr>
            <w:r w:rsidRPr="002B612C">
              <w:rPr>
                <w:sz w:val="20"/>
                <w:szCs w:val="20"/>
                <w:lang w:val="en-US"/>
              </w:rPr>
              <w:t>South Sudan</w:t>
            </w:r>
          </w:p>
          <w:p w14:paraId="15E3A1E6" w14:textId="0395CB32" w:rsidR="00ED45AD" w:rsidRPr="00E105BF" w:rsidRDefault="00ED45AD" w:rsidP="00ED45AD">
            <w:pPr>
              <w:spacing w:after="0"/>
              <w:rPr>
                <w:color w:val="000000"/>
                <w:sz w:val="20"/>
                <w:szCs w:val="20"/>
                <w:highlight w:val="yellow"/>
                <w:lang w:val="en-US"/>
              </w:rPr>
            </w:pPr>
          </w:p>
        </w:tc>
      </w:tr>
      <w:tr w:rsidR="00ED45AD" w:rsidRPr="00E105BF" w14:paraId="09EC08B9"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574BB689" w14:textId="77777777" w:rsidR="00ED45AD" w:rsidRPr="00E105BF" w:rsidRDefault="00ED45AD" w:rsidP="00ED45AD">
            <w:pPr>
              <w:spacing w:after="0"/>
              <w:rPr>
                <w:color w:val="000000"/>
                <w:sz w:val="20"/>
                <w:szCs w:val="20"/>
                <w:lang w:val="en-US"/>
              </w:rPr>
            </w:pPr>
            <w:r w:rsidRPr="6EB47483">
              <w:rPr>
                <w:sz w:val="20"/>
                <w:szCs w:val="20"/>
                <w:lang w:val="en-US"/>
              </w:rPr>
              <w:t>12</w:t>
            </w:r>
          </w:p>
        </w:tc>
        <w:tc>
          <w:tcPr>
            <w:tcW w:w="1838" w:type="dxa"/>
            <w:tcBorders>
              <w:top w:val="nil"/>
              <w:left w:val="nil"/>
              <w:bottom w:val="single" w:sz="4" w:space="0" w:color="auto"/>
              <w:right w:val="single" w:sz="4" w:space="0" w:color="auto"/>
            </w:tcBorders>
            <w:hideMark/>
          </w:tcPr>
          <w:p w14:paraId="0EA68994" w14:textId="5B1472E7" w:rsidR="00ED45AD" w:rsidRPr="00E105BF" w:rsidRDefault="00ED45AD" w:rsidP="00ED45AD">
            <w:pPr>
              <w:spacing w:after="0"/>
              <w:rPr>
                <w:color w:val="000000"/>
                <w:sz w:val="20"/>
                <w:szCs w:val="20"/>
                <w:lang w:val="en-US"/>
              </w:rPr>
            </w:pPr>
            <w:r w:rsidRPr="0B8B7AC9">
              <w:rPr>
                <w:sz w:val="20"/>
                <w:szCs w:val="20"/>
                <w:lang w:val="en-US"/>
              </w:rPr>
              <w:t xml:space="preserve">Burkina Faso </w:t>
            </w:r>
          </w:p>
        </w:tc>
        <w:tc>
          <w:tcPr>
            <w:tcW w:w="450" w:type="dxa"/>
            <w:tcBorders>
              <w:top w:val="nil"/>
              <w:left w:val="nil"/>
              <w:bottom w:val="single" w:sz="4" w:space="0" w:color="auto"/>
              <w:right w:val="single" w:sz="4" w:space="0" w:color="auto"/>
            </w:tcBorders>
            <w:shd w:val="clear" w:color="auto" w:fill="B7DEE8"/>
          </w:tcPr>
          <w:p w14:paraId="25F8A425" w14:textId="04780C38" w:rsidR="00ED45AD" w:rsidRPr="00E105BF" w:rsidRDefault="00ED45AD" w:rsidP="00ED45AD">
            <w:pPr>
              <w:spacing w:after="0"/>
              <w:rPr>
                <w:color w:val="000000"/>
                <w:sz w:val="20"/>
                <w:szCs w:val="20"/>
                <w:lang w:val="en-US"/>
              </w:rPr>
            </w:pPr>
            <w:r w:rsidRPr="6EB47483">
              <w:rPr>
                <w:sz w:val="20"/>
                <w:szCs w:val="20"/>
                <w:lang w:val="en-US"/>
              </w:rPr>
              <w:t>3</w:t>
            </w:r>
            <w:r>
              <w:rPr>
                <w:sz w:val="20"/>
                <w:szCs w:val="20"/>
                <w:lang w:val="en-US"/>
              </w:rPr>
              <w:t>3</w:t>
            </w:r>
          </w:p>
        </w:tc>
        <w:tc>
          <w:tcPr>
            <w:tcW w:w="1544" w:type="dxa"/>
            <w:tcBorders>
              <w:top w:val="nil"/>
              <w:left w:val="nil"/>
              <w:bottom w:val="single" w:sz="4" w:space="0" w:color="auto"/>
              <w:right w:val="single" w:sz="4" w:space="0" w:color="auto"/>
            </w:tcBorders>
          </w:tcPr>
          <w:p w14:paraId="4EBDEDD1" w14:textId="30D6897F" w:rsidR="00ED45AD" w:rsidRPr="27938C69" w:rsidRDefault="00ED45AD" w:rsidP="00ED45AD">
            <w:pPr>
              <w:spacing w:after="0"/>
              <w:rPr>
                <w:sz w:val="20"/>
                <w:szCs w:val="20"/>
                <w:lang w:val="en-US"/>
              </w:rPr>
            </w:pPr>
            <w:r w:rsidRPr="6EB47483">
              <w:rPr>
                <w:sz w:val="20"/>
                <w:szCs w:val="20"/>
                <w:lang w:val="en-US"/>
              </w:rPr>
              <w:t>Guinea Bissau</w:t>
            </w:r>
          </w:p>
        </w:tc>
        <w:tc>
          <w:tcPr>
            <w:tcW w:w="452" w:type="dxa"/>
            <w:tcBorders>
              <w:top w:val="nil"/>
              <w:left w:val="nil"/>
              <w:bottom w:val="single" w:sz="4" w:space="0" w:color="auto"/>
              <w:right w:val="single" w:sz="4" w:space="0" w:color="auto"/>
            </w:tcBorders>
            <w:shd w:val="clear" w:color="auto" w:fill="B7DEE8"/>
          </w:tcPr>
          <w:p w14:paraId="6759449D" w14:textId="1F1842BD" w:rsidR="00ED45AD" w:rsidRPr="00E105BF" w:rsidRDefault="00E66EEC" w:rsidP="00ED45AD">
            <w:pPr>
              <w:spacing w:after="0"/>
              <w:rPr>
                <w:color w:val="000000"/>
                <w:sz w:val="20"/>
                <w:szCs w:val="20"/>
                <w:lang w:val="en-US"/>
              </w:rPr>
            </w:pPr>
            <w:r>
              <w:rPr>
                <w:sz w:val="20"/>
                <w:szCs w:val="20"/>
                <w:lang w:val="en-US"/>
              </w:rPr>
              <w:t>54</w:t>
            </w:r>
          </w:p>
        </w:tc>
        <w:tc>
          <w:tcPr>
            <w:tcW w:w="1887" w:type="dxa"/>
            <w:tcBorders>
              <w:top w:val="nil"/>
              <w:left w:val="nil"/>
              <w:bottom w:val="single" w:sz="4" w:space="0" w:color="auto"/>
              <w:right w:val="single" w:sz="4" w:space="0" w:color="auto"/>
            </w:tcBorders>
          </w:tcPr>
          <w:p w14:paraId="66AA2522" w14:textId="5A80FEF8" w:rsidR="00ED45AD" w:rsidRPr="00E105BF" w:rsidRDefault="00ED45AD" w:rsidP="00ED45AD">
            <w:pPr>
              <w:spacing w:after="0"/>
              <w:rPr>
                <w:color w:val="000000"/>
                <w:sz w:val="20"/>
                <w:szCs w:val="20"/>
                <w:lang w:val="en-US"/>
              </w:rPr>
            </w:pPr>
            <w:r w:rsidRPr="6EB47483">
              <w:rPr>
                <w:sz w:val="20"/>
                <w:szCs w:val="20"/>
                <w:lang w:val="en-US"/>
              </w:rPr>
              <w:t>Nauru</w:t>
            </w:r>
          </w:p>
        </w:tc>
        <w:tc>
          <w:tcPr>
            <w:tcW w:w="465" w:type="dxa"/>
            <w:tcBorders>
              <w:top w:val="nil"/>
              <w:left w:val="nil"/>
              <w:bottom w:val="single" w:sz="4" w:space="0" w:color="auto"/>
              <w:right w:val="single" w:sz="4" w:space="0" w:color="auto"/>
            </w:tcBorders>
            <w:shd w:val="clear" w:color="auto" w:fill="B7DEE8"/>
          </w:tcPr>
          <w:p w14:paraId="285F6AFC" w14:textId="43A3B599" w:rsidR="00ED45AD" w:rsidRPr="00E105BF" w:rsidRDefault="00F45D53" w:rsidP="00ED45AD">
            <w:pPr>
              <w:spacing w:after="0"/>
              <w:rPr>
                <w:color w:val="000000"/>
                <w:sz w:val="20"/>
                <w:szCs w:val="20"/>
                <w:lang w:val="en-US"/>
              </w:rPr>
            </w:pPr>
            <w:r>
              <w:rPr>
                <w:sz w:val="20"/>
                <w:szCs w:val="20"/>
                <w:lang w:val="en-US"/>
              </w:rPr>
              <w:t>75</w:t>
            </w:r>
          </w:p>
        </w:tc>
        <w:tc>
          <w:tcPr>
            <w:tcW w:w="1973" w:type="dxa"/>
            <w:tcBorders>
              <w:top w:val="nil"/>
              <w:left w:val="nil"/>
              <w:bottom w:val="single" w:sz="4" w:space="0" w:color="auto"/>
              <w:right w:val="single" w:sz="4" w:space="0" w:color="auto"/>
            </w:tcBorders>
          </w:tcPr>
          <w:p w14:paraId="6F981305" w14:textId="77777777" w:rsidR="00ED45AD" w:rsidRPr="00E105BF" w:rsidRDefault="00ED45AD" w:rsidP="00ED45AD">
            <w:pPr>
              <w:spacing w:after="0"/>
              <w:rPr>
                <w:sz w:val="20"/>
                <w:szCs w:val="20"/>
                <w:lang w:val="en-US"/>
              </w:rPr>
            </w:pPr>
            <w:r w:rsidRPr="6EB47483">
              <w:rPr>
                <w:sz w:val="20"/>
                <w:szCs w:val="20"/>
                <w:lang w:val="en-US"/>
              </w:rPr>
              <w:t>Suriname</w:t>
            </w:r>
          </w:p>
          <w:p w14:paraId="381E9FFA" w14:textId="77777777" w:rsidR="00ED45AD" w:rsidRPr="00E105BF" w:rsidRDefault="00ED45AD" w:rsidP="00ED45AD">
            <w:pPr>
              <w:spacing w:after="0"/>
              <w:rPr>
                <w:color w:val="000000"/>
                <w:sz w:val="20"/>
                <w:szCs w:val="20"/>
                <w:lang w:val="en-US"/>
              </w:rPr>
            </w:pPr>
          </w:p>
        </w:tc>
      </w:tr>
      <w:tr w:rsidR="00ED45AD" w:rsidRPr="00E105BF" w14:paraId="07853A1B"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3F175EF3" w14:textId="77777777" w:rsidR="00ED45AD" w:rsidRPr="00E105BF" w:rsidRDefault="00ED45AD" w:rsidP="00ED45AD">
            <w:pPr>
              <w:spacing w:after="0"/>
              <w:rPr>
                <w:color w:val="000000"/>
                <w:sz w:val="20"/>
                <w:szCs w:val="20"/>
                <w:lang w:val="en-US"/>
              </w:rPr>
            </w:pPr>
            <w:r w:rsidRPr="6EB47483">
              <w:rPr>
                <w:sz w:val="20"/>
                <w:szCs w:val="20"/>
                <w:lang w:val="en-US"/>
              </w:rPr>
              <w:t>13</w:t>
            </w:r>
          </w:p>
        </w:tc>
        <w:tc>
          <w:tcPr>
            <w:tcW w:w="1838" w:type="dxa"/>
            <w:tcBorders>
              <w:top w:val="nil"/>
              <w:left w:val="nil"/>
              <w:bottom w:val="single" w:sz="4" w:space="0" w:color="auto"/>
              <w:right w:val="single" w:sz="4" w:space="0" w:color="auto"/>
            </w:tcBorders>
            <w:hideMark/>
          </w:tcPr>
          <w:p w14:paraId="7EA25D86" w14:textId="3A88E761" w:rsidR="00ED45AD" w:rsidRPr="00E105BF" w:rsidRDefault="00ED45AD" w:rsidP="00ED45AD">
            <w:pPr>
              <w:spacing w:after="0"/>
              <w:rPr>
                <w:color w:val="000000"/>
                <w:sz w:val="20"/>
                <w:szCs w:val="20"/>
                <w:lang w:val="en-US"/>
              </w:rPr>
            </w:pPr>
            <w:r w:rsidRPr="2818B29D">
              <w:rPr>
                <w:sz w:val="20"/>
                <w:szCs w:val="20"/>
                <w:lang w:val="en-US"/>
              </w:rPr>
              <w:t>Burundi</w:t>
            </w:r>
          </w:p>
        </w:tc>
        <w:tc>
          <w:tcPr>
            <w:tcW w:w="450" w:type="dxa"/>
            <w:tcBorders>
              <w:top w:val="nil"/>
              <w:left w:val="nil"/>
              <w:bottom w:val="single" w:sz="4" w:space="0" w:color="auto"/>
              <w:right w:val="single" w:sz="4" w:space="0" w:color="auto"/>
            </w:tcBorders>
            <w:shd w:val="clear" w:color="auto" w:fill="B7DEE8"/>
          </w:tcPr>
          <w:p w14:paraId="35EAE84C" w14:textId="39BB5B90" w:rsidR="00ED45AD" w:rsidRPr="00E105BF" w:rsidRDefault="00ED45AD" w:rsidP="00ED45AD">
            <w:pPr>
              <w:spacing w:after="0"/>
              <w:rPr>
                <w:color w:val="000000"/>
                <w:sz w:val="20"/>
                <w:szCs w:val="20"/>
                <w:lang w:val="en-US"/>
              </w:rPr>
            </w:pPr>
            <w:r w:rsidRPr="6EB47483">
              <w:rPr>
                <w:sz w:val="20"/>
                <w:szCs w:val="20"/>
                <w:lang w:val="en-US"/>
              </w:rPr>
              <w:t>3</w:t>
            </w:r>
            <w:r>
              <w:rPr>
                <w:sz w:val="20"/>
                <w:szCs w:val="20"/>
                <w:lang w:val="en-US"/>
              </w:rPr>
              <w:t>4</w:t>
            </w:r>
          </w:p>
        </w:tc>
        <w:tc>
          <w:tcPr>
            <w:tcW w:w="1544" w:type="dxa"/>
            <w:tcBorders>
              <w:top w:val="nil"/>
              <w:left w:val="nil"/>
              <w:bottom w:val="single" w:sz="4" w:space="0" w:color="auto"/>
              <w:right w:val="single" w:sz="4" w:space="0" w:color="auto"/>
            </w:tcBorders>
          </w:tcPr>
          <w:p w14:paraId="0FDE86F3" w14:textId="31659764" w:rsidR="00ED45AD" w:rsidRDefault="00ED45AD" w:rsidP="00ED45AD">
            <w:pPr>
              <w:spacing w:after="0"/>
              <w:rPr>
                <w:sz w:val="20"/>
                <w:szCs w:val="20"/>
                <w:lang w:val="en-US"/>
              </w:rPr>
            </w:pPr>
            <w:r w:rsidRPr="6EB47483">
              <w:rPr>
                <w:sz w:val="20"/>
                <w:szCs w:val="20"/>
                <w:lang w:val="en-US"/>
              </w:rPr>
              <w:t>Guyana</w:t>
            </w:r>
          </w:p>
        </w:tc>
        <w:tc>
          <w:tcPr>
            <w:tcW w:w="452" w:type="dxa"/>
            <w:tcBorders>
              <w:top w:val="nil"/>
              <w:left w:val="nil"/>
              <w:bottom w:val="single" w:sz="4" w:space="0" w:color="auto"/>
              <w:right w:val="single" w:sz="4" w:space="0" w:color="auto"/>
            </w:tcBorders>
            <w:shd w:val="clear" w:color="auto" w:fill="B7DEE8"/>
          </w:tcPr>
          <w:p w14:paraId="66EBDBDC" w14:textId="4AB91AA1" w:rsidR="00ED45AD" w:rsidRPr="00E105BF" w:rsidRDefault="00E66EEC" w:rsidP="00ED45AD">
            <w:pPr>
              <w:spacing w:after="0"/>
              <w:rPr>
                <w:color w:val="000000"/>
                <w:sz w:val="20"/>
                <w:szCs w:val="20"/>
                <w:lang w:val="en-US"/>
              </w:rPr>
            </w:pPr>
            <w:r>
              <w:rPr>
                <w:sz w:val="20"/>
                <w:szCs w:val="20"/>
                <w:lang w:val="en-US"/>
              </w:rPr>
              <w:t>55</w:t>
            </w:r>
          </w:p>
        </w:tc>
        <w:tc>
          <w:tcPr>
            <w:tcW w:w="1887" w:type="dxa"/>
            <w:tcBorders>
              <w:top w:val="nil"/>
              <w:left w:val="nil"/>
              <w:bottom w:val="single" w:sz="4" w:space="0" w:color="auto"/>
              <w:right w:val="single" w:sz="4" w:space="0" w:color="auto"/>
            </w:tcBorders>
          </w:tcPr>
          <w:p w14:paraId="015E80FC" w14:textId="21C24B82" w:rsidR="00ED45AD" w:rsidRPr="00E105BF" w:rsidRDefault="00ED45AD" w:rsidP="00ED45AD">
            <w:pPr>
              <w:spacing w:after="0"/>
              <w:rPr>
                <w:color w:val="000000"/>
                <w:sz w:val="20"/>
                <w:szCs w:val="20"/>
                <w:lang w:val="en-US"/>
              </w:rPr>
            </w:pPr>
            <w:r w:rsidRPr="6EB47483">
              <w:rPr>
                <w:sz w:val="20"/>
                <w:szCs w:val="20"/>
                <w:lang w:val="en-US"/>
              </w:rPr>
              <w:t xml:space="preserve">Nepal </w:t>
            </w:r>
          </w:p>
        </w:tc>
        <w:tc>
          <w:tcPr>
            <w:tcW w:w="465" w:type="dxa"/>
            <w:tcBorders>
              <w:top w:val="nil"/>
              <w:left w:val="nil"/>
              <w:bottom w:val="single" w:sz="4" w:space="0" w:color="auto"/>
              <w:right w:val="single" w:sz="4" w:space="0" w:color="auto"/>
            </w:tcBorders>
            <w:shd w:val="clear" w:color="auto" w:fill="B7DEE8"/>
          </w:tcPr>
          <w:p w14:paraId="2186F2E7" w14:textId="6FB43A66" w:rsidR="00ED45AD" w:rsidRPr="00E105BF" w:rsidRDefault="00F45D53" w:rsidP="00ED45AD">
            <w:pPr>
              <w:spacing w:after="0"/>
              <w:rPr>
                <w:color w:val="000000"/>
                <w:sz w:val="20"/>
                <w:szCs w:val="20"/>
                <w:lang w:val="en-US"/>
              </w:rPr>
            </w:pPr>
            <w:r>
              <w:rPr>
                <w:sz w:val="20"/>
                <w:szCs w:val="20"/>
                <w:lang w:val="en-US"/>
              </w:rPr>
              <w:t>76</w:t>
            </w:r>
          </w:p>
        </w:tc>
        <w:tc>
          <w:tcPr>
            <w:tcW w:w="1973" w:type="dxa"/>
            <w:tcBorders>
              <w:top w:val="nil"/>
              <w:left w:val="nil"/>
              <w:bottom w:val="single" w:sz="4" w:space="0" w:color="auto"/>
              <w:right w:val="single" w:sz="4" w:space="0" w:color="auto"/>
            </w:tcBorders>
          </w:tcPr>
          <w:p w14:paraId="512159F7" w14:textId="77777777" w:rsidR="00ED45AD" w:rsidRPr="00E105BF" w:rsidRDefault="00ED45AD" w:rsidP="00ED45AD">
            <w:pPr>
              <w:spacing w:after="0"/>
              <w:rPr>
                <w:color w:val="000000"/>
                <w:sz w:val="20"/>
                <w:szCs w:val="20"/>
                <w:lang w:val="en-US"/>
              </w:rPr>
            </w:pPr>
            <w:r w:rsidRPr="6EB47483">
              <w:rPr>
                <w:sz w:val="20"/>
                <w:szCs w:val="20"/>
                <w:lang w:val="en-US"/>
              </w:rPr>
              <w:t>Timor-Leste</w:t>
            </w:r>
          </w:p>
        </w:tc>
      </w:tr>
      <w:tr w:rsidR="00ED45AD" w:rsidRPr="00E105BF" w14:paraId="593B98F4"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1D12BFAE" w14:textId="77777777" w:rsidR="00ED45AD" w:rsidRPr="00CE0AAB" w:rsidRDefault="00ED45AD" w:rsidP="00ED45AD">
            <w:pPr>
              <w:spacing w:after="0"/>
              <w:rPr>
                <w:color w:val="000000"/>
                <w:sz w:val="20"/>
                <w:szCs w:val="20"/>
                <w:lang w:val="en-US"/>
              </w:rPr>
            </w:pPr>
            <w:r w:rsidRPr="00CE0AAB">
              <w:rPr>
                <w:sz w:val="20"/>
                <w:szCs w:val="20"/>
                <w:lang w:val="en-US"/>
              </w:rPr>
              <w:t>14</w:t>
            </w:r>
          </w:p>
        </w:tc>
        <w:tc>
          <w:tcPr>
            <w:tcW w:w="1838" w:type="dxa"/>
            <w:tcBorders>
              <w:top w:val="nil"/>
              <w:left w:val="nil"/>
              <w:bottom w:val="single" w:sz="4" w:space="0" w:color="auto"/>
              <w:right w:val="single" w:sz="4" w:space="0" w:color="auto"/>
            </w:tcBorders>
            <w:hideMark/>
          </w:tcPr>
          <w:p w14:paraId="73502D95" w14:textId="6E3DED7F" w:rsidR="00ED45AD" w:rsidRPr="00E105BF" w:rsidRDefault="00ED45AD" w:rsidP="00ED45AD">
            <w:pPr>
              <w:spacing w:after="0"/>
              <w:rPr>
                <w:color w:val="000000"/>
                <w:sz w:val="20"/>
                <w:szCs w:val="20"/>
                <w:lang w:val="en-US"/>
              </w:rPr>
            </w:pPr>
            <w:r w:rsidRPr="2818B29D">
              <w:rPr>
                <w:sz w:val="20"/>
                <w:szCs w:val="20"/>
                <w:lang w:val="en-US"/>
              </w:rPr>
              <w:t>Cabo Verde</w:t>
            </w:r>
          </w:p>
        </w:tc>
        <w:tc>
          <w:tcPr>
            <w:tcW w:w="450" w:type="dxa"/>
            <w:tcBorders>
              <w:top w:val="nil"/>
              <w:left w:val="nil"/>
              <w:bottom w:val="single" w:sz="4" w:space="0" w:color="auto"/>
              <w:right w:val="single" w:sz="4" w:space="0" w:color="auto"/>
            </w:tcBorders>
            <w:shd w:val="clear" w:color="auto" w:fill="B7DEE8"/>
          </w:tcPr>
          <w:p w14:paraId="65F18FE2" w14:textId="05972100" w:rsidR="00ED45AD" w:rsidRPr="00E105BF" w:rsidRDefault="00ED45AD" w:rsidP="00ED45AD">
            <w:pPr>
              <w:spacing w:after="0"/>
              <w:rPr>
                <w:color w:val="000000"/>
                <w:sz w:val="20"/>
                <w:szCs w:val="20"/>
                <w:lang w:val="en-US"/>
              </w:rPr>
            </w:pPr>
            <w:r w:rsidRPr="6EB47483">
              <w:rPr>
                <w:sz w:val="20"/>
                <w:szCs w:val="20"/>
                <w:lang w:val="en-US"/>
              </w:rPr>
              <w:t>3</w:t>
            </w:r>
            <w:r>
              <w:rPr>
                <w:sz w:val="20"/>
                <w:szCs w:val="20"/>
                <w:lang w:val="en-US"/>
              </w:rPr>
              <w:t>5</w:t>
            </w:r>
          </w:p>
        </w:tc>
        <w:tc>
          <w:tcPr>
            <w:tcW w:w="1544" w:type="dxa"/>
            <w:tcBorders>
              <w:top w:val="nil"/>
              <w:left w:val="nil"/>
              <w:bottom w:val="single" w:sz="4" w:space="0" w:color="auto"/>
              <w:right w:val="single" w:sz="4" w:space="0" w:color="auto"/>
            </w:tcBorders>
          </w:tcPr>
          <w:p w14:paraId="216DB165" w14:textId="77777777" w:rsidR="00ED45AD" w:rsidRPr="00E105BF" w:rsidRDefault="00ED45AD" w:rsidP="00ED45AD">
            <w:pPr>
              <w:spacing w:after="0"/>
              <w:rPr>
                <w:sz w:val="20"/>
                <w:szCs w:val="20"/>
                <w:lang w:val="en-US"/>
              </w:rPr>
            </w:pPr>
            <w:r w:rsidRPr="6EB47483">
              <w:rPr>
                <w:sz w:val="20"/>
                <w:szCs w:val="20"/>
                <w:lang w:val="en-US"/>
              </w:rPr>
              <w:t>Haiti</w:t>
            </w:r>
          </w:p>
          <w:p w14:paraId="7F29BA86" w14:textId="6DA2B385" w:rsidR="00ED45AD" w:rsidRPr="00E105BF" w:rsidRDefault="00ED45AD" w:rsidP="00ED45AD">
            <w:pPr>
              <w:spacing w:after="0"/>
              <w:rPr>
                <w:color w:val="000000"/>
                <w:sz w:val="20"/>
                <w:szCs w:val="20"/>
                <w:lang w:val="en-US"/>
              </w:rPr>
            </w:pPr>
          </w:p>
        </w:tc>
        <w:tc>
          <w:tcPr>
            <w:tcW w:w="452" w:type="dxa"/>
            <w:tcBorders>
              <w:top w:val="nil"/>
              <w:left w:val="nil"/>
              <w:bottom w:val="single" w:sz="4" w:space="0" w:color="auto"/>
              <w:right w:val="single" w:sz="4" w:space="0" w:color="auto"/>
            </w:tcBorders>
            <w:shd w:val="clear" w:color="auto" w:fill="B7DEE8"/>
          </w:tcPr>
          <w:p w14:paraId="7EE59652" w14:textId="66F33873" w:rsidR="00ED45AD" w:rsidRPr="00E105BF" w:rsidRDefault="00E66EEC" w:rsidP="00ED45AD">
            <w:pPr>
              <w:spacing w:after="0"/>
              <w:rPr>
                <w:color w:val="000000"/>
                <w:sz w:val="20"/>
                <w:szCs w:val="20"/>
                <w:lang w:val="en-US"/>
              </w:rPr>
            </w:pPr>
            <w:r>
              <w:rPr>
                <w:sz w:val="20"/>
                <w:szCs w:val="20"/>
                <w:lang w:val="en-US"/>
              </w:rPr>
              <w:t>5</w:t>
            </w:r>
            <w:r w:rsidR="00ED45AD" w:rsidRPr="6EB47483">
              <w:rPr>
                <w:sz w:val="20"/>
                <w:szCs w:val="20"/>
                <w:lang w:val="en-US"/>
              </w:rPr>
              <w:t>6</w:t>
            </w:r>
          </w:p>
        </w:tc>
        <w:tc>
          <w:tcPr>
            <w:tcW w:w="1887" w:type="dxa"/>
            <w:tcBorders>
              <w:top w:val="nil"/>
              <w:left w:val="nil"/>
              <w:bottom w:val="single" w:sz="4" w:space="0" w:color="auto"/>
              <w:right w:val="single" w:sz="4" w:space="0" w:color="auto"/>
            </w:tcBorders>
          </w:tcPr>
          <w:p w14:paraId="48C4BA81" w14:textId="35D784C8" w:rsidR="00ED45AD" w:rsidRPr="00E105BF" w:rsidRDefault="00ED45AD" w:rsidP="00ED45AD">
            <w:pPr>
              <w:spacing w:after="0"/>
              <w:rPr>
                <w:sz w:val="20"/>
                <w:szCs w:val="20"/>
                <w:lang w:val="en-US"/>
              </w:rPr>
            </w:pPr>
            <w:r w:rsidRPr="6EB47483">
              <w:rPr>
                <w:sz w:val="20"/>
                <w:szCs w:val="20"/>
                <w:lang w:val="en-US"/>
              </w:rPr>
              <w:t>Nicaragua</w:t>
            </w:r>
          </w:p>
        </w:tc>
        <w:tc>
          <w:tcPr>
            <w:tcW w:w="465" w:type="dxa"/>
            <w:tcBorders>
              <w:top w:val="nil"/>
              <w:left w:val="nil"/>
              <w:bottom w:val="single" w:sz="4" w:space="0" w:color="auto"/>
              <w:right w:val="single" w:sz="4" w:space="0" w:color="auto"/>
            </w:tcBorders>
            <w:shd w:val="clear" w:color="auto" w:fill="B7DEE8"/>
          </w:tcPr>
          <w:p w14:paraId="3E33C44D" w14:textId="4DCEB80B" w:rsidR="00ED45AD" w:rsidRPr="00E105BF" w:rsidRDefault="00F45D53" w:rsidP="00ED45AD">
            <w:pPr>
              <w:spacing w:after="0"/>
              <w:rPr>
                <w:color w:val="000000"/>
                <w:sz w:val="20"/>
                <w:szCs w:val="20"/>
                <w:lang w:val="en-US"/>
              </w:rPr>
            </w:pPr>
            <w:r>
              <w:rPr>
                <w:sz w:val="20"/>
                <w:szCs w:val="20"/>
                <w:lang w:val="en-US"/>
              </w:rPr>
              <w:t>77</w:t>
            </w:r>
          </w:p>
        </w:tc>
        <w:tc>
          <w:tcPr>
            <w:tcW w:w="1973" w:type="dxa"/>
            <w:tcBorders>
              <w:top w:val="nil"/>
              <w:left w:val="nil"/>
              <w:bottom w:val="single" w:sz="4" w:space="0" w:color="auto"/>
              <w:right w:val="single" w:sz="4" w:space="0" w:color="auto"/>
            </w:tcBorders>
          </w:tcPr>
          <w:p w14:paraId="62FE84DA" w14:textId="08246106" w:rsidR="00ED45AD" w:rsidRPr="00E105BF" w:rsidRDefault="00ED45AD" w:rsidP="00ED45AD">
            <w:pPr>
              <w:spacing w:after="0"/>
              <w:rPr>
                <w:color w:val="000000"/>
                <w:sz w:val="20"/>
                <w:szCs w:val="20"/>
                <w:lang w:val="en-US"/>
              </w:rPr>
            </w:pPr>
            <w:r w:rsidRPr="6EB47483">
              <w:rPr>
                <w:sz w:val="20"/>
                <w:szCs w:val="20"/>
                <w:lang w:val="en-US"/>
              </w:rPr>
              <w:t>Tonga</w:t>
            </w:r>
          </w:p>
        </w:tc>
      </w:tr>
      <w:tr w:rsidR="00ED45AD" w:rsidRPr="00E105BF" w14:paraId="36EB0899"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5E67A8D9" w14:textId="77777777" w:rsidR="00ED45AD" w:rsidRPr="00E105BF" w:rsidRDefault="00ED45AD" w:rsidP="00ED45AD">
            <w:pPr>
              <w:spacing w:after="0"/>
              <w:rPr>
                <w:color w:val="000000"/>
                <w:sz w:val="20"/>
                <w:szCs w:val="20"/>
                <w:lang w:val="en-US"/>
              </w:rPr>
            </w:pPr>
            <w:r w:rsidRPr="6EB47483">
              <w:rPr>
                <w:sz w:val="20"/>
                <w:szCs w:val="20"/>
                <w:lang w:val="en-US"/>
              </w:rPr>
              <w:t>15</w:t>
            </w:r>
          </w:p>
        </w:tc>
        <w:tc>
          <w:tcPr>
            <w:tcW w:w="1838" w:type="dxa"/>
            <w:tcBorders>
              <w:top w:val="nil"/>
              <w:left w:val="nil"/>
              <w:bottom w:val="single" w:sz="4" w:space="0" w:color="auto"/>
              <w:right w:val="single" w:sz="4" w:space="0" w:color="auto"/>
            </w:tcBorders>
            <w:hideMark/>
          </w:tcPr>
          <w:p w14:paraId="58CD0889" w14:textId="4B3EF1E1" w:rsidR="00ED45AD" w:rsidRPr="00E105BF" w:rsidRDefault="00ED45AD" w:rsidP="00ED45AD">
            <w:pPr>
              <w:spacing w:after="0"/>
              <w:rPr>
                <w:sz w:val="20"/>
                <w:szCs w:val="20"/>
                <w:lang w:val="en-US"/>
              </w:rPr>
            </w:pPr>
            <w:r w:rsidRPr="6EB47483">
              <w:rPr>
                <w:sz w:val="20"/>
                <w:szCs w:val="20"/>
                <w:lang w:val="en-US"/>
              </w:rPr>
              <w:t>Central African Republic</w:t>
            </w:r>
          </w:p>
          <w:p w14:paraId="49C56F5D" w14:textId="55C3F7C0" w:rsidR="00ED45AD" w:rsidRPr="00E105BF" w:rsidRDefault="00ED45AD" w:rsidP="00ED45AD">
            <w:pPr>
              <w:spacing w:after="0"/>
              <w:rPr>
                <w:color w:val="000000"/>
                <w:sz w:val="20"/>
                <w:szCs w:val="20"/>
                <w:lang w:val="en-US"/>
              </w:rPr>
            </w:pPr>
          </w:p>
        </w:tc>
        <w:tc>
          <w:tcPr>
            <w:tcW w:w="450" w:type="dxa"/>
            <w:tcBorders>
              <w:top w:val="nil"/>
              <w:left w:val="nil"/>
              <w:bottom w:val="single" w:sz="4" w:space="0" w:color="auto"/>
              <w:right w:val="single" w:sz="4" w:space="0" w:color="auto"/>
            </w:tcBorders>
            <w:shd w:val="clear" w:color="auto" w:fill="B7DEE8"/>
          </w:tcPr>
          <w:p w14:paraId="364E1728" w14:textId="245AC083" w:rsidR="00ED45AD" w:rsidRPr="00E105BF" w:rsidRDefault="00ED45AD" w:rsidP="00ED45AD">
            <w:pPr>
              <w:spacing w:after="0"/>
              <w:rPr>
                <w:color w:val="000000"/>
                <w:sz w:val="20"/>
                <w:szCs w:val="20"/>
                <w:lang w:val="en-US"/>
              </w:rPr>
            </w:pPr>
            <w:r w:rsidRPr="6EB47483">
              <w:rPr>
                <w:sz w:val="20"/>
                <w:szCs w:val="20"/>
                <w:lang w:val="en-US"/>
              </w:rPr>
              <w:t>3</w:t>
            </w:r>
            <w:r>
              <w:rPr>
                <w:sz w:val="20"/>
                <w:szCs w:val="20"/>
                <w:lang w:val="en-US"/>
              </w:rPr>
              <w:t>6</w:t>
            </w:r>
          </w:p>
        </w:tc>
        <w:tc>
          <w:tcPr>
            <w:tcW w:w="1544" w:type="dxa"/>
            <w:tcBorders>
              <w:top w:val="nil"/>
              <w:left w:val="nil"/>
              <w:bottom w:val="single" w:sz="4" w:space="0" w:color="auto"/>
              <w:right w:val="single" w:sz="4" w:space="0" w:color="auto"/>
            </w:tcBorders>
          </w:tcPr>
          <w:p w14:paraId="083B2FE9" w14:textId="77777777" w:rsidR="00ED45AD" w:rsidRPr="00E105BF" w:rsidRDefault="00ED45AD" w:rsidP="00ED45AD">
            <w:pPr>
              <w:spacing w:after="0"/>
              <w:rPr>
                <w:sz w:val="20"/>
                <w:szCs w:val="20"/>
                <w:lang w:val="en-US"/>
              </w:rPr>
            </w:pPr>
            <w:r>
              <w:rPr>
                <w:sz w:val="20"/>
                <w:szCs w:val="20"/>
                <w:lang w:val="en-US"/>
              </w:rPr>
              <w:t>Jamaica</w:t>
            </w:r>
          </w:p>
          <w:p w14:paraId="61A9A44E" w14:textId="77777777" w:rsidR="00ED45AD" w:rsidRPr="00E105BF" w:rsidRDefault="00ED45AD" w:rsidP="00ED45AD">
            <w:pPr>
              <w:spacing w:after="0"/>
              <w:rPr>
                <w:sz w:val="20"/>
                <w:szCs w:val="20"/>
                <w:lang w:val="en-US"/>
              </w:rPr>
            </w:pPr>
          </w:p>
          <w:p w14:paraId="44113A0C" w14:textId="77777777" w:rsidR="00ED45AD" w:rsidRPr="00E105BF" w:rsidRDefault="00ED45AD" w:rsidP="00ED45AD">
            <w:pPr>
              <w:spacing w:after="0"/>
              <w:rPr>
                <w:sz w:val="20"/>
                <w:szCs w:val="20"/>
                <w:lang w:val="en-US"/>
              </w:rPr>
            </w:pPr>
          </w:p>
          <w:p w14:paraId="6CDB213C" w14:textId="15CDDF1E" w:rsidR="00ED45AD" w:rsidRPr="00E105BF" w:rsidRDefault="00ED45AD" w:rsidP="00ED45AD">
            <w:pPr>
              <w:spacing w:after="0"/>
              <w:rPr>
                <w:color w:val="000000"/>
                <w:sz w:val="20"/>
                <w:szCs w:val="20"/>
                <w:lang w:val="en-US"/>
              </w:rPr>
            </w:pPr>
          </w:p>
        </w:tc>
        <w:tc>
          <w:tcPr>
            <w:tcW w:w="452" w:type="dxa"/>
            <w:tcBorders>
              <w:top w:val="nil"/>
              <w:left w:val="nil"/>
              <w:bottom w:val="single" w:sz="4" w:space="0" w:color="auto"/>
              <w:right w:val="single" w:sz="4" w:space="0" w:color="auto"/>
            </w:tcBorders>
            <w:shd w:val="clear" w:color="auto" w:fill="B7DEE8"/>
          </w:tcPr>
          <w:p w14:paraId="2D96F47B" w14:textId="1464F316" w:rsidR="00ED45AD" w:rsidRPr="00E105BF" w:rsidRDefault="00E66EEC" w:rsidP="00ED45AD">
            <w:pPr>
              <w:spacing w:after="0"/>
              <w:rPr>
                <w:color w:val="000000"/>
                <w:sz w:val="20"/>
                <w:szCs w:val="20"/>
                <w:lang w:val="en-US"/>
              </w:rPr>
            </w:pPr>
            <w:r>
              <w:rPr>
                <w:sz w:val="20"/>
                <w:szCs w:val="20"/>
                <w:lang w:val="en-US"/>
              </w:rPr>
              <w:t>57</w:t>
            </w:r>
          </w:p>
        </w:tc>
        <w:tc>
          <w:tcPr>
            <w:tcW w:w="1887" w:type="dxa"/>
            <w:tcBorders>
              <w:top w:val="nil"/>
              <w:left w:val="nil"/>
              <w:bottom w:val="single" w:sz="4" w:space="0" w:color="auto"/>
              <w:right w:val="single" w:sz="4" w:space="0" w:color="auto"/>
            </w:tcBorders>
          </w:tcPr>
          <w:p w14:paraId="280DBC3B" w14:textId="77777777" w:rsidR="00ED45AD" w:rsidRPr="00E105BF" w:rsidRDefault="00ED45AD" w:rsidP="00ED45AD">
            <w:pPr>
              <w:spacing w:after="0"/>
              <w:rPr>
                <w:sz w:val="20"/>
                <w:szCs w:val="20"/>
                <w:lang w:val="en-US"/>
              </w:rPr>
            </w:pPr>
            <w:r w:rsidRPr="1AB6E3AA">
              <w:rPr>
                <w:sz w:val="20"/>
                <w:szCs w:val="20"/>
                <w:lang w:val="en-US"/>
              </w:rPr>
              <w:t xml:space="preserve">Niger </w:t>
            </w:r>
          </w:p>
          <w:p w14:paraId="132DEBED" w14:textId="1B9B07CE" w:rsidR="00ED45AD" w:rsidRPr="00E105BF" w:rsidRDefault="00ED45AD" w:rsidP="00ED45AD">
            <w:pPr>
              <w:spacing w:after="0"/>
              <w:rPr>
                <w:color w:val="000000"/>
                <w:sz w:val="20"/>
                <w:szCs w:val="20"/>
                <w:lang w:val="en-US"/>
              </w:rPr>
            </w:pPr>
          </w:p>
        </w:tc>
        <w:tc>
          <w:tcPr>
            <w:tcW w:w="465" w:type="dxa"/>
            <w:tcBorders>
              <w:top w:val="nil"/>
              <w:left w:val="nil"/>
              <w:bottom w:val="single" w:sz="4" w:space="0" w:color="auto"/>
              <w:right w:val="single" w:sz="4" w:space="0" w:color="auto"/>
            </w:tcBorders>
            <w:shd w:val="clear" w:color="auto" w:fill="B7DEE8"/>
          </w:tcPr>
          <w:p w14:paraId="63C0A362" w14:textId="4003F746" w:rsidR="00ED45AD" w:rsidRPr="00E105BF" w:rsidRDefault="00F45D53" w:rsidP="00ED45AD">
            <w:pPr>
              <w:spacing w:after="0"/>
              <w:rPr>
                <w:color w:val="000000"/>
                <w:sz w:val="20"/>
                <w:szCs w:val="20"/>
                <w:lang w:val="en-US"/>
              </w:rPr>
            </w:pPr>
            <w:r>
              <w:rPr>
                <w:sz w:val="20"/>
                <w:szCs w:val="20"/>
                <w:lang w:val="en-US"/>
              </w:rPr>
              <w:t>78</w:t>
            </w:r>
          </w:p>
        </w:tc>
        <w:tc>
          <w:tcPr>
            <w:tcW w:w="1973" w:type="dxa"/>
            <w:tcBorders>
              <w:top w:val="nil"/>
              <w:left w:val="nil"/>
              <w:bottom w:val="single" w:sz="4" w:space="0" w:color="auto"/>
              <w:right w:val="single" w:sz="4" w:space="0" w:color="auto"/>
            </w:tcBorders>
          </w:tcPr>
          <w:p w14:paraId="7048E0F5" w14:textId="1F4CF587" w:rsidR="00ED45AD" w:rsidRPr="00E105BF" w:rsidRDefault="00ED45AD" w:rsidP="00ED45AD">
            <w:pPr>
              <w:spacing w:after="0"/>
              <w:rPr>
                <w:color w:val="000000"/>
                <w:sz w:val="20"/>
                <w:szCs w:val="20"/>
                <w:lang w:val="en-US"/>
              </w:rPr>
            </w:pPr>
            <w:r w:rsidRPr="6EB47483">
              <w:rPr>
                <w:sz w:val="20"/>
                <w:szCs w:val="20"/>
                <w:lang w:val="en-US"/>
              </w:rPr>
              <w:t>Turkmenistan</w:t>
            </w:r>
          </w:p>
        </w:tc>
      </w:tr>
      <w:tr w:rsidR="00ED45AD" w:rsidRPr="00E105BF" w14:paraId="71C0315C"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71B59724" w14:textId="77777777" w:rsidR="00ED45AD" w:rsidRPr="00E105BF" w:rsidRDefault="00ED45AD" w:rsidP="00ED45AD">
            <w:pPr>
              <w:spacing w:after="0"/>
              <w:rPr>
                <w:color w:val="000000"/>
                <w:sz w:val="20"/>
                <w:szCs w:val="20"/>
                <w:lang w:val="en-US"/>
              </w:rPr>
            </w:pPr>
            <w:r w:rsidRPr="6EB47483">
              <w:rPr>
                <w:sz w:val="20"/>
                <w:szCs w:val="20"/>
                <w:lang w:val="en-US"/>
              </w:rPr>
              <w:t>16</w:t>
            </w:r>
          </w:p>
        </w:tc>
        <w:tc>
          <w:tcPr>
            <w:tcW w:w="1838" w:type="dxa"/>
            <w:tcBorders>
              <w:top w:val="nil"/>
              <w:left w:val="nil"/>
              <w:bottom w:val="single" w:sz="4" w:space="0" w:color="auto"/>
              <w:right w:val="single" w:sz="4" w:space="0" w:color="auto"/>
            </w:tcBorders>
            <w:hideMark/>
          </w:tcPr>
          <w:p w14:paraId="5E743DCE" w14:textId="0BA8EAAD" w:rsidR="00ED45AD" w:rsidRPr="00E105BF" w:rsidRDefault="00ED45AD" w:rsidP="00ED45AD">
            <w:pPr>
              <w:spacing w:after="0"/>
              <w:rPr>
                <w:color w:val="000000"/>
                <w:sz w:val="20"/>
                <w:szCs w:val="20"/>
                <w:lang w:val="en-US"/>
              </w:rPr>
            </w:pPr>
            <w:r w:rsidRPr="2818B29D">
              <w:rPr>
                <w:sz w:val="20"/>
                <w:szCs w:val="20"/>
                <w:lang w:val="en-US"/>
              </w:rPr>
              <w:t>Comoros</w:t>
            </w:r>
          </w:p>
        </w:tc>
        <w:tc>
          <w:tcPr>
            <w:tcW w:w="450" w:type="dxa"/>
            <w:tcBorders>
              <w:top w:val="nil"/>
              <w:left w:val="nil"/>
              <w:bottom w:val="single" w:sz="4" w:space="0" w:color="auto"/>
              <w:right w:val="single" w:sz="4" w:space="0" w:color="auto"/>
            </w:tcBorders>
            <w:shd w:val="clear" w:color="auto" w:fill="B7DEE8"/>
          </w:tcPr>
          <w:p w14:paraId="2C74003F" w14:textId="6EA00813" w:rsidR="00ED45AD" w:rsidRPr="00E105BF" w:rsidRDefault="009043AD" w:rsidP="00ED45AD">
            <w:pPr>
              <w:spacing w:after="0"/>
              <w:rPr>
                <w:color w:val="000000"/>
                <w:sz w:val="20"/>
                <w:szCs w:val="20"/>
                <w:lang w:val="en-US"/>
              </w:rPr>
            </w:pPr>
            <w:r>
              <w:rPr>
                <w:sz w:val="20"/>
                <w:szCs w:val="20"/>
                <w:lang w:val="en-US"/>
              </w:rPr>
              <w:t>37</w:t>
            </w:r>
          </w:p>
        </w:tc>
        <w:tc>
          <w:tcPr>
            <w:tcW w:w="1544" w:type="dxa"/>
            <w:tcBorders>
              <w:top w:val="nil"/>
              <w:left w:val="nil"/>
              <w:bottom w:val="single" w:sz="4" w:space="0" w:color="auto"/>
              <w:right w:val="single" w:sz="4" w:space="0" w:color="auto"/>
            </w:tcBorders>
          </w:tcPr>
          <w:p w14:paraId="793A46C0" w14:textId="63ECC5E9" w:rsidR="00ED45AD" w:rsidRPr="00E105BF" w:rsidRDefault="00ED45AD" w:rsidP="00ED45AD">
            <w:pPr>
              <w:spacing w:after="0"/>
              <w:rPr>
                <w:color w:val="000000"/>
                <w:sz w:val="20"/>
                <w:szCs w:val="20"/>
                <w:lang w:val="en-US"/>
              </w:rPr>
            </w:pPr>
            <w:r>
              <w:rPr>
                <w:sz w:val="20"/>
                <w:szCs w:val="20"/>
                <w:lang w:val="en-US"/>
              </w:rPr>
              <w:t>Kenya</w:t>
            </w:r>
          </w:p>
        </w:tc>
        <w:tc>
          <w:tcPr>
            <w:tcW w:w="452" w:type="dxa"/>
            <w:tcBorders>
              <w:top w:val="nil"/>
              <w:left w:val="nil"/>
              <w:bottom w:val="single" w:sz="4" w:space="0" w:color="auto"/>
              <w:right w:val="single" w:sz="4" w:space="0" w:color="auto"/>
            </w:tcBorders>
            <w:shd w:val="clear" w:color="auto" w:fill="B7DEE8"/>
          </w:tcPr>
          <w:p w14:paraId="4BB93A19" w14:textId="0E1F0A95" w:rsidR="00ED45AD" w:rsidRPr="00E105BF" w:rsidRDefault="00E66EEC" w:rsidP="00ED45AD">
            <w:pPr>
              <w:spacing w:after="0"/>
              <w:rPr>
                <w:color w:val="000000"/>
                <w:sz w:val="20"/>
                <w:szCs w:val="20"/>
                <w:lang w:val="en-US"/>
              </w:rPr>
            </w:pPr>
            <w:r>
              <w:rPr>
                <w:sz w:val="20"/>
                <w:szCs w:val="20"/>
                <w:lang w:val="en-US"/>
              </w:rPr>
              <w:t>58</w:t>
            </w:r>
          </w:p>
        </w:tc>
        <w:tc>
          <w:tcPr>
            <w:tcW w:w="1887" w:type="dxa"/>
            <w:tcBorders>
              <w:top w:val="nil"/>
              <w:left w:val="nil"/>
              <w:bottom w:val="single" w:sz="4" w:space="0" w:color="auto"/>
              <w:right w:val="single" w:sz="4" w:space="0" w:color="auto"/>
            </w:tcBorders>
          </w:tcPr>
          <w:p w14:paraId="31FAF987" w14:textId="77777777" w:rsidR="00ED45AD" w:rsidRPr="00E105BF" w:rsidRDefault="00ED45AD" w:rsidP="00ED45AD">
            <w:pPr>
              <w:spacing w:after="0"/>
              <w:rPr>
                <w:sz w:val="20"/>
                <w:szCs w:val="20"/>
                <w:lang w:val="en-US"/>
              </w:rPr>
            </w:pPr>
            <w:r w:rsidRPr="6EB47483">
              <w:rPr>
                <w:sz w:val="20"/>
                <w:szCs w:val="20"/>
                <w:lang w:val="en-US"/>
              </w:rPr>
              <w:t>Niue</w:t>
            </w:r>
          </w:p>
          <w:p w14:paraId="1BF69EC9" w14:textId="258717EC" w:rsidR="00ED45AD" w:rsidRPr="00E105BF" w:rsidRDefault="00ED45AD" w:rsidP="00ED45AD">
            <w:pPr>
              <w:spacing w:after="0"/>
              <w:rPr>
                <w:sz w:val="20"/>
                <w:szCs w:val="20"/>
                <w:lang w:val="en-US"/>
              </w:rPr>
            </w:pPr>
          </w:p>
        </w:tc>
        <w:tc>
          <w:tcPr>
            <w:tcW w:w="465" w:type="dxa"/>
            <w:tcBorders>
              <w:top w:val="nil"/>
              <w:left w:val="nil"/>
              <w:bottom w:val="single" w:sz="4" w:space="0" w:color="auto"/>
              <w:right w:val="single" w:sz="4" w:space="0" w:color="auto"/>
            </w:tcBorders>
            <w:shd w:val="clear" w:color="auto" w:fill="B7DEE8"/>
          </w:tcPr>
          <w:p w14:paraId="5F36465B" w14:textId="485492C5" w:rsidR="00ED45AD" w:rsidRPr="00E105BF" w:rsidRDefault="00F45D53" w:rsidP="00ED45AD">
            <w:pPr>
              <w:spacing w:after="0"/>
              <w:rPr>
                <w:color w:val="000000"/>
                <w:sz w:val="20"/>
                <w:szCs w:val="20"/>
                <w:lang w:val="en-US"/>
              </w:rPr>
            </w:pPr>
            <w:r>
              <w:rPr>
                <w:sz w:val="20"/>
                <w:szCs w:val="20"/>
                <w:lang w:val="en-US"/>
              </w:rPr>
              <w:t>79</w:t>
            </w:r>
          </w:p>
        </w:tc>
        <w:tc>
          <w:tcPr>
            <w:tcW w:w="1973" w:type="dxa"/>
            <w:tcBorders>
              <w:top w:val="nil"/>
              <w:left w:val="nil"/>
              <w:bottom w:val="single" w:sz="4" w:space="0" w:color="auto"/>
              <w:right w:val="single" w:sz="4" w:space="0" w:color="auto"/>
            </w:tcBorders>
          </w:tcPr>
          <w:p w14:paraId="4035F9E2" w14:textId="751D8405" w:rsidR="00ED45AD" w:rsidRPr="00E105BF" w:rsidRDefault="00ED45AD" w:rsidP="00ED45AD">
            <w:pPr>
              <w:spacing w:after="0"/>
              <w:rPr>
                <w:color w:val="000000"/>
                <w:sz w:val="20"/>
                <w:szCs w:val="20"/>
                <w:lang w:val="en-US"/>
              </w:rPr>
            </w:pPr>
            <w:r w:rsidRPr="6EB47483">
              <w:rPr>
                <w:sz w:val="20"/>
                <w:szCs w:val="20"/>
                <w:lang w:val="en-US"/>
              </w:rPr>
              <w:t>Tuvalu</w:t>
            </w:r>
          </w:p>
        </w:tc>
      </w:tr>
      <w:tr w:rsidR="00ED45AD" w:rsidRPr="00E105BF" w14:paraId="58196A23"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75328397" w14:textId="77777777" w:rsidR="00ED45AD" w:rsidRPr="00E105BF" w:rsidRDefault="00ED45AD" w:rsidP="00ED45AD">
            <w:pPr>
              <w:spacing w:after="0"/>
              <w:rPr>
                <w:color w:val="000000"/>
                <w:sz w:val="20"/>
                <w:szCs w:val="20"/>
                <w:lang w:val="en-US"/>
              </w:rPr>
            </w:pPr>
            <w:r w:rsidRPr="6EB47483">
              <w:rPr>
                <w:sz w:val="20"/>
                <w:szCs w:val="20"/>
                <w:lang w:val="en-US"/>
              </w:rPr>
              <w:t>17</w:t>
            </w:r>
          </w:p>
        </w:tc>
        <w:tc>
          <w:tcPr>
            <w:tcW w:w="1838" w:type="dxa"/>
            <w:tcBorders>
              <w:top w:val="nil"/>
              <w:left w:val="nil"/>
              <w:bottom w:val="single" w:sz="4" w:space="0" w:color="auto"/>
              <w:right w:val="single" w:sz="4" w:space="0" w:color="auto"/>
            </w:tcBorders>
            <w:hideMark/>
          </w:tcPr>
          <w:p w14:paraId="2DEF2AB9" w14:textId="6A3FB4D4" w:rsidR="00ED45AD" w:rsidRPr="00E105BF" w:rsidRDefault="00ED45AD" w:rsidP="00ED45AD">
            <w:pPr>
              <w:spacing w:after="0"/>
              <w:rPr>
                <w:color w:val="000000"/>
                <w:sz w:val="20"/>
                <w:szCs w:val="20"/>
                <w:lang w:val="en-US"/>
              </w:rPr>
            </w:pPr>
            <w:r w:rsidRPr="2818B29D">
              <w:rPr>
                <w:sz w:val="20"/>
                <w:szCs w:val="20"/>
                <w:lang w:val="en-US"/>
              </w:rPr>
              <w:t>Congo</w:t>
            </w:r>
          </w:p>
        </w:tc>
        <w:tc>
          <w:tcPr>
            <w:tcW w:w="450" w:type="dxa"/>
            <w:tcBorders>
              <w:top w:val="nil"/>
              <w:left w:val="nil"/>
              <w:bottom w:val="single" w:sz="4" w:space="0" w:color="auto"/>
              <w:right w:val="single" w:sz="4" w:space="0" w:color="auto"/>
            </w:tcBorders>
            <w:shd w:val="clear" w:color="auto" w:fill="B7DEE8"/>
          </w:tcPr>
          <w:p w14:paraId="4B46C037" w14:textId="36119402" w:rsidR="00ED45AD" w:rsidRPr="00E105BF" w:rsidRDefault="009043AD" w:rsidP="00ED45AD">
            <w:pPr>
              <w:spacing w:after="0"/>
              <w:rPr>
                <w:color w:val="000000"/>
                <w:sz w:val="20"/>
                <w:szCs w:val="20"/>
                <w:lang w:val="en-US"/>
              </w:rPr>
            </w:pPr>
            <w:r>
              <w:rPr>
                <w:sz w:val="20"/>
                <w:szCs w:val="20"/>
                <w:lang w:val="en-US"/>
              </w:rPr>
              <w:t>38</w:t>
            </w:r>
          </w:p>
        </w:tc>
        <w:tc>
          <w:tcPr>
            <w:tcW w:w="1544" w:type="dxa"/>
            <w:tcBorders>
              <w:top w:val="nil"/>
              <w:left w:val="nil"/>
              <w:bottom w:val="single" w:sz="4" w:space="0" w:color="auto"/>
              <w:right w:val="single" w:sz="4" w:space="0" w:color="auto"/>
            </w:tcBorders>
          </w:tcPr>
          <w:p w14:paraId="7448E2FB" w14:textId="0D715689" w:rsidR="00ED45AD" w:rsidRPr="00E105BF" w:rsidRDefault="00ED45AD" w:rsidP="00ED45AD">
            <w:pPr>
              <w:spacing w:after="0"/>
              <w:rPr>
                <w:color w:val="000000"/>
                <w:sz w:val="20"/>
                <w:szCs w:val="20"/>
                <w:lang w:val="en-US"/>
              </w:rPr>
            </w:pPr>
            <w:r w:rsidRPr="6EB47483">
              <w:rPr>
                <w:sz w:val="20"/>
                <w:szCs w:val="20"/>
                <w:lang w:val="en-US"/>
              </w:rPr>
              <w:t>Kiribati</w:t>
            </w:r>
          </w:p>
        </w:tc>
        <w:tc>
          <w:tcPr>
            <w:tcW w:w="452" w:type="dxa"/>
            <w:tcBorders>
              <w:top w:val="nil"/>
              <w:left w:val="nil"/>
              <w:bottom w:val="single" w:sz="4" w:space="0" w:color="auto"/>
              <w:right w:val="single" w:sz="4" w:space="0" w:color="auto"/>
            </w:tcBorders>
            <w:shd w:val="clear" w:color="auto" w:fill="B7DEE8"/>
          </w:tcPr>
          <w:p w14:paraId="2B38B1B1" w14:textId="4EBE19BE" w:rsidR="00ED45AD" w:rsidRPr="00E105BF" w:rsidRDefault="00E66EEC" w:rsidP="00ED45AD">
            <w:pPr>
              <w:spacing w:after="0"/>
              <w:rPr>
                <w:color w:val="000000"/>
                <w:sz w:val="20"/>
                <w:szCs w:val="20"/>
                <w:lang w:val="en-US"/>
              </w:rPr>
            </w:pPr>
            <w:r>
              <w:rPr>
                <w:sz w:val="20"/>
                <w:szCs w:val="20"/>
                <w:lang w:val="en-US"/>
              </w:rPr>
              <w:t>59</w:t>
            </w:r>
          </w:p>
        </w:tc>
        <w:tc>
          <w:tcPr>
            <w:tcW w:w="1887" w:type="dxa"/>
            <w:tcBorders>
              <w:top w:val="nil"/>
              <w:left w:val="nil"/>
              <w:bottom w:val="single" w:sz="4" w:space="0" w:color="auto"/>
              <w:right w:val="single" w:sz="4" w:space="0" w:color="auto"/>
            </w:tcBorders>
          </w:tcPr>
          <w:p w14:paraId="29B910C9" w14:textId="04437E92" w:rsidR="00ED45AD" w:rsidRPr="00E105BF" w:rsidRDefault="00ED45AD" w:rsidP="00ED45AD">
            <w:pPr>
              <w:spacing w:after="0"/>
              <w:rPr>
                <w:color w:val="000000"/>
                <w:sz w:val="20"/>
                <w:szCs w:val="20"/>
                <w:lang w:val="en-US"/>
              </w:rPr>
            </w:pPr>
            <w:r w:rsidRPr="6EB47483">
              <w:rPr>
                <w:sz w:val="20"/>
                <w:szCs w:val="20"/>
                <w:lang w:val="en-US"/>
              </w:rPr>
              <w:t>North Macedonia</w:t>
            </w:r>
          </w:p>
        </w:tc>
        <w:tc>
          <w:tcPr>
            <w:tcW w:w="465" w:type="dxa"/>
            <w:tcBorders>
              <w:top w:val="nil"/>
              <w:left w:val="nil"/>
              <w:bottom w:val="single" w:sz="4" w:space="0" w:color="auto"/>
              <w:right w:val="single" w:sz="4" w:space="0" w:color="auto"/>
            </w:tcBorders>
            <w:shd w:val="clear" w:color="auto" w:fill="B7DEE8"/>
          </w:tcPr>
          <w:p w14:paraId="3BC5C304" w14:textId="4998D7FB" w:rsidR="00ED45AD" w:rsidRPr="00E105BF" w:rsidRDefault="00F45D53" w:rsidP="00ED45AD">
            <w:pPr>
              <w:spacing w:after="0"/>
              <w:rPr>
                <w:color w:val="000000"/>
                <w:sz w:val="20"/>
                <w:szCs w:val="20"/>
                <w:lang w:val="en-US"/>
              </w:rPr>
            </w:pPr>
            <w:r>
              <w:rPr>
                <w:sz w:val="20"/>
                <w:szCs w:val="20"/>
                <w:lang w:val="en-US"/>
              </w:rPr>
              <w:t>80</w:t>
            </w:r>
          </w:p>
        </w:tc>
        <w:tc>
          <w:tcPr>
            <w:tcW w:w="1973" w:type="dxa"/>
            <w:tcBorders>
              <w:top w:val="nil"/>
              <w:left w:val="nil"/>
              <w:bottom w:val="single" w:sz="4" w:space="0" w:color="auto"/>
              <w:right w:val="single" w:sz="4" w:space="0" w:color="auto"/>
            </w:tcBorders>
          </w:tcPr>
          <w:p w14:paraId="2CD73BAF" w14:textId="4231D60D" w:rsidR="00ED45AD" w:rsidRPr="00E105BF" w:rsidRDefault="00ED45AD" w:rsidP="00ED45AD">
            <w:pPr>
              <w:spacing w:after="0"/>
              <w:rPr>
                <w:color w:val="000000"/>
                <w:sz w:val="20"/>
                <w:szCs w:val="20"/>
                <w:lang w:val="en-US"/>
              </w:rPr>
            </w:pPr>
            <w:r w:rsidRPr="6EB47483">
              <w:rPr>
                <w:sz w:val="20"/>
                <w:szCs w:val="20"/>
                <w:lang w:val="en-US"/>
              </w:rPr>
              <w:t>Uganda</w:t>
            </w:r>
          </w:p>
        </w:tc>
      </w:tr>
      <w:tr w:rsidR="00ED45AD" w:rsidRPr="00E105BF" w14:paraId="59DCF846"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62099814" w14:textId="77777777" w:rsidR="00ED45AD" w:rsidRPr="00E105BF" w:rsidRDefault="00ED45AD" w:rsidP="00ED45AD">
            <w:pPr>
              <w:spacing w:after="0"/>
              <w:rPr>
                <w:color w:val="000000"/>
                <w:sz w:val="20"/>
                <w:szCs w:val="20"/>
                <w:lang w:val="en-US"/>
              </w:rPr>
            </w:pPr>
            <w:r w:rsidRPr="6EB47483">
              <w:rPr>
                <w:sz w:val="20"/>
                <w:szCs w:val="20"/>
                <w:lang w:val="en-US"/>
              </w:rPr>
              <w:t>18</w:t>
            </w:r>
          </w:p>
        </w:tc>
        <w:tc>
          <w:tcPr>
            <w:tcW w:w="1838" w:type="dxa"/>
            <w:tcBorders>
              <w:top w:val="nil"/>
              <w:left w:val="nil"/>
              <w:bottom w:val="single" w:sz="4" w:space="0" w:color="auto"/>
              <w:right w:val="single" w:sz="4" w:space="0" w:color="auto"/>
            </w:tcBorders>
            <w:hideMark/>
          </w:tcPr>
          <w:p w14:paraId="455815F9" w14:textId="29091BE2" w:rsidR="00ED45AD" w:rsidRPr="00E105BF" w:rsidRDefault="00ED45AD" w:rsidP="00ED45AD">
            <w:pPr>
              <w:spacing w:after="0"/>
              <w:rPr>
                <w:color w:val="000000"/>
                <w:sz w:val="20"/>
                <w:szCs w:val="20"/>
                <w:lang w:val="en-US"/>
              </w:rPr>
            </w:pPr>
            <w:r w:rsidRPr="2818B29D">
              <w:rPr>
                <w:sz w:val="20"/>
                <w:szCs w:val="20"/>
                <w:lang w:val="en-US"/>
              </w:rPr>
              <w:t>Cook Islands</w:t>
            </w:r>
          </w:p>
        </w:tc>
        <w:tc>
          <w:tcPr>
            <w:tcW w:w="450" w:type="dxa"/>
            <w:tcBorders>
              <w:top w:val="nil"/>
              <w:left w:val="nil"/>
              <w:bottom w:val="single" w:sz="4" w:space="0" w:color="auto"/>
              <w:right w:val="single" w:sz="4" w:space="0" w:color="auto"/>
            </w:tcBorders>
            <w:shd w:val="clear" w:color="auto" w:fill="B7DEE8"/>
          </w:tcPr>
          <w:p w14:paraId="5F4FD9AE" w14:textId="649F320E" w:rsidR="00ED45AD" w:rsidRPr="00E105BF" w:rsidRDefault="009043AD" w:rsidP="00ED45AD">
            <w:pPr>
              <w:spacing w:after="0"/>
              <w:rPr>
                <w:color w:val="000000"/>
                <w:sz w:val="20"/>
                <w:szCs w:val="20"/>
                <w:lang w:val="en-US"/>
              </w:rPr>
            </w:pPr>
            <w:r>
              <w:rPr>
                <w:sz w:val="20"/>
                <w:szCs w:val="20"/>
                <w:lang w:val="en-US"/>
              </w:rPr>
              <w:t>39</w:t>
            </w:r>
          </w:p>
        </w:tc>
        <w:tc>
          <w:tcPr>
            <w:tcW w:w="1544" w:type="dxa"/>
            <w:tcBorders>
              <w:top w:val="nil"/>
              <w:left w:val="nil"/>
              <w:bottom w:val="single" w:sz="4" w:space="0" w:color="auto"/>
              <w:right w:val="single" w:sz="4" w:space="0" w:color="auto"/>
            </w:tcBorders>
          </w:tcPr>
          <w:p w14:paraId="7315B28D" w14:textId="501185E8" w:rsidR="00ED45AD" w:rsidRPr="00E105BF" w:rsidRDefault="00ED45AD" w:rsidP="00ED45AD">
            <w:pPr>
              <w:spacing w:after="0"/>
              <w:rPr>
                <w:color w:val="000000"/>
                <w:sz w:val="20"/>
                <w:szCs w:val="20"/>
                <w:lang w:val="en-US"/>
              </w:rPr>
            </w:pPr>
            <w:r w:rsidRPr="6EB47483">
              <w:rPr>
                <w:sz w:val="20"/>
                <w:szCs w:val="20"/>
                <w:lang w:val="en-US"/>
              </w:rPr>
              <w:t>Kyrgyzstan</w:t>
            </w:r>
          </w:p>
        </w:tc>
        <w:tc>
          <w:tcPr>
            <w:tcW w:w="452" w:type="dxa"/>
            <w:tcBorders>
              <w:top w:val="nil"/>
              <w:left w:val="nil"/>
              <w:bottom w:val="single" w:sz="4" w:space="0" w:color="auto"/>
              <w:right w:val="single" w:sz="4" w:space="0" w:color="auto"/>
            </w:tcBorders>
            <w:shd w:val="clear" w:color="auto" w:fill="B7DEE8"/>
          </w:tcPr>
          <w:p w14:paraId="226FBB05" w14:textId="73B922F0" w:rsidR="00ED45AD" w:rsidRPr="00E105BF" w:rsidRDefault="00ED45AD" w:rsidP="00ED45AD">
            <w:pPr>
              <w:spacing w:after="0"/>
              <w:rPr>
                <w:color w:val="000000"/>
                <w:sz w:val="20"/>
                <w:szCs w:val="20"/>
                <w:lang w:val="en-US"/>
              </w:rPr>
            </w:pPr>
            <w:r w:rsidRPr="6EB47483">
              <w:rPr>
                <w:sz w:val="20"/>
                <w:szCs w:val="20"/>
                <w:lang w:val="en-US"/>
              </w:rPr>
              <w:t>6</w:t>
            </w:r>
            <w:r w:rsidR="00E66EEC">
              <w:rPr>
                <w:sz w:val="20"/>
                <w:szCs w:val="20"/>
                <w:lang w:val="en-US"/>
              </w:rPr>
              <w:t>0</w:t>
            </w:r>
          </w:p>
        </w:tc>
        <w:tc>
          <w:tcPr>
            <w:tcW w:w="1887" w:type="dxa"/>
            <w:tcBorders>
              <w:top w:val="nil"/>
              <w:left w:val="nil"/>
              <w:bottom w:val="single" w:sz="4" w:space="0" w:color="auto"/>
              <w:right w:val="single" w:sz="4" w:space="0" w:color="auto"/>
            </w:tcBorders>
          </w:tcPr>
          <w:p w14:paraId="79E12866" w14:textId="2C5B684E" w:rsidR="00ED45AD" w:rsidRPr="00E105BF" w:rsidRDefault="00ED45AD" w:rsidP="00ED45AD">
            <w:pPr>
              <w:spacing w:after="0"/>
              <w:rPr>
                <w:color w:val="000000"/>
                <w:sz w:val="20"/>
                <w:szCs w:val="20"/>
                <w:lang w:val="en-US"/>
              </w:rPr>
            </w:pPr>
            <w:r w:rsidRPr="6EB47483">
              <w:rPr>
                <w:sz w:val="20"/>
                <w:szCs w:val="20"/>
                <w:lang w:val="en-US"/>
              </w:rPr>
              <w:t>Palau</w:t>
            </w:r>
          </w:p>
        </w:tc>
        <w:tc>
          <w:tcPr>
            <w:tcW w:w="465" w:type="dxa"/>
            <w:tcBorders>
              <w:top w:val="nil"/>
              <w:left w:val="nil"/>
              <w:bottom w:val="single" w:sz="4" w:space="0" w:color="auto"/>
              <w:right w:val="single" w:sz="4" w:space="0" w:color="auto"/>
            </w:tcBorders>
            <w:shd w:val="clear" w:color="auto" w:fill="B7DEE8"/>
          </w:tcPr>
          <w:p w14:paraId="4DD7C053" w14:textId="28336882" w:rsidR="00ED45AD" w:rsidRPr="00E105BF" w:rsidRDefault="00F45D53" w:rsidP="00ED45AD">
            <w:pPr>
              <w:spacing w:after="0"/>
              <w:rPr>
                <w:color w:val="000000"/>
                <w:sz w:val="20"/>
                <w:szCs w:val="20"/>
                <w:lang w:val="en-US"/>
              </w:rPr>
            </w:pPr>
            <w:r>
              <w:rPr>
                <w:sz w:val="20"/>
                <w:szCs w:val="20"/>
                <w:lang w:val="en-US"/>
              </w:rPr>
              <w:t>81</w:t>
            </w:r>
          </w:p>
        </w:tc>
        <w:tc>
          <w:tcPr>
            <w:tcW w:w="1973" w:type="dxa"/>
            <w:tcBorders>
              <w:top w:val="nil"/>
              <w:left w:val="nil"/>
              <w:bottom w:val="single" w:sz="4" w:space="0" w:color="auto"/>
              <w:right w:val="single" w:sz="4" w:space="0" w:color="auto"/>
            </w:tcBorders>
          </w:tcPr>
          <w:p w14:paraId="68F9FFF3" w14:textId="0CED8E3D" w:rsidR="00ED45AD" w:rsidRPr="00E105BF" w:rsidRDefault="00ED45AD" w:rsidP="00ED45AD">
            <w:pPr>
              <w:spacing w:after="0"/>
              <w:rPr>
                <w:color w:val="000000"/>
                <w:sz w:val="20"/>
                <w:szCs w:val="20"/>
                <w:lang w:val="en-US"/>
              </w:rPr>
            </w:pPr>
            <w:r w:rsidRPr="6EB47483">
              <w:rPr>
                <w:sz w:val="20"/>
                <w:szCs w:val="20"/>
                <w:lang w:val="en-US"/>
              </w:rPr>
              <w:t>United Republic of Tanzania</w:t>
            </w:r>
          </w:p>
        </w:tc>
      </w:tr>
      <w:tr w:rsidR="00ED45AD" w:rsidRPr="00E105BF" w14:paraId="597B27C2"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0D2D7DF5" w14:textId="77777777" w:rsidR="00ED45AD" w:rsidRPr="00E105BF" w:rsidRDefault="00ED45AD" w:rsidP="00ED45AD">
            <w:pPr>
              <w:spacing w:after="0"/>
              <w:rPr>
                <w:color w:val="000000"/>
                <w:sz w:val="20"/>
                <w:szCs w:val="20"/>
                <w:lang w:val="en-US"/>
              </w:rPr>
            </w:pPr>
            <w:r w:rsidRPr="6EB47483">
              <w:rPr>
                <w:sz w:val="20"/>
                <w:szCs w:val="20"/>
                <w:lang w:val="en-US"/>
              </w:rPr>
              <w:t>19</w:t>
            </w:r>
          </w:p>
        </w:tc>
        <w:tc>
          <w:tcPr>
            <w:tcW w:w="1838" w:type="dxa"/>
            <w:tcBorders>
              <w:top w:val="nil"/>
              <w:left w:val="nil"/>
              <w:bottom w:val="single" w:sz="4" w:space="0" w:color="auto"/>
              <w:right w:val="single" w:sz="4" w:space="0" w:color="auto"/>
            </w:tcBorders>
            <w:hideMark/>
          </w:tcPr>
          <w:p w14:paraId="2545E264" w14:textId="0E962D10" w:rsidR="00ED45AD" w:rsidRPr="00E105BF" w:rsidRDefault="00ED45AD" w:rsidP="00ED45AD">
            <w:pPr>
              <w:spacing w:after="0"/>
              <w:rPr>
                <w:color w:val="000000"/>
                <w:sz w:val="20"/>
                <w:szCs w:val="20"/>
                <w:lang w:val="en-US"/>
              </w:rPr>
            </w:pPr>
            <w:r w:rsidRPr="2818B29D">
              <w:rPr>
                <w:sz w:val="20"/>
                <w:szCs w:val="20"/>
                <w:lang w:val="en-US"/>
              </w:rPr>
              <w:t>Cuba</w:t>
            </w:r>
          </w:p>
        </w:tc>
        <w:tc>
          <w:tcPr>
            <w:tcW w:w="450" w:type="dxa"/>
            <w:tcBorders>
              <w:top w:val="nil"/>
              <w:left w:val="nil"/>
              <w:bottom w:val="single" w:sz="4" w:space="0" w:color="auto"/>
              <w:right w:val="single" w:sz="4" w:space="0" w:color="auto"/>
            </w:tcBorders>
            <w:shd w:val="clear" w:color="auto" w:fill="B7DEE8"/>
          </w:tcPr>
          <w:p w14:paraId="050AEDA0" w14:textId="28501983" w:rsidR="00ED45AD" w:rsidRPr="00E105BF" w:rsidRDefault="00ED45AD" w:rsidP="00ED45AD">
            <w:pPr>
              <w:spacing w:after="0"/>
              <w:rPr>
                <w:color w:val="000000"/>
                <w:sz w:val="20"/>
                <w:szCs w:val="20"/>
                <w:lang w:val="en-US"/>
              </w:rPr>
            </w:pPr>
            <w:r w:rsidRPr="6EB47483">
              <w:rPr>
                <w:sz w:val="20"/>
                <w:szCs w:val="20"/>
                <w:lang w:val="en-US"/>
              </w:rPr>
              <w:t>4</w:t>
            </w:r>
            <w:r w:rsidR="009043AD">
              <w:rPr>
                <w:sz w:val="20"/>
                <w:szCs w:val="20"/>
                <w:lang w:val="en-US"/>
              </w:rPr>
              <w:t>0</w:t>
            </w:r>
          </w:p>
        </w:tc>
        <w:tc>
          <w:tcPr>
            <w:tcW w:w="1544" w:type="dxa"/>
            <w:tcBorders>
              <w:top w:val="nil"/>
              <w:left w:val="nil"/>
              <w:bottom w:val="single" w:sz="4" w:space="0" w:color="auto"/>
              <w:right w:val="single" w:sz="4" w:space="0" w:color="auto"/>
            </w:tcBorders>
          </w:tcPr>
          <w:p w14:paraId="66671441" w14:textId="4B4B01B4" w:rsidR="00ED45AD" w:rsidRPr="00E105BF" w:rsidRDefault="00ED45AD" w:rsidP="00ED45AD">
            <w:pPr>
              <w:spacing w:after="0"/>
              <w:rPr>
                <w:color w:val="000000"/>
                <w:sz w:val="20"/>
                <w:szCs w:val="20"/>
                <w:lang w:val="en-US"/>
              </w:rPr>
            </w:pPr>
            <w:r w:rsidRPr="00784DC9">
              <w:rPr>
                <w:sz w:val="20"/>
                <w:szCs w:val="20"/>
                <w:lang w:val="en-US"/>
              </w:rPr>
              <w:t>Lao People’s Democratic Republic</w:t>
            </w:r>
          </w:p>
        </w:tc>
        <w:tc>
          <w:tcPr>
            <w:tcW w:w="452" w:type="dxa"/>
            <w:tcBorders>
              <w:top w:val="nil"/>
              <w:left w:val="nil"/>
              <w:bottom w:val="single" w:sz="4" w:space="0" w:color="auto"/>
              <w:right w:val="single" w:sz="4" w:space="0" w:color="auto"/>
            </w:tcBorders>
            <w:shd w:val="clear" w:color="auto" w:fill="B7DEE8"/>
          </w:tcPr>
          <w:p w14:paraId="1B80FE00" w14:textId="05F5475B" w:rsidR="00ED45AD" w:rsidRPr="00E105BF" w:rsidRDefault="00ED45AD" w:rsidP="00ED45AD">
            <w:pPr>
              <w:spacing w:after="0"/>
              <w:rPr>
                <w:color w:val="000000"/>
                <w:sz w:val="20"/>
                <w:szCs w:val="20"/>
                <w:lang w:val="en-US"/>
              </w:rPr>
            </w:pPr>
            <w:r w:rsidRPr="6EB47483">
              <w:rPr>
                <w:sz w:val="20"/>
                <w:szCs w:val="20"/>
                <w:lang w:val="en-US"/>
              </w:rPr>
              <w:t>6</w:t>
            </w:r>
            <w:r w:rsidR="00E66EEC">
              <w:rPr>
                <w:sz w:val="20"/>
                <w:szCs w:val="20"/>
                <w:lang w:val="en-US"/>
              </w:rPr>
              <w:t>1</w:t>
            </w:r>
          </w:p>
        </w:tc>
        <w:tc>
          <w:tcPr>
            <w:tcW w:w="1887" w:type="dxa"/>
            <w:tcBorders>
              <w:top w:val="nil"/>
              <w:left w:val="nil"/>
              <w:bottom w:val="single" w:sz="4" w:space="0" w:color="auto"/>
              <w:right w:val="single" w:sz="4" w:space="0" w:color="auto"/>
            </w:tcBorders>
          </w:tcPr>
          <w:p w14:paraId="3E9CFE32" w14:textId="49BD33D4" w:rsidR="00ED45AD" w:rsidRPr="00E105BF" w:rsidRDefault="00ED45AD" w:rsidP="00ED45AD">
            <w:pPr>
              <w:spacing w:after="0"/>
              <w:rPr>
                <w:color w:val="000000"/>
                <w:sz w:val="20"/>
                <w:szCs w:val="20"/>
                <w:lang w:val="en-US"/>
              </w:rPr>
            </w:pPr>
            <w:r w:rsidRPr="6EB47483">
              <w:rPr>
                <w:sz w:val="20"/>
                <w:szCs w:val="20"/>
                <w:lang w:val="en-US"/>
              </w:rPr>
              <w:t>Papua New Guinea</w:t>
            </w:r>
          </w:p>
        </w:tc>
        <w:tc>
          <w:tcPr>
            <w:tcW w:w="465" w:type="dxa"/>
            <w:tcBorders>
              <w:top w:val="nil"/>
              <w:left w:val="nil"/>
              <w:bottom w:val="single" w:sz="4" w:space="0" w:color="auto"/>
              <w:right w:val="single" w:sz="4" w:space="0" w:color="auto"/>
            </w:tcBorders>
            <w:shd w:val="clear" w:color="auto" w:fill="B7DEE8"/>
          </w:tcPr>
          <w:p w14:paraId="27D0A6D9" w14:textId="1DA8E075" w:rsidR="00ED45AD" w:rsidRPr="00E105BF" w:rsidRDefault="00F45D53" w:rsidP="00ED45AD">
            <w:pPr>
              <w:spacing w:after="0"/>
              <w:rPr>
                <w:color w:val="000000"/>
                <w:sz w:val="20"/>
                <w:szCs w:val="20"/>
                <w:lang w:val="en-US"/>
              </w:rPr>
            </w:pPr>
            <w:r>
              <w:rPr>
                <w:sz w:val="20"/>
                <w:szCs w:val="20"/>
                <w:lang w:val="en-US"/>
              </w:rPr>
              <w:t>82</w:t>
            </w:r>
          </w:p>
        </w:tc>
        <w:tc>
          <w:tcPr>
            <w:tcW w:w="1973" w:type="dxa"/>
            <w:tcBorders>
              <w:top w:val="nil"/>
              <w:left w:val="nil"/>
              <w:bottom w:val="single" w:sz="4" w:space="0" w:color="auto"/>
              <w:right w:val="single" w:sz="4" w:space="0" w:color="auto"/>
            </w:tcBorders>
          </w:tcPr>
          <w:p w14:paraId="0A9D8EC7" w14:textId="107661A7" w:rsidR="00ED45AD" w:rsidRPr="00E105BF" w:rsidRDefault="00ED45AD" w:rsidP="00ED45AD">
            <w:pPr>
              <w:spacing w:after="0"/>
              <w:rPr>
                <w:color w:val="000000"/>
                <w:sz w:val="20"/>
                <w:szCs w:val="20"/>
                <w:lang w:val="en-US"/>
              </w:rPr>
            </w:pPr>
            <w:r w:rsidRPr="6EB47483">
              <w:rPr>
                <w:sz w:val="20"/>
                <w:szCs w:val="20"/>
                <w:lang w:val="en-US"/>
              </w:rPr>
              <w:t xml:space="preserve"> Vanuatu</w:t>
            </w:r>
          </w:p>
        </w:tc>
      </w:tr>
      <w:tr w:rsidR="00ED45AD" w:rsidRPr="00E105BF" w14:paraId="49EF7F4D"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64B1118B" w14:textId="77777777" w:rsidR="00ED45AD" w:rsidRPr="00E105BF" w:rsidRDefault="00ED45AD" w:rsidP="00ED45AD">
            <w:pPr>
              <w:spacing w:after="0"/>
              <w:rPr>
                <w:color w:val="000000"/>
                <w:sz w:val="20"/>
                <w:szCs w:val="20"/>
                <w:lang w:val="en-US"/>
              </w:rPr>
            </w:pPr>
            <w:r w:rsidRPr="6EB47483">
              <w:rPr>
                <w:sz w:val="20"/>
                <w:szCs w:val="20"/>
                <w:lang w:val="en-US"/>
              </w:rPr>
              <w:t>20</w:t>
            </w:r>
          </w:p>
        </w:tc>
        <w:tc>
          <w:tcPr>
            <w:tcW w:w="1838" w:type="dxa"/>
            <w:tcBorders>
              <w:top w:val="nil"/>
              <w:left w:val="nil"/>
              <w:bottom w:val="single" w:sz="4" w:space="0" w:color="auto"/>
              <w:right w:val="single" w:sz="4" w:space="0" w:color="auto"/>
            </w:tcBorders>
            <w:hideMark/>
          </w:tcPr>
          <w:p w14:paraId="77FAFA0D" w14:textId="4B68CA17" w:rsidR="00ED45AD" w:rsidRPr="00E105BF" w:rsidRDefault="00ED45AD" w:rsidP="00ED45AD">
            <w:pPr>
              <w:spacing w:after="0"/>
              <w:rPr>
                <w:color w:val="000000"/>
                <w:sz w:val="20"/>
                <w:szCs w:val="20"/>
                <w:lang w:val="en-US"/>
              </w:rPr>
            </w:pPr>
            <w:r w:rsidRPr="00CE0AAB">
              <w:rPr>
                <w:sz w:val="20"/>
                <w:szCs w:val="20"/>
                <w:lang w:val="en-US"/>
              </w:rPr>
              <w:t xml:space="preserve">Democratic </w:t>
            </w:r>
            <w:r>
              <w:rPr>
                <w:sz w:val="20"/>
                <w:szCs w:val="20"/>
                <w:lang w:val="en-US"/>
              </w:rPr>
              <w:t xml:space="preserve">People’s </w:t>
            </w:r>
            <w:r w:rsidRPr="00CE0AAB">
              <w:rPr>
                <w:sz w:val="20"/>
                <w:szCs w:val="20"/>
                <w:lang w:val="en-US"/>
              </w:rPr>
              <w:t xml:space="preserve">Republic of </w:t>
            </w:r>
            <w:r>
              <w:rPr>
                <w:sz w:val="20"/>
                <w:szCs w:val="20"/>
                <w:lang w:val="en-US"/>
              </w:rPr>
              <w:t>Korea</w:t>
            </w:r>
            <w:r w:rsidRPr="00CE0AAB">
              <w:rPr>
                <w:sz w:val="20"/>
                <w:szCs w:val="20"/>
                <w:lang w:val="en-US"/>
              </w:rPr>
              <w:t xml:space="preserve"> </w:t>
            </w:r>
          </w:p>
        </w:tc>
        <w:tc>
          <w:tcPr>
            <w:tcW w:w="450" w:type="dxa"/>
            <w:tcBorders>
              <w:top w:val="nil"/>
              <w:left w:val="nil"/>
              <w:bottom w:val="single" w:sz="4" w:space="0" w:color="auto"/>
              <w:right w:val="single" w:sz="4" w:space="0" w:color="auto"/>
            </w:tcBorders>
            <w:shd w:val="clear" w:color="auto" w:fill="B7DEE8"/>
          </w:tcPr>
          <w:p w14:paraId="7257CEE3" w14:textId="4C357228" w:rsidR="00ED45AD" w:rsidRPr="00E105BF" w:rsidRDefault="00ED45AD" w:rsidP="00ED45AD">
            <w:pPr>
              <w:spacing w:after="0"/>
              <w:rPr>
                <w:color w:val="000000"/>
                <w:sz w:val="20"/>
                <w:szCs w:val="20"/>
                <w:lang w:val="en-US"/>
              </w:rPr>
            </w:pPr>
            <w:r w:rsidRPr="6EB47483">
              <w:rPr>
                <w:sz w:val="20"/>
                <w:szCs w:val="20"/>
                <w:lang w:val="en-US"/>
              </w:rPr>
              <w:t>4</w:t>
            </w:r>
            <w:r w:rsidR="009043AD">
              <w:rPr>
                <w:sz w:val="20"/>
                <w:szCs w:val="20"/>
                <w:lang w:val="en-US"/>
              </w:rPr>
              <w:t>1</w:t>
            </w:r>
          </w:p>
        </w:tc>
        <w:tc>
          <w:tcPr>
            <w:tcW w:w="1544" w:type="dxa"/>
            <w:tcBorders>
              <w:top w:val="nil"/>
              <w:left w:val="nil"/>
              <w:bottom w:val="single" w:sz="4" w:space="0" w:color="auto"/>
              <w:right w:val="single" w:sz="4" w:space="0" w:color="auto"/>
            </w:tcBorders>
          </w:tcPr>
          <w:p w14:paraId="2DA8D892" w14:textId="178D29DD" w:rsidR="00ED45AD" w:rsidRPr="00E105BF" w:rsidRDefault="00ED45AD" w:rsidP="00ED45AD">
            <w:pPr>
              <w:spacing w:after="0"/>
              <w:rPr>
                <w:color w:val="000000"/>
                <w:sz w:val="20"/>
                <w:szCs w:val="20"/>
                <w:lang w:val="en-US"/>
              </w:rPr>
            </w:pPr>
            <w:r w:rsidRPr="6EB47483">
              <w:rPr>
                <w:sz w:val="20"/>
                <w:szCs w:val="20"/>
                <w:lang w:val="en-US"/>
              </w:rPr>
              <w:t>Lesotho</w:t>
            </w:r>
          </w:p>
        </w:tc>
        <w:tc>
          <w:tcPr>
            <w:tcW w:w="452" w:type="dxa"/>
            <w:tcBorders>
              <w:top w:val="nil"/>
              <w:left w:val="nil"/>
              <w:bottom w:val="single" w:sz="4" w:space="0" w:color="auto"/>
              <w:right w:val="single" w:sz="4" w:space="0" w:color="auto"/>
            </w:tcBorders>
            <w:shd w:val="clear" w:color="auto" w:fill="B7DEE8"/>
          </w:tcPr>
          <w:p w14:paraId="4189277D" w14:textId="29A7F881" w:rsidR="00ED45AD" w:rsidRPr="00E105BF" w:rsidRDefault="00ED45AD" w:rsidP="00ED45AD">
            <w:pPr>
              <w:spacing w:after="0"/>
              <w:rPr>
                <w:color w:val="000000"/>
                <w:sz w:val="20"/>
                <w:szCs w:val="20"/>
                <w:lang w:val="en-US"/>
              </w:rPr>
            </w:pPr>
            <w:r w:rsidRPr="6EB47483">
              <w:rPr>
                <w:sz w:val="20"/>
                <w:szCs w:val="20"/>
                <w:lang w:val="en-US"/>
              </w:rPr>
              <w:t>6</w:t>
            </w:r>
            <w:r w:rsidR="00E66EEC">
              <w:rPr>
                <w:sz w:val="20"/>
                <w:szCs w:val="20"/>
                <w:lang w:val="en-US"/>
              </w:rPr>
              <w:t>2</w:t>
            </w:r>
          </w:p>
        </w:tc>
        <w:tc>
          <w:tcPr>
            <w:tcW w:w="1887" w:type="dxa"/>
            <w:tcBorders>
              <w:top w:val="nil"/>
              <w:left w:val="nil"/>
              <w:bottom w:val="single" w:sz="4" w:space="0" w:color="auto"/>
              <w:right w:val="single" w:sz="4" w:space="0" w:color="auto"/>
            </w:tcBorders>
          </w:tcPr>
          <w:p w14:paraId="7A7A2E65" w14:textId="77777777" w:rsidR="00ED45AD" w:rsidRPr="00E105BF" w:rsidRDefault="00ED45AD" w:rsidP="00ED45AD">
            <w:pPr>
              <w:spacing w:after="0"/>
              <w:rPr>
                <w:sz w:val="20"/>
                <w:szCs w:val="20"/>
                <w:lang w:val="en-US"/>
              </w:rPr>
            </w:pPr>
            <w:r w:rsidRPr="6EB47483">
              <w:rPr>
                <w:sz w:val="20"/>
                <w:szCs w:val="20"/>
                <w:lang w:val="en-US"/>
              </w:rPr>
              <w:t>Paraguay</w:t>
            </w:r>
          </w:p>
          <w:p w14:paraId="45BCC711" w14:textId="19DC490F" w:rsidR="00ED45AD" w:rsidRPr="00E105BF" w:rsidRDefault="00ED45AD" w:rsidP="00ED45AD">
            <w:pPr>
              <w:spacing w:after="0"/>
              <w:rPr>
                <w:color w:val="000000"/>
                <w:sz w:val="20"/>
                <w:szCs w:val="20"/>
                <w:lang w:val="en-US"/>
              </w:rPr>
            </w:pPr>
          </w:p>
        </w:tc>
        <w:tc>
          <w:tcPr>
            <w:tcW w:w="465" w:type="dxa"/>
            <w:tcBorders>
              <w:top w:val="nil"/>
              <w:left w:val="nil"/>
              <w:bottom w:val="single" w:sz="4" w:space="0" w:color="auto"/>
              <w:right w:val="single" w:sz="4" w:space="0" w:color="auto"/>
            </w:tcBorders>
            <w:shd w:val="clear" w:color="auto" w:fill="B7DEE8"/>
          </w:tcPr>
          <w:p w14:paraId="762DBD26" w14:textId="246FD470" w:rsidR="00ED45AD" w:rsidRPr="00E105BF" w:rsidRDefault="00F45D53" w:rsidP="00ED45AD">
            <w:pPr>
              <w:spacing w:after="0"/>
              <w:rPr>
                <w:color w:val="000000"/>
                <w:sz w:val="20"/>
                <w:szCs w:val="20"/>
                <w:lang w:val="en-US"/>
              </w:rPr>
            </w:pPr>
            <w:r>
              <w:rPr>
                <w:sz w:val="20"/>
                <w:szCs w:val="20"/>
                <w:lang w:val="en-US"/>
              </w:rPr>
              <w:t>83</w:t>
            </w:r>
          </w:p>
        </w:tc>
        <w:tc>
          <w:tcPr>
            <w:tcW w:w="1973" w:type="dxa"/>
            <w:tcBorders>
              <w:top w:val="nil"/>
              <w:left w:val="nil"/>
              <w:bottom w:val="single" w:sz="4" w:space="0" w:color="auto"/>
              <w:right w:val="single" w:sz="4" w:space="0" w:color="auto"/>
            </w:tcBorders>
          </w:tcPr>
          <w:p w14:paraId="53BE632C" w14:textId="288CEC95" w:rsidR="00ED45AD" w:rsidRPr="00E105BF" w:rsidRDefault="00ED45AD" w:rsidP="00ED45AD">
            <w:pPr>
              <w:spacing w:after="0"/>
              <w:rPr>
                <w:color w:val="000000"/>
                <w:sz w:val="20"/>
                <w:szCs w:val="20"/>
                <w:lang w:val="en-US"/>
              </w:rPr>
            </w:pPr>
            <w:r w:rsidRPr="6EB47483">
              <w:rPr>
                <w:sz w:val="20"/>
                <w:szCs w:val="20"/>
                <w:lang w:val="en-US"/>
              </w:rPr>
              <w:t xml:space="preserve"> Zambia</w:t>
            </w:r>
          </w:p>
        </w:tc>
      </w:tr>
      <w:tr w:rsidR="00ED45AD" w:rsidRPr="00E105BF" w14:paraId="14C741B3" w14:textId="77777777">
        <w:trPr>
          <w:trHeight w:val="288"/>
          <w:jc w:val="center"/>
        </w:trPr>
        <w:tc>
          <w:tcPr>
            <w:tcW w:w="465" w:type="dxa"/>
            <w:tcBorders>
              <w:top w:val="nil"/>
              <w:left w:val="single" w:sz="4" w:space="0" w:color="auto"/>
              <w:bottom w:val="single" w:sz="4" w:space="0" w:color="auto"/>
              <w:right w:val="single" w:sz="4" w:space="0" w:color="auto"/>
            </w:tcBorders>
            <w:shd w:val="clear" w:color="auto" w:fill="B7DEE8"/>
            <w:hideMark/>
          </w:tcPr>
          <w:p w14:paraId="03F39188" w14:textId="77777777" w:rsidR="00ED45AD" w:rsidRPr="00E105BF" w:rsidRDefault="00ED45AD" w:rsidP="00ED45AD">
            <w:pPr>
              <w:spacing w:after="0"/>
              <w:rPr>
                <w:color w:val="000000"/>
                <w:sz w:val="20"/>
                <w:szCs w:val="20"/>
                <w:lang w:val="en-US"/>
              </w:rPr>
            </w:pPr>
            <w:r w:rsidRPr="6EB47483">
              <w:rPr>
                <w:sz w:val="20"/>
                <w:szCs w:val="20"/>
                <w:lang w:val="en-US"/>
              </w:rPr>
              <w:t>21</w:t>
            </w:r>
          </w:p>
        </w:tc>
        <w:tc>
          <w:tcPr>
            <w:tcW w:w="1838" w:type="dxa"/>
            <w:tcBorders>
              <w:top w:val="nil"/>
              <w:left w:val="nil"/>
              <w:bottom w:val="single" w:sz="4" w:space="0" w:color="auto"/>
              <w:right w:val="single" w:sz="4" w:space="0" w:color="auto"/>
            </w:tcBorders>
            <w:hideMark/>
          </w:tcPr>
          <w:p w14:paraId="3222B8BE" w14:textId="0E1DAE7F" w:rsidR="00ED45AD" w:rsidRPr="00E105BF" w:rsidRDefault="00ED45AD" w:rsidP="00ED45AD">
            <w:pPr>
              <w:spacing w:after="0"/>
              <w:rPr>
                <w:color w:val="000000"/>
                <w:sz w:val="20"/>
                <w:szCs w:val="20"/>
                <w:lang w:val="en-US"/>
              </w:rPr>
            </w:pPr>
            <w:r w:rsidRPr="2818B29D">
              <w:rPr>
                <w:sz w:val="20"/>
                <w:szCs w:val="20"/>
                <w:lang w:val="en-US"/>
              </w:rPr>
              <w:t>Djibouti</w:t>
            </w:r>
          </w:p>
        </w:tc>
        <w:tc>
          <w:tcPr>
            <w:tcW w:w="450" w:type="dxa"/>
            <w:tcBorders>
              <w:top w:val="nil"/>
              <w:left w:val="nil"/>
              <w:bottom w:val="single" w:sz="4" w:space="0" w:color="auto"/>
              <w:right w:val="single" w:sz="4" w:space="0" w:color="auto"/>
            </w:tcBorders>
            <w:shd w:val="clear" w:color="auto" w:fill="B7DEE8"/>
          </w:tcPr>
          <w:p w14:paraId="79161C8C" w14:textId="49A10845" w:rsidR="00ED45AD" w:rsidRPr="00E105BF" w:rsidRDefault="00ED45AD" w:rsidP="00ED45AD">
            <w:pPr>
              <w:spacing w:after="0"/>
              <w:rPr>
                <w:color w:val="000000"/>
                <w:sz w:val="20"/>
                <w:szCs w:val="20"/>
                <w:lang w:val="en-US"/>
              </w:rPr>
            </w:pPr>
            <w:r w:rsidRPr="6EB47483">
              <w:rPr>
                <w:sz w:val="20"/>
                <w:szCs w:val="20"/>
                <w:lang w:val="en-US"/>
              </w:rPr>
              <w:t>4</w:t>
            </w:r>
            <w:r w:rsidR="009043AD">
              <w:rPr>
                <w:sz w:val="20"/>
                <w:szCs w:val="20"/>
                <w:lang w:val="en-US"/>
              </w:rPr>
              <w:t>2</w:t>
            </w:r>
          </w:p>
        </w:tc>
        <w:tc>
          <w:tcPr>
            <w:tcW w:w="1544" w:type="dxa"/>
            <w:tcBorders>
              <w:top w:val="nil"/>
              <w:left w:val="nil"/>
              <w:bottom w:val="single" w:sz="4" w:space="0" w:color="auto"/>
              <w:right w:val="single" w:sz="4" w:space="0" w:color="auto"/>
            </w:tcBorders>
          </w:tcPr>
          <w:p w14:paraId="60522AA8" w14:textId="17B41AAA" w:rsidR="00ED45AD" w:rsidRPr="00E105BF" w:rsidRDefault="00ED45AD" w:rsidP="00ED45AD">
            <w:pPr>
              <w:spacing w:after="0"/>
              <w:rPr>
                <w:color w:val="000000"/>
                <w:sz w:val="20"/>
                <w:szCs w:val="20"/>
                <w:lang w:val="en-US"/>
              </w:rPr>
            </w:pPr>
            <w:r w:rsidRPr="6EB47483">
              <w:rPr>
                <w:sz w:val="20"/>
                <w:szCs w:val="20"/>
                <w:lang w:val="en-US"/>
              </w:rPr>
              <w:t>Liberia</w:t>
            </w:r>
          </w:p>
        </w:tc>
        <w:tc>
          <w:tcPr>
            <w:tcW w:w="452" w:type="dxa"/>
            <w:tcBorders>
              <w:top w:val="nil"/>
              <w:left w:val="nil"/>
              <w:bottom w:val="single" w:sz="4" w:space="0" w:color="auto"/>
              <w:right w:val="single" w:sz="4" w:space="0" w:color="auto"/>
            </w:tcBorders>
            <w:shd w:val="clear" w:color="auto" w:fill="B7DEE8"/>
          </w:tcPr>
          <w:p w14:paraId="4B3B5C5A" w14:textId="01E5743F" w:rsidR="00ED45AD" w:rsidRPr="00E105BF" w:rsidRDefault="00ED45AD" w:rsidP="00ED45AD">
            <w:pPr>
              <w:spacing w:after="0"/>
              <w:rPr>
                <w:color w:val="000000"/>
                <w:sz w:val="20"/>
                <w:szCs w:val="20"/>
                <w:lang w:val="en-US"/>
              </w:rPr>
            </w:pPr>
            <w:r w:rsidRPr="6EB47483">
              <w:rPr>
                <w:sz w:val="20"/>
                <w:szCs w:val="20"/>
                <w:lang w:val="en-US"/>
              </w:rPr>
              <w:t>6</w:t>
            </w:r>
            <w:r w:rsidR="00E66EEC">
              <w:rPr>
                <w:sz w:val="20"/>
                <w:szCs w:val="20"/>
                <w:lang w:val="en-US"/>
              </w:rPr>
              <w:t>3</w:t>
            </w:r>
          </w:p>
        </w:tc>
        <w:tc>
          <w:tcPr>
            <w:tcW w:w="1887" w:type="dxa"/>
            <w:tcBorders>
              <w:top w:val="nil"/>
              <w:left w:val="nil"/>
              <w:bottom w:val="single" w:sz="4" w:space="0" w:color="auto"/>
              <w:right w:val="single" w:sz="4" w:space="0" w:color="auto"/>
            </w:tcBorders>
          </w:tcPr>
          <w:p w14:paraId="3C52C57D" w14:textId="77777777" w:rsidR="00ED45AD" w:rsidRPr="00E105BF" w:rsidRDefault="00ED45AD" w:rsidP="00ED45AD">
            <w:pPr>
              <w:spacing w:after="0"/>
              <w:rPr>
                <w:sz w:val="20"/>
                <w:szCs w:val="20"/>
                <w:lang w:val="en-US"/>
              </w:rPr>
            </w:pPr>
            <w:r w:rsidRPr="6EB47483">
              <w:rPr>
                <w:sz w:val="20"/>
                <w:szCs w:val="20"/>
                <w:lang w:val="en-US"/>
              </w:rPr>
              <w:t>Republic of Moldova</w:t>
            </w:r>
          </w:p>
          <w:p w14:paraId="3F52C30F" w14:textId="32EB795A" w:rsidR="00ED45AD" w:rsidRPr="00E105BF" w:rsidRDefault="00ED45AD" w:rsidP="00ED45AD">
            <w:pPr>
              <w:spacing w:after="0"/>
              <w:rPr>
                <w:color w:val="000000"/>
                <w:sz w:val="20"/>
                <w:szCs w:val="20"/>
                <w:lang w:val="en-US"/>
              </w:rPr>
            </w:pPr>
          </w:p>
        </w:tc>
        <w:tc>
          <w:tcPr>
            <w:tcW w:w="465" w:type="dxa"/>
            <w:tcBorders>
              <w:top w:val="nil"/>
              <w:left w:val="nil"/>
              <w:bottom w:val="single" w:sz="4" w:space="0" w:color="auto"/>
              <w:right w:val="single" w:sz="4" w:space="0" w:color="auto"/>
            </w:tcBorders>
            <w:shd w:val="clear" w:color="auto" w:fill="B7DEE8"/>
          </w:tcPr>
          <w:p w14:paraId="6511F289" w14:textId="16DEEA41" w:rsidR="00ED45AD" w:rsidRPr="00E105BF" w:rsidRDefault="00E55E91" w:rsidP="00ED45AD">
            <w:pPr>
              <w:spacing w:after="0"/>
              <w:rPr>
                <w:color w:val="000000"/>
                <w:sz w:val="20"/>
                <w:szCs w:val="20"/>
                <w:lang w:val="en-US"/>
              </w:rPr>
            </w:pPr>
            <w:r>
              <w:rPr>
                <w:sz w:val="20"/>
                <w:szCs w:val="20"/>
                <w:lang w:val="en-US"/>
              </w:rPr>
              <w:t>84</w:t>
            </w:r>
          </w:p>
        </w:tc>
        <w:tc>
          <w:tcPr>
            <w:tcW w:w="1973" w:type="dxa"/>
            <w:tcBorders>
              <w:top w:val="nil"/>
              <w:left w:val="nil"/>
              <w:bottom w:val="single" w:sz="4" w:space="0" w:color="auto"/>
              <w:right w:val="single" w:sz="4" w:space="0" w:color="auto"/>
            </w:tcBorders>
          </w:tcPr>
          <w:p w14:paraId="7C9254AC" w14:textId="415CCA59" w:rsidR="00ED45AD" w:rsidRPr="00E105BF" w:rsidRDefault="00ED45AD" w:rsidP="00ED45AD">
            <w:pPr>
              <w:spacing w:after="0"/>
              <w:rPr>
                <w:color w:val="000000"/>
                <w:sz w:val="20"/>
                <w:szCs w:val="20"/>
                <w:lang w:val="en-US"/>
              </w:rPr>
            </w:pPr>
            <w:r w:rsidRPr="6EB47483">
              <w:rPr>
                <w:sz w:val="20"/>
                <w:szCs w:val="20"/>
                <w:lang w:val="en-US"/>
              </w:rPr>
              <w:t xml:space="preserve"> Zimbabwe</w:t>
            </w:r>
          </w:p>
        </w:tc>
      </w:tr>
    </w:tbl>
    <w:p w14:paraId="1870C3D1" w14:textId="2780E680" w:rsidR="1CB7F3FE" w:rsidRDefault="1CB7F3FE" w:rsidP="455A8849">
      <w:pPr>
        <w:spacing w:after="0"/>
      </w:pPr>
    </w:p>
    <w:p w14:paraId="73F89C29" w14:textId="218D7124" w:rsidR="6E8C627C" w:rsidRDefault="6E8C627C"/>
    <w:p w14:paraId="307DE62F" w14:textId="600CEB02" w:rsidR="6E8C627C" w:rsidRDefault="6E8C627C" w:rsidP="6E8C627C">
      <w:pPr>
        <w:spacing w:after="0"/>
      </w:pPr>
      <w:r>
        <w:br w:type="page"/>
      </w:r>
    </w:p>
    <w:p w14:paraId="0E7010D1" w14:textId="1540BAE7" w:rsidR="6E8C627C" w:rsidRDefault="6E8C627C" w:rsidP="6E8C627C">
      <w:pPr>
        <w:spacing w:after="0"/>
      </w:pPr>
    </w:p>
    <w:p w14:paraId="01FF1710" w14:textId="40D6A3E6" w:rsidR="004812BA" w:rsidRDefault="4613BFF7" w:rsidP="005D31A7">
      <w:pPr>
        <w:pStyle w:val="Heading1"/>
      </w:pPr>
      <w:bookmarkStart w:id="385" w:name="_Toc230099168"/>
      <w:r w:rsidRPr="79F0FF3B">
        <w:t>ANNEX 6</w:t>
      </w:r>
      <w:r w:rsidR="6EBB703E" w:rsidRPr="1D674A4B">
        <w:rPr>
          <w:bCs/>
        </w:rPr>
        <w:t>:</w:t>
      </w:r>
      <w:r w:rsidR="00F6417D">
        <w:t xml:space="preserve"> </w:t>
      </w:r>
      <w:r w:rsidRPr="79F0FF3B">
        <w:t xml:space="preserve">LIST OF PARTIES PENDING </w:t>
      </w:r>
      <w:r w:rsidR="548BBB9B" w:rsidRPr="548BBB9B">
        <w:rPr>
          <w:bCs/>
        </w:rPr>
        <w:t>RATIFICATION</w:t>
      </w:r>
      <w:r w:rsidRPr="79F0FF3B">
        <w:t xml:space="preserve"> </w:t>
      </w:r>
      <w:r w:rsidR="57F728E9" w:rsidRPr="57F728E9">
        <w:rPr>
          <w:bCs/>
        </w:rPr>
        <w:t>OF</w:t>
      </w:r>
      <w:r w:rsidR="006F2126">
        <w:rPr>
          <w:bCs/>
        </w:rPr>
        <w:t xml:space="preserve"> </w:t>
      </w:r>
      <w:r w:rsidR="57F728E9" w:rsidRPr="57F728E9">
        <w:rPr>
          <w:bCs/>
        </w:rPr>
        <w:t>THE</w:t>
      </w:r>
      <w:r w:rsidRPr="79F0FF3B">
        <w:t xml:space="preserve"> KIGALI AMENDMENT</w:t>
      </w:r>
      <w:r w:rsidR="49190148" w:rsidRPr="07ED3CF3">
        <w:rPr>
          <w:bCs/>
        </w:rPr>
        <w:t xml:space="preserve"> </w:t>
      </w:r>
      <w:r w:rsidR="49190148" w:rsidRPr="6689A6C1">
        <w:rPr>
          <w:bCs/>
        </w:rPr>
        <w:t>(</w:t>
      </w:r>
      <w:r w:rsidR="49190148" w:rsidRPr="07ED3CF3">
        <w:rPr>
          <w:bCs/>
        </w:rPr>
        <w:t xml:space="preserve">as of </w:t>
      </w:r>
      <w:r w:rsidR="49190148" w:rsidRPr="6689A6C1">
        <w:rPr>
          <w:bCs/>
        </w:rPr>
        <w:t xml:space="preserve">8 </w:t>
      </w:r>
      <w:r w:rsidR="49190148" w:rsidRPr="07ED3CF3">
        <w:rPr>
          <w:bCs/>
        </w:rPr>
        <w:t>April</w:t>
      </w:r>
      <w:r w:rsidR="49190148" w:rsidRPr="6689A6C1">
        <w:rPr>
          <w:bCs/>
        </w:rPr>
        <w:t xml:space="preserve"> 2026)</w:t>
      </w:r>
      <w:bookmarkEnd w:id="385"/>
    </w:p>
    <w:tbl>
      <w:tblPr>
        <w:tblW w:w="5000" w:type="pct"/>
        <w:tblLook w:val="04A0" w:firstRow="1" w:lastRow="0" w:firstColumn="1" w:lastColumn="0" w:noHBand="0" w:noVBand="1"/>
      </w:tblPr>
      <w:tblGrid>
        <w:gridCol w:w="3939"/>
        <w:gridCol w:w="3693"/>
        <w:gridCol w:w="1432"/>
      </w:tblGrid>
      <w:tr w:rsidR="531ECB33" w14:paraId="0B73CB27" w14:textId="77777777" w:rsidTr="00C66EB1">
        <w:trPr>
          <w:trHeight w:val="10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70" w:type="dxa"/>
              <w:right w:w="70" w:type="dxa"/>
            </w:tcMar>
            <w:vAlign w:val="center"/>
          </w:tcPr>
          <w:p w14:paraId="7ACC5283" w14:textId="007DB1D2" w:rsidR="531ECB33" w:rsidRPr="00935EF9" w:rsidRDefault="531ECB33" w:rsidP="00935EF9">
            <w:pPr>
              <w:spacing w:after="0"/>
              <w:jc w:val="center"/>
              <w:rPr>
                <w:b/>
                <w:bCs/>
                <w:color w:val="FFFFFF" w:themeColor="background1"/>
              </w:rPr>
            </w:pPr>
            <w:r w:rsidRPr="00935EF9">
              <w:rPr>
                <w:b/>
                <w:bCs/>
                <w:color w:val="FFFFFF" w:themeColor="background1"/>
              </w:rPr>
              <w:t>Countries</w:t>
            </w:r>
          </w:p>
        </w:tc>
        <w:tc>
          <w:tcPr>
            <w:tcW w:w="2037" w:type="pct"/>
            <w:tcBorders>
              <w:top w:val="single" w:sz="8" w:space="0" w:color="000000" w:themeColor="text1"/>
              <w:left w:val="single" w:sz="8" w:space="0" w:color="000000" w:themeColor="text1"/>
              <w:bottom w:val="single" w:sz="8" w:space="0" w:color="000000" w:themeColor="text1"/>
              <w:right w:val="nil"/>
            </w:tcBorders>
            <w:shd w:val="clear" w:color="auto" w:fill="002060"/>
            <w:tcMar>
              <w:left w:w="70" w:type="dxa"/>
              <w:right w:w="70" w:type="dxa"/>
            </w:tcMar>
            <w:vAlign w:val="center"/>
          </w:tcPr>
          <w:p w14:paraId="28C8FB9B" w14:textId="16999583" w:rsidR="531ECB33" w:rsidRPr="00935EF9" w:rsidRDefault="531ECB33" w:rsidP="00935EF9">
            <w:pPr>
              <w:spacing w:after="0"/>
              <w:ind w:left="-33" w:firstLine="33"/>
              <w:jc w:val="center"/>
              <w:rPr>
                <w:b/>
                <w:bCs/>
                <w:color w:val="FFFFFF" w:themeColor="background1"/>
              </w:rPr>
            </w:pPr>
            <w:r w:rsidRPr="00935EF9">
              <w:rPr>
                <w:b/>
                <w:bCs/>
                <w:color w:val="FFFFFF" w:themeColor="background1"/>
              </w:rPr>
              <w:t>Cluster by Consumption Level</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70" w:type="dxa"/>
              <w:right w:w="70" w:type="dxa"/>
            </w:tcMar>
            <w:vAlign w:val="center"/>
          </w:tcPr>
          <w:p w14:paraId="37C1BE83" w14:textId="5CEC52B0" w:rsidR="531ECB33" w:rsidRPr="00935EF9" w:rsidRDefault="531ECB33" w:rsidP="00935EF9">
            <w:pPr>
              <w:spacing w:after="0"/>
              <w:jc w:val="center"/>
              <w:rPr>
                <w:b/>
                <w:bCs/>
                <w:color w:val="FFFFFF" w:themeColor="background1"/>
              </w:rPr>
            </w:pPr>
            <w:r w:rsidRPr="00935EF9">
              <w:rPr>
                <w:b/>
                <w:bCs/>
                <w:color w:val="FFFFFF" w:themeColor="background1"/>
              </w:rPr>
              <w:t>Group</w:t>
            </w:r>
          </w:p>
        </w:tc>
      </w:tr>
      <w:tr w:rsidR="531ECB33" w14:paraId="62CE8C8D"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5E36CFBC" w14:textId="4C21C547" w:rsidR="531ECB33" w:rsidRPr="00935EF9" w:rsidRDefault="531ECB33" w:rsidP="00A86D3C">
            <w:pPr>
              <w:spacing w:after="0"/>
            </w:pPr>
            <w:r w:rsidRPr="00935EF9">
              <w:t>Yemen</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6317BF33" w14:textId="3B692226"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645B6D85" w14:textId="3CBCA196" w:rsidR="531ECB33" w:rsidRPr="00935EF9" w:rsidRDefault="531ECB33" w:rsidP="00A86D3C">
            <w:pPr>
              <w:spacing w:after="0"/>
              <w:jc w:val="center"/>
            </w:pPr>
            <w:r w:rsidRPr="00935EF9">
              <w:t>1</w:t>
            </w:r>
          </w:p>
        </w:tc>
      </w:tr>
      <w:tr w:rsidR="531ECB33" w14:paraId="4D57AA9C"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760381C0" w14:textId="09C98974" w:rsidR="531ECB33" w:rsidRPr="00935EF9" w:rsidRDefault="531ECB33" w:rsidP="00A86D3C">
            <w:pPr>
              <w:spacing w:after="0"/>
              <w:rPr>
                <w:lang w:val="en-US"/>
              </w:rPr>
            </w:pPr>
            <w:r w:rsidRPr="00935EF9">
              <w:rPr>
                <w:lang w:val="en-US"/>
              </w:rPr>
              <w:t>Democratic Republic of the Congo</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3181EC4A" w14:textId="2E6384E2"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48EE7FBB" w14:textId="5E8E37E5" w:rsidR="531ECB33" w:rsidRPr="00935EF9" w:rsidRDefault="531ECB33" w:rsidP="00A86D3C">
            <w:pPr>
              <w:spacing w:after="0"/>
              <w:jc w:val="center"/>
            </w:pPr>
            <w:r w:rsidRPr="00935EF9">
              <w:t>1</w:t>
            </w:r>
          </w:p>
        </w:tc>
      </w:tr>
      <w:tr w:rsidR="531ECB33" w14:paraId="2B0D867F"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3C234B80" w14:textId="35022E46" w:rsidR="531ECB33" w:rsidRPr="00935EF9" w:rsidRDefault="531ECB33" w:rsidP="00A86D3C">
            <w:pPr>
              <w:spacing w:after="0"/>
            </w:pPr>
            <w:r w:rsidRPr="00935EF9">
              <w:t>Libya</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263F0B1C" w14:textId="249D577B"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6324DADF" w14:textId="069A54C7" w:rsidR="531ECB33" w:rsidRPr="00935EF9" w:rsidRDefault="531ECB33" w:rsidP="00A86D3C">
            <w:pPr>
              <w:spacing w:after="0"/>
              <w:jc w:val="center"/>
            </w:pPr>
            <w:r w:rsidRPr="00935EF9">
              <w:t>1</w:t>
            </w:r>
          </w:p>
        </w:tc>
      </w:tr>
      <w:tr w:rsidR="531ECB33" w14:paraId="23428181"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47711E03" w14:textId="26E5CA9D" w:rsidR="531ECB33" w:rsidRPr="00935EF9" w:rsidRDefault="531ECB33" w:rsidP="00A86D3C">
            <w:pPr>
              <w:spacing w:after="0"/>
            </w:pPr>
            <w:r w:rsidRPr="00935EF9">
              <w:t>Madagascar</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7C53A55E" w14:textId="315D9175"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4D1C56F9" w14:textId="4902CFDD" w:rsidR="531ECB33" w:rsidRPr="00935EF9" w:rsidRDefault="531ECB33" w:rsidP="00A86D3C">
            <w:pPr>
              <w:spacing w:after="0"/>
              <w:jc w:val="center"/>
            </w:pPr>
            <w:r w:rsidRPr="00935EF9">
              <w:t>1</w:t>
            </w:r>
          </w:p>
        </w:tc>
      </w:tr>
      <w:tr w:rsidR="531ECB33" w14:paraId="3E10D384"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1B10ED5C" w14:textId="56F0E9E2" w:rsidR="531ECB33" w:rsidRPr="00935EF9" w:rsidRDefault="531ECB33" w:rsidP="00A86D3C">
            <w:pPr>
              <w:spacing w:after="0"/>
            </w:pPr>
            <w:r w:rsidRPr="00935EF9">
              <w:t>Algeria</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3E7158FF" w14:textId="2A4D5A68"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4103B349" w14:textId="3D445888" w:rsidR="531ECB33" w:rsidRPr="00935EF9" w:rsidRDefault="531ECB33" w:rsidP="00A86D3C">
            <w:pPr>
              <w:spacing w:after="0"/>
              <w:jc w:val="center"/>
            </w:pPr>
            <w:r w:rsidRPr="00935EF9">
              <w:t>1</w:t>
            </w:r>
          </w:p>
        </w:tc>
      </w:tr>
      <w:tr w:rsidR="531ECB33" w14:paraId="2502CD14"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116A6B7A" w14:textId="0B5F8934" w:rsidR="531ECB33" w:rsidRPr="00935EF9" w:rsidRDefault="531ECB33" w:rsidP="00A86D3C">
            <w:pPr>
              <w:spacing w:after="0"/>
            </w:pPr>
            <w:r w:rsidRPr="00935EF9">
              <w:t>Sudan</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3C468FBE" w14:textId="31B2702E"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4D7245D8" w14:textId="1CABD5E3" w:rsidR="531ECB33" w:rsidRPr="00935EF9" w:rsidRDefault="531ECB33" w:rsidP="00A86D3C">
            <w:pPr>
              <w:spacing w:after="0"/>
              <w:jc w:val="center"/>
            </w:pPr>
            <w:r w:rsidRPr="00935EF9">
              <w:t>1</w:t>
            </w:r>
          </w:p>
        </w:tc>
      </w:tr>
      <w:tr w:rsidR="531ECB33" w14:paraId="730559F7"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06CB08F9" w14:textId="25A10AC1" w:rsidR="531ECB33" w:rsidRPr="00935EF9" w:rsidRDefault="531ECB33" w:rsidP="00A86D3C">
            <w:pPr>
              <w:spacing w:after="0"/>
            </w:pPr>
            <w:r w:rsidRPr="00935EF9">
              <w:t>Afghanistan</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77F4DA20" w14:textId="0383ABA2"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1CBF3"/>
            <w:tcMar>
              <w:left w:w="70" w:type="dxa"/>
              <w:right w:w="70" w:type="dxa"/>
            </w:tcMar>
            <w:vAlign w:val="center"/>
          </w:tcPr>
          <w:p w14:paraId="5877167F" w14:textId="42601F72" w:rsidR="531ECB33" w:rsidRPr="00935EF9" w:rsidRDefault="531ECB33" w:rsidP="00A86D3C">
            <w:pPr>
              <w:spacing w:after="0"/>
              <w:jc w:val="center"/>
            </w:pPr>
            <w:r w:rsidRPr="00935EF9">
              <w:t>1</w:t>
            </w:r>
          </w:p>
        </w:tc>
      </w:tr>
      <w:tr w:rsidR="531ECB33" w14:paraId="08BFF457"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551E1DA6" w14:textId="3D59A861" w:rsidR="531ECB33" w:rsidRPr="00935EF9" w:rsidRDefault="531ECB33" w:rsidP="00A86D3C">
            <w:pPr>
              <w:spacing w:after="0"/>
            </w:pPr>
            <w:r w:rsidRPr="00935EF9">
              <w:t>Myanmar</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159B7FA2" w14:textId="03264CFC" w:rsidR="531ECB33" w:rsidRPr="00935EF9" w:rsidRDefault="531ECB33" w:rsidP="00A86D3C">
            <w:pPr>
              <w:spacing w:after="0"/>
            </w:pPr>
            <w:r w:rsidRPr="00935EF9">
              <w:t>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58EC124F" w14:textId="2FA82525" w:rsidR="531ECB33" w:rsidRPr="00935EF9" w:rsidRDefault="531ECB33" w:rsidP="00A86D3C">
            <w:pPr>
              <w:spacing w:after="0"/>
              <w:jc w:val="center"/>
            </w:pPr>
            <w:r w:rsidRPr="00935EF9">
              <w:t>1</w:t>
            </w:r>
          </w:p>
        </w:tc>
      </w:tr>
      <w:tr w:rsidR="531ECB33" w14:paraId="30F483AF"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1C91F606" w14:textId="48A18213" w:rsidR="531ECB33" w:rsidRPr="00935EF9" w:rsidRDefault="531ECB33" w:rsidP="00A86D3C">
            <w:pPr>
              <w:spacing w:after="0"/>
            </w:pPr>
            <w:r w:rsidRPr="00935EF9">
              <w:t>Jamaica</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6AEC0384" w14:textId="130A2081" w:rsidR="531ECB33" w:rsidRPr="00935EF9" w:rsidRDefault="531ECB33" w:rsidP="00A86D3C">
            <w:pPr>
              <w:spacing w:after="0"/>
            </w:pPr>
            <w:r w:rsidRPr="00935EF9">
              <w:t>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12E88747" w14:textId="4FEB9F1C" w:rsidR="531ECB33" w:rsidRPr="00935EF9" w:rsidRDefault="531ECB33" w:rsidP="00A86D3C">
            <w:pPr>
              <w:spacing w:after="0"/>
              <w:jc w:val="center"/>
            </w:pPr>
            <w:r w:rsidRPr="00935EF9">
              <w:t>1</w:t>
            </w:r>
          </w:p>
        </w:tc>
      </w:tr>
      <w:tr w:rsidR="531ECB33" w14:paraId="38A2091F"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0491F890" w14:textId="5A8ED06F" w:rsidR="531ECB33" w:rsidRPr="00935EF9" w:rsidRDefault="531ECB33" w:rsidP="00A86D3C">
            <w:pPr>
              <w:spacing w:after="0"/>
            </w:pPr>
            <w:r w:rsidRPr="00935EF9">
              <w:t>Equatorial Guinea</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0D8AFC4F" w14:textId="6A9D0E42" w:rsidR="531ECB33" w:rsidRPr="00935EF9" w:rsidRDefault="531ECB33" w:rsidP="00A86D3C">
            <w:pPr>
              <w:spacing w:after="0"/>
            </w:pPr>
            <w:r w:rsidRPr="00935EF9">
              <w:t>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595BB5B8" w14:textId="6DACB55E" w:rsidR="531ECB33" w:rsidRPr="00935EF9" w:rsidRDefault="531ECB33" w:rsidP="00A86D3C">
            <w:pPr>
              <w:spacing w:after="0"/>
              <w:jc w:val="center"/>
            </w:pPr>
            <w:r w:rsidRPr="00935EF9">
              <w:t>1</w:t>
            </w:r>
          </w:p>
        </w:tc>
      </w:tr>
      <w:tr w:rsidR="531ECB33" w14:paraId="1D61A8F3"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067E877F" w14:textId="6DFDEAEC" w:rsidR="531ECB33" w:rsidRPr="00935EF9" w:rsidRDefault="531ECB33" w:rsidP="00A86D3C">
            <w:pPr>
              <w:spacing w:after="0"/>
            </w:pPr>
            <w:r w:rsidRPr="00935EF9">
              <w:t>South Sudan</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6E110A0F" w14:textId="452A9507" w:rsidR="531ECB33" w:rsidRPr="00935EF9" w:rsidRDefault="531ECB33" w:rsidP="00A86D3C">
            <w:pPr>
              <w:spacing w:after="0"/>
            </w:pPr>
            <w:r w:rsidRPr="00935EF9">
              <w:t>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093357C1" w14:textId="6087AE8E" w:rsidR="531ECB33" w:rsidRPr="00935EF9" w:rsidRDefault="531ECB33" w:rsidP="00A86D3C">
            <w:pPr>
              <w:spacing w:after="0"/>
              <w:jc w:val="center"/>
            </w:pPr>
            <w:r w:rsidRPr="00935EF9">
              <w:t>1</w:t>
            </w:r>
          </w:p>
        </w:tc>
      </w:tr>
      <w:tr w:rsidR="531ECB33" w14:paraId="5DEE7510"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27DA0036" w14:textId="6A595053" w:rsidR="531ECB33" w:rsidRPr="00935EF9" w:rsidRDefault="531ECB33" w:rsidP="00A86D3C">
            <w:pPr>
              <w:spacing w:after="0"/>
            </w:pPr>
            <w:r w:rsidRPr="00935EF9">
              <w:t>Guyana</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1B31DADE" w14:textId="5ECA8F62" w:rsidR="531ECB33" w:rsidRPr="00935EF9" w:rsidRDefault="531ECB33" w:rsidP="00A86D3C">
            <w:pPr>
              <w:spacing w:after="0"/>
            </w:pPr>
            <w:r w:rsidRPr="00935EF9">
              <w:t>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74196421" w14:textId="0DD13BD2" w:rsidR="531ECB33" w:rsidRPr="00935EF9" w:rsidRDefault="531ECB33" w:rsidP="00A86D3C">
            <w:pPr>
              <w:spacing w:after="0"/>
              <w:jc w:val="center"/>
            </w:pPr>
            <w:r w:rsidRPr="00935EF9">
              <w:t>1</w:t>
            </w:r>
          </w:p>
        </w:tc>
      </w:tr>
      <w:tr w:rsidR="531ECB33" w14:paraId="10D47060"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02622CA5" w14:textId="1DB6BEA3" w:rsidR="531ECB33" w:rsidRPr="00935EF9" w:rsidRDefault="531ECB33" w:rsidP="00A86D3C">
            <w:pPr>
              <w:spacing w:after="0"/>
            </w:pPr>
            <w:r w:rsidRPr="00935EF9">
              <w:t>Suriname</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42E23978" w14:textId="0CA0EDDA" w:rsidR="531ECB33" w:rsidRPr="00935EF9" w:rsidRDefault="531ECB33" w:rsidP="00A86D3C">
            <w:pPr>
              <w:spacing w:after="0"/>
            </w:pPr>
            <w:r w:rsidRPr="00935EF9">
              <w:t>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022166CA" w14:textId="43774E58" w:rsidR="531ECB33" w:rsidRPr="00935EF9" w:rsidRDefault="531ECB33" w:rsidP="00A86D3C">
            <w:pPr>
              <w:spacing w:after="0"/>
              <w:jc w:val="center"/>
            </w:pPr>
            <w:r w:rsidRPr="00935EF9">
              <w:t>1</w:t>
            </w:r>
          </w:p>
        </w:tc>
      </w:tr>
      <w:tr w:rsidR="531ECB33" w14:paraId="4373629B"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75F18A71" w14:textId="434FEF50" w:rsidR="531ECB33" w:rsidRPr="00935EF9" w:rsidRDefault="531ECB33" w:rsidP="00A86D3C">
            <w:pPr>
              <w:spacing w:after="0"/>
            </w:pPr>
            <w:r w:rsidRPr="00935EF9">
              <w:t>Antigua and Barbuda</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29C6B0A3" w14:textId="50733DAF" w:rsidR="531ECB33" w:rsidRPr="00935EF9" w:rsidRDefault="531ECB33" w:rsidP="00A86D3C">
            <w:pPr>
              <w:spacing w:after="0"/>
            </w:pPr>
            <w:r w:rsidRPr="00935EF9">
              <w:t>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1267C790" w14:textId="64EA2276" w:rsidR="531ECB33" w:rsidRPr="00935EF9" w:rsidRDefault="531ECB33" w:rsidP="00A86D3C">
            <w:pPr>
              <w:spacing w:after="0"/>
              <w:jc w:val="center"/>
            </w:pPr>
            <w:r w:rsidRPr="00935EF9">
              <w:t>1</w:t>
            </w:r>
          </w:p>
        </w:tc>
      </w:tr>
      <w:tr w:rsidR="531ECB33" w14:paraId="41643CD2"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22861E74" w14:textId="3DD20CE9" w:rsidR="531ECB33" w:rsidRPr="00935EF9" w:rsidRDefault="531ECB33" w:rsidP="00A86D3C">
            <w:pPr>
              <w:spacing w:after="0"/>
            </w:pPr>
            <w:r w:rsidRPr="00935EF9">
              <w:t>Dominica</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553AAFBB" w14:textId="04F839A2" w:rsidR="531ECB33" w:rsidRPr="00935EF9" w:rsidRDefault="531ECB33" w:rsidP="00A86D3C">
            <w:pPr>
              <w:spacing w:after="0"/>
            </w:pPr>
            <w:r w:rsidRPr="00935EF9">
              <w:t>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7B257AC6" w14:textId="347E94B5" w:rsidR="531ECB33" w:rsidRPr="00935EF9" w:rsidRDefault="531ECB33" w:rsidP="00A86D3C">
            <w:pPr>
              <w:spacing w:after="0"/>
              <w:jc w:val="center"/>
            </w:pPr>
            <w:r w:rsidRPr="00935EF9">
              <w:t>1</w:t>
            </w:r>
          </w:p>
        </w:tc>
      </w:tr>
      <w:tr w:rsidR="531ECB33" w14:paraId="186A08C1"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054B108E" w14:textId="5D166C7E" w:rsidR="531ECB33" w:rsidRPr="00935EF9" w:rsidRDefault="531ECB33" w:rsidP="00A86D3C">
            <w:pPr>
              <w:spacing w:after="0"/>
            </w:pPr>
            <w:r w:rsidRPr="00935EF9">
              <w:t>Timor-Leste</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6F9F22EB" w14:textId="1B0DFEAC" w:rsidR="531ECB33" w:rsidRPr="00935EF9" w:rsidRDefault="531ECB33" w:rsidP="00A86D3C">
            <w:pPr>
              <w:spacing w:after="0"/>
            </w:pPr>
            <w:r w:rsidRPr="00935EF9">
              <w:t>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tcMar>
              <w:left w:w="70" w:type="dxa"/>
              <w:right w:w="70" w:type="dxa"/>
            </w:tcMar>
            <w:vAlign w:val="center"/>
          </w:tcPr>
          <w:p w14:paraId="7FB65003" w14:textId="74D26C3E" w:rsidR="531ECB33" w:rsidRPr="00935EF9" w:rsidRDefault="531ECB33" w:rsidP="00A86D3C">
            <w:pPr>
              <w:spacing w:after="0"/>
              <w:jc w:val="center"/>
            </w:pPr>
            <w:r w:rsidRPr="00935EF9">
              <w:t>1</w:t>
            </w:r>
          </w:p>
        </w:tc>
      </w:tr>
      <w:tr w:rsidR="531ECB33" w14:paraId="6DEA27AD" w14:textId="77777777" w:rsidTr="00A86D3C">
        <w:trPr>
          <w:trHeight w:val="465"/>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5D1FFAF" w14:textId="04DF3B52" w:rsidR="531ECB33" w:rsidRPr="00935EF9" w:rsidRDefault="531ECB33" w:rsidP="00A86D3C">
            <w:pPr>
              <w:spacing w:after="0"/>
            </w:pPr>
            <w:r w:rsidRPr="00935EF9">
              <w:t>Iran (Islamic Republic of)</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70" w:type="dxa"/>
              <w:right w:w="70" w:type="dxa"/>
            </w:tcMar>
            <w:vAlign w:val="center"/>
          </w:tcPr>
          <w:p w14:paraId="58647A14" w14:textId="306E9DFF"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BA2C8A8" w14:textId="2C4BCBD1" w:rsidR="531ECB33" w:rsidRPr="00935EF9" w:rsidRDefault="531ECB33" w:rsidP="00A86D3C">
            <w:pPr>
              <w:spacing w:after="0"/>
              <w:jc w:val="center"/>
            </w:pPr>
            <w:r w:rsidRPr="00935EF9">
              <w:t>2</w:t>
            </w:r>
          </w:p>
        </w:tc>
      </w:tr>
      <w:tr w:rsidR="531ECB33" w14:paraId="1B6F387C" w14:textId="77777777" w:rsidTr="00A86D3C">
        <w:trPr>
          <w:trHeight w:val="510"/>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1F43EB7" w14:textId="3D739976" w:rsidR="531ECB33" w:rsidRPr="00935EF9" w:rsidRDefault="531ECB33" w:rsidP="00A86D3C">
            <w:pPr>
              <w:spacing w:after="0"/>
            </w:pPr>
            <w:r w:rsidRPr="00935EF9">
              <w:t>Iraq</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70" w:type="dxa"/>
              <w:right w:w="70" w:type="dxa"/>
            </w:tcMar>
            <w:vAlign w:val="center"/>
          </w:tcPr>
          <w:p w14:paraId="1DD624D7" w14:textId="4EDEC856"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5E10C5D" w14:textId="3142EF8E" w:rsidR="531ECB33" w:rsidRPr="00935EF9" w:rsidRDefault="531ECB33" w:rsidP="00A86D3C">
            <w:pPr>
              <w:spacing w:after="0"/>
              <w:jc w:val="center"/>
            </w:pPr>
            <w:r w:rsidRPr="00935EF9">
              <w:t>2</w:t>
            </w:r>
          </w:p>
        </w:tc>
      </w:tr>
      <w:tr w:rsidR="531ECB33" w14:paraId="2B8EE404" w14:textId="77777777" w:rsidTr="00A86D3C">
        <w:trPr>
          <w:trHeight w:val="510"/>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9A1A209" w14:textId="71BC8312" w:rsidR="531ECB33" w:rsidRPr="00935EF9" w:rsidRDefault="531ECB33" w:rsidP="00A86D3C">
            <w:pPr>
              <w:spacing w:after="0"/>
            </w:pPr>
            <w:r w:rsidRPr="00935EF9">
              <w:t>Qatar</w:t>
            </w:r>
          </w:p>
        </w:tc>
        <w:tc>
          <w:tcPr>
            <w:tcW w:w="203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70" w:type="dxa"/>
              <w:right w:w="70" w:type="dxa"/>
            </w:tcMar>
            <w:vAlign w:val="center"/>
          </w:tcPr>
          <w:p w14:paraId="42349C06" w14:textId="5294D9BE" w:rsidR="531ECB33" w:rsidRPr="00935EF9" w:rsidRDefault="531ECB33" w:rsidP="00A86D3C">
            <w:pPr>
              <w:spacing w:after="0"/>
            </w:pPr>
            <w:r w:rsidRPr="00935EF9">
              <w:t>Other Non-LVC</w:t>
            </w:r>
          </w:p>
        </w:tc>
        <w:tc>
          <w:tcPr>
            <w:tcW w:w="79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CA1EB43" w14:textId="64F2C5CB" w:rsidR="531ECB33" w:rsidRPr="00935EF9" w:rsidRDefault="531ECB33" w:rsidP="00A86D3C">
            <w:pPr>
              <w:spacing w:after="0"/>
              <w:jc w:val="center"/>
            </w:pPr>
            <w:r w:rsidRPr="00935EF9">
              <w:t>2</w:t>
            </w:r>
          </w:p>
        </w:tc>
      </w:tr>
    </w:tbl>
    <w:p w14:paraId="32246CA6" w14:textId="6560D7D7" w:rsidR="004812BA" w:rsidRDefault="004812BA" w:rsidP="004812BA">
      <w:pPr>
        <w:spacing w:after="0"/>
      </w:pPr>
    </w:p>
    <w:p w14:paraId="3A68D9C0" w14:textId="77777777" w:rsidR="004812BA" w:rsidRDefault="004812BA" w:rsidP="004812BA">
      <w:pPr>
        <w:spacing w:after="0"/>
      </w:pPr>
      <w:r>
        <w:br w:type="page"/>
      </w:r>
    </w:p>
    <w:p w14:paraId="4424CD84" w14:textId="055A7EE2" w:rsidR="006B44E3" w:rsidRPr="00C3634A" w:rsidRDefault="006B44E3" w:rsidP="005D31A7">
      <w:pPr>
        <w:pStyle w:val="Heading1"/>
        <w:rPr>
          <w:rFonts w:eastAsia="SimSun"/>
        </w:rPr>
      </w:pPr>
      <w:bookmarkStart w:id="386" w:name="_Toc230099169"/>
      <w:r w:rsidRPr="316F2288">
        <w:rPr>
          <w:rFonts w:eastAsia="SimSun"/>
        </w:rPr>
        <w:lastRenderedPageBreak/>
        <w:t>A</w:t>
      </w:r>
      <w:r w:rsidR="668A8FB0" w:rsidRPr="316F2288">
        <w:rPr>
          <w:rFonts w:eastAsia="SimSun"/>
        </w:rPr>
        <w:t>NNEX</w:t>
      </w:r>
      <w:r w:rsidR="00463307">
        <w:rPr>
          <w:rFonts w:eastAsia="SimSun"/>
        </w:rPr>
        <w:t xml:space="preserve"> </w:t>
      </w:r>
      <w:r w:rsidR="003566A7">
        <w:rPr>
          <w:rFonts w:eastAsia="SimSun"/>
        </w:rPr>
        <w:t>7</w:t>
      </w:r>
      <w:r w:rsidR="00463307">
        <w:rPr>
          <w:rFonts w:eastAsia="SimSun"/>
        </w:rPr>
        <w:t>:</w:t>
      </w:r>
      <w:r w:rsidR="00F6417D">
        <w:rPr>
          <w:rFonts w:eastAsia="SimSun"/>
        </w:rPr>
        <w:t xml:space="preserve"> </w:t>
      </w:r>
      <w:r w:rsidR="3966C092" w:rsidRPr="7FC347E3">
        <w:rPr>
          <w:rFonts w:eastAsia="SimSun"/>
        </w:rPr>
        <w:t xml:space="preserve">RELEVANT EXCOM DECISIONS </w:t>
      </w:r>
      <w:r w:rsidR="3E5C496A" w:rsidRPr="50248EEA">
        <w:rPr>
          <w:rFonts w:eastAsia="SimSun"/>
        </w:rPr>
        <w:t>ON</w:t>
      </w:r>
      <w:r w:rsidR="3966C092" w:rsidRPr="7FC347E3">
        <w:rPr>
          <w:rFonts w:eastAsia="SimSun"/>
        </w:rPr>
        <w:t xml:space="preserve"> INSTITUTIONAL STRENGTHENING AND STANDARD ACTIVITIES</w:t>
      </w:r>
      <w:bookmarkEnd w:id="386"/>
    </w:p>
    <w:bookmarkEnd w:id="371"/>
    <w:p w14:paraId="0C345A82" w14:textId="4976557B" w:rsidR="004325AA" w:rsidRPr="00A4452F" w:rsidRDefault="00CC38BF" w:rsidP="002135B0">
      <w:pPr>
        <w:tabs>
          <w:tab w:val="left" w:pos="1276"/>
          <w:tab w:val="left" w:pos="1418"/>
        </w:tabs>
      </w:pPr>
      <w:r w:rsidRPr="00C3634A">
        <w:rPr>
          <w:b/>
          <w:bCs/>
        </w:rPr>
        <w:t xml:space="preserve">Table </w:t>
      </w:r>
      <w:r w:rsidR="00180D1F" w:rsidRPr="7FC347E3">
        <w:rPr>
          <w:b/>
          <w:bCs/>
        </w:rPr>
        <w:t>A</w:t>
      </w:r>
      <w:r w:rsidR="0E8DF5F2" w:rsidRPr="7FC347E3">
        <w:rPr>
          <w:b/>
          <w:bCs/>
        </w:rPr>
        <w:t>7</w:t>
      </w:r>
      <w:r w:rsidRPr="00C3634A">
        <w:rPr>
          <w:b/>
          <w:bCs/>
        </w:rPr>
        <w:t>.1</w:t>
      </w:r>
      <w:r w:rsidR="00FF681F">
        <w:rPr>
          <w:b/>
          <w:bCs/>
        </w:rPr>
        <w:t>:</w:t>
      </w:r>
      <w:r>
        <w:tab/>
      </w:r>
      <w:r w:rsidR="006370D9">
        <w:rPr>
          <w:b/>
          <w:bCs/>
        </w:rPr>
        <w:t xml:space="preserve">Summary of </w:t>
      </w:r>
      <w:r w:rsidRPr="00C3634A">
        <w:rPr>
          <w:b/>
          <w:bCs/>
        </w:rPr>
        <w:t>E</w:t>
      </w:r>
      <w:r w:rsidR="00A4452F">
        <w:rPr>
          <w:b/>
          <w:bCs/>
        </w:rPr>
        <w:t xml:space="preserve">xCom decisions related to </w:t>
      </w:r>
      <w:r w:rsidR="00DC3E2E">
        <w:rPr>
          <w:b/>
          <w:bCs/>
        </w:rPr>
        <w:t>IS</w:t>
      </w:r>
    </w:p>
    <w:tbl>
      <w:tblPr>
        <w:tblStyle w:val="GridTable5Dark-Accent5"/>
        <w:tblW w:w="0" w:type="auto"/>
        <w:tblLook w:val="04A0" w:firstRow="1" w:lastRow="0" w:firstColumn="1" w:lastColumn="0" w:noHBand="0" w:noVBand="1"/>
      </w:tblPr>
      <w:tblGrid>
        <w:gridCol w:w="861"/>
        <w:gridCol w:w="1121"/>
        <w:gridCol w:w="2308"/>
        <w:gridCol w:w="2176"/>
        <w:gridCol w:w="2608"/>
      </w:tblGrid>
      <w:tr w:rsidR="004325AA" w:rsidRPr="00AE27C2" w14:paraId="60F2AE24" w14:textId="77777777" w:rsidTr="00036298">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80EC51" w14:textId="77777777" w:rsidR="004325AA" w:rsidRPr="00AE27C2" w:rsidRDefault="004325AA" w:rsidP="00036298">
            <w:pPr>
              <w:spacing w:before="60" w:after="60"/>
              <w:rPr>
                <w:sz w:val="20"/>
                <w:szCs w:val="20"/>
                <w:lang w:val="en-US"/>
              </w:rPr>
            </w:pPr>
            <w:r w:rsidRPr="00AE27C2">
              <w:rPr>
                <w:sz w:val="20"/>
                <w:szCs w:val="20"/>
              </w:rPr>
              <w:t xml:space="preserve">ExCom </w:t>
            </w:r>
          </w:p>
        </w:tc>
        <w:tc>
          <w:tcPr>
            <w:tcW w:w="0" w:type="auto"/>
            <w:vAlign w:val="center"/>
            <w:hideMark/>
          </w:tcPr>
          <w:p w14:paraId="1FF6B705" w14:textId="77777777" w:rsidR="004325AA" w:rsidRPr="00AE27C2" w:rsidRDefault="004325AA" w:rsidP="00036298">
            <w:pPr>
              <w:spacing w:before="60" w:after="60"/>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AE27C2">
              <w:rPr>
                <w:sz w:val="20"/>
                <w:szCs w:val="20"/>
              </w:rPr>
              <w:t>Date</w:t>
            </w:r>
          </w:p>
        </w:tc>
        <w:tc>
          <w:tcPr>
            <w:tcW w:w="0" w:type="auto"/>
            <w:vAlign w:val="center"/>
            <w:hideMark/>
          </w:tcPr>
          <w:p w14:paraId="56D7FB41" w14:textId="77777777" w:rsidR="004325AA" w:rsidRPr="00AE27C2" w:rsidRDefault="004325AA" w:rsidP="00036298">
            <w:pPr>
              <w:spacing w:before="60" w:after="60"/>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AE27C2">
              <w:rPr>
                <w:sz w:val="20"/>
                <w:szCs w:val="20"/>
              </w:rPr>
              <w:t>Funding level </w:t>
            </w:r>
          </w:p>
        </w:tc>
        <w:tc>
          <w:tcPr>
            <w:tcW w:w="0" w:type="auto"/>
            <w:vAlign w:val="center"/>
            <w:hideMark/>
          </w:tcPr>
          <w:p w14:paraId="36CECE8C" w14:textId="77777777" w:rsidR="004325AA" w:rsidRPr="00AE27C2" w:rsidRDefault="004325AA" w:rsidP="00036298">
            <w:pPr>
              <w:spacing w:before="60" w:after="60"/>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AE27C2">
              <w:rPr>
                <w:sz w:val="20"/>
                <w:szCs w:val="20"/>
              </w:rPr>
              <w:t>Criteria</w:t>
            </w:r>
          </w:p>
        </w:tc>
        <w:tc>
          <w:tcPr>
            <w:tcW w:w="0" w:type="auto"/>
            <w:vAlign w:val="center"/>
            <w:hideMark/>
          </w:tcPr>
          <w:p w14:paraId="36D693D9" w14:textId="77777777" w:rsidR="004325AA" w:rsidRPr="00AE27C2" w:rsidRDefault="004325AA" w:rsidP="00036298">
            <w:pPr>
              <w:spacing w:before="60" w:after="60"/>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AE27C2">
              <w:rPr>
                <w:sz w:val="20"/>
                <w:szCs w:val="20"/>
              </w:rPr>
              <w:t>Conditions </w:t>
            </w:r>
          </w:p>
        </w:tc>
      </w:tr>
      <w:tr w:rsidR="004325AA" w:rsidRPr="00AE27C2" w14:paraId="2F0C658B" w14:textId="77777777" w:rsidTr="006233F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hideMark/>
          </w:tcPr>
          <w:p w14:paraId="590F91C3" w14:textId="77777777" w:rsidR="004325AA" w:rsidRPr="00AE27C2" w:rsidRDefault="004325AA" w:rsidP="00036298">
            <w:pPr>
              <w:spacing w:after="60"/>
              <w:rPr>
                <w:sz w:val="20"/>
                <w:szCs w:val="20"/>
                <w:lang w:val="en-US"/>
              </w:rPr>
            </w:pPr>
            <w:r w:rsidRPr="00AE27C2">
              <w:rPr>
                <w:sz w:val="20"/>
                <w:szCs w:val="20"/>
              </w:rPr>
              <w:t>7</w:t>
            </w:r>
            <w:r w:rsidRPr="00AE27C2">
              <w:rPr>
                <w:sz w:val="20"/>
                <w:szCs w:val="20"/>
                <w:vertAlign w:val="superscript"/>
              </w:rPr>
              <w:t>th</w:t>
            </w:r>
          </w:p>
        </w:tc>
        <w:tc>
          <w:tcPr>
            <w:tcW w:w="0" w:type="auto"/>
            <w:hideMark/>
          </w:tcPr>
          <w:p w14:paraId="4557DB41"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June 1992</w:t>
            </w:r>
          </w:p>
        </w:tc>
        <w:tc>
          <w:tcPr>
            <w:tcW w:w="0" w:type="auto"/>
            <w:hideMark/>
          </w:tcPr>
          <w:p w14:paraId="5683184A"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Initial funding </w:t>
            </w:r>
          </w:p>
        </w:tc>
        <w:tc>
          <w:tcPr>
            <w:tcW w:w="0" w:type="auto"/>
            <w:hideMark/>
          </w:tcPr>
          <w:p w14:paraId="7E47BA40"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Initial rules </w:t>
            </w:r>
          </w:p>
        </w:tc>
        <w:tc>
          <w:tcPr>
            <w:tcW w:w="0" w:type="auto"/>
            <w:hideMark/>
          </w:tcPr>
          <w:p w14:paraId="20C1349E"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w:t>
            </w:r>
          </w:p>
        </w:tc>
      </w:tr>
      <w:tr w:rsidR="004325AA" w:rsidRPr="00AE27C2" w14:paraId="23B30577" w14:textId="77777777" w:rsidTr="006233FA">
        <w:trPr>
          <w:trHeight w:val="413"/>
        </w:trPr>
        <w:tc>
          <w:tcPr>
            <w:cnfStyle w:val="001000000000" w:firstRow="0" w:lastRow="0" w:firstColumn="1" w:lastColumn="0" w:oddVBand="0" w:evenVBand="0" w:oddHBand="0" w:evenHBand="0" w:firstRowFirstColumn="0" w:firstRowLastColumn="0" w:lastRowFirstColumn="0" w:lastRowLastColumn="0"/>
            <w:tcW w:w="0" w:type="auto"/>
            <w:hideMark/>
          </w:tcPr>
          <w:p w14:paraId="09A05EAA" w14:textId="77777777" w:rsidR="004325AA" w:rsidRPr="00AE27C2" w:rsidRDefault="004325AA" w:rsidP="00036298">
            <w:pPr>
              <w:spacing w:after="60"/>
              <w:rPr>
                <w:sz w:val="20"/>
                <w:szCs w:val="20"/>
                <w:lang w:val="en-US"/>
              </w:rPr>
            </w:pPr>
            <w:r w:rsidRPr="00AE27C2">
              <w:rPr>
                <w:sz w:val="20"/>
                <w:szCs w:val="20"/>
              </w:rPr>
              <w:t>19</w:t>
            </w:r>
            <w:r w:rsidRPr="00AE27C2">
              <w:rPr>
                <w:sz w:val="20"/>
                <w:szCs w:val="20"/>
                <w:vertAlign w:val="superscript"/>
              </w:rPr>
              <w:t>th</w:t>
            </w:r>
          </w:p>
        </w:tc>
        <w:tc>
          <w:tcPr>
            <w:tcW w:w="0" w:type="auto"/>
            <w:hideMark/>
          </w:tcPr>
          <w:p w14:paraId="685C5913"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May 1996</w:t>
            </w:r>
          </w:p>
        </w:tc>
        <w:tc>
          <w:tcPr>
            <w:tcW w:w="0" w:type="auto"/>
            <w:hideMark/>
          </w:tcPr>
          <w:p w14:paraId="39D22C62"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Maintained funding at initial level, first approval for three years and renewal for two years</w:t>
            </w:r>
          </w:p>
        </w:tc>
        <w:tc>
          <w:tcPr>
            <w:tcW w:w="0" w:type="auto"/>
            <w:hideMark/>
          </w:tcPr>
          <w:p w14:paraId="4EFD7674"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 </w:t>
            </w:r>
          </w:p>
        </w:tc>
        <w:tc>
          <w:tcPr>
            <w:tcW w:w="0" w:type="auto"/>
            <w:hideMark/>
          </w:tcPr>
          <w:p w14:paraId="6CB62B96"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Conditional upon a report of progress and an articulated plan of future actions</w:t>
            </w:r>
          </w:p>
        </w:tc>
      </w:tr>
      <w:tr w:rsidR="004325AA" w:rsidRPr="00AE27C2" w14:paraId="45780D98"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E57655" w14:textId="77777777" w:rsidR="004325AA" w:rsidRPr="00AE27C2" w:rsidRDefault="004325AA" w:rsidP="00036298">
            <w:pPr>
              <w:spacing w:after="60"/>
              <w:rPr>
                <w:sz w:val="20"/>
                <w:szCs w:val="20"/>
                <w:lang w:val="en-US"/>
              </w:rPr>
            </w:pPr>
            <w:r w:rsidRPr="00AE27C2">
              <w:rPr>
                <w:sz w:val="20"/>
                <w:szCs w:val="20"/>
              </w:rPr>
              <w:t>35</w:t>
            </w:r>
            <w:r w:rsidRPr="00AE27C2">
              <w:rPr>
                <w:sz w:val="20"/>
                <w:szCs w:val="20"/>
                <w:vertAlign w:val="superscript"/>
              </w:rPr>
              <w:t>th</w:t>
            </w:r>
          </w:p>
        </w:tc>
        <w:tc>
          <w:tcPr>
            <w:tcW w:w="0" w:type="auto"/>
            <w:hideMark/>
          </w:tcPr>
          <w:p w14:paraId="6EF95505"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December 2001</w:t>
            </w:r>
          </w:p>
        </w:tc>
        <w:tc>
          <w:tcPr>
            <w:tcW w:w="0" w:type="auto"/>
            <w:hideMark/>
          </w:tcPr>
          <w:p w14:paraId="6E3F9F38"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Increase of 30% higher than the historically agreed level</w:t>
            </w:r>
          </w:p>
        </w:tc>
        <w:tc>
          <w:tcPr>
            <w:tcW w:w="0" w:type="auto"/>
            <w:hideMark/>
          </w:tcPr>
          <w:p w14:paraId="19CC11AB"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Implement the new strategic framework agreed, and provide increased support for critical areas such as public awareness</w:t>
            </w:r>
          </w:p>
        </w:tc>
        <w:tc>
          <w:tcPr>
            <w:tcW w:w="0" w:type="auto"/>
            <w:hideMark/>
          </w:tcPr>
          <w:p w14:paraId="44CE9D5F"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w:t>
            </w:r>
          </w:p>
        </w:tc>
      </w:tr>
      <w:tr w:rsidR="004325AA" w:rsidRPr="00AE27C2" w14:paraId="37F46F04" w14:textId="77777777" w:rsidTr="006233FA">
        <w:tc>
          <w:tcPr>
            <w:cnfStyle w:val="001000000000" w:firstRow="0" w:lastRow="0" w:firstColumn="1" w:lastColumn="0" w:oddVBand="0" w:evenVBand="0" w:oddHBand="0" w:evenHBand="0" w:firstRowFirstColumn="0" w:firstRowLastColumn="0" w:lastRowFirstColumn="0" w:lastRowLastColumn="0"/>
            <w:tcW w:w="0" w:type="auto"/>
            <w:hideMark/>
          </w:tcPr>
          <w:p w14:paraId="29AE5005" w14:textId="77777777" w:rsidR="004325AA" w:rsidRPr="00AE27C2" w:rsidRDefault="004325AA" w:rsidP="00036298">
            <w:pPr>
              <w:spacing w:after="60"/>
              <w:rPr>
                <w:sz w:val="20"/>
                <w:szCs w:val="20"/>
                <w:lang w:val="en-US"/>
              </w:rPr>
            </w:pPr>
            <w:r w:rsidRPr="00AE27C2">
              <w:rPr>
                <w:sz w:val="20"/>
                <w:szCs w:val="20"/>
              </w:rPr>
              <w:t>43</w:t>
            </w:r>
            <w:r w:rsidRPr="00AE27C2">
              <w:rPr>
                <w:sz w:val="20"/>
                <w:szCs w:val="20"/>
                <w:vertAlign w:val="superscript"/>
              </w:rPr>
              <w:t>rd</w:t>
            </w:r>
          </w:p>
          <w:p w14:paraId="1F409474" w14:textId="77777777" w:rsidR="004325AA" w:rsidRPr="00AE27C2" w:rsidRDefault="004325AA" w:rsidP="00036298">
            <w:pPr>
              <w:spacing w:after="60"/>
              <w:rPr>
                <w:sz w:val="20"/>
                <w:szCs w:val="20"/>
                <w:lang w:val="en-US"/>
              </w:rPr>
            </w:pPr>
            <w:r w:rsidRPr="00AE27C2">
              <w:rPr>
                <w:sz w:val="20"/>
                <w:szCs w:val="20"/>
              </w:rPr>
              <w:t> </w:t>
            </w:r>
          </w:p>
        </w:tc>
        <w:tc>
          <w:tcPr>
            <w:tcW w:w="0" w:type="auto"/>
            <w:hideMark/>
          </w:tcPr>
          <w:p w14:paraId="0B8BE84E"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July 2004</w:t>
            </w:r>
          </w:p>
        </w:tc>
        <w:tc>
          <w:tcPr>
            <w:tcW w:w="0" w:type="auto"/>
            <w:hideMark/>
          </w:tcPr>
          <w:p w14:paraId="115BBABA" w14:textId="6C65DCD9"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 xml:space="preserve">To supplement the lower ranges of annual funding levels for </w:t>
            </w:r>
            <w:r w:rsidR="00F64E92">
              <w:rPr>
                <w:sz w:val="20"/>
                <w:szCs w:val="20"/>
              </w:rPr>
              <w:t>IS</w:t>
            </w:r>
            <w:r w:rsidRPr="00AE27C2">
              <w:rPr>
                <w:sz w:val="20"/>
                <w:szCs w:val="20"/>
              </w:rPr>
              <w:t xml:space="preserve"> for very low-volume-consuming countries and low volume consuming countries up to a threshold level of US $30,000 per year</w:t>
            </w:r>
          </w:p>
        </w:tc>
        <w:tc>
          <w:tcPr>
            <w:tcW w:w="0" w:type="auto"/>
            <w:hideMark/>
          </w:tcPr>
          <w:p w14:paraId="07172281"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 </w:t>
            </w:r>
          </w:p>
        </w:tc>
        <w:tc>
          <w:tcPr>
            <w:tcW w:w="0" w:type="auto"/>
            <w:hideMark/>
          </w:tcPr>
          <w:p w14:paraId="1D93536E"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The increase would be provided on the condition that: i) the relevant country duly assigned a full-time officer to manage the ozone unit; and ii) a national licensing system controlling ODS imports was in place</w:t>
            </w:r>
          </w:p>
        </w:tc>
      </w:tr>
      <w:tr w:rsidR="004325AA" w:rsidRPr="00AE27C2" w14:paraId="03B0ABD9"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53ADF1" w14:textId="77777777" w:rsidR="004325AA" w:rsidRPr="00AE27C2" w:rsidRDefault="004325AA" w:rsidP="00036298">
            <w:pPr>
              <w:spacing w:after="60"/>
              <w:rPr>
                <w:sz w:val="20"/>
                <w:szCs w:val="20"/>
                <w:lang w:val="en-US"/>
              </w:rPr>
            </w:pPr>
            <w:r w:rsidRPr="00AE27C2">
              <w:rPr>
                <w:sz w:val="20"/>
                <w:szCs w:val="20"/>
              </w:rPr>
              <w:t>61</w:t>
            </w:r>
            <w:r w:rsidRPr="00AE27C2">
              <w:rPr>
                <w:sz w:val="20"/>
                <w:szCs w:val="20"/>
                <w:vertAlign w:val="superscript"/>
              </w:rPr>
              <w:t>st</w:t>
            </w:r>
          </w:p>
        </w:tc>
        <w:tc>
          <w:tcPr>
            <w:tcW w:w="0" w:type="auto"/>
            <w:hideMark/>
          </w:tcPr>
          <w:p w14:paraId="2044C6F3"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July 2010</w:t>
            </w:r>
          </w:p>
        </w:tc>
        <w:tc>
          <w:tcPr>
            <w:tcW w:w="0" w:type="auto"/>
            <w:hideMark/>
          </w:tcPr>
          <w:p w14:paraId="09912E4C" w14:textId="2E98E528"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xml:space="preserve">To maintain funding for </w:t>
            </w:r>
            <w:r w:rsidR="00F64E92">
              <w:rPr>
                <w:sz w:val="20"/>
                <w:szCs w:val="20"/>
              </w:rPr>
              <w:t>IS</w:t>
            </w:r>
            <w:r w:rsidRPr="00AE27C2">
              <w:rPr>
                <w:sz w:val="20"/>
                <w:szCs w:val="20"/>
              </w:rPr>
              <w:t xml:space="preserve"> support at current levels, and </w:t>
            </w:r>
          </w:p>
        </w:tc>
        <w:tc>
          <w:tcPr>
            <w:tcW w:w="0" w:type="auto"/>
            <w:hideMark/>
          </w:tcPr>
          <w:p w14:paraId="21A9E12B" w14:textId="10D9DACD"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xml:space="preserve">Taking into account decisions 59/17 and 59/47(b) that allowed </w:t>
            </w:r>
            <w:r w:rsidR="00F05ED5">
              <w:rPr>
                <w:sz w:val="20"/>
                <w:szCs w:val="20"/>
              </w:rPr>
              <w:t>A5</w:t>
            </w:r>
            <w:r w:rsidRPr="00AE27C2">
              <w:rPr>
                <w:sz w:val="20"/>
                <w:szCs w:val="20"/>
              </w:rPr>
              <w:t xml:space="preserve"> </w:t>
            </w:r>
            <w:r w:rsidR="00FB7C66">
              <w:rPr>
                <w:sz w:val="20"/>
                <w:szCs w:val="20"/>
              </w:rPr>
              <w:t>parties</w:t>
            </w:r>
            <w:r w:rsidRPr="00AE27C2">
              <w:rPr>
                <w:sz w:val="20"/>
                <w:szCs w:val="20"/>
              </w:rPr>
              <w:t xml:space="preserve"> to submit their IS projects as stand-alone projects or within their HCFC HPMP</w:t>
            </w:r>
          </w:p>
        </w:tc>
        <w:tc>
          <w:tcPr>
            <w:tcW w:w="0" w:type="auto"/>
            <w:hideMark/>
          </w:tcPr>
          <w:p w14:paraId="0D2FF402" w14:textId="5E0EDBCA"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To renew IS projects for the full two-year period from the 61</w:t>
            </w:r>
            <w:r w:rsidRPr="00AE27C2">
              <w:rPr>
                <w:sz w:val="20"/>
                <w:szCs w:val="20"/>
                <w:vertAlign w:val="superscript"/>
              </w:rPr>
              <w:t>st</w:t>
            </w:r>
            <w:r w:rsidRPr="00AE27C2">
              <w:rPr>
                <w:sz w:val="20"/>
                <w:szCs w:val="20"/>
              </w:rPr>
              <w:t> </w:t>
            </w:r>
            <w:r w:rsidR="007F2D56">
              <w:rPr>
                <w:sz w:val="20"/>
                <w:szCs w:val="20"/>
              </w:rPr>
              <w:t>m</w:t>
            </w:r>
            <w:r w:rsidRPr="00AE27C2">
              <w:rPr>
                <w:sz w:val="20"/>
                <w:szCs w:val="20"/>
              </w:rPr>
              <w:t>eeting</w:t>
            </w:r>
          </w:p>
        </w:tc>
      </w:tr>
      <w:tr w:rsidR="004325AA" w:rsidRPr="00AE27C2" w14:paraId="02807F00" w14:textId="77777777" w:rsidTr="006233FA">
        <w:tc>
          <w:tcPr>
            <w:cnfStyle w:val="001000000000" w:firstRow="0" w:lastRow="0" w:firstColumn="1" w:lastColumn="0" w:oddVBand="0" w:evenVBand="0" w:oddHBand="0" w:evenHBand="0" w:firstRowFirstColumn="0" w:firstRowLastColumn="0" w:lastRowFirstColumn="0" w:lastRowLastColumn="0"/>
            <w:tcW w:w="0" w:type="auto"/>
            <w:hideMark/>
          </w:tcPr>
          <w:p w14:paraId="2BBD635F" w14:textId="77777777" w:rsidR="004325AA" w:rsidRPr="00AE27C2" w:rsidRDefault="004325AA" w:rsidP="00036298">
            <w:pPr>
              <w:spacing w:after="60"/>
              <w:rPr>
                <w:sz w:val="20"/>
                <w:szCs w:val="20"/>
                <w:lang w:val="en-US"/>
              </w:rPr>
            </w:pPr>
            <w:r w:rsidRPr="00AE27C2">
              <w:rPr>
                <w:sz w:val="20"/>
                <w:szCs w:val="20"/>
              </w:rPr>
              <w:t>74</w:t>
            </w:r>
            <w:r w:rsidRPr="00AE27C2">
              <w:rPr>
                <w:sz w:val="20"/>
                <w:szCs w:val="20"/>
                <w:vertAlign w:val="superscript"/>
              </w:rPr>
              <w:t>th</w:t>
            </w:r>
          </w:p>
        </w:tc>
        <w:tc>
          <w:tcPr>
            <w:tcW w:w="0" w:type="auto"/>
            <w:hideMark/>
          </w:tcPr>
          <w:p w14:paraId="1B9A0E8D"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 May 2015</w:t>
            </w:r>
          </w:p>
        </w:tc>
        <w:tc>
          <w:tcPr>
            <w:tcW w:w="0" w:type="auto"/>
            <w:hideMark/>
          </w:tcPr>
          <w:p w14:paraId="002D054D"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Increase of 28% of historic levels, with a minimum funding level of US $42,500</w:t>
            </w:r>
          </w:p>
          <w:p w14:paraId="5A3118CA"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  </w:t>
            </w:r>
          </w:p>
        </w:tc>
        <w:tc>
          <w:tcPr>
            <w:tcW w:w="0" w:type="auto"/>
            <w:hideMark/>
          </w:tcPr>
          <w:p w14:paraId="2890D19B"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 </w:t>
            </w:r>
          </w:p>
        </w:tc>
        <w:tc>
          <w:tcPr>
            <w:tcW w:w="0" w:type="auto"/>
            <w:hideMark/>
          </w:tcPr>
          <w:p w14:paraId="56C5EF77"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To address the challenges related to phase-out of HCFCs in line with the objectives of decision XIX/6 and the transition to alternatives that minimize environmental impacts</w:t>
            </w:r>
          </w:p>
        </w:tc>
      </w:tr>
      <w:tr w:rsidR="004325AA" w:rsidRPr="00AE27C2" w14:paraId="109FAC25" w14:textId="77777777" w:rsidTr="0003629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694E384" w14:textId="77777777" w:rsidR="004325AA" w:rsidRPr="00AE27C2" w:rsidRDefault="004325AA" w:rsidP="00036298">
            <w:pPr>
              <w:spacing w:after="60"/>
              <w:rPr>
                <w:sz w:val="20"/>
                <w:szCs w:val="20"/>
                <w:lang w:val="en-US"/>
              </w:rPr>
            </w:pPr>
            <w:r w:rsidRPr="00AE27C2">
              <w:rPr>
                <w:sz w:val="20"/>
                <w:szCs w:val="20"/>
              </w:rPr>
              <w:t>91</w:t>
            </w:r>
            <w:r w:rsidRPr="00AE27C2">
              <w:rPr>
                <w:sz w:val="20"/>
                <w:szCs w:val="20"/>
                <w:vertAlign w:val="superscript"/>
              </w:rPr>
              <w:t>st</w:t>
            </w:r>
          </w:p>
        </w:tc>
        <w:tc>
          <w:tcPr>
            <w:tcW w:w="0" w:type="auto"/>
            <w:vMerge w:val="restart"/>
            <w:hideMark/>
          </w:tcPr>
          <w:p w14:paraId="68E9017D"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December 2022</w:t>
            </w:r>
          </w:p>
          <w:p w14:paraId="4DEB14A4"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w:t>
            </w:r>
          </w:p>
          <w:p w14:paraId="4E83B790"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w:t>
            </w:r>
          </w:p>
        </w:tc>
        <w:tc>
          <w:tcPr>
            <w:tcW w:w="0" w:type="auto"/>
            <w:vMerge w:val="restart"/>
            <w:hideMark/>
          </w:tcPr>
          <w:p w14:paraId="2E25DCF1"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Increased in funding for all IS projects and renewals at a level 38% higher than that agreed at the 74</w:t>
            </w:r>
            <w:r w:rsidRPr="00AE27C2">
              <w:rPr>
                <w:sz w:val="20"/>
                <w:szCs w:val="20"/>
                <w:vertAlign w:val="superscript"/>
              </w:rPr>
              <w:t>th</w:t>
            </w:r>
            <w:r w:rsidRPr="00AE27C2">
              <w:rPr>
                <w:sz w:val="20"/>
                <w:szCs w:val="20"/>
              </w:rPr>
              <w:t> meeting, with a minimum level of funding of US $60,000 per year</w:t>
            </w:r>
          </w:p>
          <w:p w14:paraId="7D99C3EB"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w:t>
            </w:r>
          </w:p>
          <w:p w14:paraId="0EFDFB52"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 </w:t>
            </w:r>
          </w:p>
        </w:tc>
        <w:tc>
          <w:tcPr>
            <w:tcW w:w="0" w:type="auto"/>
            <w:hideMark/>
          </w:tcPr>
          <w:p w14:paraId="409F3076"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New format for terminal reports and new requests, and corresponding performance indicators</w:t>
            </w:r>
          </w:p>
        </w:tc>
        <w:tc>
          <w:tcPr>
            <w:tcW w:w="0" w:type="auto"/>
            <w:hideMark/>
          </w:tcPr>
          <w:p w14:paraId="3612F722"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Extend the duration of IS renewal implementation phases from two to three years for IS renewal proposals submitted from the 92</w:t>
            </w:r>
            <w:r w:rsidRPr="00AE27C2">
              <w:rPr>
                <w:sz w:val="20"/>
                <w:szCs w:val="20"/>
                <w:vertAlign w:val="superscript"/>
              </w:rPr>
              <w:t>nd</w:t>
            </w:r>
            <w:r w:rsidRPr="00AE27C2">
              <w:rPr>
                <w:sz w:val="20"/>
                <w:szCs w:val="20"/>
              </w:rPr>
              <w:t> meeting onwards </w:t>
            </w:r>
          </w:p>
        </w:tc>
      </w:tr>
      <w:tr w:rsidR="004325AA" w:rsidRPr="00AE27C2" w14:paraId="300213CD" w14:textId="77777777" w:rsidTr="006233FA">
        <w:tc>
          <w:tcPr>
            <w:cnfStyle w:val="001000000000" w:firstRow="0" w:lastRow="0" w:firstColumn="1" w:lastColumn="0" w:oddVBand="0" w:evenVBand="0" w:oddHBand="0" w:evenHBand="0" w:firstRowFirstColumn="0" w:firstRowLastColumn="0" w:lastRowFirstColumn="0" w:lastRowLastColumn="0"/>
            <w:tcW w:w="0" w:type="auto"/>
            <w:vMerge/>
            <w:hideMark/>
          </w:tcPr>
          <w:p w14:paraId="589BC448" w14:textId="77777777" w:rsidR="004325AA" w:rsidRPr="00AE27C2" w:rsidRDefault="004325AA" w:rsidP="00036298">
            <w:pPr>
              <w:spacing w:after="60"/>
              <w:rPr>
                <w:sz w:val="20"/>
                <w:szCs w:val="20"/>
                <w:lang w:val="en-US"/>
              </w:rPr>
            </w:pPr>
          </w:p>
        </w:tc>
        <w:tc>
          <w:tcPr>
            <w:tcW w:w="0" w:type="auto"/>
            <w:vMerge/>
            <w:hideMark/>
          </w:tcPr>
          <w:p w14:paraId="6AC5EAE0"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0" w:type="auto"/>
            <w:vMerge/>
            <w:hideMark/>
          </w:tcPr>
          <w:p w14:paraId="45D082B8"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0" w:type="auto"/>
            <w:hideMark/>
          </w:tcPr>
          <w:p w14:paraId="6B33A3AF"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MLF Secretariat to prepare a report on the review of the use of the revised format</w:t>
            </w:r>
          </w:p>
        </w:tc>
        <w:tc>
          <w:tcPr>
            <w:tcW w:w="0" w:type="auto"/>
            <w:hideMark/>
          </w:tcPr>
          <w:p w14:paraId="371B5E6C" w14:textId="77777777" w:rsidR="004325AA" w:rsidRPr="00AE27C2" w:rsidRDefault="004325AA" w:rsidP="00036298">
            <w:pPr>
              <w:spacing w:after="60"/>
              <w:cnfStyle w:val="000000000000" w:firstRow="0" w:lastRow="0" w:firstColumn="0" w:lastColumn="0" w:oddVBand="0" w:evenVBand="0" w:oddHBand="0" w:evenHBand="0" w:firstRowFirstColumn="0" w:firstRowLastColumn="0" w:lastRowFirstColumn="0" w:lastRowLastColumn="0"/>
              <w:rPr>
                <w:sz w:val="20"/>
                <w:szCs w:val="20"/>
                <w:lang w:val="en-US"/>
              </w:rPr>
            </w:pPr>
            <w:r w:rsidRPr="00AE27C2">
              <w:rPr>
                <w:sz w:val="20"/>
                <w:szCs w:val="20"/>
              </w:rPr>
              <w:t>No later than the second meeting in 2028</w:t>
            </w:r>
          </w:p>
        </w:tc>
      </w:tr>
      <w:tr w:rsidR="004325AA" w:rsidRPr="00AE27C2" w14:paraId="39A9B8D3" w14:textId="77777777" w:rsidTr="006233F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BE6CA6" w14:textId="77777777" w:rsidR="004325AA" w:rsidRPr="00AE27C2" w:rsidRDefault="004325AA" w:rsidP="00036298">
            <w:pPr>
              <w:spacing w:after="60"/>
              <w:rPr>
                <w:sz w:val="20"/>
                <w:szCs w:val="20"/>
                <w:lang w:val="en-US"/>
              </w:rPr>
            </w:pPr>
          </w:p>
        </w:tc>
        <w:tc>
          <w:tcPr>
            <w:tcW w:w="0" w:type="auto"/>
            <w:vMerge/>
            <w:hideMark/>
          </w:tcPr>
          <w:p w14:paraId="565AF997"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0" w:type="auto"/>
            <w:vMerge/>
            <w:hideMark/>
          </w:tcPr>
          <w:p w14:paraId="7B25F529"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0" w:type="auto"/>
            <w:hideMark/>
          </w:tcPr>
          <w:p w14:paraId="7A3B27E4"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Further review of IS projects including funding levels</w:t>
            </w:r>
          </w:p>
        </w:tc>
        <w:tc>
          <w:tcPr>
            <w:tcW w:w="0" w:type="auto"/>
            <w:hideMark/>
          </w:tcPr>
          <w:p w14:paraId="4A765BBA" w14:textId="77777777" w:rsidR="004325AA" w:rsidRPr="00AE27C2" w:rsidRDefault="004325AA" w:rsidP="00036298">
            <w:pPr>
              <w:spacing w:after="60"/>
              <w:cnfStyle w:val="000000100000" w:firstRow="0" w:lastRow="0" w:firstColumn="0" w:lastColumn="0" w:oddVBand="0" w:evenVBand="0" w:oddHBand="1" w:evenHBand="0" w:firstRowFirstColumn="0" w:firstRowLastColumn="0" w:lastRowFirstColumn="0" w:lastRowLastColumn="0"/>
              <w:rPr>
                <w:sz w:val="20"/>
                <w:szCs w:val="20"/>
                <w:lang w:val="en-US"/>
              </w:rPr>
            </w:pPr>
            <w:r w:rsidRPr="00AE27C2">
              <w:rPr>
                <w:sz w:val="20"/>
                <w:szCs w:val="20"/>
              </w:rPr>
              <w:t>*No later than the second meeting in 2029</w:t>
            </w:r>
          </w:p>
        </w:tc>
      </w:tr>
    </w:tbl>
    <w:p w14:paraId="3F2450B7" w14:textId="77777777" w:rsidR="004325AA" w:rsidRDefault="004325AA" w:rsidP="004325AA">
      <w:pPr>
        <w:rPr>
          <w:sz w:val="18"/>
          <w:szCs w:val="18"/>
        </w:rPr>
      </w:pPr>
      <w:r w:rsidRPr="003C7B28">
        <w:rPr>
          <w:sz w:val="18"/>
          <w:szCs w:val="18"/>
        </w:rPr>
        <w:t>*The RTF has considered that this new revision agreed by the 91</w:t>
      </w:r>
      <w:r w:rsidRPr="003C7B28">
        <w:rPr>
          <w:sz w:val="18"/>
          <w:szCs w:val="18"/>
          <w:vertAlign w:val="superscript"/>
        </w:rPr>
        <w:t>st</w:t>
      </w:r>
      <w:r w:rsidRPr="003C7B28">
        <w:rPr>
          <w:sz w:val="18"/>
          <w:szCs w:val="18"/>
        </w:rPr>
        <w:t xml:space="preserve"> ExCom Meeting, will not affect the estimations for this triennium but might affect estimations for the subsequent triennia, depending on the final decisions expected to be taken by the end of 2029. </w:t>
      </w:r>
    </w:p>
    <w:p w14:paraId="421DE9B5" w14:textId="558F1833" w:rsidR="0088569B" w:rsidRPr="00A4452F" w:rsidRDefault="0088569B" w:rsidP="0088569B">
      <w:pPr>
        <w:tabs>
          <w:tab w:val="left" w:pos="1418"/>
        </w:tabs>
        <w:rPr>
          <w:b/>
          <w:bCs/>
        </w:rPr>
      </w:pPr>
      <w:r w:rsidRPr="00C3634A">
        <w:rPr>
          <w:b/>
          <w:bCs/>
        </w:rPr>
        <w:lastRenderedPageBreak/>
        <w:t xml:space="preserve">Table </w:t>
      </w:r>
      <w:r>
        <w:rPr>
          <w:b/>
          <w:bCs/>
        </w:rPr>
        <w:t>A</w:t>
      </w:r>
      <w:r w:rsidR="00B262C6">
        <w:rPr>
          <w:b/>
          <w:bCs/>
        </w:rPr>
        <w:t>7</w:t>
      </w:r>
      <w:r w:rsidRPr="00C3634A">
        <w:rPr>
          <w:b/>
          <w:bCs/>
        </w:rPr>
        <w:t>.</w:t>
      </w:r>
      <w:r>
        <w:rPr>
          <w:b/>
          <w:bCs/>
        </w:rPr>
        <w:t>2</w:t>
      </w:r>
      <w:r w:rsidRPr="00C3634A">
        <w:rPr>
          <w:b/>
          <w:bCs/>
        </w:rPr>
        <w:tab/>
      </w:r>
      <w:r>
        <w:rPr>
          <w:b/>
          <w:bCs/>
        </w:rPr>
        <w:t xml:space="preserve">Summary of </w:t>
      </w:r>
      <w:r w:rsidRPr="00C3634A">
        <w:rPr>
          <w:b/>
          <w:bCs/>
        </w:rPr>
        <w:t>E</w:t>
      </w:r>
      <w:r>
        <w:rPr>
          <w:b/>
          <w:bCs/>
        </w:rPr>
        <w:t xml:space="preserve">xCom decisions related to </w:t>
      </w:r>
      <w:r w:rsidR="00DC3E2E">
        <w:rPr>
          <w:b/>
          <w:bCs/>
        </w:rPr>
        <w:t>CAP</w:t>
      </w:r>
    </w:p>
    <w:tbl>
      <w:tblPr>
        <w:tblStyle w:val="GridTable5Dark-Accent5"/>
        <w:tblW w:w="5000" w:type="pct"/>
        <w:tblLook w:val="04A0" w:firstRow="1" w:lastRow="0" w:firstColumn="1" w:lastColumn="0" w:noHBand="0" w:noVBand="1"/>
      </w:tblPr>
      <w:tblGrid>
        <w:gridCol w:w="950"/>
        <w:gridCol w:w="1142"/>
        <w:gridCol w:w="2072"/>
        <w:gridCol w:w="2460"/>
        <w:gridCol w:w="2450"/>
      </w:tblGrid>
      <w:tr w:rsidR="00DC3E2E" w:rsidRPr="00AE27C2" w14:paraId="0D05FD28" w14:textId="77777777" w:rsidTr="00036298">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011" w:type="dxa"/>
            <w:vAlign w:val="center"/>
            <w:hideMark/>
          </w:tcPr>
          <w:p w14:paraId="421B4356" w14:textId="77777777" w:rsidR="00DC3E2E" w:rsidRPr="00AE27C2" w:rsidRDefault="00DC3E2E" w:rsidP="00036298">
            <w:pPr>
              <w:spacing w:before="120"/>
              <w:rPr>
                <w:color w:val="auto"/>
                <w:sz w:val="20"/>
                <w:szCs w:val="20"/>
              </w:rPr>
            </w:pPr>
            <w:r w:rsidRPr="00AE27C2">
              <w:rPr>
                <w:color w:val="auto"/>
                <w:sz w:val="20"/>
                <w:szCs w:val="20"/>
              </w:rPr>
              <w:t>ExCom Meeting</w:t>
            </w:r>
          </w:p>
        </w:tc>
        <w:tc>
          <w:tcPr>
            <w:tcW w:w="1200" w:type="dxa"/>
            <w:vAlign w:val="center"/>
            <w:hideMark/>
          </w:tcPr>
          <w:p w14:paraId="370E19D1" w14:textId="44A18676" w:rsidR="00DC3E2E" w:rsidRPr="00AE27C2" w:rsidRDefault="00AE27C2" w:rsidP="00036298">
            <w:pPr>
              <w:spacing w:before="120"/>
              <w:cnfStyle w:val="100000000000" w:firstRow="1" w:lastRow="0" w:firstColumn="0" w:lastColumn="0" w:oddVBand="0" w:evenVBand="0" w:oddHBand="0" w:evenHBand="0" w:firstRowFirstColumn="0" w:firstRowLastColumn="0" w:lastRowFirstColumn="0" w:lastRowLastColumn="0"/>
              <w:rPr>
                <w:b w:val="0"/>
                <w:bCs w:val="0"/>
                <w:color w:val="222222"/>
                <w:sz w:val="20"/>
                <w:szCs w:val="20"/>
              </w:rPr>
            </w:pPr>
            <w:r w:rsidRPr="00AE27C2">
              <w:rPr>
                <w:sz w:val="20"/>
                <w:szCs w:val="20"/>
              </w:rPr>
              <w:t>Date</w:t>
            </w:r>
          </w:p>
        </w:tc>
        <w:tc>
          <w:tcPr>
            <w:tcW w:w="3462" w:type="dxa"/>
            <w:vAlign w:val="center"/>
            <w:hideMark/>
          </w:tcPr>
          <w:p w14:paraId="444A0583" w14:textId="77777777" w:rsidR="00DC3E2E" w:rsidRPr="00AE27C2" w:rsidRDefault="00DC3E2E" w:rsidP="00036298">
            <w:pPr>
              <w:spacing w:before="120"/>
              <w:jc w:val="center"/>
              <w:cnfStyle w:val="100000000000" w:firstRow="1"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Objective</w:t>
            </w:r>
          </w:p>
        </w:tc>
        <w:tc>
          <w:tcPr>
            <w:tcW w:w="4480" w:type="dxa"/>
            <w:vAlign w:val="center"/>
            <w:hideMark/>
          </w:tcPr>
          <w:p w14:paraId="7DDD3D2C" w14:textId="77777777" w:rsidR="00DC3E2E" w:rsidRPr="00AE27C2" w:rsidRDefault="00DC3E2E" w:rsidP="00036298">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222222"/>
                <w:sz w:val="20"/>
                <w:szCs w:val="20"/>
              </w:rPr>
            </w:pPr>
            <w:r w:rsidRPr="00AE27C2">
              <w:rPr>
                <w:color w:val="000000"/>
                <w:sz w:val="20"/>
                <w:szCs w:val="20"/>
              </w:rPr>
              <w:t>Criteria</w:t>
            </w:r>
          </w:p>
        </w:tc>
        <w:tc>
          <w:tcPr>
            <w:tcW w:w="3819" w:type="dxa"/>
            <w:vAlign w:val="center"/>
            <w:hideMark/>
          </w:tcPr>
          <w:p w14:paraId="59898D7E" w14:textId="77777777" w:rsidR="00DC3E2E" w:rsidRPr="00AE27C2" w:rsidRDefault="00DC3E2E" w:rsidP="00036298">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222222"/>
                <w:sz w:val="20"/>
                <w:szCs w:val="20"/>
              </w:rPr>
            </w:pPr>
            <w:r w:rsidRPr="00AE27C2">
              <w:rPr>
                <w:color w:val="000000"/>
                <w:sz w:val="20"/>
                <w:szCs w:val="20"/>
              </w:rPr>
              <w:t>Conditions</w:t>
            </w:r>
          </w:p>
        </w:tc>
      </w:tr>
      <w:tr w:rsidR="00DC3E2E" w:rsidRPr="00AE27C2" w14:paraId="2264B285"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hideMark/>
          </w:tcPr>
          <w:p w14:paraId="39CDADF7" w14:textId="77777777" w:rsidR="00DC3E2E" w:rsidRPr="00AE27C2" w:rsidRDefault="00DC3E2E" w:rsidP="006233FA">
            <w:pPr>
              <w:spacing w:before="120"/>
              <w:rPr>
                <w:b w:val="0"/>
                <w:bCs w:val="0"/>
                <w:sz w:val="20"/>
                <w:szCs w:val="20"/>
              </w:rPr>
            </w:pPr>
            <w:r w:rsidRPr="00AE27C2">
              <w:rPr>
                <w:color w:val="auto"/>
                <w:sz w:val="20"/>
                <w:szCs w:val="20"/>
              </w:rPr>
              <w:t>35</w:t>
            </w:r>
            <w:r w:rsidRPr="00AE27C2">
              <w:rPr>
                <w:color w:val="auto"/>
                <w:sz w:val="20"/>
                <w:szCs w:val="20"/>
                <w:vertAlign w:val="superscript"/>
              </w:rPr>
              <w:t>th</w:t>
            </w:r>
            <w:r w:rsidRPr="00AE27C2">
              <w:rPr>
                <w:color w:val="auto"/>
                <w:sz w:val="20"/>
                <w:szCs w:val="20"/>
              </w:rPr>
              <w:t xml:space="preserve"> </w:t>
            </w:r>
          </w:p>
        </w:tc>
        <w:tc>
          <w:tcPr>
            <w:tcW w:w="1200" w:type="dxa"/>
            <w:hideMark/>
          </w:tcPr>
          <w:p w14:paraId="2297ACAE"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000000"/>
                <w:sz w:val="20"/>
                <w:szCs w:val="20"/>
              </w:rPr>
              <w:t>December  2001</w:t>
            </w:r>
          </w:p>
        </w:tc>
        <w:tc>
          <w:tcPr>
            <w:tcW w:w="3462" w:type="dxa"/>
            <w:hideMark/>
          </w:tcPr>
          <w:p w14:paraId="2FC861C9"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000000"/>
                <w:sz w:val="20"/>
                <w:szCs w:val="20"/>
              </w:rPr>
              <w:t xml:space="preserve">Initial decision, establishment of a consolidated compliance support mechanism </w:t>
            </w:r>
          </w:p>
        </w:tc>
        <w:tc>
          <w:tcPr>
            <w:tcW w:w="4480" w:type="dxa"/>
            <w:hideMark/>
          </w:tcPr>
          <w:p w14:paraId="355C15F1"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Consolidated UNEP’s networking, training and information clearance mechanism</w:t>
            </w:r>
          </w:p>
        </w:tc>
        <w:tc>
          <w:tcPr>
            <w:tcW w:w="3819" w:type="dxa"/>
            <w:hideMark/>
          </w:tcPr>
          <w:p w14:paraId="28C281B0" w14:textId="0E68B483"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r w:rsidRPr="00AE27C2">
              <w:rPr>
                <w:color w:val="000000"/>
                <w:sz w:val="20"/>
                <w:szCs w:val="20"/>
              </w:rPr>
              <w:t xml:space="preserve"> UNEP’s single compliance support programme for parties operating under </w:t>
            </w:r>
            <w:r w:rsidR="00F05ED5">
              <w:rPr>
                <w:color w:val="000000"/>
                <w:sz w:val="20"/>
                <w:szCs w:val="20"/>
              </w:rPr>
              <w:t>A5</w:t>
            </w:r>
            <w:r w:rsidRPr="00AE27C2">
              <w:rPr>
                <w:color w:val="000000"/>
                <w:sz w:val="20"/>
                <w:szCs w:val="20"/>
              </w:rPr>
              <w:t xml:space="preserve"> of the </w:t>
            </w:r>
            <w:r w:rsidR="00FB7C66">
              <w:rPr>
                <w:color w:val="000000"/>
                <w:sz w:val="20"/>
                <w:szCs w:val="20"/>
              </w:rPr>
              <w:t>MP</w:t>
            </w:r>
            <w:r w:rsidRPr="00AE27C2">
              <w:rPr>
                <w:color w:val="000000"/>
                <w:sz w:val="20"/>
                <w:szCs w:val="20"/>
              </w:rPr>
              <w:t xml:space="preserve"> </w:t>
            </w:r>
          </w:p>
          <w:p w14:paraId="48F60D2F"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p>
        </w:tc>
      </w:tr>
      <w:tr w:rsidR="00DC3E2E" w:rsidRPr="00AE27C2" w14:paraId="7017689C" w14:textId="77777777" w:rsidTr="006233FA">
        <w:tc>
          <w:tcPr>
            <w:cnfStyle w:val="001000000000" w:firstRow="0" w:lastRow="0" w:firstColumn="1" w:lastColumn="0" w:oddVBand="0" w:evenVBand="0" w:oddHBand="0" w:evenHBand="0" w:firstRowFirstColumn="0" w:firstRowLastColumn="0" w:lastRowFirstColumn="0" w:lastRowLastColumn="0"/>
            <w:tcW w:w="1011" w:type="dxa"/>
            <w:hideMark/>
          </w:tcPr>
          <w:p w14:paraId="0C21681E" w14:textId="77777777" w:rsidR="00DC3E2E" w:rsidRPr="00AE27C2" w:rsidRDefault="00DC3E2E" w:rsidP="006233FA">
            <w:pPr>
              <w:spacing w:before="120"/>
              <w:rPr>
                <w:sz w:val="20"/>
                <w:szCs w:val="20"/>
              </w:rPr>
            </w:pPr>
            <w:r w:rsidRPr="00AE27C2">
              <w:rPr>
                <w:color w:val="auto"/>
                <w:sz w:val="20"/>
                <w:szCs w:val="20"/>
              </w:rPr>
              <w:t>36</w:t>
            </w:r>
            <w:r w:rsidRPr="00AE27C2">
              <w:rPr>
                <w:color w:val="auto"/>
                <w:sz w:val="20"/>
                <w:szCs w:val="20"/>
                <w:vertAlign w:val="superscript"/>
              </w:rPr>
              <w:t>th</w:t>
            </w:r>
            <w:r w:rsidRPr="00AE27C2">
              <w:rPr>
                <w:color w:val="auto"/>
                <w:sz w:val="20"/>
                <w:szCs w:val="20"/>
              </w:rPr>
              <w:t xml:space="preserve"> </w:t>
            </w:r>
          </w:p>
        </w:tc>
        <w:tc>
          <w:tcPr>
            <w:tcW w:w="1200" w:type="dxa"/>
            <w:hideMark/>
          </w:tcPr>
          <w:p w14:paraId="78A40B88"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000000"/>
                <w:sz w:val="20"/>
                <w:szCs w:val="20"/>
              </w:rPr>
              <w:t xml:space="preserve">March 2022 </w:t>
            </w:r>
          </w:p>
        </w:tc>
        <w:tc>
          <w:tcPr>
            <w:tcW w:w="3462" w:type="dxa"/>
            <w:hideMark/>
          </w:tcPr>
          <w:p w14:paraId="485B48EE"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sz w:val="20"/>
                <w:szCs w:val="20"/>
              </w:rPr>
              <w:t xml:space="preserve">First CAP operational structure and budget </w:t>
            </w:r>
          </w:p>
        </w:tc>
        <w:tc>
          <w:tcPr>
            <w:tcW w:w="4480" w:type="dxa"/>
            <w:hideMark/>
          </w:tcPr>
          <w:p w14:paraId="7109BB48"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000000"/>
                <w:sz w:val="20"/>
                <w:szCs w:val="20"/>
              </w:rPr>
              <w:t xml:space="preserve"> Included regional teams to assist A5s  </w:t>
            </w:r>
          </w:p>
        </w:tc>
        <w:tc>
          <w:tcPr>
            <w:tcW w:w="3819" w:type="dxa"/>
            <w:hideMark/>
          </w:tcPr>
          <w:p w14:paraId="1D62BDC8"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Operationalization of CAP</w:t>
            </w:r>
          </w:p>
        </w:tc>
      </w:tr>
      <w:tr w:rsidR="00DC3E2E" w:rsidRPr="00AE27C2" w14:paraId="7444CF76"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hideMark/>
          </w:tcPr>
          <w:p w14:paraId="4D152966" w14:textId="77777777" w:rsidR="00DC3E2E" w:rsidRPr="00AE27C2" w:rsidRDefault="00DC3E2E" w:rsidP="006233FA">
            <w:pPr>
              <w:spacing w:before="120"/>
              <w:rPr>
                <w:b w:val="0"/>
                <w:bCs w:val="0"/>
                <w:sz w:val="20"/>
                <w:szCs w:val="20"/>
              </w:rPr>
            </w:pPr>
            <w:r w:rsidRPr="00AE27C2">
              <w:rPr>
                <w:color w:val="auto"/>
                <w:sz w:val="20"/>
                <w:szCs w:val="20"/>
              </w:rPr>
              <w:t>38</w:t>
            </w:r>
            <w:r w:rsidRPr="00AE27C2">
              <w:rPr>
                <w:color w:val="auto"/>
                <w:sz w:val="20"/>
                <w:szCs w:val="20"/>
                <w:vertAlign w:val="superscript"/>
              </w:rPr>
              <w:t>th</w:t>
            </w:r>
          </w:p>
        </w:tc>
        <w:tc>
          <w:tcPr>
            <w:tcW w:w="1200" w:type="dxa"/>
            <w:hideMark/>
          </w:tcPr>
          <w:p w14:paraId="3FE20A4B"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000000"/>
                <w:sz w:val="20"/>
                <w:szCs w:val="20"/>
              </w:rPr>
              <w:t>November 2002</w:t>
            </w:r>
          </w:p>
        </w:tc>
        <w:tc>
          <w:tcPr>
            <w:tcW w:w="3462" w:type="dxa"/>
            <w:hideMark/>
          </w:tcPr>
          <w:p w14:paraId="5DB1A9B9"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000000"/>
                <w:sz w:val="20"/>
                <w:szCs w:val="20"/>
              </w:rPr>
              <w:t xml:space="preserve">Scope of services </w:t>
            </w:r>
          </w:p>
        </w:tc>
        <w:tc>
          <w:tcPr>
            <w:tcW w:w="4480" w:type="dxa"/>
            <w:hideMark/>
          </w:tcPr>
          <w:p w14:paraId="03C90D2E"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Defined CAP services </w:t>
            </w:r>
          </w:p>
        </w:tc>
        <w:tc>
          <w:tcPr>
            <w:tcW w:w="3819" w:type="dxa"/>
            <w:hideMark/>
          </w:tcPr>
          <w:p w14:paraId="530B518F"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000000"/>
                <w:sz w:val="20"/>
                <w:szCs w:val="20"/>
              </w:rPr>
              <w:t> Provide policy guidance, customs training and information clearing house support</w:t>
            </w:r>
          </w:p>
        </w:tc>
      </w:tr>
      <w:tr w:rsidR="00DC3E2E" w:rsidRPr="00AE27C2" w14:paraId="48F6566A" w14:textId="77777777" w:rsidTr="006233FA">
        <w:tc>
          <w:tcPr>
            <w:cnfStyle w:val="001000000000" w:firstRow="0" w:lastRow="0" w:firstColumn="1" w:lastColumn="0" w:oddVBand="0" w:evenVBand="0" w:oddHBand="0" w:evenHBand="0" w:firstRowFirstColumn="0" w:firstRowLastColumn="0" w:lastRowFirstColumn="0" w:lastRowLastColumn="0"/>
            <w:tcW w:w="1011" w:type="dxa"/>
            <w:hideMark/>
          </w:tcPr>
          <w:p w14:paraId="0ED7CD05" w14:textId="1B3AA365" w:rsidR="00DC3E2E" w:rsidRPr="00AE27C2" w:rsidRDefault="00DC3E2E" w:rsidP="006233FA">
            <w:pPr>
              <w:spacing w:before="120"/>
              <w:rPr>
                <w:sz w:val="20"/>
                <w:szCs w:val="20"/>
              </w:rPr>
            </w:pPr>
            <w:r w:rsidRPr="00AE27C2">
              <w:rPr>
                <w:color w:val="auto"/>
                <w:sz w:val="20"/>
                <w:szCs w:val="20"/>
              </w:rPr>
              <w:t>41</w:t>
            </w:r>
            <w:r w:rsidR="005F4D8F" w:rsidRPr="00C10C6D">
              <w:rPr>
                <w:color w:val="auto"/>
                <w:sz w:val="20"/>
                <w:szCs w:val="20"/>
                <w:vertAlign w:val="superscript"/>
              </w:rPr>
              <w:t>st</w:t>
            </w:r>
            <w:r w:rsidR="005F4D8F">
              <w:rPr>
                <w:color w:val="auto"/>
                <w:sz w:val="20"/>
                <w:szCs w:val="20"/>
              </w:rPr>
              <w:t xml:space="preserve"> </w:t>
            </w:r>
          </w:p>
          <w:p w14:paraId="07E0E2B4" w14:textId="77777777" w:rsidR="00DC3E2E" w:rsidRPr="00AE27C2" w:rsidRDefault="00DC3E2E" w:rsidP="006233FA">
            <w:pPr>
              <w:spacing w:before="120"/>
              <w:rPr>
                <w:sz w:val="20"/>
                <w:szCs w:val="20"/>
              </w:rPr>
            </w:pPr>
            <w:r w:rsidRPr="00AE27C2">
              <w:rPr>
                <w:color w:val="auto"/>
                <w:sz w:val="20"/>
                <w:szCs w:val="20"/>
              </w:rPr>
              <w:t> </w:t>
            </w:r>
          </w:p>
        </w:tc>
        <w:tc>
          <w:tcPr>
            <w:tcW w:w="1200" w:type="dxa"/>
            <w:hideMark/>
          </w:tcPr>
          <w:p w14:paraId="5965DB78"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AE27C2">
              <w:rPr>
                <w:sz w:val="20"/>
                <w:szCs w:val="20"/>
              </w:rPr>
              <w:t>December 2003</w:t>
            </w:r>
          </w:p>
        </w:tc>
        <w:tc>
          <w:tcPr>
            <w:tcW w:w="3462" w:type="dxa"/>
            <w:hideMark/>
          </w:tcPr>
          <w:p w14:paraId="33A180C2"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AE27C2">
              <w:rPr>
                <w:sz w:val="20"/>
                <w:szCs w:val="20"/>
              </w:rPr>
              <w:t xml:space="preserve">Requested detailed reporting on activities and results </w:t>
            </w:r>
          </w:p>
        </w:tc>
        <w:tc>
          <w:tcPr>
            <w:tcW w:w="4480" w:type="dxa"/>
            <w:hideMark/>
          </w:tcPr>
          <w:p w14:paraId="55D5571C"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AE27C2">
              <w:rPr>
                <w:sz w:val="20"/>
                <w:szCs w:val="20"/>
              </w:rPr>
              <w:t xml:space="preserve"> Emphasis on parties at risk of non-compliance </w:t>
            </w:r>
          </w:p>
        </w:tc>
        <w:tc>
          <w:tcPr>
            <w:tcW w:w="3819" w:type="dxa"/>
            <w:hideMark/>
          </w:tcPr>
          <w:p w14:paraId="747BB5B2"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Programme oversight </w:t>
            </w:r>
          </w:p>
        </w:tc>
      </w:tr>
      <w:tr w:rsidR="00DC3E2E" w:rsidRPr="00AE27C2" w14:paraId="0F0DC626"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hideMark/>
          </w:tcPr>
          <w:p w14:paraId="2D5DF7F3" w14:textId="283ADBCC" w:rsidR="00DC3E2E" w:rsidRPr="00AE27C2" w:rsidRDefault="00DC3E2E" w:rsidP="006233FA">
            <w:pPr>
              <w:spacing w:before="120"/>
              <w:rPr>
                <w:b w:val="0"/>
                <w:bCs w:val="0"/>
                <w:sz w:val="20"/>
                <w:szCs w:val="20"/>
              </w:rPr>
            </w:pPr>
            <w:r w:rsidRPr="00AE27C2">
              <w:rPr>
                <w:color w:val="auto"/>
                <w:sz w:val="20"/>
                <w:szCs w:val="20"/>
              </w:rPr>
              <w:t>43</w:t>
            </w:r>
            <w:r w:rsidR="005F4D8F" w:rsidRPr="00C10C6D">
              <w:rPr>
                <w:color w:val="auto"/>
                <w:sz w:val="20"/>
                <w:szCs w:val="20"/>
                <w:vertAlign w:val="superscript"/>
              </w:rPr>
              <w:t>rd</w:t>
            </w:r>
            <w:r w:rsidR="005F4D8F">
              <w:rPr>
                <w:color w:val="auto"/>
                <w:sz w:val="20"/>
                <w:szCs w:val="20"/>
              </w:rPr>
              <w:t xml:space="preserve"> </w:t>
            </w:r>
          </w:p>
        </w:tc>
        <w:tc>
          <w:tcPr>
            <w:tcW w:w="1200" w:type="dxa"/>
            <w:hideMark/>
          </w:tcPr>
          <w:p w14:paraId="08FDFE25"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July 2004</w:t>
            </w:r>
          </w:p>
        </w:tc>
        <w:tc>
          <w:tcPr>
            <w:tcW w:w="3462" w:type="dxa"/>
            <w:hideMark/>
          </w:tcPr>
          <w:p w14:paraId="130B9541"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 xml:space="preserve">Approved CAP budget </w:t>
            </w:r>
          </w:p>
          <w:p w14:paraId="3E69A0DA"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 xml:space="preserve">Mention </w:t>
            </w:r>
          </w:p>
        </w:tc>
        <w:tc>
          <w:tcPr>
            <w:tcW w:w="4480" w:type="dxa"/>
            <w:hideMark/>
          </w:tcPr>
          <w:p w14:paraId="754C948C" w14:textId="2245F63D"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Strengthen regional networks of N</w:t>
            </w:r>
            <w:r w:rsidR="007A4B49">
              <w:rPr>
                <w:sz w:val="20"/>
                <w:szCs w:val="20"/>
              </w:rPr>
              <w:t>OOs</w:t>
            </w:r>
          </w:p>
        </w:tc>
        <w:tc>
          <w:tcPr>
            <w:tcW w:w="3819" w:type="dxa"/>
            <w:hideMark/>
          </w:tcPr>
          <w:p w14:paraId="15EBB865"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 Strengthen regional cooperation</w:t>
            </w:r>
          </w:p>
        </w:tc>
      </w:tr>
      <w:tr w:rsidR="00DC3E2E" w:rsidRPr="00AE27C2" w14:paraId="5BF342DF" w14:textId="77777777" w:rsidTr="006233FA">
        <w:tc>
          <w:tcPr>
            <w:cnfStyle w:val="001000000000" w:firstRow="0" w:lastRow="0" w:firstColumn="1" w:lastColumn="0" w:oddVBand="0" w:evenVBand="0" w:oddHBand="0" w:evenHBand="0" w:firstRowFirstColumn="0" w:firstRowLastColumn="0" w:lastRowFirstColumn="0" w:lastRowLastColumn="0"/>
            <w:tcW w:w="1011" w:type="dxa"/>
            <w:hideMark/>
          </w:tcPr>
          <w:p w14:paraId="1E774FE9" w14:textId="77777777" w:rsidR="00DC3E2E" w:rsidRPr="00AE27C2" w:rsidRDefault="00DC3E2E" w:rsidP="006233FA">
            <w:pPr>
              <w:spacing w:before="120"/>
              <w:rPr>
                <w:sz w:val="20"/>
                <w:szCs w:val="20"/>
              </w:rPr>
            </w:pPr>
            <w:r w:rsidRPr="00AE27C2">
              <w:rPr>
                <w:color w:val="auto"/>
                <w:sz w:val="20"/>
                <w:szCs w:val="20"/>
              </w:rPr>
              <w:t>45</w:t>
            </w:r>
            <w:r w:rsidRPr="00AE27C2">
              <w:rPr>
                <w:color w:val="auto"/>
                <w:sz w:val="20"/>
                <w:szCs w:val="20"/>
                <w:vertAlign w:val="superscript"/>
              </w:rPr>
              <w:t>th</w:t>
            </w:r>
            <w:r w:rsidRPr="00AE27C2">
              <w:rPr>
                <w:color w:val="auto"/>
                <w:sz w:val="20"/>
                <w:szCs w:val="20"/>
              </w:rPr>
              <w:t xml:space="preserve"> </w:t>
            </w:r>
          </w:p>
        </w:tc>
        <w:tc>
          <w:tcPr>
            <w:tcW w:w="1200" w:type="dxa"/>
            <w:hideMark/>
          </w:tcPr>
          <w:p w14:paraId="624168A5"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trike/>
                <w:sz w:val="20"/>
                <w:szCs w:val="20"/>
              </w:rPr>
            </w:pPr>
            <w:r w:rsidRPr="00AE27C2">
              <w:rPr>
                <w:strike/>
                <w:sz w:val="20"/>
                <w:szCs w:val="20"/>
              </w:rPr>
              <w:t> April 2005</w:t>
            </w:r>
          </w:p>
        </w:tc>
        <w:tc>
          <w:tcPr>
            <w:tcW w:w="3462" w:type="dxa"/>
            <w:hideMark/>
          </w:tcPr>
          <w:p w14:paraId="02587B54"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AE27C2">
              <w:rPr>
                <w:sz w:val="20"/>
                <w:szCs w:val="20"/>
              </w:rPr>
              <w:t xml:space="preserve">CFC and halons phase-out deadlines </w:t>
            </w:r>
          </w:p>
        </w:tc>
        <w:tc>
          <w:tcPr>
            <w:tcW w:w="4480" w:type="dxa"/>
            <w:hideMark/>
          </w:tcPr>
          <w:p w14:paraId="178002E2"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AE27C2">
              <w:rPr>
                <w:sz w:val="20"/>
                <w:szCs w:val="20"/>
              </w:rPr>
              <w:t> To prioritize support to parties approaching CFC and halon phase-out deadlines</w:t>
            </w:r>
          </w:p>
        </w:tc>
        <w:tc>
          <w:tcPr>
            <w:tcW w:w="3819" w:type="dxa"/>
            <w:hideMark/>
          </w:tcPr>
          <w:p w14:paraId="24FB68E1"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z w:val="20"/>
                <w:szCs w:val="20"/>
              </w:rPr>
            </w:pPr>
          </w:p>
        </w:tc>
      </w:tr>
      <w:tr w:rsidR="00DC3E2E" w:rsidRPr="00AE27C2" w14:paraId="78E2C1AC" w14:textId="77777777" w:rsidTr="006233FA">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1011" w:type="dxa"/>
            <w:hideMark/>
          </w:tcPr>
          <w:p w14:paraId="1E595BA0" w14:textId="691737F5" w:rsidR="00DC3E2E" w:rsidRPr="00AE27C2" w:rsidRDefault="00DC3E2E" w:rsidP="006233FA">
            <w:pPr>
              <w:spacing w:before="120"/>
              <w:rPr>
                <w:b w:val="0"/>
                <w:bCs w:val="0"/>
                <w:sz w:val="20"/>
                <w:szCs w:val="20"/>
              </w:rPr>
            </w:pPr>
            <w:r w:rsidRPr="00AE27C2">
              <w:rPr>
                <w:color w:val="auto"/>
                <w:sz w:val="20"/>
                <w:szCs w:val="20"/>
              </w:rPr>
              <w:t>47</w:t>
            </w:r>
            <w:r w:rsidRPr="00AE27C2">
              <w:rPr>
                <w:color w:val="auto"/>
                <w:sz w:val="20"/>
                <w:szCs w:val="20"/>
                <w:vertAlign w:val="superscript"/>
              </w:rPr>
              <w:t>th</w:t>
            </w:r>
            <w:r w:rsidRPr="00AE27C2">
              <w:rPr>
                <w:color w:val="auto"/>
                <w:sz w:val="20"/>
                <w:szCs w:val="20"/>
              </w:rPr>
              <w:t xml:space="preserve"> &amp;</w:t>
            </w:r>
            <w:r w:rsidR="005F4D8F">
              <w:rPr>
                <w:color w:val="auto"/>
                <w:sz w:val="20"/>
                <w:szCs w:val="20"/>
              </w:rPr>
              <w:t xml:space="preserve"> </w:t>
            </w:r>
            <w:r w:rsidRPr="00AE27C2">
              <w:rPr>
                <w:color w:val="auto"/>
                <w:sz w:val="20"/>
                <w:szCs w:val="20"/>
              </w:rPr>
              <w:t>50</w:t>
            </w:r>
            <w:r w:rsidRPr="00AE27C2">
              <w:rPr>
                <w:color w:val="auto"/>
                <w:sz w:val="20"/>
                <w:szCs w:val="20"/>
                <w:vertAlign w:val="superscript"/>
              </w:rPr>
              <w:t>th</w:t>
            </w:r>
            <w:r w:rsidRPr="00AE27C2">
              <w:rPr>
                <w:color w:val="auto"/>
                <w:sz w:val="20"/>
                <w:szCs w:val="20"/>
              </w:rPr>
              <w:t xml:space="preserve"> </w:t>
            </w:r>
          </w:p>
        </w:tc>
        <w:tc>
          <w:tcPr>
            <w:tcW w:w="1200" w:type="dxa"/>
            <w:hideMark/>
          </w:tcPr>
          <w:p w14:paraId="651CD134"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 November 2005</w:t>
            </w:r>
          </w:p>
          <w:p w14:paraId="1D92AE0E"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 xml:space="preserve"> November 2006 </w:t>
            </w:r>
          </w:p>
        </w:tc>
        <w:tc>
          <w:tcPr>
            <w:tcW w:w="3462" w:type="dxa"/>
            <w:hideMark/>
          </w:tcPr>
          <w:p w14:paraId="1F2C13B9"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-New rules on CAP, budget management and flexibility  </w:t>
            </w:r>
          </w:p>
          <w:p w14:paraId="78FD625E"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 xml:space="preserve">-Financial reporting </w:t>
            </w:r>
          </w:p>
        </w:tc>
        <w:tc>
          <w:tcPr>
            <w:tcW w:w="4480" w:type="dxa"/>
            <w:hideMark/>
          </w:tcPr>
          <w:p w14:paraId="2BB398E6"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 xml:space="preserve">UNEP to relocate funds across CAP budget lines </w:t>
            </w:r>
          </w:p>
        </w:tc>
        <w:tc>
          <w:tcPr>
            <w:tcW w:w="3819" w:type="dxa"/>
            <w:hideMark/>
          </w:tcPr>
          <w:p w14:paraId="23FD86FF"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-Maintaining transparency</w:t>
            </w:r>
          </w:p>
          <w:p w14:paraId="5030BD80"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 xml:space="preserve">-Clarification for reporting expenditures and reallocations </w:t>
            </w:r>
          </w:p>
        </w:tc>
      </w:tr>
      <w:tr w:rsidR="00DC3E2E" w:rsidRPr="00AE27C2" w14:paraId="6FEBAB69" w14:textId="77777777" w:rsidTr="006233FA">
        <w:tc>
          <w:tcPr>
            <w:cnfStyle w:val="001000000000" w:firstRow="0" w:lastRow="0" w:firstColumn="1" w:lastColumn="0" w:oddVBand="0" w:evenVBand="0" w:oddHBand="0" w:evenHBand="0" w:firstRowFirstColumn="0" w:firstRowLastColumn="0" w:lastRowFirstColumn="0" w:lastRowLastColumn="0"/>
            <w:tcW w:w="1011" w:type="dxa"/>
            <w:hideMark/>
          </w:tcPr>
          <w:p w14:paraId="2E2CCC16" w14:textId="730CA7F2" w:rsidR="00DC3E2E" w:rsidRPr="00AE27C2" w:rsidRDefault="00DC3E2E" w:rsidP="006233FA">
            <w:pPr>
              <w:spacing w:before="120" w:after="0"/>
              <w:rPr>
                <w:sz w:val="20"/>
                <w:szCs w:val="20"/>
              </w:rPr>
            </w:pPr>
            <w:r w:rsidRPr="00AE27C2">
              <w:rPr>
                <w:color w:val="auto"/>
                <w:sz w:val="20"/>
                <w:szCs w:val="20"/>
              </w:rPr>
              <w:t>53</w:t>
            </w:r>
            <w:r w:rsidR="00FD4148" w:rsidRPr="00C10C6D">
              <w:rPr>
                <w:color w:val="auto"/>
                <w:sz w:val="20"/>
                <w:szCs w:val="20"/>
                <w:vertAlign w:val="superscript"/>
              </w:rPr>
              <w:t>rd</w:t>
            </w:r>
            <w:r w:rsidR="00FD4148">
              <w:rPr>
                <w:color w:val="auto"/>
                <w:sz w:val="20"/>
                <w:szCs w:val="20"/>
              </w:rPr>
              <w:t xml:space="preserve"> </w:t>
            </w:r>
            <w:r w:rsidR="00FD4148" w:rsidRPr="00AE27C2">
              <w:rPr>
                <w:color w:val="auto"/>
                <w:sz w:val="20"/>
                <w:szCs w:val="20"/>
              </w:rPr>
              <w:t>&amp;</w:t>
            </w:r>
            <w:r w:rsidR="002E26C9">
              <w:rPr>
                <w:color w:val="auto"/>
                <w:sz w:val="20"/>
                <w:szCs w:val="20"/>
              </w:rPr>
              <w:t xml:space="preserve"> </w:t>
            </w:r>
            <w:r w:rsidRPr="00AE27C2">
              <w:rPr>
                <w:color w:val="auto"/>
                <w:sz w:val="20"/>
                <w:szCs w:val="20"/>
              </w:rPr>
              <w:t>56</w:t>
            </w:r>
            <w:r w:rsidRPr="00AE27C2">
              <w:rPr>
                <w:color w:val="auto"/>
                <w:sz w:val="20"/>
                <w:szCs w:val="20"/>
                <w:vertAlign w:val="superscript"/>
              </w:rPr>
              <w:t>th</w:t>
            </w:r>
            <w:r w:rsidRPr="00AE27C2">
              <w:rPr>
                <w:color w:val="auto"/>
                <w:sz w:val="20"/>
                <w:szCs w:val="20"/>
              </w:rPr>
              <w:t xml:space="preserve"> </w:t>
            </w:r>
          </w:p>
        </w:tc>
        <w:tc>
          <w:tcPr>
            <w:tcW w:w="1200" w:type="dxa"/>
            <w:hideMark/>
          </w:tcPr>
          <w:p w14:paraId="079E315A"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November 2007&amp; November 2008</w:t>
            </w:r>
          </w:p>
        </w:tc>
        <w:tc>
          <w:tcPr>
            <w:tcW w:w="3462" w:type="dxa"/>
            <w:hideMark/>
          </w:tcPr>
          <w:p w14:paraId="5AD7F680"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Requested detailed reporting on CAP activities </w:t>
            </w:r>
          </w:p>
        </w:tc>
        <w:tc>
          <w:tcPr>
            <w:tcW w:w="4480" w:type="dxa"/>
            <w:hideMark/>
          </w:tcPr>
          <w:p w14:paraId="2A187E2B"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Prioritization of CAP funding between budget lines</w:t>
            </w:r>
          </w:p>
        </w:tc>
        <w:tc>
          <w:tcPr>
            <w:tcW w:w="3819" w:type="dxa"/>
            <w:hideMark/>
          </w:tcPr>
          <w:p w14:paraId="08AD0028"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A comprehensive list of compliance assistance activities included in budget proposals </w:t>
            </w:r>
          </w:p>
        </w:tc>
      </w:tr>
      <w:tr w:rsidR="00DC3E2E" w:rsidRPr="00AE27C2" w14:paraId="5A9D7A26"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hideMark/>
          </w:tcPr>
          <w:p w14:paraId="3F1BD3C8" w14:textId="77777777" w:rsidR="00DC3E2E" w:rsidRPr="00AE27C2" w:rsidRDefault="00DC3E2E" w:rsidP="006233FA">
            <w:pPr>
              <w:spacing w:before="120" w:after="0"/>
              <w:rPr>
                <w:b w:val="0"/>
                <w:bCs w:val="0"/>
                <w:sz w:val="20"/>
                <w:szCs w:val="20"/>
              </w:rPr>
            </w:pPr>
            <w:r w:rsidRPr="00AE27C2">
              <w:rPr>
                <w:color w:val="auto"/>
                <w:sz w:val="20"/>
                <w:szCs w:val="20"/>
              </w:rPr>
              <w:t>57</w:t>
            </w:r>
            <w:r w:rsidRPr="00AE27C2">
              <w:rPr>
                <w:color w:val="auto"/>
                <w:sz w:val="20"/>
                <w:szCs w:val="20"/>
                <w:vertAlign w:val="superscript"/>
              </w:rPr>
              <w:t>th</w:t>
            </w:r>
            <w:r w:rsidRPr="00AE27C2">
              <w:rPr>
                <w:color w:val="auto"/>
                <w:sz w:val="20"/>
                <w:szCs w:val="20"/>
              </w:rPr>
              <w:t xml:space="preserve"> </w:t>
            </w:r>
          </w:p>
        </w:tc>
        <w:tc>
          <w:tcPr>
            <w:tcW w:w="1200" w:type="dxa"/>
            <w:hideMark/>
          </w:tcPr>
          <w:p w14:paraId="29986438"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April 2009</w:t>
            </w:r>
          </w:p>
        </w:tc>
        <w:tc>
          <w:tcPr>
            <w:tcW w:w="3462" w:type="dxa"/>
            <w:hideMark/>
          </w:tcPr>
          <w:p w14:paraId="56497389"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strike/>
                <w:color w:val="222222"/>
                <w:sz w:val="20"/>
                <w:szCs w:val="20"/>
              </w:rPr>
            </w:pPr>
          </w:p>
          <w:p w14:paraId="5AE23BA4"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Approved CAP work programme </w:t>
            </w:r>
          </w:p>
        </w:tc>
        <w:tc>
          <w:tcPr>
            <w:tcW w:w="4480" w:type="dxa"/>
            <w:hideMark/>
          </w:tcPr>
          <w:p w14:paraId="3416D97F"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sz w:val="20"/>
                <w:szCs w:val="20"/>
              </w:rPr>
              <w:t>Emphasizing support for parties at risk of non-compliance</w:t>
            </w:r>
          </w:p>
        </w:tc>
        <w:tc>
          <w:tcPr>
            <w:tcW w:w="3819" w:type="dxa"/>
            <w:hideMark/>
          </w:tcPr>
          <w:p w14:paraId="6BA2AB96"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Compliance risk management </w:t>
            </w:r>
          </w:p>
        </w:tc>
      </w:tr>
      <w:tr w:rsidR="00DC3E2E" w:rsidRPr="00AE27C2" w14:paraId="6B3E2F6A" w14:textId="77777777" w:rsidTr="006233FA">
        <w:tc>
          <w:tcPr>
            <w:cnfStyle w:val="001000000000" w:firstRow="0" w:lastRow="0" w:firstColumn="1" w:lastColumn="0" w:oddVBand="0" w:evenVBand="0" w:oddHBand="0" w:evenHBand="0" w:firstRowFirstColumn="0" w:firstRowLastColumn="0" w:lastRowFirstColumn="0" w:lastRowLastColumn="0"/>
            <w:tcW w:w="1011" w:type="dxa"/>
          </w:tcPr>
          <w:p w14:paraId="6663E9EE" w14:textId="77777777" w:rsidR="00DC3E2E" w:rsidRPr="00AE27C2" w:rsidRDefault="00DC3E2E" w:rsidP="006233FA">
            <w:pPr>
              <w:spacing w:before="120" w:after="0"/>
              <w:rPr>
                <w:sz w:val="20"/>
                <w:szCs w:val="20"/>
              </w:rPr>
            </w:pPr>
            <w:r w:rsidRPr="00AE27C2">
              <w:rPr>
                <w:color w:val="auto"/>
                <w:sz w:val="20"/>
                <w:szCs w:val="20"/>
              </w:rPr>
              <w:t>65</w:t>
            </w:r>
            <w:r w:rsidRPr="00AE27C2">
              <w:rPr>
                <w:color w:val="auto"/>
                <w:sz w:val="20"/>
                <w:szCs w:val="20"/>
                <w:vertAlign w:val="superscript"/>
              </w:rPr>
              <w:t>th</w:t>
            </w:r>
            <w:r w:rsidRPr="00AE27C2">
              <w:rPr>
                <w:color w:val="auto"/>
                <w:sz w:val="20"/>
                <w:szCs w:val="20"/>
              </w:rPr>
              <w:t xml:space="preserve"> </w:t>
            </w:r>
          </w:p>
        </w:tc>
        <w:tc>
          <w:tcPr>
            <w:tcW w:w="1200" w:type="dxa"/>
          </w:tcPr>
          <w:p w14:paraId="22123F68"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November 2011 </w:t>
            </w:r>
          </w:p>
        </w:tc>
        <w:tc>
          <w:tcPr>
            <w:tcW w:w="3462" w:type="dxa"/>
          </w:tcPr>
          <w:p w14:paraId="31173A7F"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Approved CAP work programme </w:t>
            </w:r>
          </w:p>
        </w:tc>
        <w:tc>
          <w:tcPr>
            <w:tcW w:w="4480" w:type="dxa"/>
          </w:tcPr>
          <w:p w14:paraId="632BD913" w14:textId="4A81B4C4"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EE0000"/>
                <w:sz w:val="20"/>
                <w:szCs w:val="20"/>
              </w:rPr>
            </w:pPr>
            <w:r w:rsidRPr="00AE27C2">
              <w:rPr>
                <w:color w:val="222222"/>
                <w:sz w:val="20"/>
                <w:szCs w:val="20"/>
              </w:rPr>
              <w:t>Prioritizing assistance for HPMPs</w:t>
            </w:r>
          </w:p>
        </w:tc>
        <w:tc>
          <w:tcPr>
            <w:tcW w:w="3819" w:type="dxa"/>
          </w:tcPr>
          <w:p w14:paraId="24339DEC" w14:textId="3FCF8A9A"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HPMPs</w:t>
            </w:r>
          </w:p>
        </w:tc>
      </w:tr>
      <w:tr w:rsidR="00DC3E2E" w:rsidRPr="00AE27C2" w14:paraId="56CEBA99"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Pr>
          <w:p w14:paraId="4BADD6B0" w14:textId="77777777" w:rsidR="00DC3E2E" w:rsidRPr="00AE27C2" w:rsidRDefault="00DC3E2E" w:rsidP="006233FA">
            <w:pPr>
              <w:spacing w:before="120" w:after="0"/>
              <w:rPr>
                <w:b w:val="0"/>
                <w:bCs w:val="0"/>
                <w:sz w:val="20"/>
                <w:szCs w:val="20"/>
              </w:rPr>
            </w:pPr>
            <w:r w:rsidRPr="00AE27C2">
              <w:rPr>
                <w:color w:val="auto"/>
                <w:sz w:val="20"/>
                <w:szCs w:val="20"/>
              </w:rPr>
              <w:t>75</w:t>
            </w:r>
            <w:r w:rsidRPr="00AE27C2">
              <w:rPr>
                <w:color w:val="auto"/>
                <w:sz w:val="20"/>
                <w:szCs w:val="20"/>
                <w:vertAlign w:val="superscript"/>
              </w:rPr>
              <w:t>th</w:t>
            </w:r>
            <w:r w:rsidRPr="00AE27C2">
              <w:rPr>
                <w:color w:val="auto"/>
                <w:sz w:val="20"/>
                <w:szCs w:val="20"/>
              </w:rPr>
              <w:t xml:space="preserve"> </w:t>
            </w:r>
          </w:p>
        </w:tc>
        <w:tc>
          <w:tcPr>
            <w:tcW w:w="1200" w:type="dxa"/>
          </w:tcPr>
          <w:p w14:paraId="67120E67"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November 2015</w:t>
            </w:r>
          </w:p>
        </w:tc>
        <w:tc>
          <w:tcPr>
            <w:tcW w:w="3462" w:type="dxa"/>
          </w:tcPr>
          <w:p w14:paraId="3ABF77E9"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Approved budget </w:t>
            </w:r>
          </w:p>
        </w:tc>
        <w:tc>
          <w:tcPr>
            <w:tcW w:w="4480" w:type="dxa"/>
          </w:tcPr>
          <w:p w14:paraId="5E67EE19"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Reinforce support to parties implementing HPMPs </w:t>
            </w:r>
          </w:p>
        </w:tc>
        <w:tc>
          <w:tcPr>
            <w:tcW w:w="3819" w:type="dxa"/>
          </w:tcPr>
          <w:p w14:paraId="542627B9"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Strengthening compliance assistance </w:t>
            </w:r>
          </w:p>
        </w:tc>
      </w:tr>
      <w:tr w:rsidR="00DC3E2E" w:rsidRPr="00AE27C2" w14:paraId="4EEED050" w14:textId="77777777" w:rsidTr="006233FA">
        <w:tc>
          <w:tcPr>
            <w:cnfStyle w:val="001000000000" w:firstRow="0" w:lastRow="0" w:firstColumn="1" w:lastColumn="0" w:oddVBand="0" w:evenVBand="0" w:oddHBand="0" w:evenHBand="0" w:firstRowFirstColumn="0" w:firstRowLastColumn="0" w:lastRowFirstColumn="0" w:lastRowLastColumn="0"/>
            <w:tcW w:w="1011" w:type="dxa"/>
          </w:tcPr>
          <w:p w14:paraId="53D969FB" w14:textId="77777777" w:rsidR="00DC3E2E" w:rsidRPr="00AE27C2" w:rsidRDefault="00DC3E2E" w:rsidP="006233FA">
            <w:pPr>
              <w:spacing w:before="120" w:after="0"/>
              <w:rPr>
                <w:sz w:val="20"/>
                <w:szCs w:val="20"/>
              </w:rPr>
            </w:pPr>
            <w:r w:rsidRPr="00AE27C2">
              <w:rPr>
                <w:color w:val="auto"/>
                <w:sz w:val="20"/>
                <w:szCs w:val="20"/>
              </w:rPr>
              <w:lastRenderedPageBreak/>
              <w:t>77</w:t>
            </w:r>
            <w:r w:rsidRPr="00AE27C2">
              <w:rPr>
                <w:color w:val="auto"/>
                <w:sz w:val="20"/>
                <w:szCs w:val="20"/>
                <w:vertAlign w:val="superscript"/>
              </w:rPr>
              <w:t>th</w:t>
            </w:r>
            <w:r w:rsidRPr="00AE27C2">
              <w:rPr>
                <w:color w:val="auto"/>
                <w:sz w:val="20"/>
                <w:szCs w:val="20"/>
              </w:rPr>
              <w:t xml:space="preserve"> </w:t>
            </w:r>
          </w:p>
        </w:tc>
        <w:tc>
          <w:tcPr>
            <w:tcW w:w="1200" w:type="dxa"/>
          </w:tcPr>
          <w:p w14:paraId="56C39953"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December 2016 </w:t>
            </w:r>
          </w:p>
        </w:tc>
        <w:tc>
          <w:tcPr>
            <w:tcW w:w="3462" w:type="dxa"/>
          </w:tcPr>
          <w:p w14:paraId="28DDE882" w14:textId="14A74D2F" w:rsidR="00DC3E2E" w:rsidRPr="00B92655"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B92655">
              <w:rPr>
                <w:color w:val="222222"/>
                <w:sz w:val="20"/>
                <w:szCs w:val="20"/>
              </w:rPr>
              <w:t xml:space="preserve">Approved </w:t>
            </w:r>
            <w:r w:rsidR="548BBB9B" w:rsidRPr="00B92655">
              <w:rPr>
                <w:color w:val="222222"/>
                <w:sz w:val="20"/>
                <w:szCs w:val="20"/>
              </w:rPr>
              <w:t>Budget</w:t>
            </w:r>
          </w:p>
        </w:tc>
        <w:tc>
          <w:tcPr>
            <w:tcW w:w="4480" w:type="dxa"/>
          </w:tcPr>
          <w:p w14:paraId="642D9785"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Requested a review of CAP organizational structure and regional operations</w:t>
            </w:r>
          </w:p>
        </w:tc>
        <w:tc>
          <w:tcPr>
            <w:tcW w:w="3819" w:type="dxa"/>
          </w:tcPr>
          <w:p w14:paraId="441AB06B"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Reviewing CAP organizational effectiveness </w:t>
            </w:r>
          </w:p>
        </w:tc>
      </w:tr>
      <w:tr w:rsidR="00DC3E2E" w:rsidRPr="00AE27C2" w14:paraId="0A4F7714"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Pr>
          <w:p w14:paraId="3ABA65EE" w14:textId="77777777" w:rsidR="00DC3E2E" w:rsidRPr="00AE27C2" w:rsidRDefault="00DC3E2E" w:rsidP="006233FA">
            <w:pPr>
              <w:spacing w:before="120" w:after="0"/>
              <w:rPr>
                <w:b w:val="0"/>
                <w:bCs w:val="0"/>
                <w:sz w:val="20"/>
                <w:szCs w:val="20"/>
              </w:rPr>
            </w:pPr>
            <w:r w:rsidRPr="00AE27C2">
              <w:rPr>
                <w:color w:val="auto"/>
                <w:sz w:val="20"/>
                <w:szCs w:val="20"/>
              </w:rPr>
              <w:t>79</w:t>
            </w:r>
            <w:r w:rsidRPr="00AE27C2">
              <w:rPr>
                <w:color w:val="auto"/>
                <w:sz w:val="20"/>
                <w:szCs w:val="20"/>
                <w:vertAlign w:val="superscript"/>
              </w:rPr>
              <w:t>th</w:t>
            </w:r>
            <w:r w:rsidRPr="00AE27C2">
              <w:rPr>
                <w:color w:val="auto"/>
                <w:sz w:val="20"/>
                <w:szCs w:val="20"/>
              </w:rPr>
              <w:t xml:space="preserve"> </w:t>
            </w:r>
          </w:p>
        </w:tc>
        <w:tc>
          <w:tcPr>
            <w:tcW w:w="1200" w:type="dxa"/>
          </w:tcPr>
          <w:p w14:paraId="1BE51F46" w14:textId="7BC24CC9" w:rsidR="00DC3E2E" w:rsidRPr="00AE27C2" w:rsidRDefault="008C1AC5" w:rsidP="006233FA">
            <w:pPr>
              <w:spacing w:before="120" w:after="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July 2017</w:t>
            </w:r>
            <w:r w:rsidR="00DC3E2E" w:rsidRPr="00AE27C2">
              <w:rPr>
                <w:color w:val="222222"/>
                <w:sz w:val="20"/>
                <w:szCs w:val="20"/>
              </w:rPr>
              <w:t xml:space="preserve"> </w:t>
            </w:r>
          </w:p>
        </w:tc>
        <w:tc>
          <w:tcPr>
            <w:tcW w:w="3462" w:type="dxa"/>
          </w:tcPr>
          <w:p w14:paraId="3FED82AB"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Considered the results of the CAP structure review</w:t>
            </w:r>
          </w:p>
        </w:tc>
        <w:tc>
          <w:tcPr>
            <w:tcW w:w="4480" w:type="dxa"/>
          </w:tcPr>
          <w:p w14:paraId="15BAA37B"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Improved effectiveness </w:t>
            </w:r>
          </w:p>
        </w:tc>
        <w:tc>
          <w:tcPr>
            <w:tcW w:w="3819" w:type="dxa"/>
          </w:tcPr>
          <w:p w14:paraId="341E527E"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Provided guidance on strengthening regional support</w:t>
            </w:r>
          </w:p>
        </w:tc>
      </w:tr>
      <w:tr w:rsidR="00DC3E2E" w:rsidRPr="00AE27C2" w14:paraId="0AFE069E" w14:textId="77777777" w:rsidTr="006233FA">
        <w:tc>
          <w:tcPr>
            <w:cnfStyle w:val="001000000000" w:firstRow="0" w:lastRow="0" w:firstColumn="1" w:lastColumn="0" w:oddVBand="0" w:evenVBand="0" w:oddHBand="0" w:evenHBand="0" w:firstRowFirstColumn="0" w:firstRowLastColumn="0" w:lastRowFirstColumn="0" w:lastRowLastColumn="0"/>
            <w:tcW w:w="1011" w:type="dxa"/>
          </w:tcPr>
          <w:p w14:paraId="259802CC" w14:textId="3551EA1C" w:rsidR="00DC3E2E" w:rsidRPr="00AE27C2" w:rsidRDefault="00DC3E2E" w:rsidP="006233FA">
            <w:pPr>
              <w:spacing w:before="120" w:after="0"/>
              <w:rPr>
                <w:sz w:val="20"/>
                <w:szCs w:val="20"/>
              </w:rPr>
            </w:pPr>
            <w:r w:rsidRPr="00AE27C2">
              <w:rPr>
                <w:color w:val="auto"/>
                <w:sz w:val="20"/>
                <w:szCs w:val="20"/>
              </w:rPr>
              <w:t>82</w:t>
            </w:r>
            <w:r w:rsidR="002E26C9" w:rsidRPr="00C10C6D">
              <w:rPr>
                <w:color w:val="auto"/>
                <w:sz w:val="20"/>
                <w:szCs w:val="20"/>
                <w:vertAlign w:val="superscript"/>
              </w:rPr>
              <w:t>nd</w:t>
            </w:r>
            <w:r w:rsidR="002E26C9">
              <w:rPr>
                <w:color w:val="auto"/>
                <w:sz w:val="20"/>
                <w:szCs w:val="20"/>
              </w:rPr>
              <w:t xml:space="preserve"> </w:t>
            </w:r>
            <w:r w:rsidRPr="00AE27C2">
              <w:rPr>
                <w:color w:val="auto"/>
                <w:sz w:val="20"/>
                <w:szCs w:val="20"/>
              </w:rPr>
              <w:t xml:space="preserve"> </w:t>
            </w:r>
          </w:p>
        </w:tc>
        <w:tc>
          <w:tcPr>
            <w:tcW w:w="1200" w:type="dxa"/>
          </w:tcPr>
          <w:p w14:paraId="53B01F5B"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strike/>
                <w:color w:val="222222"/>
                <w:sz w:val="20"/>
                <w:szCs w:val="20"/>
              </w:rPr>
            </w:pPr>
            <w:r w:rsidRPr="00AE27C2">
              <w:rPr>
                <w:strike/>
                <w:color w:val="222222"/>
                <w:sz w:val="20"/>
                <w:szCs w:val="20"/>
              </w:rPr>
              <w:t xml:space="preserve">December 2018 </w:t>
            </w:r>
          </w:p>
        </w:tc>
        <w:tc>
          <w:tcPr>
            <w:tcW w:w="3462" w:type="dxa"/>
          </w:tcPr>
          <w:p w14:paraId="26AFB855"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Approved the CAP budget </w:t>
            </w:r>
          </w:p>
        </w:tc>
        <w:tc>
          <w:tcPr>
            <w:tcW w:w="4480" w:type="dxa"/>
          </w:tcPr>
          <w:p w14:paraId="3E3F594A"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trike/>
                <w:color w:val="222222"/>
                <w:sz w:val="20"/>
                <w:szCs w:val="20"/>
              </w:rPr>
            </w:pPr>
          </w:p>
        </w:tc>
        <w:tc>
          <w:tcPr>
            <w:tcW w:w="3819" w:type="dxa"/>
          </w:tcPr>
          <w:p w14:paraId="1F513F81"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Reiterated reporting requirements on activities and expenditures</w:t>
            </w:r>
          </w:p>
        </w:tc>
      </w:tr>
      <w:tr w:rsidR="00DC3E2E" w:rsidRPr="00AE27C2" w14:paraId="2AFC6456"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Pr>
          <w:p w14:paraId="4E508B34" w14:textId="77777777" w:rsidR="00DC3E2E" w:rsidRPr="00AE27C2" w:rsidRDefault="00DC3E2E" w:rsidP="006233FA">
            <w:pPr>
              <w:spacing w:before="120" w:after="0"/>
              <w:rPr>
                <w:b w:val="0"/>
                <w:bCs w:val="0"/>
                <w:sz w:val="20"/>
                <w:szCs w:val="20"/>
              </w:rPr>
            </w:pPr>
            <w:r w:rsidRPr="00AE27C2">
              <w:rPr>
                <w:color w:val="auto"/>
                <w:sz w:val="20"/>
                <w:szCs w:val="20"/>
              </w:rPr>
              <w:t>84</w:t>
            </w:r>
            <w:r w:rsidRPr="00AE27C2">
              <w:rPr>
                <w:color w:val="auto"/>
                <w:sz w:val="20"/>
                <w:szCs w:val="20"/>
                <w:vertAlign w:val="superscript"/>
              </w:rPr>
              <w:t>th</w:t>
            </w:r>
            <w:r w:rsidRPr="00AE27C2">
              <w:rPr>
                <w:color w:val="auto"/>
                <w:sz w:val="20"/>
                <w:szCs w:val="20"/>
              </w:rPr>
              <w:t xml:space="preserve"> </w:t>
            </w:r>
          </w:p>
        </w:tc>
        <w:tc>
          <w:tcPr>
            <w:tcW w:w="1200" w:type="dxa"/>
          </w:tcPr>
          <w:p w14:paraId="02F91F63"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strike/>
                <w:color w:val="222222"/>
                <w:sz w:val="20"/>
                <w:szCs w:val="20"/>
              </w:rPr>
            </w:pPr>
            <w:r w:rsidRPr="00AE27C2">
              <w:rPr>
                <w:strike/>
                <w:color w:val="222222"/>
                <w:sz w:val="20"/>
                <w:szCs w:val="20"/>
              </w:rPr>
              <w:t>December 2019</w:t>
            </w:r>
          </w:p>
        </w:tc>
        <w:tc>
          <w:tcPr>
            <w:tcW w:w="3462" w:type="dxa"/>
          </w:tcPr>
          <w:p w14:paraId="2A35D61C"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Approved budget </w:t>
            </w:r>
          </w:p>
        </w:tc>
        <w:tc>
          <w:tcPr>
            <w:tcW w:w="4480" w:type="dxa"/>
          </w:tcPr>
          <w:p w14:paraId="6E63AC0A"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Requested detailed reporting</w:t>
            </w:r>
          </w:p>
        </w:tc>
        <w:tc>
          <w:tcPr>
            <w:tcW w:w="3819" w:type="dxa"/>
          </w:tcPr>
          <w:p w14:paraId="00CBF180"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Transparency and accountability </w:t>
            </w:r>
          </w:p>
        </w:tc>
      </w:tr>
      <w:tr w:rsidR="00DC3E2E" w:rsidRPr="00AE27C2" w14:paraId="4398C0D0" w14:textId="77777777" w:rsidTr="006233FA">
        <w:tc>
          <w:tcPr>
            <w:cnfStyle w:val="001000000000" w:firstRow="0" w:lastRow="0" w:firstColumn="1" w:lastColumn="0" w:oddVBand="0" w:evenVBand="0" w:oddHBand="0" w:evenHBand="0" w:firstRowFirstColumn="0" w:firstRowLastColumn="0" w:lastRowFirstColumn="0" w:lastRowLastColumn="0"/>
            <w:tcW w:w="1011" w:type="dxa"/>
          </w:tcPr>
          <w:p w14:paraId="2FA210DC" w14:textId="77777777" w:rsidR="00DC3E2E" w:rsidRPr="00AE27C2" w:rsidRDefault="00DC3E2E" w:rsidP="006233FA">
            <w:pPr>
              <w:spacing w:before="120" w:after="0"/>
              <w:rPr>
                <w:sz w:val="20"/>
                <w:szCs w:val="20"/>
              </w:rPr>
            </w:pPr>
            <w:r w:rsidRPr="00AE27C2">
              <w:rPr>
                <w:color w:val="auto"/>
                <w:sz w:val="20"/>
                <w:szCs w:val="20"/>
              </w:rPr>
              <w:t>86</w:t>
            </w:r>
            <w:r w:rsidRPr="00AE27C2">
              <w:rPr>
                <w:color w:val="auto"/>
                <w:sz w:val="20"/>
                <w:szCs w:val="20"/>
                <w:vertAlign w:val="superscript"/>
              </w:rPr>
              <w:t>th</w:t>
            </w:r>
            <w:r w:rsidRPr="00AE27C2">
              <w:rPr>
                <w:color w:val="auto"/>
                <w:sz w:val="20"/>
                <w:szCs w:val="20"/>
              </w:rPr>
              <w:t xml:space="preserve"> </w:t>
            </w:r>
          </w:p>
        </w:tc>
        <w:tc>
          <w:tcPr>
            <w:tcW w:w="1200" w:type="dxa"/>
          </w:tcPr>
          <w:p w14:paraId="776D9030"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strike/>
                <w:color w:val="222222"/>
                <w:sz w:val="20"/>
                <w:szCs w:val="20"/>
              </w:rPr>
            </w:pPr>
            <w:r w:rsidRPr="00AE27C2">
              <w:rPr>
                <w:strike/>
                <w:color w:val="222222"/>
                <w:sz w:val="20"/>
                <w:szCs w:val="20"/>
              </w:rPr>
              <w:t>2020-2021</w:t>
            </w:r>
          </w:p>
        </w:tc>
        <w:tc>
          <w:tcPr>
            <w:tcW w:w="3462" w:type="dxa"/>
          </w:tcPr>
          <w:p w14:paraId="414175D7"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Approved budget and continued CAP operations </w:t>
            </w:r>
          </w:p>
        </w:tc>
        <w:tc>
          <w:tcPr>
            <w:tcW w:w="4480" w:type="dxa"/>
          </w:tcPr>
          <w:p w14:paraId="075286A9" w14:textId="1805163B"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trike/>
                <w:color w:val="222222"/>
                <w:sz w:val="20"/>
                <w:szCs w:val="20"/>
              </w:rPr>
            </w:pPr>
          </w:p>
        </w:tc>
        <w:tc>
          <w:tcPr>
            <w:tcW w:w="3819" w:type="dxa"/>
          </w:tcPr>
          <w:p w14:paraId="0404B4CD"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On expenditures, staff posts and expenditures </w:t>
            </w:r>
          </w:p>
        </w:tc>
      </w:tr>
      <w:tr w:rsidR="00DC3E2E" w:rsidRPr="00AE27C2" w14:paraId="7D9427C6"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Pr>
          <w:p w14:paraId="5629C912" w14:textId="77777777" w:rsidR="00DC3E2E" w:rsidRPr="00AE27C2" w:rsidRDefault="00DC3E2E" w:rsidP="006233FA">
            <w:pPr>
              <w:spacing w:before="120" w:after="0"/>
              <w:rPr>
                <w:b w:val="0"/>
                <w:bCs w:val="0"/>
                <w:sz w:val="20"/>
                <w:szCs w:val="20"/>
              </w:rPr>
            </w:pPr>
            <w:r w:rsidRPr="00AE27C2">
              <w:rPr>
                <w:color w:val="auto"/>
                <w:sz w:val="20"/>
                <w:szCs w:val="20"/>
              </w:rPr>
              <w:t>90</w:t>
            </w:r>
            <w:r w:rsidRPr="00AE27C2">
              <w:rPr>
                <w:color w:val="auto"/>
                <w:sz w:val="20"/>
                <w:szCs w:val="20"/>
                <w:vertAlign w:val="superscript"/>
              </w:rPr>
              <w:t>th</w:t>
            </w:r>
            <w:r w:rsidRPr="00AE27C2">
              <w:rPr>
                <w:color w:val="auto"/>
                <w:sz w:val="20"/>
                <w:szCs w:val="20"/>
              </w:rPr>
              <w:t xml:space="preserve"> </w:t>
            </w:r>
          </w:p>
        </w:tc>
        <w:tc>
          <w:tcPr>
            <w:tcW w:w="1200" w:type="dxa"/>
          </w:tcPr>
          <w:p w14:paraId="1C13ABC1"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strike/>
                <w:color w:val="222222"/>
                <w:sz w:val="20"/>
                <w:szCs w:val="20"/>
              </w:rPr>
            </w:pPr>
            <w:r w:rsidRPr="00AE27C2">
              <w:rPr>
                <w:strike/>
                <w:color w:val="222222"/>
                <w:sz w:val="20"/>
                <w:szCs w:val="20"/>
              </w:rPr>
              <w:t xml:space="preserve">June 2022 </w:t>
            </w:r>
          </w:p>
        </w:tc>
        <w:tc>
          <w:tcPr>
            <w:tcW w:w="3462" w:type="dxa"/>
          </w:tcPr>
          <w:p w14:paraId="39B0DA63"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Approved budget</w:t>
            </w:r>
          </w:p>
        </w:tc>
        <w:tc>
          <w:tcPr>
            <w:tcW w:w="4480" w:type="dxa"/>
          </w:tcPr>
          <w:p w14:paraId="50B6E88C" w14:textId="436D25D5"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sidRPr="00AE27C2">
              <w:rPr>
                <w:color w:val="222222"/>
                <w:sz w:val="20"/>
                <w:szCs w:val="20"/>
              </w:rPr>
              <w:t xml:space="preserve">Emphasizing support for </w:t>
            </w:r>
            <w:r w:rsidR="0001267E">
              <w:rPr>
                <w:color w:val="222222"/>
                <w:sz w:val="20"/>
                <w:szCs w:val="20"/>
              </w:rPr>
              <w:t>KA</w:t>
            </w:r>
            <w:r w:rsidRPr="00AE27C2">
              <w:rPr>
                <w:color w:val="222222"/>
                <w:sz w:val="20"/>
                <w:szCs w:val="20"/>
              </w:rPr>
              <w:t xml:space="preserve"> preparation HFC phase-down</w:t>
            </w:r>
          </w:p>
        </w:tc>
        <w:tc>
          <w:tcPr>
            <w:tcW w:w="3819" w:type="dxa"/>
          </w:tcPr>
          <w:p w14:paraId="140421DF" w14:textId="3E6F1AE5" w:rsidR="00DC3E2E" w:rsidRPr="00AE27C2" w:rsidRDefault="0001267E" w:rsidP="006233FA">
            <w:pPr>
              <w:spacing w:before="120"/>
              <w:cnfStyle w:val="000000100000" w:firstRow="0" w:lastRow="0" w:firstColumn="0" w:lastColumn="0" w:oddVBand="0" w:evenVBand="0" w:oddHBand="1" w:evenHBand="0" w:firstRowFirstColumn="0" w:firstRowLastColumn="0" w:lastRowFirstColumn="0" w:lastRowLastColumn="0"/>
              <w:rPr>
                <w:color w:val="222222"/>
                <w:sz w:val="20"/>
                <w:szCs w:val="20"/>
              </w:rPr>
            </w:pPr>
            <w:r>
              <w:rPr>
                <w:color w:val="222222"/>
                <w:sz w:val="20"/>
                <w:szCs w:val="20"/>
              </w:rPr>
              <w:t>KA</w:t>
            </w:r>
            <w:r w:rsidR="00DC3E2E" w:rsidRPr="00AE27C2">
              <w:rPr>
                <w:color w:val="222222"/>
                <w:sz w:val="20"/>
                <w:szCs w:val="20"/>
              </w:rPr>
              <w:t xml:space="preserve"> preparation</w:t>
            </w:r>
          </w:p>
        </w:tc>
      </w:tr>
      <w:tr w:rsidR="00DC3E2E" w:rsidRPr="00AE27C2" w14:paraId="1FCF5087" w14:textId="77777777" w:rsidTr="006233FA">
        <w:tc>
          <w:tcPr>
            <w:cnfStyle w:val="001000000000" w:firstRow="0" w:lastRow="0" w:firstColumn="1" w:lastColumn="0" w:oddVBand="0" w:evenVBand="0" w:oddHBand="0" w:evenHBand="0" w:firstRowFirstColumn="0" w:firstRowLastColumn="0" w:lastRowFirstColumn="0" w:lastRowLastColumn="0"/>
            <w:tcW w:w="1011" w:type="dxa"/>
          </w:tcPr>
          <w:p w14:paraId="37C6C6E0" w14:textId="2F521523" w:rsidR="00DC3E2E" w:rsidRPr="00AE27C2" w:rsidRDefault="00DC3E2E" w:rsidP="006233FA">
            <w:pPr>
              <w:spacing w:before="120" w:after="0"/>
              <w:rPr>
                <w:sz w:val="20"/>
                <w:szCs w:val="20"/>
              </w:rPr>
            </w:pPr>
            <w:r w:rsidRPr="00AE27C2">
              <w:rPr>
                <w:color w:val="auto"/>
                <w:sz w:val="20"/>
                <w:szCs w:val="20"/>
              </w:rPr>
              <w:t>93</w:t>
            </w:r>
            <w:r w:rsidR="002B3C7A" w:rsidRPr="00C10C6D">
              <w:rPr>
                <w:color w:val="auto"/>
                <w:sz w:val="20"/>
                <w:szCs w:val="20"/>
                <w:vertAlign w:val="superscript"/>
              </w:rPr>
              <w:t>rd</w:t>
            </w:r>
            <w:r w:rsidR="002B3C7A">
              <w:rPr>
                <w:color w:val="auto"/>
                <w:sz w:val="20"/>
                <w:szCs w:val="20"/>
              </w:rPr>
              <w:t xml:space="preserve"> </w:t>
            </w:r>
            <w:r w:rsidRPr="00AE27C2">
              <w:rPr>
                <w:color w:val="auto"/>
                <w:sz w:val="20"/>
                <w:szCs w:val="20"/>
              </w:rPr>
              <w:t xml:space="preserve"> </w:t>
            </w:r>
          </w:p>
        </w:tc>
        <w:tc>
          <w:tcPr>
            <w:tcW w:w="1200" w:type="dxa"/>
          </w:tcPr>
          <w:p w14:paraId="5FC8413C"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 xml:space="preserve">December 2023 </w:t>
            </w:r>
          </w:p>
        </w:tc>
        <w:tc>
          <w:tcPr>
            <w:tcW w:w="3462" w:type="dxa"/>
          </w:tcPr>
          <w:p w14:paraId="207B8E0A"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-Approved the terms of reference for an evaluation of CAP</w:t>
            </w:r>
          </w:p>
          <w:p w14:paraId="37BAB0CA" w14:textId="77777777" w:rsidR="00DC3E2E" w:rsidRPr="00AE27C2" w:rsidRDefault="00DC3E2E" w:rsidP="00DC3E2E">
            <w:pPr>
              <w:spacing w:before="120" w:after="0"/>
              <w:cnfStyle w:val="000000000000" w:firstRow="0" w:lastRow="0" w:firstColumn="0" w:lastColumn="0" w:oddVBand="0" w:evenVBand="0" w:oddHBand="0" w:evenHBand="0" w:firstRowFirstColumn="0" w:firstRowLastColumn="0" w:lastRowFirstColumn="0" w:lastRowLastColumn="0"/>
              <w:rPr>
                <w:strike/>
                <w:color w:val="222222"/>
                <w:sz w:val="20"/>
                <w:szCs w:val="20"/>
              </w:rPr>
            </w:pPr>
          </w:p>
        </w:tc>
        <w:tc>
          <w:tcPr>
            <w:tcW w:w="4480" w:type="dxa"/>
          </w:tcPr>
          <w:p w14:paraId="101D0F86" w14:textId="4CE983F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Additional support for preparing KIPs</w:t>
            </w:r>
          </w:p>
        </w:tc>
        <w:tc>
          <w:tcPr>
            <w:tcW w:w="3819" w:type="dxa"/>
          </w:tcPr>
          <w:p w14:paraId="45E94EDD"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r w:rsidRPr="00AE27C2">
              <w:rPr>
                <w:color w:val="222222"/>
                <w:sz w:val="20"/>
                <w:szCs w:val="20"/>
              </w:rPr>
              <w:t>External evaluation of CAP</w:t>
            </w:r>
          </w:p>
          <w:p w14:paraId="22833D31"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color w:val="222222"/>
                <w:sz w:val="20"/>
                <w:szCs w:val="20"/>
              </w:rPr>
            </w:pPr>
          </w:p>
        </w:tc>
      </w:tr>
      <w:tr w:rsidR="00DC3E2E" w:rsidRPr="00AE27C2" w14:paraId="7AC07CAB" w14:textId="77777777" w:rsidTr="0062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Pr>
          <w:p w14:paraId="6F5108B5" w14:textId="77777777" w:rsidR="00DC3E2E" w:rsidRPr="00AE27C2" w:rsidRDefault="00DC3E2E" w:rsidP="006233FA">
            <w:pPr>
              <w:spacing w:before="120" w:after="0"/>
              <w:rPr>
                <w:b w:val="0"/>
                <w:bCs w:val="0"/>
                <w:sz w:val="20"/>
                <w:szCs w:val="20"/>
              </w:rPr>
            </w:pPr>
            <w:r w:rsidRPr="00AE27C2">
              <w:rPr>
                <w:color w:val="auto"/>
                <w:sz w:val="20"/>
                <w:szCs w:val="20"/>
              </w:rPr>
              <w:t>95</w:t>
            </w:r>
            <w:r w:rsidRPr="00AE27C2">
              <w:rPr>
                <w:color w:val="auto"/>
                <w:sz w:val="20"/>
                <w:szCs w:val="20"/>
                <w:vertAlign w:val="superscript"/>
              </w:rPr>
              <w:t>th</w:t>
            </w:r>
          </w:p>
        </w:tc>
        <w:tc>
          <w:tcPr>
            <w:tcW w:w="1200" w:type="dxa"/>
          </w:tcPr>
          <w:p w14:paraId="12C7F467"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December 2024</w:t>
            </w:r>
          </w:p>
        </w:tc>
        <w:tc>
          <w:tcPr>
            <w:tcW w:w="3462" w:type="dxa"/>
          </w:tcPr>
          <w:p w14:paraId="1BF7D595"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sz w:val="20"/>
                <w:szCs w:val="20"/>
              </w:rPr>
            </w:pPr>
            <w:r w:rsidRPr="00AE27C2">
              <w:rPr>
                <w:strike/>
                <w:sz w:val="20"/>
                <w:szCs w:val="20"/>
              </w:rPr>
              <w:t xml:space="preserve">- </w:t>
            </w:r>
            <w:r w:rsidRPr="00AE27C2">
              <w:rPr>
                <w:sz w:val="20"/>
                <w:szCs w:val="20"/>
              </w:rPr>
              <w:t>Desk study for the evaluation of CAP</w:t>
            </w:r>
          </w:p>
          <w:p w14:paraId="0DC97785"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 Approved the CAP budget</w:t>
            </w:r>
          </w:p>
          <w:p w14:paraId="04FADA40" w14:textId="77777777" w:rsidR="00DC3E2E" w:rsidRPr="00AE27C2" w:rsidRDefault="00DC3E2E" w:rsidP="006233FA">
            <w:pPr>
              <w:spacing w:before="120" w:after="0"/>
              <w:cnfStyle w:val="000000100000" w:firstRow="0" w:lastRow="0" w:firstColumn="0" w:lastColumn="0" w:oddVBand="0" w:evenVBand="0" w:oddHBand="1" w:evenHBand="0" w:firstRowFirstColumn="0" w:firstRowLastColumn="0" w:lastRowFirstColumn="0" w:lastRowLastColumn="0"/>
              <w:rPr>
                <w:strike/>
                <w:sz w:val="20"/>
                <w:szCs w:val="20"/>
              </w:rPr>
            </w:pPr>
          </w:p>
        </w:tc>
        <w:tc>
          <w:tcPr>
            <w:tcW w:w="4480" w:type="dxa"/>
          </w:tcPr>
          <w:p w14:paraId="26936DD1"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Requested detailed reporting</w:t>
            </w:r>
          </w:p>
        </w:tc>
        <w:tc>
          <w:tcPr>
            <w:tcW w:w="3819" w:type="dxa"/>
          </w:tcPr>
          <w:p w14:paraId="00E8B6FB" w14:textId="77777777" w:rsidR="00DC3E2E" w:rsidRPr="00AE27C2" w:rsidRDefault="00DC3E2E" w:rsidP="006233FA">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AE27C2">
              <w:rPr>
                <w:sz w:val="20"/>
                <w:szCs w:val="20"/>
              </w:rPr>
              <w:t>On expenditures, staff posts and expenditures</w:t>
            </w:r>
          </w:p>
        </w:tc>
      </w:tr>
      <w:tr w:rsidR="00DC3E2E" w:rsidRPr="00AE27C2" w14:paraId="17DEE9D4" w14:textId="77777777" w:rsidTr="006233FA">
        <w:tc>
          <w:tcPr>
            <w:cnfStyle w:val="001000000000" w:firstRow="0" w:lastRow="0" w:firstColumn="1" w:lastColumn="0" w:oddVBand="0" w:evenVBand="0" w:oddHBand="0" w:evenHBand="0" w:firstRowFirstColumn="0" w:firstRowLastColumn="0" w:lastRowFirstColumn="0" w:lastRowLastColumn="0"/>
            <w:tcW w:w="1011" w:type="dxa"/>
          </w:tcPr>
          <w:p w14:paraId="457BA2E2" w14:textId="265B37AE" w:rsidR="00DC3E2E" w:rsidRPr="00AE27C2" w:rsidRDefault="00DC3E2E" w:rsidP="006233FA">
            <w:pPr>
              <w:spacing w:before="120" w:after="0"/>
              <w:rPr>
                <w:sz w:val="20"/>
                <w:szCs w:val="20"/>
              </w:rPr>
            </w:pPr>
            <w:r w:rsidRPr="00AE27C2">
              <w:rPr>
                <w:color w:val="auto"/>
                <w:sz w:val="20"/>
                <w:szCs w:val="20"/>
              </w:rPr>
              <w:t>97</w:t>
            </w:r>
            <w:r w:rsidR="002B3C7A" w:rsidRPr="00C10C6D">
              <w:rPr>
                <w:color w:val="auto"/>
                <w:sz w:val="20"/>
                <w:szCs w:val="20"/>
                <w:vertAlign w:val="superscript"/>
              </w:rPr>
              <w:t>th</w:t>
            </w:r>
            <w:r w:rsidR="002B3C7A">
              <w:rPr>
                <w:color w:val="auto"/>
                <w:sz w:val="20"/>
                <w:szCs w:val="20"/>
              </w:rPr>
              <w:t xml:space="preserve"> </w:t>
            </w:r>
          </w:p>
        </w:tc>
        <w:tc>
          <w:tcPr>
            <w:tcW w:w="1200" w:type="dxa"/>
          </w:tcPr>
          <w:p w14:paraId="332499BC"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AE27C2">
              <w:rPr>
                <w:sz w:val="20"/>
                <w:szCs w:val="20"/>
              </w:rPr>
              <w:t>December 2025</w:t>
            </w:r>
          </w:p>
        </w:tc>
        <w:tc>
          <w:tcPr>
            <w:tcW w:w="3462" w:type="dxa"/>
          </w:tcPr>
          <w:p w14:paraId="1E2A8EC6" w14:textId="77777777" w:rsidR="00DC3E2E" w:rsidRPr="00AE27C2" w:rsidRDefault="00DC3E2E" w:rsidP="006233FA">
            <w:pPr>
              <w:spacing w:before="120" w:after="0"/>
              <w:cnfStyle w:val="000000000000" w:firstRow="0" w:lastRow="0" w:firstColumn="0" w:lastColumn="0" w:oddVBand="0" w:evenVBand="0" w:oddHBand="0" w:evenHBand="0" w:firstRowFirstColumn="0" w:firstRowLastColumn="0" w:lastRowFirstColumn="0" w:lastRowLastColumn="0"/>
              <w:rPr>
                <w:strike/>
                <w:sz w:val="20"/>
                <w:szCs w:val="20"/>
              </w:rPr>
            </w:pPr>
            <w:r w:rsidRPr="00AE27C2">
              <w:rPr>
                <w:strike/>
                <w:sz w:val="20"/>
                <w:szCs w:val="20"/>
              </w:rPr>
              <w:t xml:space="preserve">- </w:t>
            </w:r>
            <w:r w:rsidRPr="00AE27C2">
              <w:rPr>
                <w:sz w:val="20"/>
                <w:szCs w:val="20"/>
              </w:rPr>
              <w:t>Approved the CAP budget</w:t>
            </w:r>
          </w:p>
        </w:tc>
        <w:tc>
          <w:tcPr>
            <w:tcW w:w="4480" w:type="dxa"/>
          </w:tcPr>
          <w:p w14:paraId="61B414B9"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AE27C2">
              <w:rPr>
                <w:sz w:val="20"/>
                <w:szCs w:val="20"/>
              </w:rPr>
              <w:t>Requested detailed reporting</w:t>
            </w:r>
          </w:p>
        </w:tc>
        <w:tc>
          <w:tcPr>
            <w:tcW w:w="3819" w:type="dxa"/>
          </w:tcPr>
          <w:p w14:paraId="548BF265" w14:textId="77777777" w:rsidR="00DC3E2E" w:rsidRPr="00AE27C2" w:rsidRDefault="00DC3E2E" w:rsidP="006233FA">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AE27C2">
              <w:rPr>
                <w:sz w:val="20"/>
                <w:szCs w:val="20"/>
              </w:rPr>
              <w:t>On expenditures, staff posts and expenditures</w:t>
            </w:r>
          </w:p>
        </w:tc>
      </w:tr>
    </w:tbl>
    <w:p w14:paraId="4BEF1886" w14:textId="77777777" w:rsidR="00A4452F" w:rsidRPr="003C7B28" w:rsidRDefault="00A4452F" w:rsidP="004325AA">
      <w:pPr>
        <w:rPr>
          <w:sz w:val="18"/>
          <w:szCs w:val="18"/>
        </w:rPr>
      </w:pPr>
    </w:p>
    <w:p w14:paraId="6F39630E" w14:textId="77777777" w:rsidR="004325AA" w:rsidRDefault="004325AA" w:rsidP="004325AA">
      <w:pPr>
        <w:tabs>
          <w:tab w:val="left" w:pos="1418"/>
        </w:tabs>
        <w:spacing w:after="0"/>
        <w:ind w:left="1411" w:hanging="1411"/>
        <w:rPr>
          <w:rFonts w:eastAsiaTheme="minorHAnsi"/>
          <w:b/>
          <w:bCs/>
        </w:rPr>
      </w:pPr>
    </w:p>
    <w:p w14:paraId="72228ECC" w14:textId="3E2D3886" w:rsidR="00AD5185" w:rsidRPr="00183362" w:rsidRDefault="001D4B36" w:rsidP="00B92655">
      <w:pPr>
        <w:tabs>
          <w:tab w:val="clear" w:pos="0"/>
        </w:tabs>
        <w:spacing w:after="0"/>
      </w:pPr>
      <w:r>
        <w:br w:type="page"/>
      </w:r>
    </w:p>
    <w:p w14:paraId="59901A42" w14:textId="6808AD0F" w:rsidR="00AD5185" w:rsidRPr="00183362" w:rsidRDefault="00EB61F6" w:rsidP="005D31A7">
      <w:pPr>
        <w:pStyle w:val="Heading1"/>
      </w:pPr>
      <w:bookmarkStart w:id="387" w:name="_Toc230099170"/>
      <w:r w:rsidRPr="5B7AD813">
        <w:rPr>
          <w:rFonts w:eastAsia="SimSun"/>
        </w:rPr>
        <w:lastRenderedPageBreak/>
        <w:t>A</w:t>
      </w:r>
      <w:r w:rsidR="66AA17EA" w:rsidRPr="5B7AD813">
        <w:rPr>
          <w:rFonts w:eastAsia="SimSun"/>
        </w:rPr>
        <w:t>NNEX 8</w:t>
      </w:r>
      <w:r w:rsidR="4DDA23D8" w:rsidRPr="4DDA23D8">
        <w:rPr>
          <w:rFonts w:eastAsia="SimSun"/>
        </w:rPr>
        <w:t>:</w:t>
      </w:r>
      <w:r w:rsidR="00F6417D">
        <w:t xml:space="preserve"> </w:t>
      </w:r>
      <w:r w:rsidR="4DDA23D8" w:rsidRPr="4DDA23D8">
        <w:rPr>
          <w:rFonts w:eastAsia="SimSun"/>
        </w:rPr>
        <w:t>DECISIONS</w:t>
      </w:r>
      <w:r w:rsidR="66AA17EA" w:rsidRPr="5B7AD813">
        <w:rPr>
          <w:rFonts w:eastAsia="SimSun"/>
        </w:rPr>
        <w:t xml:space="preserve"> RELATED TO </w:t>
      </w:r>
      <w:r w:rsidR="66AA17EA" w:rsidRPr="36D24811">
        <w:rPr>
          <w:rFonts w:eastAsia="SimSun"/>
        </w:rPr>
        <w:t>ENHANCING REGIONAL ATMOSPHERIC MONITORING</w:t>
      </w:r>
      <w:bookmarkEnd w:id="387"/>
    </w:p>
    <w:p w14:paraId="160B98CA" w14:textId="2FE403F9" w:rsidR="00AD5185" w:rsidRPr="00B262C6" w:rsidRDefault="002B4D31" w:rsidP="002D02B7">
      <w:pPr>
        <w:pStyle w:val="Heading2"/>
      </w:pPr>
      <w:bookmarkStart w:id="388" w:name="_Toc230099171"/>
      <w:r w:rsidRPr="00B262C6">
        <w:t>A</w:t>
      </w:r>
      <w:r w:rsidR="23DE3036" w:rsidRPr="00B262C6">
        <w:t>8</w:t>
      </w:r>
      <w:r w:rsidRPr="00B262C6">
        <w:t>.</w:t>
      </w:r>
      <w:r w:rsidR="00AD5185" w:rsidRPr="00B262C6">
        <w:t>1</w:t>
      </w:r>
      <w:r w:rsidR="009C3C8F">
        <w:tab/>
      </w:r>
      <w:r w:rsidR="00AD5185" w:rsidRPr="00B262C6">
        <w:t>Decision XXX/3: Unexpected emissions of CFC-11</w:t>
      </w:r>
      <w:bookmarkEnd w:id="388"/>
    </w:p>
    <w:p w14:paraId="55F1344E" w14:textId="64013DEA" w:rsidR="00AD5185" w:rsidRPr="00183362" w:rsidRDefault="00AD5185" w:rsidP="00AD5185">
      <w:r w:rsidRPr="00183362">
        <w:t xml:space="preserve">At their </w:t>
      </w:r>
      <w:r w:rsidR="00FB7C66">
        <w:t xml:space="preserve">MOP-30 </w:t>
      </w:r>
      <w:r w:rsidRPr="00183362">
        <w:t xml:space="preserve">in 2018, the parties adopted “Decision XXX/3: Unexpected emissions of trichlorofluoromethane (CFC-11)”, which requested, </w:t>
      </w:r>
      <w:r w:rsidRPr="00183362">
        <w:rPr>
          <w:i/>
          <w:iCs/>
        </w:rPr>
        <w:t>inter alia</w:t>
      </w:r>
      <w:r w:rsidRPr="00183362">
        <w:t>:</w:t>
      </w:r>
    </w:p>
    <w:p w14:paraId="217073A6" w14:textId="0A5E25E9" w:rsidR="00AD5185" w:rsidRPr="0079336C" w:rsidRDefault="00AD5185" w:rsidP="004F39F1">
      <w:pPr>
        <w:pStyle w:val="ListParagraph"/>
        <w:numPr>
          <w:ilvl w:val="0"/>
          <w:numId w:val="0"/>
        </w:numPr>
        <w:spacing w:after="160"/>
        <w:ind w:left="763"/>
        <w:contextualSpacing/>
        <w:rPr>
          <w:i/>
          <w:iCs/>
        </w:rPr>
      </w:pPr>
      <w:r w:rsidRPr="0079336C">
        <w:rPr>
          <w:i/>
          <w:iCs/>
        </w:rPr>
        <w:t>[The] Scientific Assessment Panel to provide to the Parties a summary report on the unexpected increase of CFC-11 emissions, which would supplement the information in the quadrennial assessment, including additional information regarding atmospheric monitoring and modelling, including underlying assumptions, with respect to such emissions; a preliminary summary report should be provided to the Open-ended Working Group at its forty-first meeting, a further update to the Thirty-First Meeting of the Parties and a final report to the Thirty-Second Meeting of the Parties;</w:t>
      </w:r>
    </w:p>
    <w:p w14:paraId="72115C93" w14:textId="77777777" w:rsidR="00AD5185" w:rsidRPr="0079336C" w:rsidRDefault="00AD5185" w:rsidP="004F39F1">
      <w:pPr>
        <w:tabs>
          <w:tab w:val="clear" w:pos="0"/>
        </w:tabs>
        <w:spacing w:after="160"/>
        <w:ind w:left="763"/>
        <w:rPr>
          <w:i/>
          <w:iCs/>
        </w:rPr>
      </w:pPr>
      <w:r w:rsidRPr="0079336C">
        <w:rPr>
          <w:i/>
          <w:iCs/>
        </w:rPr>
        <w:t>“…the [TEAP] to provide the parties with information on potential sources of emissions of CFC-11 and related controlled substances from potential production and uses, as well as from banks, that may have resulted in emissions of CFC-11 in unexpected quantities in the relevant regions; a preliminary report should be provided to the Open</w:t>
      </w:r>
      <w:r w:rsidRPr="0079336C">
        <w:rPr>
          <w:i/>
          <w:iCs/>
        </w:rPr>
        <w:noBreakHyphen/>
        <w:t>ended Working Group at its forty-first meeting and a final report to the Thirty-First Meeting of the Parties;</w:t>
      </w:r>
    </w:p>
    <w:p w14:paraId="1F19793A" w14:textId="77777777" w:rsidR="00AD5185" w:rsidRPr="00183362" w:rsidRDefault="62A153E7" w:rsidP="0079336C">
      <w:r w:rsidRPr="00183362">
        <w:t>In response to Decision XXX/3, TEAP produced a preliminary report in May and a final report in September, “Decision XXX/3 Task Force Report on Unexpected Emissions of CFC-11.”</w:t>
      </w:r>
      <w:r w:rsidR="00AD5185" w:rsidRPr="00183362">
        <w:rPr>
          <w:rStyle w:val="FootnoteReference"/>
        </w:rPr>
        <w:footnoteReference w:id="109"/>
      </w:r>
      <w:r w:rsidRPr="00183362">
        <w:rPr>
          <w:vertAlign w:val="superscript"/>
        </w:rPr>
        <w:t xml:space="preserve">, </w:t>
      </w:r>
      <w:r w:rsidR="00AD5185" w:rsidRPr="00183362">
        <w:rPr>
          <w:rStyle w:val="FootnoteReference"/>
        </w:rPr>
        <w:footnoteReference w:id="110"/>
      </w:r>
      <w:r w:rsidRPr="00183362">
        <w:t xml:space="preserve"> TEAP considered potential sources of CFC-11 and related controlled substances as well as its historical use in various sectors and applications. The final report concluded that “[based] on modelling of CFC-11 production, usage, emissions and comparison against atmospheric-derived emissions, it is unlikely that past production and historic usage can account for the unexpected CFC-11 emissions, including from existing foam banks.” It attributed the unexpected emissions to stem from a “resumption of newly produced CFC-11 in closed-cell foams.”</w:t>
      </w:r>
    </w:p>
    <w:p w14:paraId="2F4C696F" w14:textId="77777777" w:rsidR="00AD5185" w:rsidRPr="00183362" w:rsidRDefault="62A153E7" w:rsidP="00AD5185">
      <w:r w:rsidRPr="00183362">
        <w:t>In response to Decision XXX/3, SAP produced a report released by the World Meteorological Organization (WMO) in 2021, “Report on the Unexpected Emissions of CFC-11.”</w:t>
      </w:r>
      <w:r w:rsidR="00AD5185" w:rsidRPr="00183362">
        <w:rPr>
          <w:rStyle w:val="FootnoteReference"/>
        </w:rPr>
        <w:footnoteReference w:id="111"/>
      </w:r>
      <w:r w:rsidRPr="00183362">
        <w:t xml:space="preserve"> The report addressed: current and past observations of CFC-11 atmospheric abundances, information on the CFC-11 global and regional emission increase and subsequent decrease, changes derived for emissions of CFC-12 and carbon tetrachloride (CCl</w:t>
      </w:r>
      <w:r w:rsidRPr="00183362">
        <w:rPr>
          <w:vertAlign w:val="subscript"/>
        </w:rPr>
        <w:t>4</w:t>
      </w:r>
      <w:r w:rsidRPr="00183362">
        <w:t>), estimates of CFC-11 banks (CFC-11 that has been produced but has not yet been emitted), scenarios of future emissions and atmospheric concentrations, and the impact on the stratospheric ozone layer of the anomalous enhancement in CFC-11 emissions. Drawing on concentration enhancements measured in pollution plumes from source regions, the report attributed a large proportion of the increase in unexpected global CFC-11 emissions during 2014-2017 to Eastern China; these emissions decreased substantially between 2014-2017 and 2019. Because the increased CFC-11 emissions significantly elevated only for a brief period (2014-2019), the “anticipated recovery [measured as a return to 1980 levels] from stratospheric ozone depletion will not be substantially delayed…only 0.4-1.3 years globally and by 0.5-3.1 years for the Antarctic ozone hole.”</w:t>
      </w:r>
    </w:p>
    <w:p w14:paraId="2175861E" w14:textId="65C381AA" w:rsidR="00AD5185" w:rsidRPr="00183362" w:rsidRDefault="00C37D13" w:rsidP="002D02B7">
      <w:pPr>
        <w:pStyle w:val="Heading2"/>
      </w:pPr>
      <w:bookmarkStart w:id="389" w:name="_Toc230099172"/>
      <w:r>
        <w:lastRenderedPageBreak/>
        <w:t>A</w:t>
      </w:r>
      <w:r w:rsidR="6F7154D8">
        <w:t>8</w:t>
      </w:r>
      <w:r>
        <w:t>.2</w:t>
      </w:r>
      <w:r>
        <w:tab/>
      </w:r>
      <w:r w:rsidR="00AD5185" w:rsidRPr="00183362">
        <w:t>Decision XXXI/3: Unexpected emissions of CFC-11 and institutional processes to be enhanced to strengthen the effective implementation and enforcement of the Montreal Protocol</w:t>
      </w:r>
      <w:bookmarkEnd w:id="389"/>
    </w:p>
    <w:p w14:paraId="34A6E89E" w14:textId="5C86088D" w:rsidR="00AD5185" w:rsidRPr="00183362" w:rsidRDefault="00AD5185" w:rsidP="00AD5185">
      <w:r w:rsidRPr="00183362">
        <w:t xml:space="preserve">At </w:t>
      </w:r>
      <w:r w:rsidR="007A4B49">
        <w:t>MOP-31</w:t>
      </w:r>
      <w:r w:rsidRPr="00183362">
        <w:t xml:space="preserve"> in 2019, parties adopted “Decision XXXI/3: Unexpected emissions of CFC-11 and institutional processes to be enhanced to strengthen the effective implementation and enforcement of the Montreal Protocol”, which requested, </w:t>
      </w:r>
      <w:r w:rsidRPr="00183362">
        <w:rPr>
          <w:i/>
          <w:iCs/>
        </w:rPr>
        <w:t>inter alia</w:t>
      </w:r>
      <w:r w:rsidRPr="00183362">
        <w:t>:</w:t>
      </w:r>
    </w:p>
    <w:p w14:paraId="0236C653" w14:textId="77777777" w:rsidR="00AD5185" w:rsidRPr="00C37D13" w:rsidRDefault="00AD5185" w:rsidP="004F39F1">
      <w:pPr>
        <w:spacing w:after="160"/>
        <w:ind w:left="360"/>
        <w:contextualSpacing/>
        <w:rPr>
          <w:i/>
          <w:iCs/>
        </w:rPr>
      </w:pPr>
      <w:r w:rsidRPr="00C37D13">
        <w:rPr>
          <w:i/>
          <w:iCs/>
        </w:rPr>
        <w:t>[The TEAP] to provide the parties with an update to the information provided pursuant to paragraph 2 of decision </w:t>
      </w:r>
      <w:hyperlink r:id="rId73" w:history="1">
        <w:r w:rsidRPr="00C37D13">
          <w:rPr>
            <w:rStyle w:val="Hyperlink"/>
            <w:i/>
            <w:iCs/>
          </w:rPr>
          <w:t>XXX/3</w:t>
        </w:r>
      </w:hyperlink>
      <w:r w:rsidRPr="00C37D13">
        <w:rPr>
          <w:i/>
          <w:iCs/>
        </w:rPr>
        <w:t>, and to provide a report thereon to the Thirty-Second Meeting of the Parties, including any new compelling information that becomes available, as well as providing information on the following:</w:t>
      </w:r>
    </w:p>
    <w:p w14:paraId="0A63183A" w14:textId="77777777" w:rsidR="00AD5185" w:rsidRPr="008B12AD" w:rsidRDefault="00AD5185" w:rsidP="000E79CB">
      <w:pPr>
        <w:pStyle w:val="ListParagraph"/>
        <w:numPr>
          <w:ilvl w:val="0"/>
          <w:numId w:val="30"/>
        </w:numPr>
        <w:spacing w:after="160" w:line="278" w:lineRule="auto"/>
        <w:contextualSpacing/>
        <w:rPr>
          <w:i/>
          <w:iCs/>
        </w:rPr>
      </w:pPr>
      <w:r w:rsidRPr="008B12AD">
        <w:rPr>
          <w:i/>
          <w:iCs/>
        </w:rPr>
        <w:t>An analysis of CFC</w:t>
      </w:r>
      <w:r w:rsidRPr="008B12AD">
        <w:rPr>
          <w:i/>
          <w:iCs/>
        </w:rPr>
        <w:noBreakHyphen/>
        <w:t>11 banks by geographic location and by market sector;</w:t>
      </w:r>
    </w:p>
    <w:p w14:paraId="16A513C9" w14:textId="77777777" w:rsidR="00AD5185" w:rsidRPr="008B12AD" w:rsidRDefault="00AD5185" w:rsidP="000E79CB">
      <w:pPr>
        <w:pStyle w:val="ListParagraph"/>
        <w:numPr>
          <w:ilvl w:val="0"/>
          <w:numId w:val="30"/>
        </w:numPr>
        <w:spacing w:after="160" w:line="278" w:lineRule="auto"/>
        <w:contextualSpacing/>
        <w:rPr>
          <w:i/>
          <w:iCs/>
        </w:rPr>
      </w:pPr>
      <w:r w:rsidRPr="008B12AD">
        <w:rPr>
          <w:i/>
          <w:iCs/>
        </w:rPr>
        <w:t>Linkages between the level of production of anhydrous hydrogen fluoride and carbon tetrachloride and unexpected emissions of CFC</w:t>
      </w:r>
      <w:r w:rsidRPr="008B12AD">
        <w:rPr>
          <w:i/>
          <w:iCs/>
        </w:rPr>
        <w:noBreakHyphen/>
        <w:t>11;</w:t>
      </w:r>
    </w:p>
    <w:p w14:paraId="55F4BEA8" w14:textId="77777777" w:rsidR="00AD5185" w:rsidRPr="008B12AD" w:rsidRDefault="00AD5185" w:rsidP="000E79CB">
      <w:pPr>
        <w:pStyle w:val="ListParagraph"/>
        <w:numPr>
          <w:ilvl w:val="0"/>
          <w:numId w:val="30"/>
        </w:numPr>
        <w:spacing w:after="160" w:line="278" w:lineRule="auto"/>
        <w:contextualSpacing/>
        <w:rPr>
          <w:i/>
          <w:iCs/>
        </w:rPr>
      </w:pPr>
      <w:r w:rsidRPr="008B12AD">
        <w:rPr>
          <w:i/>
          <w:iCs/>
        </w:rPr>
        <w:t>The types of CFC</w:t>
      </w:r>
      <w:r w:rsidRPr="008B12AD">
        <w:rPr>
          <w:i/>
          <w:iCs/>
        </w:rPr>
        <w:noBreakHyphen/>
        <w:t>11 products, the disposition of any such products, and opportunities and methods to detect such products and potentially recover the associated CFC</w:t>
      </w:r>
      <w:r w:rsidRPr="008B12AD">
        <w:rPr>
          <w:i/>
          <w:iCs/>
        </w:rPr>
        <w:noBreakHyphen/>
        <w:t>11;</w:t>
      </w:r>
    </w:p>
    <w:p w14:paraId="3DF41E25" w14:textId="74B355DF" w:rsidR="008B12AD" w:rsidRPr="008B12AD" w:rsidRDefault="00AD5185" w:rsidP="000E79CB">
      <w:pPr>
        <w:pStyle w:val="ListParagraph"/>
        <w:numPr>
          <w:ilvl w:val="0"/>
          <w:numId w:val="30"/>
        </w:numPr>
        <w:spacing w:after="160"/>
        <w:contextualSpacing/>
        <w:rPr>
          <w:i/>
          <w:iCs/>
        </w:rPr>
      </w:pPr>
      <w:r w:rsidRPr="008B12AD">
        <w:rPr>
          <w:i/>
          <w:iCs/>
        </w:rPr>
        <w:t>Identification of possible drivers of illegal production of and trade in CFC</w:t>
      </w:r>
      <w:r w:rsidRPr="008B12AD">
        <w:rPr>
          <w:i/>
          <w:iCs/>
        </w:rPr>
        <w:noBreakHyphen/>
        <w:t>11, such as the availability of technically and economically feasible alternatives to CFC</w:t>
      </w:r>
      <w:r w:rsidRPr="008B12AD">
        <w:rPr>
          <w:i/>
          <w:iCs/>
        </w:rPr>
        <w:noBreakHyphen/>
        <w:t>11 and HCFC-141b and their sustained effectiveness;</w:t>
      </w:r>
    </w:p>
    <w:p w14:paraId="0BE00DC2" w14:textId="77777777" w:rsidR="00AD5185" w:rsidRDefault="00AD5185" w:rsidP="004F39F1">
      <w:pPr>
        <w:spacing w:after="160"/>
        <w:ind w:left="360"/>
        <w:contextualSpacing/>
        <w:rPr>
          <w:i/>
          <w:iCs/>
        </w:rPr>
      </w:pPr>
      <w:r w:rsidRPr="00C37D13">
        <w:rPr>
          <w:i/>
          <w:iCs/>
        </w:rPr>
        <w:t>[The SAP] to work with the Ozone Research Managers at their meeting in 2020 to identify gaps in the global coverage of atmospheric monitoring of controlled substances and to provide options on ways to enhance such monitoring, as well as exploring options for informing the parties of preliminary information indicating unexpected emissions of controlled substances, for the consideration of the Thirty-Second Meeting of the Parties to the Montreal Protocol and the Conference of Parties to the Vienna Convention at its twelfth meeting, in 2020;</w:t>
      </w:r>
    </w:p>
    <w:p w14:paraId="48781F9A" w14:textId="77777777" w:rsidR="008B12AD" w:rsidRPr="00C37D13" w:rsidRDefault="008B12AD" w:rsidP="00C37D13">
      <w:pPr>
        <w:spacing w:after="160" w:line="278" w:lineRule="auto"/>
        <w:ind w:left="360"/>
        <w:contextualSpacing/>
        <w:rPr>
          <w:i/>
          <w:iCs/>
        </w:rPr>
      </w:pPr>
    </w:p>
    <w:p w14:paraId="2D7C8459" w14:textId="77777777" w:rsidR="00AD5185" w:rsidRPr="00183362" w:rsidRDefault="62A153E7" w:rsidP="00AD5185">
      <w:r w:rsidRPr="00183362">
        <w:t>In response to Decision XXXI/3, TEAP produced its report “Decision XXXI/3 TEAP Task Force Report on Unexpected Emissions of CFC-11.”</w:t>
      </w:r>
      <w:r w:rsidR="00AD5185" w:rsidRPr="00183362">
        <w:rPr>
          <w:rStyle w:val="FootnoteReference"/>
        </w:rPr>
        <w:footnoteReference w:id="112"/>
      </w:r>
      <w:r w:rsidRPr="00183362">
        <w:t xml:space="preserve"> TEAP refined its global and regional inventory-based modelling of CFC-11 production, usage, and a comparison of resulting emissions against derived CFC-11 emissions from atmospheric observations. It confirmed the findings of TEAP’s 2019 final report on CFC-11 that the difference between the inventory-based modelling estimated of expected CFC-11 emissions and those derived from atmospheric observations is indicative of unreported CFC-11 production and use, and emissions from CFC-11 banks alone cannot explain the unexpected increase in emissions 2013-2018. A new conclusion is that unreported CFC-11 production would seem to have been already occurring in the period 2007-2012, and this is necessary to explain the difference between the inventory-based expected emissions and the derived CFC-11 emission during this earlier period.</w:t>
      </w:r>
    </w:p>
    <w:p w14:paraId="1CEE1F01" w14:textId="1CA85D67" w:rsidR="00AD5185" w:rsidRPr="00183362" w:rsidRDefault="62A153E7" w:rsidP="00AD5185">
      <w:r w:rsidRPr="00183362">
        <w:t xml:space="preserve">In response to Decision XXXI/3, SAP </w:t>
      </w:r>
      <w:r w:rsidR="1FDC0580">
        <w:t xml:space="preserve">and experts in atmospheric monitoring of controlled substance </w:t>
      </w:r>
      <w:r w:rsidRPr="00183362">
        <w:t>prepared a white paper for the 11</w:t>
      </w:r>
      <w:r w:rsidRPr="00183362">
        <w:rPr>
          <w:vertAlign w:val="superscript"/>
        </w:rPr>
        <w:t>th</w:t>
      </w:r>
      <w:r w:rsidRPr="00183362">
        <w:t xml:space="preserve"> Meeting of the Ozone Research Managers (ORM</w:t>
      </w:r>
      <w:r w:rsidR="007A4B49">
        <w:t>-11</w:t>
      </w:r>
      <w:r w:rsidRPr="00183362">
        <w:t>), “Closing the gaps in top-down regional emissions quantification: needs and action plan”.</w:t>
      </w:r>
      <w:r w:rsidR="00AD5185" w:rsidRPr="00183362">
        <w:rPr>
          <w:rStyle w:val="FootnoteReference"/>
        </w:rPr>
        <w:footnoteReference w:id="113"/>
      </w:r>
      <w:r w:rsidRPr="00183362">
        <w:t xml:space="preserve"> The paper noted that the “recent finding of unexpected atmospheric emissions of…[CFC-11] has made it imperative to expand ways to find, quantify, and attribute emissions of substances controlled under the Montreal </w:t>
      </w:r>
      <w:r w:rsidRPr="00183362">
        <w:lastRenderedPageBreak/>
        <w:t>Protocol…to enable the parties to take actions, at country, regional, and international levels to assure compliance, and safeguard the ozone layer and mitigate climate change.” The paper lays out an approach to build on the existing observational network and enhance regional atmospheric monitoring at key locations to close existing data gaps. The paper considered a range of issues associated with expanding these networks, including “essential criteria for establishing new measurement stations and flask sampling locations to optimize the quantification of emissions.” It provided some initial considerations on cost as well as recommendations for initial activities including pilot projects.</w:t>
      </w:r>
    </w:p>
    <w:p w14:paraId="76282694" w14:textId="4FCA4B5E" w:rsidR="00AD5185" w:rsidRPr="00183362" w:rsidRDefault="008B12AD" w:rsidP="002D02B7">
      <w:pPr>
        <w:pStyle w:val="Heading2"/>
      </w:pPr>
      <w:bookmarkStart w:id="390" w:name="_Toc230099173"/>
      <w:r>
        <w:t>A</w:t>
      </w:r>
      <w:r w:rsidR="3E4D8389">
        <w:t>8</w:t>
      </w:r>
      <w:r>
        <w:t>.3</w:t>
      </w:r>
      <w:r>
        <w:tab/>
      </w:r>
      <w:r w:rsidR="00AD5185" w:rsidRPr="00183362">
        <w:t>Decision XXXIII/4: Enhancing the global and regional atmospheric monitoring of substances controlled by the Montreal Protocol</w:t>
      </w:r>
      <w:bookmarkEnd w:id="390"/>
      <w:r w:rsidR="00AD5185" w:rsidRPr="00183362">
        <w:t xml:space="preserve"> </w:t>
      </w:r>
    </w:p>
    <w:p w14:paraId="7D5CE4F6" w14:textId="0006ADE0" w:rsidR="00AD5185" w:rsidRPr="00183362" w:rsidRDefault="00AD5185" w:rsidP="00AD5185">
      <w:r w:rsidRPr="00183362">
        <w:t xml:space="preserve">At </w:t>
      </w:r>
      <w:r w:rsidR="00461D1A">
        <w:t xml:space="preserve">MOP-33 </w:t>
      </w:r>
      <w:r w:rsidRPr="00183362">
        <w:t>in 2021, parties adopted “Decision XXXIII/4: Enhancing the global and regional atmospheric monitoring of substances controlled by the Montreal Protocol” which requested:</w:t>
      </w:r>
    </w:p>
    <w:p w14:paraId="6FC8B277" w14:textId="77777777" w:rsidR="00AD5185" w:rsidRPr="008B12AD" w:rsidRDefault="00AD5185" w:rsidP="008B12AD">
      <w:pPr>
        <w:spacing w:after="160" w:line="278" w:lineRule="auto"/>
        <w:ind w:left="410"/>
        <w:contextualSpacing/>
        <w:rPr>
          <w:i/>
          <w:iCs/>
        </w:rPr>
      </w:pPr>
      <w:r w:rsidRPr="008B12AD">
        <w:rPr>
          <w:i/>
          <w:iCs/>
        </w:rPr>
        <w:t>[The] Ozone Secretariat, in consultation with relevant experts from the [SAP], the [TEAP] and the [ORM], to provide the following information to the parties at the forty-fifth meeting of the Open</w:t>
      </w:r>
      <w:r w:rsidRPr="008B12AD">
        <w:rPr>
          <w:i/>
          <w:iCs/>
        </w:rPr>
        <w:noBreakHyphen/>
        <w:t>ended Working Group of the Parties to the Montreal Protocol, to be held in 2023, and to report on the progress of work at the forty-fourth meeting of the Open</w:t>
      </w:r>
      <w:r w:rsidRPr="008B12AD">
        <w:rPr>
          <w:i/>
          <w:iCs/>
        </w:rPr>
        <w:noBreakHyphen/>
        <w:t>ended Working Group</w:t>
      </w:r>
      <w:r w:rsidRPr="008B12AD">
        <w:rPr>
          <w:b/>
          <w:bCs/>
          <w:i/>
          <w:iCs/>
        </w:rPr>
        <w:t>:</w:t>
      </w:r>
    </w:p>
    <w:p w14:paraId="01737E3D" w14:textId="77777777" w:rsidR="00AD5185" w:rsidRPr="008B12AD" w:rsidRDefault="00AD5185" w:rsidP="000E79CB">
      <w:pPr>
        <w:pStyle w:val="ListParagraph"/>
        <w:numPr>
          <w:ilvl w:val="0"/>
          <w:numId w:val="29"/>
        </w:numPr>
        <w:spacing w:after="160" w:line="278" w:lineRule="auto"/>
        <w:rPr>
          <w:i/>
          <w:iCs/>
        </w:rPr>
      </w:pPr>
      <w:r w:rsidRPr="008B12AD">
        <w:rPr>
          <w:i/>
          <w:iCs/>
        </w:rPr>
        <w:t>Options for the regional monitoring of atmospheric concentrations of substances controlled by the Montreal Protocol, based on the existing information provided by the [SAP] and the [ORM], and the challenges for operationalizing relevant recommendations;</w:t>
      </w:r>
    </w:p>
    <w:p w14:paraId="46BE9924" w14:textId="77777777" w:rsidR="00AD5185" w:rsidRPr="008B12AD" w:rsidRDefault="00AD5185" w:rsidP="000E79CB">
      <w:pPr>
        <w:pStyle w:val="ListParagraph"/>
        <w:numPr>
          <w:ilvl w:val="0"/>
          <w:numId w:val="29"/>
        </w:numPr>
        <w:spacing w:after="160" w:line="278" w:lineRule="auto"/>
        <w:rPr>
          <w:i/>
          <w:iCs/>
        </w:rPr>
      </w:pPr>
      <w:r w:rsidRPr="008B12AD">
        <w:rPr>
          <w:i/>
          <w:iCs/>
        </w:rPr>
        <w:t>The identification of suitable locations for possible high-frequency measurements and flask sampling for regions not, or not sufficiently, covered by existing atmospheric monitoring, with a view to strengthening monitoring capacity and networks;</w:t>
      </w:r>
    </w:p>
    <w:p w14:paraId="1905CFA6" w14:textId="77777777" w:rsidR="00AD5185" w:rsidRPr="008B12AD" w:rsidRDefault="00AD5185" w:rsidP="000E79CB">
      <w:pPr>
        <w:pStyle w:val="ListParagraph"/>
        <w:numPr>
          <w:ilvl w:val="0"/>
          <w:numId w:val="29"/>
        </w:numPr>
        <w:spacing w:after="160" w:line="278" w:lineRule="auto"/>
        <w:rPr>
          <w:i/>
          <w:iCs/>
        </w:rPr>
      </w:pPr>
      <w:r w:rsidRPr="008B12AD">
        <w:rPr>
          <w:i/>
          <w:iCs/>
        </w:rPr>
        <w:t>Options for possible means of establishing new monitoring capacity and related costs, taking into account existing monitoring infrastructure.”</w:t>
      </w:r>
    </w:p>
    <w:p w14:paraId="0EFBE2E2" w14:textId="787F98A8" w:rsidR="00AD5185" w:rsidRPr="00183362" w:rsidRDefault="62A153E7" w:rsidP="00AD5185">
      <w:r w:rsidRPr="00183362">
        <w:t xml:space="preserve">At </w:t>
      </w:r>
      <w:r w:rsidR="00461D1A">
        <w:t>OEWG-44</w:t>
      </w:r>
      <w:r w:rsidRPr="00183362">
        <w:t xml:space="preserve"> in 2022, the </w:t>
      </w:r>
      <w:r w:rsidR="00461D1A">
        <w:t>OS</w:t>
      </w:r>
      <w:r w:rsidRPr="00183362">
        <w:t xml:space="preserve"> presented a progress report</w:t>
      </w:r>
      <w:r w:rsidR="00AD5185" w:rsidRPr="00183362">
        <w:rPr>
          <w:rStyle w:val="FootnoteReference"/>
        </w:rPr>
        <w:footnoteReference w:id="114"/>
      </w:r>
      <w:r w:rsidRPr="00183362">
        <w:t xml:space="preserve"> in response to decision XXXIII/4. The </w:t>
      </w:r>
      <w:r w:rsidR="00461D1A">
        <w:t>OS</w:t>
      </w:r>
      <w:r w:rsidRPr="00183362">
        <w:t xml:space="preserve">’s report included information on the implementation of the pilot project developed by the </w:t>
      </w:r>
      <w:r w:rsidR="00461D1A">
        <w:t>OS</w:t>
      </w:r>
      <w:r w:rsidRPr="00183362">
        <w:t xml:space="preserve"> in 2021 and funded by the EU on the regional quantification of emissions of controlled substances.</w:t>
      </w:r>
      <w:r w:rsidR="00AD5185" w:rsidRPr="00183362">
        <w:rPr>
          <w:rStyle w:val="FootnoteReference"/>
        </w:rPr>
        <w:footnoteReference w:id="115"/>
      </w:r>
      <w:r w:rsidRPr="00183362">
        <w:t xml:space="preserve"> This pilot project was developed based on the white paper</w:t>
      </w:r>
      <w:r w:rsidR="00AD5185" w:rsidRPr="00183362">
        <w:rPr>
          <w:rStyle w:val="FootnoteReference"/>
        </w:rPr>
        <w:footnoteReference w:id="116"/>
      </w:r>
      <w:r w:rsidRPr="00183362">
        <w:t xml:space="preserve"> prepared by the SAP in 2020 in cooperation with atmospheric monitoring experts and discussed and endorsed by the ORM. The purpose of the project is to identify the regions where emissions are likely to occur, the locations of potential observation stations, the protocols for measurements and analyses that best provide the required information; to assess the capabilities of the locations and types of measurements for installing one or more stations; and to initiate new measurements at those stations. The implementation of the pilot project is managed by the </w:t>
      </w:r>
      <w:r w:rsidR="00185768">
        <w:t>OS</w:t>
      </w:r>
      <w:r w:rsidRPr="00183362">
        <w:t xml:space="preserve"> and overseen by a steering committee established in November 2021.</w:t>
      </w:r>
    </w:p>
    <w:p w14:paraId="703BA7D4" w14:textId="747F472A" w:rsidR="00AD5185" w:rsidRPr="00183362" w:rsidRDefault="62A153E7" w:rsidP="00AD5185">
      <w:r w:rsidRPr="00183362">
        <w:t xml:space="preserve">The report noted a virtual discussion forum was held in March 2022 and focused on understanding emission sources, the future evolution of controlled substances and other compounds important to the </w:t>
      </w:r>
      <w:r w:rsidR="00FB7C66">
        <w:t>MP</w:t>
      </w:r>
      <w:r w:rsidRPr="00183362">
        <w:t xml:space="preserve">, observational systems and techniques, and the siting and development of new stations to improve regional coverage. The best way to carry out measurements, i.e., by flask sample collection and </w:t>
      </w:r>
      <w:r w:rsidRPr="00183362">
        <w:lastRenderedPageBreak/>
        <w:t>analyses in one or two central analytical facilities or by installing automated high-frequency in-situ measuring instruments, was discussed. Work was also expected to conclude shortly on the identification of suitable locations for carrying out measurements. The Secretariat provided an update on these activities in an addendum to its note</w:t>
      </w:r>
      <w:r w:rsidR="00AD5185" w:rsidRPr="00183362">
        <w:rPr>
          <w:rStyle w:val="FootnoteReference"/>
        </w:rPr>
        <w:footnoteReference w:id="117"/>
      </w:r>
      <w:r w:rsidRPr="00183362">
        <w:t xml:space="preserve"> at </w:t>
      </w:r>
      <w:r w:rsidR="00F25302">
        <w:t>MOP-34</w:t>
      </w:r>
      <w:r w:rsidRPr="00183362">
        <w:t xml:space="preserve"> in November 2022.</w:t>
      </w:r>
    </w:p>
    <w:p w14:paraId="3BA264E8" w14:textId="2D28EC6D" w:rsidR="00AD5185" w:rsidRPr="00183362" w:rsidRDefault="62A153E7" w:rsidP="00AD5185">
      <w:r w:rsidRPr="00183362">
        <w:t xml:space="preserve">At </w:t>
      </w:r>
      <w:r w:rsidR="00F25302">
        <w:t>OEWG-45</w:t>
      </w:r>
      <w:r w:rsidRPr="00183362">
        <w:t xml:space="preserve"> in 2023, the </w:t>
      </w:r>
      <w:r w:rsidR="00F25302">
        <w:t>OS</w:t>
      </w:r>
      <w:r w:rsidRPr="00183362">
        <w:t xml:space="preserve"> in its response to Decision XXXIII/4</w:t>
      </w:r>
      <w:r w:rsidR="00AD5185" w:rsidRPr="00183362">
        <w:rPr>
          <w:rStyle w:val="FootnoteReference"/>
        </w:rPr>
        <w:footnoteReference w:id="118"/>
      </w:r>
      <w:r w:rsidRPr="00183362">
        <w:t xml:space="preserve"> reported that due to the cost and focused campaigns required for long-term aircraft measurements, the best strategy to fill data gaps in regional atmospheric monitoring is to locate ground stations approximately 100 and 1,000 km downstream from the emission source regions to optimize cost, emissions modelling, and longer-term continuity. Vast regions in Eastern Europe; western, southern and central Asia; all of South America; portions of North America; large parts of South-East Asia; Australia and New Zealand; and most of Africa are not monitored. </w:t>
      </w:r>
    </w:p>
    <w:p w14:paraId="6005D98B" w14:textId="06F3017F" w:rsidR="00AD5185" w:rsidRPr="00183362" w:rsidRDefault="00AD5185" w:rsidP="00AD5185">
      <w:r w:rsidRPr="00183362">
        <w:t>Under the EU-funded pilot project, the steering committee decided to establish a flask-sampling site on Bhola Island, Bangladesh. The measurement programme</w:t>
      </w:r>
      <w:r w:rsidR="002A6318">
        <w:t xml:space="preserve"> was done with </w:t>
      </w:r>
      <w:r w:rsidRPr="00183362">
        <w:t xml:space="preserve">experts on flask sampling and data analysis from the University of Bristol working closely with experts from the University of Dhaka. These measurements and the experience gained </w:t>
      </w:r>
      <w:r w:rsidR="002A6318">
        <w:t xml:space="preserve">informed </w:t>
      </w:r>
      <w:r w:rsidR="00A618BB">
        <w:t>c</w:t>
      </w:r>
      <w:r w:rsidRPr="00183362">
        <w:t>onsiderations for other locations.</w:t>
      </w:r>
    </w:p>
    <w:p w14:paraId="5B778B5A" w14:textId="0374B7C0" w:rsidR="00AD5185" w:rsidRPr="00183362" w:rsidRDefault="008B12AD" w:rsidP="002D02B7">
      <w:pPr>
        <w:pStyle w:val="Heading2"/>
      </w:pPr>
      <w:bookmarkStart w:id="391" w:name="_Toc230099174"/>
      <w:r>
        <w:t>A</w:t>
      </w:r>
      <w:r w:rsidR="3EF26D88">
        <w:t>8</w:t>
      </w:r>
      <w:r>
        <w:t>.4</w:t>
      </w:r>
      <w:r>
        <w:tab/>
      </w:r>
      <w:r w:rsidR="00AD5185" w:rsidRPr="00183362">
        <w:t>Decision XXXV/14: Enhancing the global and regional atmospheric monitoring of substances controlled by the Montreal Protocol on Substances that Deplete the Ozone Layer</w:t>
      </w:r>
      <w:bookmarkEnd w:id="391"/>
      <w:r w:rsidR="00AD5185" w:rsidRPr="00183362">
        <w:t xml:space="preserve"> </w:t>
      </w:r>
    </w:p>
    <w:p w14:paraId="1429DE14" w14:textId="77CDD547" w:rsidR="00AD5185" w:rsidRDefault="00AD5185" w:rsidP="00AD5185">
      <w:pPr>
        <w:spacing w:after="0"/>
      </w:pPr>
      <w:r w:rsidRPr="00183362">
        <w:t xml:space="preserve">At </w:t>
      </w:r>
      <w:r w:rsidR="00F25302">
        <w:t>MOP-35</w:t>
      </w:r>
      <w:r w:rsidRPr="00183362">
        <w:t xml:space="preserve"> in 2023, parties adopted “Decision XXXV/14: Enhancing the global and regional atmospheric monitoring of substances controlled by the Montreal Protocol on Substances that Deplete the Ozone Layer” which requested the </w:t>
      </w:r>
      <w:r w:rsidR="00F25302">
        <w:t>OS</w:t>
      </w:r>
      <w:r w:rsidRPr="00183362">
        <w:t xml:space="preserve">, in consultation with the MLFS and relevant experts from the ORM, SAP, and TEAP “to provide the following information to the parties at the </w:t>
      </w:r>
      <w:r w:rsidR="00623CE7">
        <w:t>46</w:t>
      </w:r>
      <w:r w:rsidR="00623CE7" w:rsidRPr="00E96A66">
        <w:rPr>
          <w:vertAlign w:val="superscript"/>
        </w:rPr>
        <w:t>th</w:t>
      </w:r>
      <w:r w:rsidR="00623CE7">
        <w:t xml:space="preserve">  </w:t>
      </w:r>
      <w:r w:rsidR="00E96A66">
        <w:t>OEWG</w:t>
      </w:r>
      <w:r w:rsidRPr="00183362">
        <w:t xml:space="preserve"> in 2024:</w:t>
      </w:r>
    </w:p>
    <w:p w14:paraId="25396BB3" w14:textId="77777777" w:rsidR="00AD5185" w:rsidRPr="00183362" w:rsidRDefault="00AD5185" w:rsidP="00AD5185">
      <w:pPr>
        <w:spacing w:after="0"/>
      </w:pPr>
    </w:p>
    <w:p w14:paraId="26E581FA" w14:textId="77777777" w:rsidR="00AD5185" w:rsidRPr="008B12AD" w:rsidRDefault="00AD5185" w:rsidP="000E79CB">
      <w:pPr>
        <w:pStyle w:val="ListParagraph"/>
        <w:numPr>
          <w:ilvl w:val="0"/>
          <w:numId w:val="28"/>
        </w:numPr>
        <w:spacing w:after="0"/>
        <w:contextualSpacing/>
        <w:rPr>
          <w:i/>
          <w:iCs/>
        </w:rPr>
      </w:pPr>
      <w:r w:rsidRPr="008B12AD">
        <w:rPr>
          <w:i/>
          <w:iCs/>
        </w:rPr>
        <w:t>An update of the information provided under decision XXXIII/4, including refining, to the extent possible, the cost estimates associated with enhancing atmospheric monitoring presented in the decision XXXIII/4 report, and providing a list of potential monitoring station locations;</w:t>
      </w:r>
    </w:p>
    <w:p w14:paraId="4DB82664" w14:textId="77777777" w:rsidR="00AD5185" w:rsidRPr="008B12AD" w:rsidRDefault="00AD5185" w:rsidP="008B12AD">
      <w:pPr>
        <w:pStyle w:val="ListParagraph"/>
        <w:numPr>
          <w:ilvl w:val="0"/>
          <w:numId w:val="0"/>
        </w:numPr>
        <w:spacing w:after="0"/>
        <w:ind w:left="567"/>
        <w:rPr>
          <w:i/>
          <w:iCs/>
        </w:rPr>
      </w:pPr>
    </w:p>
    <w:p w14:paraId="62A712A3" w14:textId="3813C64F" w:rsidR="008B12AD" w:rsidRDefault="00AD5185" w:rsidP="006233FA">
      <w:pPr>
        <w:pStyle w:val="ListParagraph"/>
        <w:numPr>
          <w:ilvl w:val="0"/>
          <w:numId w:val="0"/>
        </w:numPr>
        <w:spacing w:after="0"/>
        <w:ind w:left="567"/>
        <w:contextualSpacing/>
        <w:rPr>
          <w:i/>
          <w:iCs/>
        </w:rPr>
      </w:pPr>
      <w:r w:rsidRPr="004F39F1">
        <w:rPr>
          <w:i/>
          <w:iCs/>
        </w:rPr>
        <w:t>Options for sustainable funding to establish new regional monitoring capacities, including an assessment of their advantages and disadvantages, of potential implementation options, and a description of the administrative processes required to operationalize any potential funding options considered, taking into account the discussion at the Thirty-Fifth Meeting of the Parties to the Montreal Protocol on Substances that Deplete the Ozone Layer.</w:t>
      </w:r>
    </w:p>
    <w:p w14:paraId="746A3B02" w14:textId="77777777" w:rsidR="004F39F1" w:rsidRDefault="004F39F1" w:rsidP="006233FA">
      <w:pPr>
        <w:pStyle w:val="ListParagraph"/>
        <w:numPr>
          <w:ilvl w:val="0"/>
          <w:numId w:val="0"/>
        </w:numPr>
        <w:spacing w:after="0"/>
        <w:ind w:left="567"/>
        <w:contextualSpacing/>
      </w:pPr>
    </w:p>
    <w:p w14:paraId="6A8F0C2B" w14:textId="1A89CF50" w:rsidR="00AD5185" w:rsidRPr="00183362" w:rsidRDefault="62A153E7" w:rsidP="00AD5185">
      <w:r w:rsidRPr="00183362">
        <w:t xml:space="preserve">At </w:t>
      </w:r>
      <w:r w:rsidR="00F25302">
        <w:t>OEWG-46</w:t>
      </w:r>
      <w:r w:rsidRPr="00183362">
        <w:t xml:space="preserve"> in 2024, the </w:t>
      </w:r>
      <w:r w:rsidR="00185768">
        <w:t>OS</w:t>
      </w:r>
      <w:r w:rsidRPr="00183362">
        <w:t xml:space="preserve"> provided its response to Decision XXXV/14 in an addendum to its note.</w:t>
      </w:r>
      <w:r w:rsidR="00AD5185" w:rsidRPr="00183362">
        <w:rPr>
          <w:rStyle w:val="FootnoteReference"/>
        </w:rPr>
        <w:footnoteReference w:id="119"/>
      </w:r>
      <w:r w:rsidRPr="00183362">
        <w:t xml:space="preserve"> Information related to the request for sustainable funding options was contained in annexes to that addendum: Annex V prepared by the </w:t>
      </w:r>
      <w:r w:rsidR="00E96A66">
        <w:t>ML</w:t>
      </w:r>
      <w:r w:rsidR="00735E5F">
        <w:t>FS</w:t>
      </w:r>
      <w:r w:rsidRPr="00183362">
        <w:t xml:space="preserve"> on support from the </w:t>
      </w:r>
      <w:r w:rsidR="00735E5F">
        <w:t>MLF</w:t>
      </w:r>
      <w:r w:rsidR="00AD5185" w:rsidRPr="00183362">
        <w:rPr>
          <w:rStyle w:val="FootnoteReference"/>
        </w:rPr>
        <w:footnoteReference w:id="120"/>
      </w:r>
      <w:r w:rsidRPr="00183362">
        <w:t xml:space="preserve"> and Annex VI prepared </w:t>
      </w:r>
      <w:r w:rsidRPr="00183362">
        <w:lastRenderedPageBreak/>
        <w:t xml:space="preserve">by a financial expert under contract to the </w:t>
      </w:r>
      <w:r w:rsidR="00185768">
        <w:t>OS</w:t>
      </w:r>
      <w:r w:rsidRPr="00183362">
        <w:t xml:space="preserve"> on utilizing the existing trust funds of the Vienna Convention and the </w:t>
      </w:r>
      <w:r w:rsidR="00FB7C66">
        <w:t>MP</w:t>
      </w:r>
      <w:r w:rsidRPr="00183362">
        <w:t>.</w:t>
      </w:r>
      <w:r w:rsidR="00AD5185" w:rsidRPr="00183362">
        <w:rPr>
          <w:rStyle w:val="FootnoteReference"/>
        </w:rPr>
        <w:footnoteReference w:id="121"/>
      </w:r>
      <w:r w:rsidRPr="00183362">
        <w:t xml:space="preserve"> </w:t>
      </w:r>
    </w:p>
    <w:p w14:paraId="0CD2C43C" w14:textId="3ACB1D08" w:rsidR="00AD5185" w:rsidRPr="00183362" w:rsidRDefault="62A153E7" w:rsidP="00AD5185">
      <w:r w:rsidRPr="00183362">
        <w:t xml:space="preserve">In February 2024, the </w:t>
      </w:r>
      <w:r w:rsidR="00185768">
        <w:t>OS</w:t>
      </w:r>
      <w:r w:rsidRPr="00183362">
        <w:t xml:space="preserve"> and the steering committee of the EU-funded pilot project held an online workshop</w:t>
      </w:r>
      <w:r w:rsidR="00AD5185" w:rsidRPr="00183362">
        <w:rPr>
          <w:rStyle w:val="FootnoteReference"/>
        </w:rPr>
        <w:footnoteReference w:id="122"/>
      </w:r>
      <w:r w:rsidRPr="00183362">
        <w:t xml:space="preserve"> in order to better understand the costs involved in setting up a new station for monitoring controlled substances. According to the workshop outcomes, the cost of setting up an in-situ high-frequency measurement station was estimated at between US$ 456,000 and US$ 1,245,000, while the cost of setting up a low-frequency flask sampling station with central chemical analysis would be between US$ 50,000 and US$ 1,245,000. The cost estimates were presented as a range of likely values, as they were highly dependent on existing infrastructure, site location and other variables/choices. These figures did not include staffing costs (which are highly variable); the cost of initial site selection experiments (i.e., Observing System Simulation Experiments, OSSEs); the cost of data interpretation; overhead costs charged by any operational research establishment; the cost of travel by scientific personnel; or publication costs. </w:t>
      </w:r>
    </w:p>
    <w:p w14:paraId="0CBEF9E2" w14:textId="77777777" w:rsidR="00AD5185" w:rsidRPr="00183362" w:rsidRDefault="00AD5185" w:rsidP="00AD5185">
      <w:r w:rsidRPr="00183362">
        <w:t>On the basis of the costs estimated in the workshop, an attempt was made to estimate the average cost (capital and operating) of establishing and maintaining a monitoring site for a period of 5 years, for a step-by-step approach and for a programmatic approach. This costing model shows that total costs between the assumed 5-year low-cost and high-cost scenarios lie in the ranges of US$ 1.4 million to US$ 2.5 million for high-frequency monitoring; US$ 2 million to US $4 million for daily flask sampling; and US$ 1 million to US$ 2 million for weekly flask sampling.</w:t>
      </w:r>
    </w:p>
    <w:p w14:paraId="1584FC8A" w14:textId="77777777" w:rsidR="00AD5185" w:rsidRPr="00183362" w:rsidRDefault="00AD5185" w:rsidP="00AD5185">
      <w:r w:rsidRPr="00183362">
        <w:t>A programmatic approach would entail working with multiple potential sites in a coordinated manner, covering site identification, data monitoring and analysis, capacity-building for the different sites and dissemination of results. While such an approach may appear significantly more expensive because of the number of sites being established, there are likely to be economies of scale in terms of development of training material, bundling of training activities and, potentially, procurement costs. There would also be flexibility to move funds between sites depending on actual needs for each site. The following four scenarios were considered depending on the number of additional monitoring stations, frequency of sampling, and use of pre-existing infrastructure: 1) low-cost modest expansion; 2) high-cost modest expansion; 3) low-cost aggressive expansion; 4) high-cost aggressive expansion. The analysis showed that, for the above scenarios, the lowest-cost scenario (modest expansion, assuming existing local infrastructure) would require about US$ 9 million to execute, and the highest-cost scenario (aggressive expansion, assuming all new construction) would require about US$ 32 million.</w:t>
      </w:r>
    </w:p>
    <w:p w14:paraId="29D8FEC5" w14:textId="026DDD94" w:rsidR="00AD5185" w:rsidRPr="00183362" w:rsidRDefault="00AD5185" w:rsidP="00AD5185">
      <w:r>
        <w:t>Annex V</w:t>
      </w:r>
      <w:r w:rsidRPr="00183362">
        <w:t xml:space="preserve"> of the addendum was produced by the </w:t>
      </w:r>
      <w:r w:rsidR="00A079F1">
        <w:t>MLFS</w:t>
      </w:r>
      <w:r w:rsidRPr="00183362">
        <w:t xml:space="preserve"> to describe how the </w:t>
      </w:r>
      <w:r w:rsidR="00A079F1">
        <w:t>MLF</w:t>
      </w:r>
      <w:r w:rsidRPr="00183362">
        <w:t xml:space="preserve"> could be used to support the establishment of new regional atmospheric monitoring capacities. The paper notes that the “establishing regional atmospheric monitoring stations would both help build scientific capacity in </w:t>
      </w:r>
      <w:r w:rsidR="00CE615C">
        <w:t>A5</w:t>
      </w:r>
      <w:r w:rsidRPr="00183362">
        <w:t xml:space="preserve"> countries and enable their compliance with the Montreal Protocol control measures…[and, therefore,] the Meeting of the Parties to the Montreal Protocol could consider using the Multilateral Fund to provide assistance to establish regional atmospheric monitoring stations in Article 5 countries.” Following a decision by parties, the Ex</w:t>
      </w:r>
      <w:r w:rsidR="00EC2FE0">
        <w:t>Com</w:t>
      </w:r>
      <w:r w:rsidRPr="00183362">
        <w:t xml:space="preserve"> could approve guidelines for preparing proposals by those A5 </w:t>
      </w:r>
      <w:r w:rsidR="00A500ED">
        <w:t>parties</w:t>
      </w:r>
      <w:r w:rsidRPr="00183362">
        <w:t xml:space="preserve"> interested in establishing a regional monitoring station. The sites would be guided by information developed by the </w:t>
      </w:r>
      <w:r w:rsidR="00185768">
        <w:t>OS</w:t>
      </w:r>
      <w:r w:rsidRPr="00183362">
        <w:t xml:space="preserve">. Funding could follow established processes under the </w:t>
      </w:r>
      <w:r w:rsidR="00FD68C7">
        <w:t>MLF</w:t>
      </w:r>
      <w:r w:rsidRPr="00183362">
        <w:t xml:space="preserve"> for disbursing funding through agencies based on decisions by the Ex</w:t>
      </w:r>
      <w:r w:rsidR="00FD68C7">
        <w:t>Com</w:t>
      </w:r>
      <w:r w:rsidRPr="00183362">
        <w:t xml:space="preserve">. Given the novelty in using the </w:t>
      </w:r>
      <w:r w:rsidR="006715F9">
        <w:lastRenderedPageBreak/>
        <w:t>MLF</w:t>
      </w:r>
      <w:r w:rsidRPr="00183362">
        <w:t xml:space="preserve"> to support establishing regional atmospheric monitoring station, some time may be needed to adjust the established processes.</w:t>
      </w:r>
    </w:p>
    <w:p w14:paraId="04B28DBB" w14:textId="57902B16" w:rsidR="00AD5185" w:rsidRPr="00183362" w:rsidRDefault="00AD5185" w:rsidP="00AD5185">
      <w:r w:rsidRPr="00183362">
        <w:t xml:space="preserve">Annex VI of the addendum considers utilizing the existing trust funds of the Vienna Convention and the </w:t>
      </w:r>
      <w:r w:rsidR="00FB7C66">
        <w:t>MP</w:t>
      </w:r>
      <w:r w:rsidRPr="00183362">
        <w:t>, namely:</w:t>
      </w:r>
    </w:p>
    <w:p w14:paraId="50F40152" w14:textId="77777777" w:rsidR="00AD5185" w:rsidRPr="00183362" w:rsidRDefault="00AD5185" w:rsidP="000E79CB">
      <w:pPr>
        <w:pStyle w:val="ListParagraph"/>
        <w:numPr>
          <w:ilvl w:val="0"/>
          <w:numId w:val="27"/>
        </w:numPr>
        <w:spacing w:after="160" w:line="278" w:lineRule="auto"/>
        <w:contextualSpacing/>
      </w:pPr>
      <w:r w:rsidRPr="00183362">
        <w:t>The Trust Fund for the Vienna Convention,</w:t>
      </w:r>
    </w:p>
    <w:p w14:paraId="3BE37E15" w14:textId="1AF76B5D" w:rsidR="00AD5185" w:rsidRPr="00183362" w:rsidRDefault="00AD5185" w:rsidP="000E79CB">
      <w:pPr>
        <w:pStyle w:val="ListParagraph"/>
        <w:numPr>
          <w:ilvl w:val="0"/>
          <w:numId w:val="27"/>
        </w:numPr>
        <w:spacing w:after="160" w:line="278" w:lineRule="auto"/>
        <w:contextualSpacing/>
      </w:pPr>
      <w:r w:rsidRPr="00183362">
        <w:t xml:space="preserve">The Trust Fund for the </w:t>
      </w:r>
      <w:r w:rsidR="00FB7C66">
        <w:t>MP</w:t>
      </w:r>
      <w:r w:rsidRPr="00183362">
        <w:t>,</w:t>
      </w:r>
    </w:p>
    <w:p w14:paraId="2168B68F" w14:textId="77777777" w:rsidR="00AD5185" w:rsidRPr="00183362" w:rsidRDefault="00AD5185" w:rsidP="000E79CB">
      <w:pPr>
        <w:pStyle w:val="ListParagraph"/>
        <w:numPr>
          <w:ilvl w:val="0"/>
          <w:numId w:val="27"/>
        </w:numPr>
        <w:spacing w:after="160" w:line="278" w:lineRule="auto"/>
        <w:contextualSpacing/>
      </w:pPr>
      <w:r w:rsidRPr="00183362">
        <w:t xml:space="preserve">The General Trust Fund for Financing Activities on Research and Systems Observations relevant to the Vienna Convention, and </w:t>
      </w:r>
    </w:p>
    <w:p w14:paraId="49305800" w14:textId="0B751A15" w:rsidR="00AD5185" w:rsidRPr="00183362" w:rsidRDefault="00AD5185" w:rsidP="000E79CB">
      <w:pPr>
        <w:pStyle w:val="ListParagraph"/>
        <w:numPr>
          <w:ilvl w:val="0"/>
          <w:numId w:val="27"/>
        </w:numPr>
        <w:spacing w:after="160" w:line="278" w:lineRule="auto"/>
        <w:contextualSpacing/>
      </w:pPr>
      <w:r w:rsidRPr="00183362">
        <w:t xml:space="preserve">The </w:t>
      </w:r>
      <w:r w:rsidR="00FB7C66">
        <w:t>MLF</w:t>
      </w:r>
      <w:r w:rsidRPr="00183362">
        <w:t>.</w:t>
      </w:r>
    </w:p>
    <w:p w14:paraId="1E9EF937" w14:textId="3DC124C9" w:rsidR="00813121" w:rsidRDefault="00AD5185" w:rsidP="00875C3B">
      <w:r w:rsidRPr="00183362">
        <w:t>The main advantage identified in using these existing funds would be that they are operational with well-established policies and procedures, including auditing and reporting. A challenge would be the need to reconcile the budgeting periods of the trust funds with the duration of projects and programmes to be funded. The paper notes that “for projects and programmes to be sustainable and produce useful datasets, the desirable duration would be at least five years.”</w:t>
      </w:r>
      <w:bookmarkStart w:id="392" w:name="_Appendix_2:_Relevant"/>
      <w:bookmarkEnd w:id="392"/>
    </w:p>
    <w:p w14:paraId="50F542BF" w14:textId="65564F6B" w:rsidR="00A82057" w:rsidRDefault="00A82057">
      <w:pPr>
        <w:tabs>
          <w:tab w:val="clear" w:pos="0"/>
        </w:tabs>
        <w:spacing w:after="0"/>
      </w:pPr>
    </w:p>
    <w:p w14:paraId="5DC0E5A2" w14:textId="0868980E" w:rsidR="76DFCBBF" w:rsidRDefault="76DFCBBF">
      <w:r>
        <w:br w:type="page"/>
      </w:r>
    </w:p>
    <w:p w14:paraId="0C83193E" w14:textId="211B6B09" w:rsidR="76DFCBBF" w:rsidRDefault="76DFCBBF" w:rsidP="76DFCBBF">
      <w:pPr>
        <w:tabs>
          <w:tab w:val="clear" w:pos="0"/>
        </w:tabs>
        <w:spacing w:after="0"/>
      </w:pPr>
    </w:p>
    <w:p w14:paraId="4C1D7B2B" w14:textId="59793408" w:rsidR="00A82057" w:rsidRDefault="00A82057" w:rsidP="005D31A7">
      <w:pPr>
        <w:pStyle w:val="Heading1"/>
      </w:pPr>
      <w:bookmarkStart w:id="393" w:name="_Toc230099175"/>
      <w:r w:rsidRPr="09189FA3">
        <w:t>A</w:t>
      </w:r>
      <w:r w:rsidR="34D7AF83" w:rsidRPr="299C68C5">
        <w:rPr>
          <w:bCs/>
        </w:rPr>
        <w:t>NNEX</w:t>
      </w:r>
      <w:r w:rsidRPr="09189FA3">
        <w:t xml:space="preserve"> </w:t>
      </w:r>
      <w:r w:rsidR="2F47CA25" w:rsidRPr="09189FA3">
        <w:t>9.</w:t>
      </w:r>
      <w:r w:rsidR="00F6417D">
        <w:t xml:space="preserve"> </w:t>
      </w:r>
      <w:r w:rsidR="2F47CA25" w:rsidRPr="09189FA3">
        <w:t>PROJECT PREPARATION FOR KIPS AND COST DETAILS</w:t>
      </w:r>
      <w:bookmarkEnd w:id="393"/>
    </w:p>
    <w:p w14:paraId="5EAA24E3" w14:textId="77777777" w:rsidR="007D44F3" w:rsidRDefault="007D44F3" w:rsidP="00A82057">
      <w:pPr>
        <w:tabs>
          <w:tab w:val="clear" w:pos="0"/>
        </w:tabs>
        <w:spacing w:after="0"/>
      </w:pPr>
    </w:p>
    <w:p w14:paraId="71AC098C" w14:textId="5FD76898" w:rsidR="00A82057" w:rsidRPr="007D44F3" w:rsidRDefault="007D44F3" w:rsidP="002135B0">
      <w:pPr>
        <w:tabs>
          <w:tab w:val="left" w:pos="1276"/>
          <w:tab w:val="left" w:pos="1418"/>
        </w:tabs>
        <w:spacing w:after="120"/>
        <w:rPr>
          <w:b/>
          <w:bCs/>
        </w:rPr>
      </w:pPr>
      <w:r w:rsidRPr="00C3634A">
        <w:rPr>
          <w:b/>
          <w:bCs/>
        </w:rPr>
        <w:t xml:space="preserve">Table </w:t>
      </w:r>
      <w:r>
        <w:rPr>
          <w:b/>
          <w:bCs/>
        </w:rPr>
        <w:t>A9.1</w:t>
      </w:r>
      <w:r w:rsidR="00FF681F">
        <w:rPr>
          <w:b/>
          <w:bCs/>
        </w:rPr>
        <w:t>:</w:t>
      </w:r>
      <w:r w:rsidRPr="00C3634A">
        <w:rPr>
          <w:b/>
          <w:bCs/>
        </w:rPr>
        <w:tab/>
      </w:r>
      <w:r w:rsidRPr="007D44F3">
        <w:rPr>
          <w:b/>
          <w:bCs/>
        </w:rPr>
        <w:t xml:space="preserve">Project preparation cost for KIP </w:t>
      </w:r>
      <w:r w:rsidR="00735624">
        <w:rPr>
          <w:b/>
          <w:bCs/>
        </w:rPr>
        <w:t>S</w:t>
      </w:r>
      <w:r w:rsidRPr="007D44F3">
        <w:rPr>
          <w:b/>
          <w:bCs/>
        </w:rPr>
        <w:t>tage I (in alphabetical order – source MLFS</w:t>
      </w:r>
      <w:r>
        <w:rPr>
          <w:b/>
          <w:bCs/>
        </w:rPr>
        <w:t>)</w:t>
      </w:r>
    </w:p>
    <w:tbl>
      <w:tblPr>
        <w:tblW w:w="5000" w:type="pct"/>
        <w:tblLook w:val="04A0" w:firstRow="1" w:lastRow="0" w:firstColumn="1" w:lastColumn="0" w:noHBand="0" w:noVBand="1"/>
      </w:tblPr>
      <w:tblGrid>
        <w:gridCol w:w="3651"/>
        <w:gridCol w:w="984"/>
        <w:gridCol w:w="1255"/>
        <w:gridCol w:w="1837"/>
        <w:gridCol w:w="1347"/>
      </w:tblGrid>
      <w:tr w:rsidR="002D56FF" w:rsidRPr="002D56FF" w14:paraId="3F8ABE5C" w14:textId="77777777" w:rsidTr="00B23278">
        <w:trPr>
          <w:trHeight w:val="1080"/>
        </w:trPr>
        <w:tc>
          <w:tcPr>
            <w:tcW w:w="2035"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1B57292F" w14:textId="77777777" w:rsidR="002D56FF" w:rsidRPr="00835DC2" w:rsidRDefault="002D56FF" w:rsidP="00B23278">
            <w:pPr>
              <w:tabs>
                <w:tab w:val="clear" w:pos="0"/>
              </w:tabs>
              <w:spacing w:after="0"/>
              <w:jc w:val="center"/>
              <w:rPr>
                <w:b/>
                <w:bCs/>
                <w:color w:val="FFFFFF" w:themeColor="background1"/>
                <w:sz w:val="20"/>
                <w:szCs w:val="20"/>
                <w:lang w:eastAsia="en-CA"/>
              </w:rPr>
            </w:pPr>
            <w:r w:rsidRPr="09189FA3">
              <w:rPr>
                <w:b/>
                <w:color w:val="FFFFFF" w:themeColor="background1"/>
                <w:sz w:val="20"/>
                <w:szCs w:val="20"/>
                <w:lang w:eastAsia="en-CA"/>
              </w:rPr>
              <w:t>Country</w:t>
            </w:r>
          </w:p>
        </w:tc>
        <w:tc>
          <w:tcPr>
            <w:tcW w:w="565" w:type="pct"/>
            <w:tcBorders>
              <w:top w:val="single" w:sz="4" w:space="0" w:color="auto"/>
              <w:left w:val="nil"/>
              <w:bottom w:val="single" w:sz="4" w:space="0" w:color="auto"/>
              <w:right w:val="single" w:sz="4" w:space="0" w:color="auto"/>
            </w:tcBorders>
            <w:shd w:val="clear" w:color="auto" w:fill="002060"/>
            <w:vAlign w:val="center"/>
            <w:hideMark/>
          </w:tcPr>
          <w:p w14:paraId="79D3C258" w14:textId="77777777" w:rsidR="002D56FF" w:rsidRPr="00835DC2" w:rsidRDefault="002D56FF" w:rsidP="00B23278">
            <w:pPr>
              <w:tabs>
                <w:tab w:val="clear" w:pos="0"/>
              </w:tabs>
              <w:spacing w:after="0"/>
              <w:jc w:val="center"/>
              <w:rPr>
                <w:b/>
                <w:bCs/>
                <w:color w:val="FFFFFF" w:themeColor="background1"/>
                <w:sz w:val="20"/>
                <w:szCs w:val="20"/>
                <w:lang w:eastAsia="en-CA"/>
              </w:rPr>
            </w:pPr>
            <w:r w:rsidRPr="09189FA3">
              <w:rPr>
                <w:b/>
                <w:color w:val="FFFFFF" w:themeColor="background1"/>
                <w:sz w:val="20"/>
                <w:szCs w:val="20"/>
                <w:lang w:eastAsia="en-CA"/>
              </w:rPr>
              <w:t>Group</w:t>
            </w:r>
          </w:p>
        </w:tc>
        <w:tc>
          <w:tcPr>
            <w:tcW w:w="600" w:type="pct"/>
            <w:tcBorders>
              <w:top w:val="single" w:sz="4" w:space="0" w:color="auto"/>
              <w:left w:val="nil"/>
              <w:bottom w:val="single" w:sz="4" w:space="0" w:color="auto"/>
              <w:right w:val="nil"/>
            </w:tcBorders>
            <w:shd w:val="clear" w:color="auto" w:fill="002060"/>
            <w:noWrap/>
            <w:vAlign w:val="center"/>
            <w:hideMark/>
          </w:tcPr>
          <w:p w14:paraId="4BD394BE" w14:textId="51EA535D" w:rsidR="002D56FF" w:rsidRPr="00835DC2" w:rsidRDefault="002D56FF" w:rsidP="00B23278">
            <w:pPr>
              <w:tabs>
                <w:tab w:val="clear" w:pos="0"/>
              </w:tabs>
              <w:spacing w:after="0"/>
              <w:jc w:val="center"/>
              <w:rPr>
                <w:b/>
                <w:bCs/>
                <w:color w:val="FFFFFF" w:themeColor="background1"/>
                <w:sz w:val="20"/>
                <w:szCs w:val="20"/>
                <w:lang w:eastAsia="en-CA"/>
              </w:rPr>
            </w:pPr>
            <w:r w:rsidRPr="09189FA3">
              <w:rPr>
                <w:b/>
                <w:color w:val="FFFFFF" w:themeColor="background1"/>
                <w:sz w:val="20"/>
                <w:szCs w:val="20"/>
                <w:lang w:eastAsia="en-CA"/>
              </w:rPr>
              <w:t>Ratified</w:t>
            </w:r>
            <w:r w:rsidR="00EE5A6D" w:rsidRPr="09189FA3">
              <w:rPr>
                <w:b/>
                <w:color w:val="FFFFFF" w:themeColor="background1"/>
                <w:sz w:val="20"/>
                <w:szCs w:val="20"/>
                <w:lang w:eastAsia="en-CA"/>
              </w:rPr>
              <w:t xml:space="preserve"> </w:t>
            </w:r>
            <w:r w:rsidR="0001267E">
              <w:rPr>
                <w:b/>
                <w:color w:val="FFFFFF" w:themeColor="background1"/>
                <w:sz w:val="20"/>
                <w:szCs w:val="20"/>
                <w:lang w:eastAsia="en-CA"/>
              </w:rPr>
              <w:t>KA</w:t>
            </w:r>
          </w:p>
        </w:tc>
        <w:tc>
          <w:tcPr>
            <w:tcW w:w="1035"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EFE10B9" w14:textId="46F06980" w:rsidR="002D56FF" w:rsidRPr="00835DC2" w:rsidRDefault="002D56FF" w:rsidP="00B23278">
            <w:pPr>
              <w:tabs>
                <w:tab w:val="clear" w:pos="0"/>
              </w:tabs>
              <w:spacing w:after="0"/>
              <w:jc w:val="center"/>
              <w:rPr>
                <w:b/>
                <w:bCs/>
                <w:color w:val="FFFFFF" w:themeColor="background1"/>
                <w:sz w:val="20"/>
                <w:szCs w:val="20"/>
                <w:lang w:eastAsia="en-CA"/>
              </w:rPr>
            </w:pPr>
            <w:r w:rsidRPr="09189FA3">
              <w:rPr>
                <w:b/>
                <w:color w:val="FFFFFF" w:themeColor="background1"/>
                <w:sz w:val="20"/>
                <w:szCs w:val="20"/>
                <w:lang w:eastAsia="en-CA"/>
              </w:rPr>
              <w:t xml:space="preserve">Project preparation for KIP </w:t>
            </w:r>
            <w:r w:rsidR="002743BF">
              <w:rPr>
                <w:b/>
                <w:color w:val="FFFFFF" w:themeColor="background1"/>
                <w:sz w:val="20"/>
                <w:szCs w:val="20"/>
                <w:lang w:eastAsia="en-CA"/>
              </w:rPr>
              <w:t>Stage</w:t>
            </w:r>
            <w:r w:rsidRPr="09189FA3">
              <w:rPr>
                <w:b/>
                <w:color w:val="FFFFFF" w:themeColor="background1"/>
                <w:sz w:val="20"/>
                <w:szCs w:val="20"/>
                <w:lang w:eastAsia="en-CA"/>
              </w:rPr>
              <w:t xml:space="preserve"> I (US$)</w:t>
            </w:r>
          </w:p>
        </w:tc>
        <w:tc>
          <w:tcPr>
            <w:tcW w:w="765" w:type="pct"/>
            <w:tcBorders>
              <w:top w:val="single" w:sz="4" w:space="0" w:color="auto"/>
              <w:left w:val="nil"/>
              <w:bottom w:val="single" w:sz="4" w:space="0" w:color="auto"/>
              <w:right w:val="single" w:sz="4" w:space="0" w:color="auto"/>
            </w:tcBorders>
            <w:shd w:val="clear" w:color="auto" w:fill="002060"/>
            <w:vAlign w:val="center"/>
            <w:hideMark/>
          </w:tcPr>
          <w:p w14:paraId="43D43890" w14:textId="023682B8" w:rsidR="002D56FF" w:rsidRPr="00835DC2" w:rsidRDefault="002D56FF" w:rsidP="00B23278">
            <w:pPr>
              <w:tabs>
                <w:tab w:val="clear" w:pos="0"/>
              </w:tabs>
              <w:spacing w:after="0"/>
              <w:jc w:val="center"/>
              <w:rPr>
                <w:b/>
                <w:bCs/>
                <w:color w:val="FFFFFF" w:themeColor="background1"/>
                <w:sz w:val="20"/>
                <w:szCs w:val="20"/>
                <w:lang w:eastAsia="en-CA"/>
              </w:rPr>
            </w:pPr>
            <w:r w:rsidRPr="09189FA3">
              <w:rPr>
                <w:b/>
                <w:color w:val="FFFFFF" w:themeColor="background1"/>
                <w:sz w:val="20"/>
                <w:szCs w:val="20"/>
                <w:lang w:eastAsia="en-CA"/>
              </w:rPr>
              <w:t>KIP PRP in 2026-2028 Business Plan</w:t>
            </w:r>
          </w:p>
        </w:tc>
      </w:tr>
      <w:tr w:rsidR="002D56FF" w:rsidRPr="002D56FF" w14:paraId="273501FE"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48B5A54A"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Afghanistan</w:t>
            </w:r>
          </w:p>
        </w:tc>
        <w:tc>
          <w:tcPr>
            <w:tcW w:w="565" w:type="pct"/>
            <w:tcBorders>
              <w:top w:val="nil"/>
              <w:left w:val="nil"/>
              <w:bottom w:val="single" w:sz="4" w:space="0" w:color="auto"/>
              <w:right w:val="single" w:sz="4" w:space="0" w:color="auto"/>
            </w:tcBorders>
            <w:noWrap/>
            <w:vAlign w:val="center"/>
            <w:hideMark/>
          </w:tcPr>
          <w:p w14:paraId="7B92E7DD" w14:textId="56B4CD3C"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4DD5FD46"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2562472A"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190,000</w:t>
            </w:r>
          </w:p>
        </w:tc>
        <w:tc>
          <w:tcPr>
            <w:tcW w:w="765" w:type="pct"/>
            <w:tcBorders>
              <w:top w:val="nil"/>
              <w:left w:val="nil"/>
              <w:bottom w:val="single" w:sz="4" w:space="0" w:color="auto"/>
              <w:right w:val="single" w:sz="4" w:space="0" w:color="auto"/>
            </w:tcBorders>
            <w:noWrap/>
            <w:vAlign w:val="center"/>
            <w:hideMark/>
          </w:tcPr>
          <w:p w14:paraId="4650DCD7"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4B6EFD38"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379A379A"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Algeria</w:t>
            </w:r>
          </w:p>
        </w:tc>
        <w:tc>
          <w:tcPr>
            <w:tcW w:w="565" w:type="pct"/>
            <w:tcBorders>
              <w:top w:val="nil"/>
              <w:left w:val="nil"/>
              <w:bottom w:val="single" w:sz="4" w:space="0" w:color="auto"/>
              <w:right w:val="single" w:sz="4" w:space="0" w:color="auto"/>
            </w:tcBorders>
            <w:noWrap/>
            <w:vAlign w:val="center"/>
            <w:hideMark/>
          </w:tcPr>
          <w:p w14:paraId="3253EFFB" w14:textId="08EAA196"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592A2C46"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41F16D32"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190,000</w:t>
            </w:r>
          </w:p>
        </w:tc>
        <w:tc>
          <w:tcPr>
            <w:tcW w:w="765" w:type="pct"/>
            <w:tcBorders>
              <w:top w:val="nil"/>
              <w:left w:val="nil"/>
              <w:bottom w:val="single" w:sz="4" w:space="0" w:color="auto"/>
              <w:right w:val="single" w:sz="4" w:space="0" w:color="auto"/>
            </w:tcBorders>
            <w:noWrap/>
            <w:vAlign w:val="center"/>
            <w:hideMark/>
          </w:tcPr>
          <w:p w14:paraId="65F6E2FD"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43EA4112"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7BF52A1A"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Antigua and Barbuda</w:t>
            </w:r>
          </w:p>
        </w:tc>
        <w:tc>
          <w:tcPr>
            <w:tcW w:w="565" w:type="pct"/>
            <w:tcBorders>
              <w:top w:val="nil"/>
              <w:left w:val="nil"/>
              <w:bottom w:val="single" w:sz="4" w:space="0" w:color="auto"/>
              <w:right w:val="single" w:sz="4" w:space="0" w:color="auto"/>
            </w:tcBorders>
            <w:noWrap/>
            <w:vAlign w:val="center"/>
            <w:hideMark/>
          </w:tcPr>
          <w:p w14:paraId="075D22B5" w14:textId="501F900F"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1B092597"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48F3CF4C"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100,000</w:t>
            </w:r>
          </w:p>
        </w:tc>
        <w:tc>
          <w:tcPr>
            <w:tcW w:w="765" w:type="pct"/>
            <w:tcBorders>
              <w:top w:val="nil"/>
              <w:left w:val="nil"/>
              <w:bottom w:val="single" w:sz="4" w:space="0" w:color="auto"/>
              <w:right w:val="single" w:sz="4" w:space="0" w:color="auto"/>
            </w:tcBorders>
            <w:noWrap/>
            <w:vAlign w:val="center"/>
            <w:hideMark/>
          </w:tcPr>
          <w:p w14:paraId="4C646E5A"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0F1C724B"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0CCF293B"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Central African Republic</w:t>
            </w:r>
          </w:p>
        </w:tc>
        <w:tc>
          <w:tcPr>
            <w:tcW w:w="565" w:type="pct"/>
            <w:tcBorders>
              <w:top w:val="nil"/>
              <w:left w:val="nil"/>
              <w:bottom w:val="single" w:sz="4" w:space="0" w:color="auto"/>
              <w:right w:val="single" w:sz="4" w:space="0" w:color="auto"/>
            </w:tcBorders>
            <w:noWrap/>
            <w:vAlign w:val="center"/>
            <w:hideMark/>
          </w:tcPr>
          <w:p w14:paraId="026D802C" w14:textId="10F197BD"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noWrap/>
            <w:vAlign w:val="bottom"/>
            <w:hideMark/>
          </w:tcPr>
          <w:p w14:paraId="3DDAD341"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0EE73218"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170,000</w:t>
            </w:r>
          </w:p>
        </w:tc>
        <w:tc>
          <w:tcPr>
            <w:tcW w:w="765" w:type="pct"/>
            <w:tcBorders>
              <w:top w:val="nil"/>
              <w:left w:val="nil"/>
              <w:bottom w:val="single" w:sz="4" w:space="0" w:color="auto"/>
              <w:right w:val="single" w:sz="4" w:space="0" w:color="auto"/>
            </w:tcBorders>
            <w:noWrap/>
            <w:vAlign w:val="center"/>
            <w:hideMark/>
          </w:tcPr>
          <w:p w14:paraId="56798627"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7C6B2E20"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51595ED8"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China</w:t>
            </w:r>
          </w:p>
        </w:tc>
        <w:tc>
          <w:tcPr>
            <w:tcW w:w="565" w:type="pct"/>
            <w:tcBorders>
              <w:top w:val="nil"/>
              <w:left w:val="nil"/>
              <w:bottom w:val="single" w:sz="4" w:space="0" w:color="auto"/>
              <w:right w:val="single" w:sz="4" w:space="0" w:color="auto"/>
            </w:tcBorders>
            <w:noWrap/>
            <w:vAlign w:val="center"/>
            <w:hideMark/>
          </w:tcPr>
          <w:p w14:paraId="6C9855C3" w14:textId="19EFBE39"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noWrap/>
            <w:vAlign w:val="bottom"/>
            <w:hideMark/>
          </w:tcPr>
          <w:p w14:paraId="2B1F1D1E"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63ACC45D"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case by case</w:t>
            </w:r>
          </w:p>
        </w:tc>
        <w:tc>
          <w:tcPr>
            <w:tcW w:w="765" w:type="pct"/>
            <w:tcBorders>
              <w:top w:val="nil"/>
              <w:left w:val="nil"/>
              <w:bottom w:val="single" w:sz="4" w:space="0" w:color="auto"/>
              <w:right w:val="single" w:sz="4" w:space="0" w:color="auto"/>
            </w:tcBorders>
            <w:noWrap/>
            <w:vAlign w:val="center"/>
            <w:hideMark/>
          </w:tcPr>
          <w:p w14:paraId="75F61406"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5AB86DD0"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36D57CE2"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Democratic People's Republic of Korea</w:t>
            </w:r>
          </w:p>
        </w:tc>
        <w:tc>
          <w:tcPr>
            <w:tcW w:w="565" w:type="pct"/>
            <w:tcBorders>
              <w:top w:val="nil"/>
              <w:left w:val="nil"/>
              <w:bottom w:val="single" w:sz="4" w:space="0" w:color="auto"/>
              <w:right w:val="single" w:sz="4" w:space="0" w:color="auto"/>
            </w:tcBorders>
            <w:noWrap/>
            <w:vAlign w:val="center"/>
            <w:hideMark/>
          </w:tcPr>
          <w:p w14:paraId="3724BC4C" w14:textId="663D0116"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noWrap/>
            <w:vAlign w:val="bottom"/>
            <w:hideMark/>
          </w:tcPr>
          <w:p w14:paraId="1758936B"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3C1C2140"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190,000</w:t>
            </w:r>
          </w:p>
        </w:tc>
        <w:tc>
          <w:tcPr>
            <w:tcW w:w="765" w:type="pct"/>
            <w:tcBorders>
              <w:top w:val="nil"/>
              <w:left w:val="nil"/>
              <w:bottom w:val="single" w:sz="4" w:space="0" w:color="auto"/>
              <w:right w:val="single" w:sz="4" w:space="0" w:color="auto"/>
            </w:tcBorders>
            <w:noWrap/>
            <w:vAlign w:val="center"/>
            <w:hideMark/>
          </w:tcPr>
          <w:p w14:paraId="1E3462A1"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63A44542"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7059AEA9"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Democratic Republic of the Congo</w:t>
            </w:r>
          </w:p>
        </w:tc>
        <w:tc>
          <w:tcPr>
            <w:tcW w:w="565" w:type="pct"/>
            <w:tcBorders>
              <w:top w:val="nil"/>
              <w:left w:val="nil"/>
              <w:bottom w:val="single" w:sz="4" w:space="0" w:color="auto"/>
              <w:right w:val="single" w:sz="4" w:space="0" w:color="auto"/>
            </w:tcBorders>
            <w:noWrap/>
            <w:vAlign w:val="center"/>
            <w:hideMark/>
          </w:tcPr>
          <w:p w14:paraId="3B8E6B07" w14:textId="00D73EBB"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61ACB918"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3A45A77C"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190,000</w:t>
            </w:r>
          </w:p>
        </w:tc>
        <w:tc>
          <w:tcPr>
            <w:tcW w:w="765" w:type="pct"/>
            <w:tcBorders>
              <w:top w:val="nil"/>
              <w:left w:val="nil"/>
              <w:bottom w:val="single" w:sz="4" w:space="0" w:color="auto"/>
              <w:right w:val="single" w:sz="4" w:space="0" w:color="auto"/>
            </w:tcBorders>
            <w:noWrap/>
            <w:vAlign w:val="center"/>
            <w:hideMark/>
          </w:tcPr>
          <w:p w14:paraId="1D370AC1"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5293E7A2"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3001E931"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Djibouti</w:t>
            </w:r>
          </w:p>
        </w:tc>
        <w:tc>
          <w:tcPr>
            <w:tcW w:w="565" w:type="pct"/>
            <w:tcBorders>
              <w:top w:val="nil"/>
              <w:left w:val="nil"/>
              <w:bottom w:val="single" w:sz="4" w:space="0" w:color="auto"/>
              <w:right w:val="single" w:sz="4" w:space="0" w:color="auto"/>
            </w:tcBorders>
            <w:noWrap/>
            <w:vAlign w:val="center"/>
            <w:hideMark/>
          </w:tcPr>
          <w:p w14:paraId="545BCC13" w14:textId="7A9E2695"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noWrap/>
            <w:vAlign w:val="bottom"/>
            <w:hideMark/>
          </w:tcPr>
          <w:p w14:paraId="60B0D57C"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7AFAD50D"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100,000</w:t>
            </w:r>
          </w:p>
        </w:tc>
        <w:tc>
          <w:tcPr>
            <w:tcW w:w="765" w:type="pct"/>
            <w:tcBorders>
              <w:top w:val="nil"/>
              <w:left w:val="nil"/>
              <w:bottom w:val="single" w:sz="4" w:space="0" w:color="auto"/>
              <w:right w:val="single" w:sz="4" w:space="0" w:color="auto"/>
            </w:tcBorders>
            <w:noWrap/>
            <w:vAlign w:val="center"/>
            <w:hideMark/>
          </w:tcPr>
          <w:p w14:paraId="03CC6038"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3438BA64"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0F2A20E6"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Dominica</w:t>
            </w:r>
          </w:p>
        </w:tc>
        <w:tc>
          <w:tcPr>
            <w:tcW w:w="565" w:type="pct"/>
            <w:tcBorders>
              <w:top w:val="nil"/>
              <w:left w:val="nil"/>
              <w:bottom w:val="single" w:sz="4" w:space="0" w:color="auto"/>
              <w:right w:val="single" w:sz="4" w:space="0" w:color="auto"/>
            </w:tcBorders>
            <w:noWrap/>
            <w:vAlign w:val="center"/>
            <w:hideMark/>
          </w:tcPr>
          <w:p w14:paraId="5E3CD25F" w14:textId="35FA2687"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5E5F76E7"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0F616771"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100,000</w:t>
            </w:r>
          </w:p>
        </w:tc>
        <w:tc>
          <w:tcPr>
            <w:tcW w:w="765" w:type="pct"/>
            <w:tcBorders>
              <w:top w:val="nil"/>
              <w:left w:val="nil"/>
              <w:bottom w:val="single" w:sz="4" w:space="0" w:color="auto"/>
              <w:right w:val="single" w:sz="4" w:space="0" w:color="auto"/>
            </w:tcBorders>
            <w:noWrap/>
            <w:vAlign w:val="center"/>
            <w:hideMark/>
          </w:tcPr>
          <w:p w14:paraId="26CA26A1"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01FF8BED"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7F53683D"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Equatorial Guinea</w:t>
            </w:r>
          </w:p>
        </w:tc>
        <w:tc>
          <w:tcPr>
            <w:tcW w:w="565" w:type="pct"/>
            <w:tcBorders>
              <w:top w:val="nil"/>
              <w:left w:val="nil"/>
              <w:bottom w:val="single" w:sz="4" w:space="0" w:color="auto"/>
              <w:right w:val="single" w:sz="4" w:space="0" w:color="auto"/>
            </w:tcBorders>
            <w:noWrap/>
            <w:vAlign w:val="center"/>
            <w:hideMark/>
          </w:tcPr>
          <w:p w14:paraId="3DD2EB2A" w14:textId="6EC634F6"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5F947F99"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5EF00C83"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170,000</w:t>
            </w:r>
          </w:p>
        </w:tc>
        <w:tc>
          <w:tcPr>
            <w:tcW w:w="765" w:type="pct"/>
            <w:tcBorders>
              <w:top w:val="nil"/>
              <w:left w:val="nil"/>
              <w:bottom w:val="single" w:sz="4" w:space="0" w:color="auto"/>
              <w:right w:val="single" w:sz="4" w:space="0" w:color="auto"/>
            </w:tcBorders>
            <w:noWrap/>
            <w:vAlign w:val="center"/>
            <w:hideMark/>
          </w:tcPr>
          <w:p w14:paraId="3A1CE810"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65E4EEC1"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43A7BBF8"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Guyana</w:t>
            </w:r>
          </w:p>
        </w:tc>
        <w:tc>
          <w:tcPr>
            <w:tcW w:w="565" w:type="pct"/>
            <w:tcBorders>
              <w:top w:val="nil"/>
              <w:left w:val="nil"/>
              <w:bottom w:val="single" w:sz="4" w:space="0" w:color="auto"/>
              <w:right w:val="single" w:sz="4" w:space="0" w:color="auto"/>
            </w:tcBorders>
            <w:noWrap/>
            <w:vAlign w:val="center"/>
            <w:hideMark/>
          </w:tcPr>
          <w:p w14:paraId="14E2EDC5" w14:textId="696E76F8"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60C84C6C"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7F28AB5D"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130,000</w:t>
            </w:r>
          </w:p>
        </w:tc>
        <w:tc>
          <w:tcPr>
            <w:tcW w:w="765" w:type="pct"/>
            <w:tcBorders>
              <w:top w:val="nil"/>
              <w:left w:val="nil"/>
              <w:bottom w:val="single" w:sz="4" w:space="0" w:color="auto"/>
              <w:right w:val="single" w:sz="4" w:space="0" w:color="auto"/>
            </w:tcBorders>
            <w:noWrap/>
            <w:vAlign w:val="center"/>
            <w:hideMark/>
          </w:tcPr>
          <w:p w14:paraId="564310B6"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572284D9"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1AA85DBF"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Haiti</w:t>
            </w:r>
          </w:p>
        </w:tc>
        <w:tc>
          <w:tcPr>
            <w:tcW w:w="565" w:type="pct"/>
            <w:tcBorders>
              <w:top w:val="nil"/>
              <w:left w:val="nil"/>
              <w:bottom w:val="single" w:sz="4" w:space="0" w:color="auto"/>
              <w:right w:val="single" w:sz="4" w:space="0" w:color="auto"/>
            </w:tcBorders>
            <w:noWrap/>
            <w:vAlign w:val="center"/>
            <w:hideMark/>
          </w:tcPr>
          <w:p w14:paraId="482136FC" w14:textId="5083F68A" w:rsidR="002D56FF" w:rsidRPr="002D56FF" w:rsidRDefault="548BBB9B" w:rsidP="002D56FF">
            <w:pPr>
              <w:tabs>
                <w:tab w:val="clear" w:pos="0"/>
              </w:tabs>
              <w:spacing w:after="0"/>
              <w:jc w:val="center"/>
              <w:rPr>
                <w:color w:val="000000"/>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noWrap/>
            <w:vAlign w:val="bottom"/>
            <w:hideMark/>
          </w:tcPr>
          <w:p w14:paraId="3D475024"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73DA52D0"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130,000</w:t>
            </w:r>
          </w:p>
        </w:tc>
        <w:tc>
          <w:tcPr>
            <w:tcW w:w="765" w:type="pct"/>
            <w:tcBorders>
              <w:top w:val="nil"/>
              <w:left w:val="nil"/>
              <w:bottom w:val="single" w:sz="4" w:space="0" w:color="auto"/>
              <w:right w:val="single" w:sz="4" w:space="0" w:color="auto"/>
            </w:tcBorders>
            <w:noWrap/>
            <w:vAlign w:val="center"/>
            <w:hideMark/>
          </w:tcPr>
          <w:p w14:paraId="19A7D852"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4AAABBE2"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624F6879"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India</w:t>
            </w:r>
          </w:p>
        </w:tc>
        <w:tc>
          <w:tcPr>
            <w:tcW w:w="565" w:type="pct"/>
            <w:tcBorders>
              <w:top w:val="nil"/>
              <w:left w:val="nil"/>
              <w:bottom w:val="single" w:sz="4" w:space="0" w:color="auto"/>
              <w:right w:val="single" w:sz="4" w:space="0" w:color="auto"/>
            </w:tcBorders>
            <w:shd w:val="clear" w:color="auto" w:fill="D9E2F3" w:themeFill="accent1" w:themeFillTint="33"/>
            <w:noWrap/>
            <w:vAlign w:val="center"/>
            <w:hideMark/>
          </w:tcPr>
          <w:p w14:paraId="1B67DC86" w14:textId="09CB363A" w:rsidR="002D56FF" w:rsidRPr="002D56FF" w:rsidRDefault="548BBB9B" w:rsidP="002D56FF">
            <w:pPr>
              <w:tabs>
                <w:tab w:val="clear" w:pos="0"/>
              </w:tabs>
              <w:spacing w:after="0"/>
              <w:jc w:val="center"/>
              <w:rPr>
                <w:sz w:val="20"/>
                <w:szCs w:val="20"/>
                <w:lang w:eastAsia="en-CA"/>
              </w:rPr>
            </w:pPr>
            <w:r w:rsidRPr="548BBB9B">
              <w:rPr>
                <w:sz w:val="20"/>
                <w:szCs w:val="20"/>
                <w:lang w:eastAsia="en-CA"/>
              </w:rPr>
              <w:t>2</w:t>
            </w:r>
          </w:p>
        </w:tc>
        <w:tc>
          <w:tcPr>
            <w:tcW w:w="600" w:type="pct"/>
            <w:tcBorders>
              <w:top w:val="nil"/>
              <w:left w:val="nil"/>
              <w:bottom w:val="single" w:sz="4" w:space="0" w:color="auto"/>
              <w:right w:val="single" w:sz="4" w:space="0" w:color="auto"/>
            </w:tcBorders>
            <w:noWrap/>
            <w:vAlign w:val="bottom"/>
            <w:hideMark/>
          </w:tcPr>
          <w:p w14:paraId="7A83D01A"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2DD363F7"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230,000</w:t>
            </w:r>
          </w:p>
        </w:tc>
        <w:tc>
          <w:tcPr>
            <w:tcW w:w="765" w:type="pct"/>
            <w:tcBorders>
              <w:top w:val="nil"/>
              <w:left w:val="nil"/>
              <w:bottom w:val="single" w:sz="4" w:space="0" w:color="auto"/>
              <w:right w:val="single" w:sz="4" w:space="0" w:color="auto"/>
            </w:tcBorders>
            <w:noWrap/>
            <w:vAlign w:val="center"/>
            <w:hideMark/>
          </w:tcPr>
          <w:p w14:paraId="21AED193"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01736634"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12F6B1E2"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Iran (Islamic Republic of)</w:t>
            </w:r>
          </w:p>
        </w:tc>
        <w:tc>
          <w:tcPr>
            <w:tcW w:w="565" w:type="pct"/>
            <w:tcBorders>
              <w:top w:val="nil"/>
              <w:left w:val="nil"/>
              <w:bottom w:val="single" w:sz="4" w:space="0" w:color="auto"/>
              <w:right w:val="single" w:sz="4" w:space="0" w:color="auto"/>
            </w:tcBorders>
            <w:shd w:val="clear" w:color="auto" w:fill="D9E2F3" w:themeFill="accent1" w:themeFillTint="33"/>
            <w:noWrap/>
            <w:vAlign w:val="center"/>
            <w:hideMark/>
          </w:tcPr>
          <w:p w14:paraId="1D12EA58" w14:textId="2EE0EABF" w:rsidR="002D56FF" w:rsidRPr="002D56FF" w:rsidRDefault="548BBB9B" w:rsidP="002D56FF">
            <w:pPr>
              <w:tabs>
                <w:tab w:val="clear" w:pos="0"/>
              </w:tabs>
              <w:spacing w:after="0"/>
              <w:jc w:val="center"/>
              <w:rPr>
                <w:sz w:val="20"/>
                <w:szCs w:val="20"/>
                <w:lang w:eastAsia="en-CA"/>
              </w:rPr>
            </w:pPr>
            <w:r w:rsidRPr="548BBB9B">
              <w:rPr>
                <w:sz w:val="20"/>
                <w:szCs w:val="20"/>
                <w:lang w:eastAsia="en-CA"/>
              </w:rPr>
              <w:t>2</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79B4F121"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2D9383EA"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220,000</w:t>
            </w:r>
          </w:p>
        </w:tc>
        <w:tc>
          <w:tcPr>
            <w:tcW w:w="765" w:type="pct"/>
            <w:tcBorders>
              <w:top w:val="nil"/>
              <w:left w:val="nil"/>
              <w:bottom w:val="single" w:sz="4" w:space="0" w:color="auto"/>
              <w:right w:val="single" w:sz="4" w:space="0" w:color="auto"/>
            </w:tcBorders>
            <w:noWrap/>
            <w:vAlign w:val="center"/>
            <w:hideMark/>
          </w:tcPr>
          <w:p w14:paraId="0F38647A"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3FBFF086"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4324901D"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Iraq</w:t>
            </w:r>
          </w:p>
        </w:tc>
        <w:tc>
          <w:tcPr>
            <w:tcW w:w="565" w:type="pct"/>
            <w:tcBorders>
              <w:top w:val="nil"/>
              <w:left w:val="nil"/>
              <w:bottom w:val="single" w:sz="4" w:space="0" w:color="auto"/>
              <w:right w:val="single" w:sz="4" w:space="0" w:color="auto"/>
            </w:tcBorders>
            <w:shd w:val="clear" w:color="auto" w:fill="D9E2F3" w:themeFill="accent1" w:themeFillTint="33"/>
            <w:noWrap/>
            <w:vAlign w:val="center"/>
            <w:hideMark/>
          </w:tcPr>
          <w:p w14:paraId="6CB97D5A" w14:textId="025423AB" w:rsidR="002D56FF" w:rsidRPr="002D56FF" w:rsidRDefault="548BBB9B" w:rsidP="002D56FF">
            <w:pPr>
              <w:tabs>
                <w:tab w:val="clear" w:pos="0"/>
              </w:tabs>
              <w:spacing w:after="0"/>
              <w:jc w:val="center"/>
              <w:rPr>
                <w:sz w:val="20"/>
                <w:szCs w:val="20"/>
                <w:lang w:eastAsia="en-CA"/>
              </w:rPr>
            </w:pPr>
            <w:r w:rsidRPr="548BBB9B">
              <w:rPr>
                <w:sz w:val="20"/>
                <w:szCs w:val="20"/>
                <w:lang w:eastAsia="en-CA"/>
              </w:rPr>
              <w:t>2</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230AE2AE"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73A6DFC9"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220,000</w:t>
            </w:r>
          </w:p>
        </w:tc>
        <w:tc>
          <w:tcPr>
            <w:tcW w:w="765" w:type="pct"/>
            <w:tcBorders>
              <w:top w:val="nil"/>
              <w:left w:val="nil"/>
              <w:bottom w:val="single" w:sz="4" w:space="0" w:color="auto"/>
              <w:right w:val="single" w:sz="4" w:space="0" w:color="auto"/>
            </w:tcBorders>
            <w:noWrap/>
            <w:vAlign w:val="center"/>
            <w:hideMark/>
          </w:tcPr>
          <w:p w14:paraId="63E41329"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36914DD9"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417B1C59"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Jamaica</w:t>
            </w:r>
          </w:p>
        </w:tc>
        <w:tc>
          <w:tcPr>
            <w:tcW w:w="565" w:type="pct"/>
            <w:tcBorders>
              <w:top w:val="nil"/>
              <w:left w:val="nil"/>
              <w:bottom w:val="single" w:sz="4" w:space="0" w:color="auto"/>
              <w:right w:val="single" w:sz="4" w:space="0" w:color="auto"/>
            </w:tcBorders>
            <w:noWrap/>
            <w:vAlign w:val="center"/>
            <w:hideMark/>
          </w:tcPr>
          <w:p w14:paraId="2AFB49BE" w14:textId="1E6F0E0A"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0548B579"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5166A651"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170,000</w:t>
            </w:r>
          </w:p>
        </w:tc>
        <w:tc>
          <w:tcPr>
            <w:tcW w:w="765" w:type="pct"/>
            <w:tcBorders>
              <w:top w:val="nil"/>
              <w:left w:val="nil"/>
              <w:bottom w:val="single" w:sz="4" w:space="0" w:color="auto"/>
              <w:right w:val="single" w:sz="4" w:space="0" w:color="auto"/>
            </w:tcBorders>
            <w:noWrap/>
            <w:vAlign w:val="center"/>
            <w:hideMark/>
          </w:tcPr>
          <w:p w14:paraId="6A075694"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1C546552"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7F644EC0"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Libya</w:t>
            </w:r>
          </w:p>
        </w:tc>
        <w:tc>
          <w:tcPr>
            <w:tcW w:w="565" w:type="pct"/>
            <w:tcBorders>
              <w:top w:val="nil"/>
              <w:left w:val="nil"/>
              <w:bottom w:val="single" w:sz="4" w:space="0" w:color="auto"/>
              <w:right w:val="single" w:sz="4" w:space="0" w:color="auto"/>
            </w:tcBorders>
            <w:noWrap/>
            <w:vAlign w:val="center"/>
            <w:hideMark/>
          </w:tcPr>
          <w:p w14:paraId="462E228C" w14:textId="5BA1049F"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72F02601"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01EEE9B5"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220,000</w:t>
            </w:r>
          </w:p>
        </w:tc>
        <w:tc>
          <w:tcPr>
            <w:tcW w:w="765" w:type="pct"/>
            <w:tcBorders>
              <w:top w:val="nil"/>
              <w:left w:val="nil"/>
              <w:bottom w:val="single" w:sz="4" w:space="0" w:color="auto"/>
              <w:right w:val="single" w:sz="4" w:space="0" w:color="auto"/>
            </w:tcBorders>
            <w:noWrap/>
            <w:vAlign w:val="center"/>
            <w:hideMark/>
          </w:tcPr>
          <w:p w14:paraId="45886340"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788B6912"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6CBFC7D0"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Madagascar</w:t>
            </w:r>
          </w:p>
        </w:tc>
        <w:tc>
          <w:tcPr>
            <w:tcW w:w="565" w:type="pct"/>
            <w:tcBorders>
              <w:top w:val="nil"/>
              <w:left w:val="nil"/>
              <w:bottom w:val="single" w:sz="4" w:space="0" w:color="auto"/>
              <w:right w:val="single" w:sz="4" w:space="0" w:color="auto"/>
            </w:tcBorders>
            <w:noWrap/>
            <w:vAlign w:val="center"/>
            <w:hideMark/>
          </w:tcPr>
          <w:p w14:paraId="14616C47" w14:textId="2469D513"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7883A10D" w14:textId="168A5442" w:rsidR="002D56FF" w:rsidRPr="00835DC2" w:rsidRDefault="00EE5A6D"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6CC677F1"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170,000</w:t>
            </w:r>
          </w:p>
        </w:tc>
        <w:tc>
          <w:tcPr>
            <w:tcW w:w="765" w:type="pct"/>
            <w:tcBorders>
              <w:top w:val="nil"/>
              <w:left w:val="nil"/>
              <w:bottom w:val="single" w:sz="4" w:space="0" w:color="auto"/>
              <w:right w:val="single" w:sz="4" w:space="0" w:color="auto"/>
            </w:tcBorders>
            <w:noWrap/>
            <w:vAlign w:val="center"/>
            <w:hideMark/>
          </w:tcPr>
          <w:p w14:paraId="14F43B16"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2EF5F595"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174ACC94"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Mauritania</w:t>
            </w:r>
          </w:p>
        </w:tc>
        <w:tc>
          <w:tcPr>
            <w:tcW w:w="565" w:type="pct"/>
            <w:tcBorders>
              <w:top w:val="nil"/>
              <w:left w:val="nil"/>
              <w:bottom w:val="single" w:sz="4" w:space="0" w:color="auto"/>
              <w:right w:val="single" w:sz="4" w:space="0" w:color="auto"/>
            </w:tcBorders>
            <w:noWrap/>
            <w:vAlign w:val="center"/>
            <w:hideMark/>
          </w:tcPr>
          <w:p w14:paraId="2B97191E" w14:textId="18F949FD"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noWrap/>
            <w:vAlign w:val="bottom"/>
            <w:hideMark/>
          </w:tcPr>
          <w:p w14:paraId="5EAB5516"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6DEC07E1"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190,000</w:t>
            </w:r>
          </w:p>
        </w:tc>
        <w:tc>
          <w:tcPr>
            <w:tcW w:w="765" w:type="pct"/>
            <w:tcBorders>
              <w:top w:val="nil"/>
              <w:left w:val="nil"/>
              <w:bottom w:val="single" w:sz="4" w:space="0" w:color="auto"/>
              <w:right w:val="single" w:sz="4" w:space="0" w:color="auto"/>
            </w:tcBorders>
            <w:noWrap/>
            <w:vAlign w:val="center"/>
            <w:hideMark/>
          </w:tcPr>
          <w:p w14:paraId="12F7293E"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3560598D"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2CDB289A"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Myanmar</w:t>
            </w:r>
          </w:p>
        </w:tc>
        <w:tc>
          <w:tcPr>
            <w:tcW w:w="565" w:type="pct"/>
            <w:tcBorders>
              <w:top w:val="nil"/>
              <w:left w:val="nil"/>
              <w:bottom w:val="single" w:sz="4" w:space="0" w:color="auto"/>
              <w:right w:val="single" w:sz="4" w:space="0" w:color="auto"/>
            </w:tcBorders>
            <w:noWrap/>
            <w:vAlign w:val="center"/>
            <w:hideMark/>
          </w:tcPr>
          <w:p w14:paraId="6EB15CC1" w14:textId="0185173B"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25405CE3"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31384536"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130,000</w:t>
            </w:r>
          </w:p>
        </w:tc>
        <w:tc>
          <w:tcPr>
            <w:tcW w:w="765" w:type="pct"/>
            <w:tcBorders>
              <w:top w:val="nil"/>
              <w:left w:val="nil"/>
              <w:bottom w:val="single" w:sz="4" w:space="0" w:color="auto"/>
              <w:right w:val="single" w:sz="4" w:space="0" w:color="auto"/>
            </w:tcBorders>
            <w:noWrap/>
            <w:vAlign w:val="center"/>
            <w:hideMark/>
          </w:tcPr>
          <w:p w14:paraId="56C3ECCD"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0C211903"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4C585156"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Nepal</w:t>
            </w:r>
          </w:p>
        </w:tc>
        <w:tc>
          <w:tcPr>
            <w:tcW w:w="565" w:type="pct"/>
            <w:tcBorders>
              <w:top w:val="nil"/>
              <w:left w:val="nil"/>
              <w:bottom w:val="single" w:sz="4" w:space="0" w:color="auto"/>
              <w:right w:val="single" w:sz="4" w:space="0" w:color="auto"/>
            </w:tcBorders>
            <w:noWrap/>
            <w:vAlign w:val="center"/>
            <w:hideMark/>
          </w:tcPr>
          <w:p w14:paraId="73352548" w14:textId="445D7704"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noWrap/>
            <w:vAlign w:val="bottom"/>
            <w:hideMark/>
          </w:tcPr>
          <w:p w14:paraId="58E44194"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47B49F82"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130,000</w:t>
            </w:r>
          </w:p>
        </w:tc>
        <w:tc>
          <w:tcPr>
            <w:tcW w:w="765" w:type="pct"/>
            <w:tcBorders>
              <w:top w:val="nil"/>
              <w:left w:val="nil"/>
              <w:bottom w:val="single" w:sz="4" w:space="0" w:color="auto"/>
              <w:right w:val="single" w:sz="4" w:space="0" w:color="auto"/>
            </w:tcBorders>
            <w:noWrap/>
            <w:vAlign w:val="center"/>
            <w:hideMark/>
          </w:tcPr>
          <w:p w14:paraId="775828C6"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2E6BB473"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6CC93CE9"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Qatar</w:t>
            </w:r>
          </w:p>
        </w:tc>
        <w:tc>
          <w:tcPr>
            <w:tcW w:w="565" w:type="pct"/>
            <w:tcBorders>
              <w:top w:val="nil"/>
              <w:left w:val="nil"/>
              <w:bottom w:val="single" w:sz="4" w:space="0" w:color="auto"/>
              <w:right w:val="single" w:sz="4" w:space="0" w:color="auto"/>
            </w:tcBorders>
            <w:shd w:val="clear" w:color="auto" w:fill="D9E2F3" w:themeFill="accent1" w:themeFillTint="33"/>
            <w:noWrap/>
            <w:vAlign w:val="center"/>
            <w:hideMark/>
          </w:tcPr>
          <w:p w14:paraId="7F32B904" w14:textId="52A790D0" w:rsidR="002D56FF" w:rsidRPr="002D56FF" w:rsidRDefault="548BBB9B" w:rsidP="002D56FF">
            <w:pPr>
              <w:tabs>
                <w:tab w:val="clear" w:pos="0"/>
              </w:tabs>
              <w:spacing w:after="0"/>
              <w:jc w:val="center"/>
              <w:rPr>
                <w:sz w:val="20"/>
                <w:szCs w:val="20"/>
                <w:lang w:eastAsia="en-CA"/>
              </w:rPr>
            </w:pPr>
            <w:r w:rsidRPr="548BBB9B">
              <w:rPr>
                <w:sz w:val="20"/>
                <w:szCs w:val="20"/>
                <w:lang w:eastAsia="en-CA"/>
              </w:rPr>
              <w:t>2</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57F0D0C1"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4C855128"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190,000</w:t>
            </w:r>
          </w:p>
        </w:tc>
        <w:tc>
          <w:tcPr>
            <w:tcW w:w="765" w:type="pct"/>
            <w:tcBorders>
              <w:top w:val="nil"/>
              <w:left w:val="nil"/>
              <w:bottom w:val="single" w:sz="4" w:space="0" w:color="auto"/>
              <w:right w:val="single" w:sz="4" w:space="0" w:color="auto"/>
            </w:tcBorders>
            <w:noWrap/>
            <w:vAlign w:val="center"/>
            <w:hideMark/>
          </w:tcPr>
          <w:p w14:paraId="31874B97"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68529004"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74F67C63"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Saint Kitts and Nevis</w:t>
            </w:r>
          </w:p>
        </w:tc>
        <w:tc>
          <w:tcPr>
            <w:tcW w:w="565" w:type="pct"/>
            <w:tcBorders>
              <w:top w:val="nil"/>
              <w:left w:val="nil"/>
              <w:bottom w:val="single" w:sz="4" w:space="0" w:color="auto"/>
              <w:right w:val="single" w:sz="4" w:space="0" w:color="auto"/>
            </w:tcBorders>
            <w:noWrap/>
            <w:vAlign w:val="center"/>
            <w:hideMark/>
          </w:tcPr>
          <w:p w14:paraId="2F0ECF49" w14:textId="28583701"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noWrap/>
            <w:vAlign w:val="bottom"/>
            <w:hideMark/>
          </w:tcPr>
          <w:p w14:paraId="6632FDF5"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4D45830F"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100,000</w:t>
            </w:r>
          </w:p>
        </w:tc>
        <w:tc>
          <w:tcPr>
            <w:tcW w:w="765" w:type="pct"/>
            <w:tcBorders>
              <w:top w:val="nil"/>
              <w:left w:val="nil"/>
              <w:bottom w:val="single" w:sz="4" w:space="0" w:color="auto"/>
              <w:right w:val="single" w:sz="4" w:space="0" w:color="auto"/>
            </w:tcBorders>
            <w:noWrap/>
            <w:vAlign w:val="center"/>
            <w:hideMark/>
          </w:tcPr>
          <w:p w14:paraId="7EC1B53B"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5E450E66"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426BE5C2"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Saudi Arabia</w:t>
            </w:r>
          </w:p>
        </w:tc>
        <w:tc>
          <w:tcPr>
            <w:tcW w:w="565" w:type="pct"/>
            <w:tcBorders>
              <w:top w:val="nil"/>
              <w:left w:val="nil"/>
              <w:bottom w:val="single" w:sz="4" w:space="0" w:color="auto"/>
              <w:right w:val="single" w:sz="4" w:space="0" w:color="auto"/>
            </w:tcBorders>
            <w:shd w:val="clear" w:color="auto" w:fill="D9E2F3" w:themeFill="accent1" w:themeFillTint="33"/>
            <w:noWrap/>
            <w:vAlign w:val="center"/>
            <w:hideMark/>
          </w:tcPr>
          <w:p w14:paraId="405A2A6E" w14:textId="561109D2" w:rsidR="002D56FF" w:rsidRPr="002D56FF" w:rsidRDefault="548BBB9B" w:rsidP="002D56FF">
            <w:pPr>
              <w:tabs>
                <w:tab w:val="clear" w:pos="0"/>
              </w:tabs>
              <w:spacing w:after="0"/>
              <w:jc w:val="center"/>
              <w:rPr>
                <w:sz w:val="20"/>
                <w:szCs w:val="20"/>
                <w:lang w:eastAsia="en-CA"/>
              </w:rPr>
            </w:pPr>
            <w:r w:rsidRPr="548BBB9B">
              <w:rPr>
                <w:sz w:val="20"/>
                <w:szCs w:val="20"/>
                <w:lang w:eastAsia="en-CA"/>
              </w:rPr>
              <w:t>2</w:t>
            </w:r>
          </w:p>
        </w:tc>
        <w:tc>
          <w:tcPr>
            <w:tcW w:w="600" w:type="pct"/>
            <w:tcBorders>
              <w:top w:val="nil"/>
              <w:left w:val="nil"/>
              <w:bottom w:val="single" w:sz="4" w:space="0" w:color="auto"/>
              <w:right w:val="single" w:sz="4" w:space="0" w:color="auto"/>
            </w:tcBorders>
            <w:noWrap/>
            <w:vAlign w:val="bottom"/>
            <w:hideMark/>
          </w:tcPr>
          <w:p w14:paraId="5E1A8777"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Yes</w:t>
            </w:r>
          </w:p>
        </w:tc>
        <w:tc>
          <w:tcPr>
            <w:tcW w:w="1035" w:type="pct"/>
            <w:tcBorders>
              <w:top w:val="nil"/>
              <w:left w:val="nil"/>
              <w:bottom w:val="single" w:sz="4" w:space="0" w:color="auto"/>
              <w:right w:val="single" w:sz="4" w:space="0" w:color="auto"/>
            </w:tcBorders>
            <w:noWrap/>
            <w:vAlign w:val="center"/>
            <w:hideMark/>
          </w:tcPr>
          <w:p w14:paraId="3ACBC157"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230,000</w:t>
            </w:r>
          </w:p>
        </w:tc>
        <w:tc>
          <w:tcPr>
            <w:tcW w:w="765" w:type="pct"/>
            <w:tcBorders>
              <w:top w:val="nil"/>
              <w:left w:val="nil"/>
              <w:bottom w:val="single" w:sz="4" w:space="0" w:color="auto"/>
              <w:right w:val="single" w:sz="4" w:space="0" w:color="auto"/>
            </w:tcBorders>
            <w:noWrap/>
            <w:vAlign w:val="center"/>
            <w:hideMark/>
          </w:tcPr>
          <w:p w14:paraId="35C4E9AB"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669F0C22"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1A46519F"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South Sudan</w:t>
            </w:r>
          </w:p>
        </w:tc>
        <w:tc>
          <w:tcPr>
            <w:tcW w:w="565" w:type="pct"/>
            <w:tcBorders>
              <w:top w:val="nil"/>
              <w:left w:val="nil"/>
              <w:bottom w:val="single" w:sz="4" w:space="0" w:color="auto"/>
              <w:right w:val="single" w:sz="4" w:space="0" w:color="auto"/>
            </w:tcBorders>
            <w:noWrap/>
            <w:vAlign w:val="center"/>
            <w:hideMark/>
          </w:tcPr>
          <w:p w14:paraId="16B61030" w14:textId="5439E1B8"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6197C997"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171DA2FD"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130,000</w:t>
            </w:r>
          </w:p>
        </w:tc>
        <w:tc>
          <w:tcPr>
            <w:tcW w:w="765" w:type="pct"/>
            <w:tcBorders>
              <w:top w:val="nil"/>
              <w:left w:val="nil"/>
              <w:bottom w:val="single" w:sz="4" w:space="0" w:color="auto"/>
              <w:right w:val="single" w:sz="4" w:space="0" w:color="auto"/>
            </w:tcBorders>
            <w:noWrap/>
            <w:vAlign w:val="center"/>
            <w:hideMark/>
          </w:tcPr>
          <w:p w14:paraId="6702846C"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27BBAE8E"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7EA15994"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Sudan</w:t>
            </w:r>
          </w:p>
        </w:tc>
        <w:tc>
          <w:tcPr>
            <w:tcW w:w="565" w:type="pct"/>
            <w:tcBorders>
              <w:top w:val="nil"/>
              <w:left w:val="nil"/>
              <w:bottom w:val="single" w:sz="4" w:space="0" w:color="auto"/>
              <w:right w:val="single" w:sz="4" w:space="0" w:color="auto"/>
            </w:tcBorders>
            <w:noWrap/>
            <w:vAlign w:val="center"/>
            <w:hideMark/>
          </w:tcPr>
          <w:p w14:paraId="0EF66BD2" w14:textId="55A261FC"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1E92FDE1"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0822691F"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190,000</w:t>
            </w:r>
          </w:p>
        </w:tc>
        <w:tc>
          <w:tcPr>
            <w:tcW w:w="765" w:type="pct"/>
            <w:tcBorders>
              <w:top w:val="nil"/>
              <w:left w:val="nil"/>
              <w:bottom w:val="single" w:sz="4" w:space="0" w:color="auto"/>
              <w:right w:val="single" w:sz="4" w:space="0" w:color="auto"/>
            </w:tcBorders>
            <w:noWrap/>
            <w:vAlign w:val="center"/>
            <w:hideMark/>
          </w:tcPr>
          <w:p w14:paraId="2B278F92"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000D949D"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6624413F"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Suriname</w:t>
            </w:r>
          </w:p>
        </w:tc>
        <w:tc>
          <w:tcPr>
            <w:tcW w:w="565" w:type="pct"/>
            <w:tcBorders>
              <w:top w:val="nil"/>
              <w:left w:val="nil"/>
              <w:bottom w:val="single" w:sz="4" w:space="0" w:color="auto"/>
              <w:right w:val="single" w:sz="4" w:space="0" w:color="auto"/>
            </w:tcBorders>
            <w:noWrap/>
            <w:vAlign w:val="center"/>
            <w:hideMark/>
          </w:tcPr>
          <w:p w14:paraId="17E7E88D" w14:textId="780FD615"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36D13AD2"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13CA5CB7"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130,000</w:t>
            </w:r>
          </w:p>
        </w:tc>
        <w:tc>
          <w:tcPr>
            <w:tcW w:w="765" w:type="pct"/>
            <w:tcBorders>
              <w:top w:val="nil"/>
              <w:left w:val="nil"/>
              <w:bottom w:val="single" w:sz="4" w:space="0" w:color="auto"/>
              <w:right w:val="single" w:sz="4" w:space="0" w:color="auto"/>
            </w:tcBorders>
            <w:noWrap/>
            <w:vAlign w:val="center"/>
            <w:hideMark/>
          </w:tcPr>
          <w:p w14:paraId="55538476"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5F9CBC18"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240AF42C"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Timor-Leste</w:t>
            </w:r>
          </w:p>
        </w:tc>
        <w:tc>
          <w:tcPr>
            <w:tcW w:w="565" w:type="pct"/>
            <w:tcBorders>
              <w:top w:val="nil"/>
              <w:left w:val="nil"/>
              <w:bottom w:val="single" w:sz="4" w:space="0" w:color="auto"/>
              <w:right w:val="single" w:sz="4" w:space="0" w:color="auto"/>
            </w:tcBorders>
            <w:noWrap/>
            <w:vAlign w:val="center"/>
            <w:hideMark/>
          </w:tcPr>
          <w:p w14:paraId="53460B1C" w14:textId="679A8571"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41251174"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461B78A4"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100,000</w:t>
            </w:r>
          </w:p>
        </w:tc>
        <w:tc>
          <w:tcPr>
            <w:tcW w:w="765" w:type="pct"/>
            <w:tcBorders>
              <w:top w:val="nil"/>
              <w:left w:val="nil"/>
              <w:bottom w:val="single" w:sz="4" w:space="0" w:color="auto"/>
              <w:right w:val="single" w:sz="4" w:space="0" w:color="auto"/>
            </w:tcBorders>
            <w:noWrap/>
            <w:vAlign w:val="center"/>
            <w:hideMark/>
          </w:tcPr>
          <w:p w14:paraId="26EFFBD4"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Yes</w:t>
            </w:r>
          </w:p>
        </w:tc>
      </w:tr>
      <w:tr w:rsidR="002D56FF" w:rsidRPr="002D56FF" w14:paraId="5C3C97EA" w14:textId="77777777" w:rsidTr="00100666">
        <w:trPr>
          <w:trHeight w:val="300"/>
        </w:trPr>
        <w:tc>
          <w:tcPr>
            <w:tcW w:w="2035" w:type="pct"/>
            <w:tcBorders>
              <w:top w:val="nil"/>
              <w:left w:val="single" w:sz="4" w:space="0" w:color="auto"/>
              <w:bottom w:val="single" w:sz="4" w:space="0" w:color="auto"/>
              <w:right w:val="single" w:sz="4" w:space="0" w:color="auto"/>
            </w:tcBorders>
            <w:noWrap/>
            <w:vAlign w:val="center"/>
            <w:hideMark/>
          </w:tcPr>
          <w:p w14:paraId="1AE8DAE2"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Yemen</w:t>
            </w:r>
          </w:p>
        </w:tc>
        <w:tc>
          <w:tcPr>
            <w:tcW w:w="565" w:type="pct"/>
            <w:tcBorders>
              <w:top w:val="nil"/>
              <w:left w:val="nil"/>
              <w:bottom w:val="single" w:sz="4" w:space="0" w:color="auto"/>
              <w:right w:val="single" w:sz="4" w:space="0" w:color="auto"/>
            </w:tcBorders>
            <w:noWrap/>
            <w:vAlign w:val="center"/>
            <w:hideMark/>
          </w:tcPr>
          <w:p w14:paraId="7221D4BC" w14:textId="0164946F" w:rsidR="002D56FF" w:rsidRPr="002D56FF" w:rsidRDefault="548BBB9B" w:rsidP="002D56FF">
            <w:pPr>
              <w:tabs>
                <w:tab w:val="clear" w:pos="0"/>
              </w:tabs>
              <w:spacing w:after="0"/>
              <w:jc w:val="center"/>
              <w:rPr>
                <w:sz w:val="20"/>
                <w:szCs w:val="20"/>
                <w:lang w:eastAsia="en-CA"/>
              </w:rPr>
            </w:pPr>
            <w:r w:rsidRPr="548BBB9B">
              <w:rPr>
                <w:sz w:val="20"/>
                <w:szCs w:val="20"/>
                <w:lang w:eastAsia="en-CA"/>
              </w:rPr>
              <w:t>1</w:t>
            </w:r>
          </w:p>
        </w:tc>
        <w:tc>
          <w:tcPr>
            <w:tcW w:w="600" w:type="pct"/>
            <w:tcBorders>
              <w:top w:val="nil"/>
              <w:left w:val="nil"/>
              <w:bottom w:val="single" w:sz="4" w:space="0" w:color="auto"/>
              <w:right w:val="single" w:sz="4" w:space="0" w:color="auto"/>
            </w:tcBorders>
            <w:shd w:val="clear" w:color="auto" w:fill="FFF2CC" w:themeFill="accent4" w:themeFillTint="33"/>
            <w:noWrap/>
            <w:vAlign w:val="bottom"/>
            <w:hideMark/>
          </w:tcPr>
          <w:p w14:paraId="16EB18D3" w14:textId="77777777" w:rsidR="002D56FF" w:rsidRPr="00835DC2" w:rsidRDefault="002D56FF" w:rsidP="002D56FF">
            <w:pPr>
              <w:tabs>
                <w:tab w:val="clear" w:pos="0"/>
              </w:tabs>
              <w:spacing w:after="0"/>
              <w:rPr>
                <w:rFonts w:asciiTheme="majorBidi" w:hAnsiTheme="majorBidi" w:cstheme="majorBidi"/>
                <w:color w:val="000000"/>
                <w:sz w:val="20"/>
                <w:szCs w:val="20"/>
                <w:lang w:eastAsia="en-CA"/>
              </w:rPr>
            </w:pPr>
            <w:r w:rsidRPr="09189FA3">
              <w:rPr>
                <w:rFonts w:asciiTheme="majorBidi" w:hAnsiTheme="majorBidi" w:cstheme="majorBidi"/>
                <w:sz w:val="20"/>
                <w:szCs w:val="20"/>
                <w:lang w:eastAsia="en-CA"/>
              </w:rPr>
              <w:t>No</w:t>
            </w:r>
          </w:p>
        </w:tc>
        <w:tc>
          <w:tcPr>
            <w:tcW w:w="1035" w:type="pct"/>
            <w:tcBorders>
              <w:top w:val="nil"/>
              <w:left w:val="nil"/>
              <w:bottom w:val="single" w:sz="4" w:space="0" w:color="auto"/>
              <w:right w:val="single" w:sz="4" w:space="0" w:color="auto"/>
            </w:tcBorders>
            <w:noWrap/>
            <w:vAlign w:val="center"/>
            <w:hideMark/>
          </w:tcPr>
          <w:p w14:paraId="5424191D" w14:textId="77777777" w:rsidR="002D56FF" w:rsidRPr="002D56FF" w:rsidRDefault="002D56FF" w:rsidP="002D56FF">
            <w:pPr>
              <w:tabs>
                <w:tab w:val="clear" w:pos="0"/>
              </w:tabs>
              <w:spacing w:after="0"/>
              <w:jc w:val="right"/>
              <w:rPr>
                <w:color w:val="000000"/>
                <w:sz w:val="20"/>
                <w:szCs w:val="20"/>
                <w:lang w:eastAsia="en-CA"/>
              </w:rPr>
            </w:pPr>
            <w:r w:rsidRPr="09189FA3">
              <w:rPr>
                <w:sz w:val="20"/>
                <w:szCs w:val="20"/>
                <w:lang w:eastAsia="en-CA"/>
              </w:rPr>
              <w:t>220,000</w:t>
            </w:r>
          </w:p>
        </w:tc>
        <w:tc>
          <w:tcPr>
            <w:tcW w:w="765" w:type="pct"/>
            <w:tcBorders>
              <w:top w:val="nil"/>
              <w:left w:val="nil"/>
              <w:bottom w:val="single" w:sz="4" w:space="0" w:color="auto"/>
              <w:right w:val="single" w:sz="4" w:space="0" w:color="auto"/>
            </w:tcBorders>
            <w:noWrap/>
            <w:vAlign w:val="center"/>
            <w:hideMark/>
          </w:tcPr>
          <w:p w14:paraId="07E44BCC" w14:textId="77777777" w:rsidR="002D56FF" w:rsidRPr="002D56FF" w:rsidRDefault="002D56FF" w:rsidP="002D56FF">
            <w:pPr>
              <w:tabs>
                <w:tab w:val="clear" w:pos="0"/>
              </w:tabs>
              <w:spacing w:after="0"/>
              <w:jc w:val="center"/>
              <w:rPr>
                <w:color w:val="000000"/>
                <w:sz w:val="20"/>
                <w:szCs w:val="20"/>
                <w:lang w:eastAsia="en-CA"/>
              </w:rPr>
            </w:pPr>
            <w:r w:rsidRPr="09189FA3">
              <w:rPr>
                <w:sz w:val="20"/>
                <w:szCs w:val="20"/>
                <w:lang w:eastAsia="en-CA"/>
              </w:rPr>
              <w:t> </w:t>
            </w:r>
          </w:p>
        </w:tc>
      </w:tr>
      <w:tr w:rsidR="002D56FF" w:rsidRPr="002D56FF" w14:paraId="2ADA5687"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1B9CDECD" w14:textId="22F2945F" w:rsidR="002D56FF" w:rsidRPr="002D56FF" w:rsidRDefault="002D56FF" w:rsidP="002D56FF">
            <w:pPr>
              <w:tabs>
                <w:tab w:val="clear" w:pos="0"/>
              </w:tabs>
              <w:spacing w:after="0"/>
              <w:rPr>
                <w:b/>
                <w:bCs/>
                <w:color w:val="000000"/>
                <w:sz w:val="20"/>
                <w:szCs w:val="20"/>
                <w:lang w:eastAsia="en-CA"/>
              </w:rPr>
            </w:pPr>
            <w:r w:rsidRPr="09189FA3">
              <w:rPr>
                <w:b/>
                <w:sz w:val="20"/>
                <w:szCs w:val="20"/>
                <w:lang w:eastAsia="en-CA"/>
              </w:rPr>
              <w:t xml:space="preserve">Total </w:t>
            </w:r>
            <w:r w:rsidR="00E51696" w:rsidRPr="09189FA3">
              <w:rPr>
                <w:b/>
                <w:sz w:val="20"/>
                <w:szCs w:val="20"/>
                <w:lang w:eastAsia="en-CA"/>
              </w:rPr>
              <w:t>(less China)</w:t>
            </w:r>
          </w:p>
        </w:tc>
        <w:tc>
          <w:tcPr>
            <w:tcW w:w="565" w:type="pct"/>
            <w:tcBorders>
              <w:top w:val="nil"/>
              <w:left w:val="nil"/>
              <w:bottom w:val="single" w:sz="4" w:space="0" w:color="auto"/>
              <w:right w:val="single" w:sz="4" w:space="0" w:color="auto"/>
            </w:tcBorders>
            <w:noWrap/>
            <w:vAlign w:val="center"/>
            <w:hideMark/>
          </w:tcPr>
          <w:p w14:paraId="6C1C1C70"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 </w:t>
            </w:r>
          </w:p>
        </w:tc>
        <w:tc>
          <w:tcPr>
            <w:tcW w:w="600" w:type="pct"/>
            <w:tcBorders>
              <w:top w:val="nil"/>
              <w:left w:val="nil"/>
              <w:bottom w:val="single" w:sz="4" w:space="0" w:color="auto"/>
              <w:right w:val="single" w:sz="4" w:space="0" w:color="auto"/>
            </w:tcBorders>
            <w:noWrap/>
            <w:vAlign w:val="bottom"/>
            <w:hideMark/>
          </w:tcPr>
          <w:p w14:paraId="0D7BD6D9" w14:textId="77777777" w:rsidR="002D56FF" w:rsidRPr="002D56FF" w:rsidRDefault="002D56FF" w:rsidP="002D56FF">
            <w:pPr>
              <w:tabs>
                <w:tab w:val="clear" w:pos="0"/>
              </w:tabs>
              <w:spacing w:after="0"/>
              <w:rPr>
                <w:rFonts w:ascii="Arial" w:hAnsi="Arial" w:cs="Arial"/>
                <w:color w:val="000000"/>
                <w:sz w:val="20"/>
                <w:szCs w:val="20"/>
                <w:lang w:eastAsia="en-CA"/>
              </w:rPr>
            </w:pPr>
            <w:r w:rsidRPr="09189FA3">
              <w:rPr>
                <w:rFonts w:ascii="Arial" w:hAnsi="Arial" w:cs="Arial"/>
                <w:sz w:val="20"/>
                <w:szCs w:val="20"/>
                <w:lang w:eastAsia="en-CA"/>
              </w:rPr>
              <w:t> </w:t>
            </w:r>
          </w:p>
        </w:tc>
        <w:tc>
          <w:tcPr>
            <w:tcW w:w="1035" w:type="pct"/>
            <w:tcBorders>
              <w:top w:val="nil"/>
              <w:left w:val="nil"/>
              <w:bottom w:val="single" w:sz="4" w:space="0" w:color="auto"/>
              <w:right w:val="single" w:sz="4" w:space="0" w:color="auto"/>
            </w:tcBorders>
            <w:noWrap/>
            <w:vAlign w:val="center"/>
            <w:hideMark/>
          </w:tcPr>
          <w:p w14:paraId="62EDF482" w14:textId="4B6364B8" w:rsidR="002D56FF" w:rsidRPr="002D56FF" w:rsidRDefault="00EE5A6D" w:rsidP="002D56FF">
            <w:pPr>
              <w:tabs>
                <w:tab w:val="clear" w:pos="0"/>
              </w:tabs>
              <w:spacing w:after="0"/>
              <w:jc w:val="right"/>
              <w:rPr>
                <w:b/>
                <w:bCs/>
                <w:color w:val="000000"/>
                <w:sz w:val="20"/>
                <w:szCs w:val="20"/>
                <w:lang w:eastAsia="en-CA"/>
              </w:rPr>
            </w:pPr>
            <w:r w:rsidRPr="09189FA3">
              <w:rPr>
                <w:b/>
                <w:sz w:val="20"/>
                <w:szCs w:val="20"/>
                <w:lang w:eastAsia="en-CA"/>
              </w:rPr>
              <w:t>US $</w:t>
            </w:r>
            <w:r w:rsidR="002D56FF" w:rsidRPr="09189FA3">
              <w:rPr>
                <w:b/>
                <w:sz w:val="20"/>
                <w:szCs w:val="20"/>
                <w:lang w:eastAsia="en-CA"/>
              </w:rPr>
              <w:t>4,630,000</w:t>
            </w:r>
          </w:p>
        </w:tc>
        <w:tc>
          <w:tcPr>
            <w:tcW w:w="765" w:type="pct"/>
            <w:tcBorders>
              <w:top w:val="nil"/>
              <w:left w:val="nil"/>
              <w:bottom w:val="single" w:sz="4" w:space="0" w:color="auto"/>
              <w:right w:val="single" w:sz="4" w:space="0" w:color="auto"/>
            </w:tcBorders>
            <w:noWrap/>
            <w:vAlign w:val="center"/>
            <w:hideMark/>
          </w:tcPr>
          <w:p w14:paraId="5DCA0979"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 </w:t>
            </w:r>
          </w:p>
        </w:tc>
      </w:tr>
      <w:tr w:rsidR="002D56FF" w:rsidRPr="002D56FF" w14:paraId="5746C8F5" w14:textId="77777777" w:rsidTr="00100666">
        <w:trPr>
          <w:trHeight w:val="264"/>
        </w:trPr>
        <w:tc>
          <w:tcPr>
            <w:tcW w:w="2035" w:type="pct"/>
            <w:tcBorders>
              <w:top w:val="nil"/>
              <w:left w:val="single" w:sz="4" w:space="0" w:color="auto"/>
              <w:bottom w:val="single" w:sz="4" w:space="0" w:color="auto"/>
              <w:right w:val="single" w:sz="4" w:space="0" w:color="auto"/>
            </w:tcBorders>
            <w:noWrap/>
            <w:vAlign w:val="center"/>
            <w:hideMark/>
          </w:tcPr>
          <w:p w14:paraId="15363E48" w14:textId="77777777" w:rsidR="002D56FF" w:rsidRPr="002D56FF" w:rsidRDefault="002D56FF" w:rsidP="002D56FF">
            <w:pPr>
              <w:tabs>
                <w:tab w:val="clear" w:pos="0"/>
              </w:tabs>
              <w:spacing w:after="0"/>
              <w:rPr>
                <w:b/>
                <w:bCs/>
                <w:color w:val="000000"/>
                <w:sz w:val="20"/>
                <w:szCs w:val="20"/>
                <w:lang w:eastAsia="en-CA"/>
              </w:rPr>
            </w:pPr>
            <w:r w:rsidRPr="09189FA3">
              <w:rPr>
                <w:b/>
                <w:sz w:val="20"/>
                <w:szCs w:val="20"/>
                <w:lang w:eastAsia="en-CA"/>
              </w:rPr>
              <w:t>Total including 9.6% support costs</w:t>
            </w:r>
          </w:p>
        </w:tc>
        <w:tc>
          <w:tcPr>
            <w:tcW w:w="565" w:type="pct"/>
            <w:tcBorders>
              <w:top w:val="nil"/>
              <w:left w:val="nil"/>
              <w:bottom w:val="single" w:sz="4" w:space="0" w:color="auto"/>
              <w:right w:val="single" w:sz="4" w:space="0" w:color="auto"/>
            </w:tcBorders>
            <w:noWrap/>
            <w:vAlign w:val="center"/>
            <w:hideMark/>
          </w:tcPr>
          <w:p w14:paraId="5CFFFD56" w14:textId="77777777" w:rsidR="002D56FF" w:rsidRPr="002D56FF" w:rsidRDefault="002D56FF" w:rsidP="002D56FF">
            <w:pPr>
              <w:tabs>
                <w:tab w:val="clear" w:pos="0"/>
              </w:tabs>
              <w:spacing w:after="0"/>
              <w:rPr>
                <w:color w:val="000000"/>
                <w:sz w:val="20"/>
                <w:szCs w:val="20"/>
                <w:lang w:eastAsia="en-CA"/>
              </w:rPr>
            </w:pPr>
            <w:r w:rsidRPr="09189FA3">
              <w:rPr>
                <w:sz w:val="20"/>
                <w:szCs w:val="20"/>
                <w:lang w:eastAsia="en-CA"/>
              </w:rPr>
              <w:t> </w:t>
            </w:r>
          </w:p>
        </w:tc>
        <w:tc>
          <w:tcPr>
            <w:tcW w:w="600" w:type="pct"/>
            <w:tcBorders>
              <w:top w:val="nil"/>
              <w:left w:val="nil"/>
              <w:bottom w:val="single" w:sz="4" w:space="0" w:color="auto"/>
              <w:right w:val="single" w:sz="4" w:space="0" w:color="auto"/>
            </w:tcBorders>
            <w:noWrap/>
            <w:vAlign w:val="bottom"/>
            <w:hideMark/>
          </w:tcPr>
          <w:p w14:paraId="63A6BA63" w14:textId="77777777" w:rsidR="002D56FF" w:rsidRPr="002D56FF" w:rsidRDefault="002D56FF" w:rsidP="002D56FF">
            <w:pPr>
              <w:tabs>
                <w:tab w:val="clear" w:pos="0"/>
              </w:tabs>
              <w:spacing w:after="0"/>
              <w:rPr>
                <w:rFonts w:ascii="Arial" w:hAnsi="Arial" w:cs="Arial"/>
                <w:color w:val="000000"/>
                <w:sz w:val="20"/>
                <w:szCs w:val="20"/>
                <w:lang w:eastAsia="en-CA"/>
              </w:rPr>
            </w:pPr>
            <w:r w:rsidRPr="09189FA3">
              <w:rPr>
                <w:rFonts w:ascii="Arial" w:hAnsi="Arial" w:cs="Arial"/>
                <w:sz w:val="20"/>
                <w:szCs w:val="20"/>
                <w:lang w:eastAsia="en-CA"/>
              </w:rPr>
              <w:t> </w:t>
            </w:r>
          </w:p>
        </w:tc>
        <w:tc>
          <w:tcPr>
            <w:tcW w:w="1035" w:type="pct"/>
            <w:tcBorders>
              <w:top w:val="nil"/>
              <w:left w:val="nil"/>
              <w:bottom w:val="single" w:sz="4" w:space="0" w:color="auto"/>
              <w:right w:val="single" w:sz="4" w:space="0" w:color="auto"/>
            </w:tcBorders>
            <w:noWrap/>
            <w:vAlign w:val="center"/>
            <w:hideMark/>
          </w:tcPr>
          <w:p w14:paraId="0E494242" w14:textId="1919BA45" w:rsidR="002D56FF" w:rsidRPr="002D56FF" w:rsidRDefault="00EE5A6D" w:rsidP="002D56FF">
            <w:pPr>
              <w:tabs>
                <w:tab w:val="clear" w:pos="0"/>
              </w:tabs>
              <w:spacing w:after="0"/>
              <w:jc w:val="right"/>
              <w:rPr>
                <w:b/>
                <w:bCs/>
                <w:color w:val="000000"/>
                <w:sz w:val="20"/>
                <w:szCs w:val="20"/>
                <w:lang w:eastAsia="en-CA"/>
              </w:rPr>
            </w:pPr>
            <w:r w:rsidRPr="09189FA3">
              <w:rPr>
                <w:b/>
                <w:sz w:val="20"/>
                <w:szCs w:val="20"/>
                <w:lang w:eastAsia="en-CA"/>
              </w:rPr>
              <w:t>US $</w:t>
            </w:r>
            <w:r w:rsidR="002D56FF" w:rsidRPr="09189FA3">
              <w:rPr>
                <w:b/>
                <w:sz w:val="20"/>
                <w:szCs w:val="20"/>
                <w:lang w:eastAsia="en-CA"/>
              </w:rPr>
              <w:t>5,074,480</w:t>
            </w:r>
          </w:p>
        </w:tc>
        <w:tc>
          <w:tcPr>
            <w:tcW w:w="765" w:type="pct"/>
            <w:tcBorders>
              <w:top w:val="nil"/>
              <w:left w:val="nil"/>
              <w:bottom w:val="single" w:sz="4" w:space="0" w:color="auto"/>
              <w:right w:val="single" w:sz="4" w:space="0" w:color="auto"/>
            </w:tcBorders>
            <w:noWrap/>
            <w:vAlign w:val="center"/>
            <w:hideMark/>
          </w:tcPr>
          <w:p w14:paraId="2B7F8CBC" w14:textId="77777777" w:rsidR="002D56FF" w:rsidRPr="002D56FF" w:rsidRDefault="002D56FF" w:rsidP="002D56FF">
            <w:pPr>
              <w:tabs>
                <w:tab w:val="clear" w:pos="0"/>
              </w:tabs>
              <w:spacing w:after="0"/>
              <w:jc w:val="right"/>
              <w:rPr>
                <w:b/>
                <w:bCs/>
                <w:color w:val="000000"/>
                <w:sz w:val="20"/>
                <w:szCs w:val="20"/>
                <w:lang w:eastAsia="en-CA"/>
              </w:rPr>
            </w:pPr>
            <w:r w:rsidRPr="09189FA3">
              <w:rPr>
                <w:b/>
                <w:sz w:val="20"/>
                <w:szCs w:val="20"/>
                <w:lang w:eastAsia="en-CA"/>
              </w:rPr>
              <w:t> </w:t>
            </w:r>
          </w:p>
        </w:tc>
      </w:tr>
    </w:tbl>
    <w:p w14:paraId="0A0360EF" w14:textId="77777777" w:rsidR="00A82057" w:rsidRDefault="00A82057" w:rsidP="00A82057">
      <w:pPr>
        <w:tabs>
          <w:tab w:val="clear" w:pos="0"/>
        </w:tabs>
        <w:spacing w:after="0"/>
      </w:pPr>
    </w:p>
    <w:p w14:paraId="76868787" w14:textId="77777777" w:rsidR="00F378AA" w:rsidRDefault="00F378AA" w:rsidP="00A82057">
      <w:pPr>
        <w:tabs>
          <w:tab w:val="clear" w:pos="0"/>
        </w:tabs>
        <w:spacing w:after="0"/>
      </w:pPr>
    </w:p>
    <w:p w14:paraId="66E94229" w14:textId="43F4369D" w:rsidR="00F378AA" w:rsidRPr="007D44F3" w:rsidRDefault="007D44F3" w:rsidP="002135B0">
      <w:pPr>
        <w:tabs>
          <w:tab w:val="left" w:pos="1276"/>
        </w:tabs>
        <w:spacing w:after="120"/>
        <w:ind w:left="1276" w:hanging="1276"/>
        <w:rPr>
          <w:b/>
          <w:bCs/>
        </w:rPr>
      </w:pPr>
      <w:r w:rsidRPr="00C3634A">
        <w:rPr>
          <w:b/>
          <w:bCs/>
        </w:rPr>
        <w:t xml:space="preserve">Table </w:t>
      </w:r>
      <w:r>
        <w:rPr>
          <w:b/>
          <w:bCs/>
        </w:rPr>
        <w:t>A9.</w:t>
      </w:r>
      <w:r w:rsidR="738C1324" w:rsidRPr="738C1324">
        <w:rPr>
          <w:b/>
          <w:bCs/>
        </w:rPr>
        <w:t>2</w:t>
      </w:r>
      <w:r w:rsidR="00FF681F">
        <w:rPr>
          <w:b/>
          <w:bCs/>
        </w:rPr>
        <w:t>:</w:t>
      </w:r>
      <w:r>
        <w:tab/>
      </w:r>
      <w:r w:rsidRPr="007D44F3">
        <w:rPr>
          <w:b/>
          <w:bCs/>
        </w:rPr>
        <w:t xml:space="preserve">Project preparation cost for KIP </w:t>
      </w:r>
      <w:r w:rsidR="002743BF">
        <w:rPr>
          <w:b/>
          <w:bCs/>
        </w:rPr>
        <w:t>Stage</w:t>
      </w:r>
      <w:r w:rsidRPr="007D44F3">
        <w:rPr>
          <w:b/>
          <w:bCs/>
        </w:rPr>
        <w:t xml:space="preserve"> II (by order of consumption – RTF calculations</w:t>
      </w:r>
      <w:r>
        <w:rPr>
          <w:b/>
          <w:bCs/>
        </w:rPr>
        <w:t>)</w:t>
      </w:r>
    </w:p>
    <w:tbl>
      <w:tblPr>
        <w:tblW w:w="93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990"/>
        <w:gridCol w:w="927"/>
        <w:gridCol w:w="2493"/>
        <w:gridCol w:w="870"/>
        <w:gridCol w:w="1418"/>
      </w:tblGrid>
      <w:tr w:rsidR="00F378AA" w:rsidRPr="004C3D90" w14:paraId="23CB781D" w14:textId="77777777" w:rsidTr="625649F6">
        <w:trPr>
          <w:trHeight w:val="576"/>
          <w:tblHeader/>
        </w:trPr>
        <w:tc>
          <w:tcPr>
            <w:tcW w:w="2610" w:type="dxa"/>
            <w:shd w:val="clear" w:color="auto" w:fill="002060"/>
            <w:vAlign w:val="center"/>
            <w:hideMark/>
          </w:tcPr>
          <w:p w14:paraId="7937937B" w14:textId="77777777" w:rsidR="00F378AA" w:rsidRPr="00016A90" w:rsidRDefault="00F378AA">
            <w:pPr>
              <w:tabs>
                <w:tab w:val="clear" w:pos="0"/>
              </w:tabs>
              <w:spacing w:after="0"/>
              <w:jc w:val="center"/>
              <w:rPr>
                <w:rFonts w:ascii="Aptos Narrow" w:hAnsi="Aptos Narrow"/>
                <w:b/>
                <w:noProof/>
                <w:color w:val="FFFFFF"/>
                <w:sz w:val="20"/>
                <w:szCs w:val="20"/>
                <w:lang w:eastAsia="en-CA"/>
              </w:rPr>
            </w:pPr>
            <w:r w:rsidRPr="21B922CA">
              <w:rPr>
                <w:rFonts w:ascii="Aptos Narrow" w:hAnsi="Aptos Narrow"/>
                <w:b/>
                <w:color w:val="FFFFFF" w:themeColor="background1"/>
                <w:sz w:val="20"/>
                <w:szCs w:val="20"/>
                <w:lang w:eastAsia="en-CA"/>
              </w:rPr>
              <w:t>Country</w:t>
            </w:r>
          </w:p>
        </w:tc>
        <w:tc>
          <w:tcPr>
            <w:tcW w:w="990" w:type="dxa"/>
            <w:shd w:val="clear" w:color="auto" w:fill="002060"/>
            <w:vAlign w:val="center"/>
            <w:hideMark/>
          </w:tcPr>
          <w:p w14:paraId="6421D895" w14:textId="77777777" w:rsidR="00F378AA" w:rsidRPr="00016A90" w:rsidRDefault="00F378AA">
            <w:pPr>
              <w:tabs>
                <w:tab w:val="clear" w:pos="0"/>
              </w:tabs>
              <w:spacing w:after="0"/>
              <w:jc w:val="center"/>
              <w:rPr>
                <w:rFonts w:ascii="Aptos Narrow" w:hAnsi="Aptos Narrow"/>
                <w:b/>
                <w:noProof/>
                <w:color w:val="FFFFFF"/>
                <w:sz w:val="20"/>
                <w:szCs w:val="20"/>
                <w:lang w:eastAsia="en-CA"/>
              </w:rPr>
            </w:pPr>
            <w:r w:rsidRPr="21B922CA">
              <w:rPr>
                <w:rFonts w:ascii="Aptos Narrow" w:hAnsi="Aptos Narrow"/>
                <w:b/>
                <w:color w:val="FFFFFF" w:themeColor="background1"/>
                <w:sz w:val="20"/>
                <w:szCs w:val="20"/>
                <w:lang w:eastAsia="en-CA"/>
              </w:rPr>
              <w:t>Level</w:t>
            </w:r>
          </w:p>
        </w:tc>
        <w:tc>
          <w:tcPr>
            <w:tcW w:w="927" w:type="dxa"/>
            <w:shd w:val="clear" w:color="auto" w:fill="002060"/>
            <w:vAlign w:val="center"/>
            <w:hideMark/>
          </w:tcPr>
          <w:p w14:paraId="017EB28F" w14:textId="77777777" w:rsidR="00F378AA" w:rsidRPr="00016A90" w:rsidRDefault="00F378AA">
            <w:pPr>
              <w:tabs>
                <w:tab w:val="clear" w:pos="0"/>
              </w:tabs>
              <w:spacing w:after="0"/>
              <w:jc w:val="center"/>
              <w:rPr>
                <w:rFonts w:ascii="Aptos Narrow" w:hAnsi="Aptos Narrow"/>
                <w:b/>
                <w:noProof/>
                <w:color w:val="FFFFFF"/>
                <w:sz w:val="20"/>
                <w:szCs w:val="20"/>
                <w:lang w:eastAsia="en-CA"/>
              </w:rPr>
            </w:pPr>
            <w:r w:rsidRPr="21B922CA">
              <w:rPr>
                <w:rFonts w:ascii="Aptos Narrow" w:hAnsi="Aptos Narrow"/>
                <w:b/>
                <w:color w:val="FFFFFF" w:themeColor="background1"/>
                <w:sz w:val="20"/>
                <w:szCs w:val="20"/>
                <w:lang w:eastAsia="en-CA"/>
              </w:rPr>
              <w:t>Ratified</w:t>
            </w:r>
          </w:p>
        </w:tc>
        <w:tc>
          <w:tcPr>
            <w:tcW w:w="2493" w:type="dxa"/>
            <w:shd w:val="clear" w:color="auto" w:fill="002060"/>
            <w:vAlign w:val="center"/>
            <w:hideMark/>
          </w:tcPr>
          <w:p w14:paraId="7494D709" w14:textId="3F855FF4" w:rsidR="00F378AA" w:rsidRPr="00016A90" w:rsidRDefault="00F378AA">
            <w:pPr>
              <w:tabs>
                <w:tab w:val="clear" w:pos="0"/>
              </w:tabs>
              <w:spacing w:after="0"/>
              <w:jc w:val="center"/>
              <w:rPr>
                <w:rFonts w:ascii="Aptos Narrow" w:hAnsi="Aptos Narrow"/>
                <w:b/>
                <w:noProof/>
                <w:color w:val="FFFFFF"/>
                <w:sz w:val="20"/>
                <w:szCs w:val="20"/>
                <w:lang w:eastAsia="en-CA"/>
              </w:rPr>
            </w:pPr>
            <w:r w:rsidRPr="21B922CA">
              <w:rPr>
                <w:rFonts w:ascii="Aptos Narrow" w:hAnsi="Aptos Narrow"/>
                <w:b/>
                <w:color w:val="FFFFFF" w:themeColor="background1"/>
                <w:sz w:val="20"/>
                <w:szCs w:val="20"/>
                <w:lang w:eastAsia="en-CA"/>
              </w:rPr>
              <w:t>Current control measure</w:t>
            </w:r>
            <w:r w:rsidR="00984EC9" w:rsidRPr="21B922CA">
              <w:rPr>
                <w:rFonts w:ascii="Aptos Narrow" w:hAnsi="Aptos Narrow"/>
                <w:b/>
                <w:color w:val="FFFFFF" w:themeColor="background1"/>
                <w:sz w:val="20"/>
                <w:szCs w:val="20"/>
                <w:lang w:eastAsia="en-CA"/>
              </w:rPr>
              <w:t xml:space="preserve"> KIP </w:t>
            </w:r>
            <w:r w:rsidR="00154D41">
              <w:rPr>
                <w:rFonts w:ascii="Aptos Narrow" w:hAnsi="Aptos Narrow"/>
                <w:b/>
                <w:color w:val="FFFFFF" w:themeColor="background1"/>
                <w:sz w:val="20"/>
                <w:szCs w:val="20"/>
                <w:lang w:eastAsia="en-CA"/>
              </w:rPr>
              <w:t>S</w:t>
            </w:r>
            <w:r w:rsidR="00984EC9" w:rsidRPr="21B922CA">
              <w:rPr>
                <w:rFonts w:ascii="Aptos Narrow" w:hAnsi="Aptos Narrow"/>
                <w:b/>
                <w:color w:val="FFFFFF" w:themeColor="background1"/>
                <w:sz w:val="20"/>
                <w:szCs w:val="20"/>
                <w:lang w:eastAsia="en-CA"/>
              </w:rPr>
              <w:t>tage I</w:t>
            </w:r>
          </w:p>
        </w:tc>
        <w:tc>
          <w:tcPr>
            <w:tcW w:w="870" w:type="dxa"/>
            <w:shd w:val="clear" w:color="auto" w:fill="002060"/>
            <w:vAlign w:val="center"/>
            <w:hideMark/>
          </w:tcPr>
          <w:p w14:paraId="0D0A723B" w14:textId="1B4AA67C" w:rsidR="00F378AA" w:rsidRPr="00016A90" w:rsidRDefault="00F378AA">
            <w:pPr>
              <w:tabs>
                <w:tab w:val="clear" w:pos="0"/>
              </w:tabs>
              <w:spacing w:after="0"/>
              <w:jc w:val="center"/>
              <w:rPr>
                <w:rFonts w:ascii="Aptos Narrow" w:hAnsi="Aptos Narrow"/>
                <w:b/>
                <w:noProof/>
                <w:color w:val="FFFFFF"/>
                <w:sz w:val="20"/>
                <w:szCs w:val="20"/>
                <w:lang w:eastAsia="en-CA"/>
              </w:rPr>
            </w:pPr>
            <w:r w:rsidRPr="21B922CA">
              <w:rPr>
                <w:rFonts w:ascii="Aptos Narrow" w:hAnsi="Aptos Narrow"/>
                <w:b/>
                <w:color w:val="FFFFFF" w:themeColor="background1"/>
                <w:sz w:val="20"/>
                <w:szCs w:val="20"/>
                <w:lang w:eastAsia="en-CA"/>
              </w:rPr>
              <w:t xml:space="preserve">Eligible for </w:t>
            </w:r>
            <w:r w:rsidR="002743BF">
              <w:rPr>
                <w:rFonts w:ascii="Aptos Narrow" w:hAnsi="Aptos Narrow"/>
                <w:b/>
                <w:color w:val="FFFFFF" w:themeColor="background1"/>
                <w:sz w:val="20"/>
                <w:szCs w:val="20"/>
                <w:lang w:eastAsia="en-CA"/>
              </w:rPr>
              <w:t>Stage</w:t>
            </w:r>
            <w:r w:rsidRPr="21B922CA">
              <w:rPr>
                <w:rFonts w:ascii="Aptos Narrow" w:hAnsi="Aptos Narrow"/>
                <w:b/>
                <w:color w:val="FFFFFF" w:themeColor="background1"/>
                <w:sz w:val="20"/>
                <w:szCs w:val="20"/>
                <w:lang w:eastAsia="en-CA"/>
              </w:rPr>
              <w:t xml:space="preserve"> II</w:t>
            </w:r>
          </w:p>
        </w:tc>
        <w:tc>
          <w:tcPr>
            <w:tcW w:w="1418" w:type="dxa"/>
            <w:shd w:val="clear" w:color="auto" w:fill="002060"/>
            <w:vAlign w:val="center"/>
            <w:hideMark/>
          </w:tcPr>
          <w:p w14:paraId="64CCE71F" w14:textId="77777777" w:rsidR="00F378AA" w:rsidRPr="00016A90" w:rsidRDefault="00F378AA">
            <w:pPr>
              <w:tabs>
                <w:tab w:val="clear" w:pos="0"/>
              </w:tabs>
              <w:spacing w:after="0"/>
              <w:jc w:val="center"/>
              <w:rPr>
                <w:rFonts w:ascii="Aptos Narrow" w:hAnsi="Aptos Narrow"/>
                <w:b/>
                <w:noProof/>
                <w:color w:val="FFFFFF"/>
                <w:sz w:val="20"/>
                <w:szCs w:val="20"/>
                <w:lang w:eastAsia="en-CA"/>
              </w:rPr>
            </w:pPr>
            <w:r w:rsidRPr="21B922CA">
              <w:rPr>
                <w:rFonts w:ascii="Aptos Narrow" w:hAnsi="Aptos Narrow"/>
                <w:b/>
                <w:color w:val="FFFFFF" w:themeColor="background1"/>
                <w:sz w:val="20"/>
                <w:szCs w:val="20"/>
                <w:lang w:eastAsia="en-CA"/>
              </w:rPr>
              <w:t>Prep cost US $</w:t>
            </w:r>
          </w:p>
        </w:tc>
      </w:tr>
      <w:tr w:rsidR="00F378AA" w:rsidRPr="004C3D90" w14:paraId="1AD13829" w14:textId="77777777" w:rsidTr="625649F6">
        <w:trPr>
          <w:trHeight w:val="288"/>
        </w:trPr>
        <w:tc>
          <w:tcPr>
            <w:tcW w:w="2610" w:type="dxa"/>
            <w:shd w:val="clear" w:color="auto" w:fill="DAF2D0"/>
            <w:noWrap/>
            <w:vAlign w:val="bottom"/>
            <w:hideMark/>
          </w:tcPr>
          <w:p w14:paraId="4FCBC0EF"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Mexico</w:t>
            </w:r>
          </w:p>
        </w:tc>
        <w:tc>
          <w:tcPr>
            <w:tcW w:w="990" w:type="dxa"/>
            <w:shd w:val="clear" w:color="auto" w:fill="DAF2D0"/>
            <w:noWrap/>
            <w:vAlign w:val="bottom"/>
            <w:hideMark/>
          </w:tcPr>
          <w:p w14:paraId="56B566D7"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Top 10</w:t>
            </w:r>
          </w:p>
        </w:tc>
        <w:tc>
          <w:tcPr>
            <w:tcW w:w="927" w:type="dxa"/>
            <w:shd w:val="clear" w:color="auto" w:fill="DAF2D0"/>
            <w:noWrap/>
            <w:vAlign w:val="bottom"/>
            <w:hideMark/>
          </w:tcPr>
          <w:p w14:paraId="08373407"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Yes</w:t>
            </w:r>
          </w:p>
        </w:tc>
        <w:tc>
          <w:tcPr>
            <w:tcW w:w="2493" w:type="dxa"/>
            <w:shd w:val="clear" w:color="auto" w:fill="DAF2D0"/>
            <w:noWrap/>
            <w:vAlign w:val="bottom"/>
            <w:hideMark/>
          </w:tcPr>
          <w:p w14:paraId="48D3B5ED"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10% of Baseline by 2029</w:t>
            </w:r>
          </w:p>
        </w:tc>
        <w:tc>
          <w:tcPr>
            <w:tcW w:w="870" w:type="dxa"/>
            <w:noWrap/>
            <w:vAlign w:val="bottom"/>
            <w:hideMark/>
          </w:tcPr>
          <w:p w14:paraId="7CF72693"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08FE1AB"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230,000</w:t>
            </w:r>
          </w:p>
        </w:tc>
      </w:tr>
      <w:tr w:rsidR="00F378AA" w:rsidRPr="004C3D90" w14:paraId="2F0A685B" w14:textId="77777777" w:rsidTr="625649F6">
        <w:trPr>
          <w:trHeight w:val="288"/>
        </w:trPr>
        <w:tc>
          <w:tcPr>
            <w:tcW w:w="2610" w:type="dxa"/>
            <w:shd w:val="clear" w:color="auto" w:fill="DAF2D0"/>
            <w:noWrap/>
            <w:vAlign w:val="bottom"/>
            <w:hideMark/>
          </w:tcPr>
          <w:p w14:paraId="67644AF8"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Thailand</w:t>
            </w:r>
          </w:p>
        </w:tc>
        <w:tc>
          <w:tcPr>
            <w:tcW w:w="990" w:type="dxa"/>
            <w:shd w:val="clear" w:color="auto" w:fill="DAF2D0"/>
            <w:noWrap/>
            <w:vAlign w:val="bottom"/>
            <w:hideMark/>
          </w:tcPr>
          <w:p w14:paraId="0D9CF047"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Top 10</w:t>
            </w:r>
          </w:p>
        </w:tc>
        <w:tc>
          <w:tcPr>
            <w:tcW w:w="927" w:type="dxa"/>
            <w:shd w:val="clear" w:color="auto" w:fill="DAF2D0"/>
            <w:noWrap/>
            <w:vAlign w:val="bottom"/>
            <w:hideMark/>
          </w:tcPr>
          <w:p w14:paraId="58BA81A6"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Yes</w:t>
            </w:r>
          </w:p>
        </w:tc>
        <w:tc>
          <w:tcPr>
            <w:tcW w:w="2493" w:type="dxa"/>
            <w:shd w:val="clear" w:color="auto" w:fill="DAF2D0"/>
            <w:noWrap/>
            <w:vAlign w:val="bottom"/>
            <w:hideMark/>
          </w:tcPr>
          <w:p w14:paraId="060C9D71"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 </w:t>
            </w:r>
          </w:p>
        </w:tc>
        <w:tc>
          <w:tcPr>
            <w:tcW w:w="870" w:type="dxa"/>
            <w:noWrap/>
            <w:vAlign w:val="bottom"/>
            <w:hideMark/>
          </w:tcPr>
          <w:p w14:paraId="2D00AD40"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0E0348BE" w14:textId="6DC1D300" w:rsidR="00F378AA" w:rsidRPr="00016A90" w:rsidRDefault="7630C527" w:rsidP="7630C527">
            <w:pPr>
              <w:tabs>
                <w:tab w:val="clear" w:pos="0"/>
              </w:tabs>
              <w:spacing w:after="0" w:line="259" w:lineRule="auto"/>
              <w:jc w:val="right"/>
              <w:rPr>
                <w:rFonts w:ascii="Aptos" w:hAnsi="Aptos"/>
                <w:sz w:val="20"/>
                <w:szCs w:val="20"/>
                <w:lang w:eastAsia="en-CA"/>
              </w:rPr>
            </w:pPr>
            <w:r w:rsidRPr="7630C527">
              <w:rPr>
                <w:rFonts w:ascii="Aptos" w:hAnsi="Aptos"/>
                <w:sz w:val="20"/>
                <w:szCs w:val="20"/>
                <w:lang w:eastAsia="en-CA"/>
              </w:rPr>
              <w:t>220</w:t>
            </w:r>
            <w:r w:rsidR="00F378AA" w:rsidRPr="21B922CA">
              <w:rPr>
                <w:rFonts w:ascii="Aptos" w:hAnsi="Aptos"/>
                <w:sz w:val="20"/>
                <w:szCs w:val="20"/>
                <w:lang w:eastAsia="en-CA"/>
              </w:rPr>
              <w:t>,000</w:t>
            </w:r>
          </w:p>
        </w:tc>
      </w:tr>
      <w:tr w:rsidR="00F378AA" w:rsidRPr="004C3D90" w14:paraId="59169C87" w14:textId="77777777" w:rsidTr="625649F6">
        <w:trPr>
          <w:trHeight w:val="288"/>
        </w:trPr>
        <w:tc>
          <w:tcPr>
            <w:tcW w:w="2610" w:type="dxa"/>
            <w:shd w:val="clear" w:color="auto" w:fill="DAF2D0"/>
            <w:noWrap/>
            <w:vAlign w:val="bottom"/>
            <w:hideMark/>
          </w:tcPr>
          <w:p w14:paraId="3D5241E7"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Brazil</w:t>
            </w:r>
          </w:p>
        </w:tc>
        <w:tc>
          <w:tcPr>
            <w:tcW w:w="990" w:type="dxa"/>
            <w:shd w:val="clear" w:color="auto" w:fill="DAF2D0"/>
            <w:noWrap/>
            <w:vAlign w:val="bottom"/>
            <w:hideMark/>
          </w:tcPr>
          <w:p w14:paraId="17B70267"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Top 10</w:t>
            </w:r>
          </w:p>
        </w:tc>
        <w:tc>
          <w:tcPr>
            <w:tcW w:w="927" w:type="dxa"/>
            <w:shd w:val="clear" w:color="auto" w:fill="DAF2D0"/>
            <w:noWrap/>
            <w:vAlign w:val="bottom"/>
            <w:hideMark/>
          </w:tcPr>
          <w:p w14:paraId="62E3E7D5"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Yes</w:t>
            </w:r>
          </w:p>
        </w:tc>
        <w:tc>
          <w:tcPr>
            <w:tcW w:w="2493" w:type="dxa"/>
            <w:shd w:val="clear" w:color="auto" w:fill="DAF2D0"/>
            <w:noWrap/>
            <w:vAlign w:val="bottom"/>
            <w:hideMark/>
          </w:tcPr>
          <w:p w14:paraId="5C41BBFB"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 </w:t>
            </w:r>
          </w:p>
        </w:tc>
        <w:tc>
          <w:tcPr>
            <w:tcW w:w="870" w:type="dxa"/>
            <w:noWrap/>
            <w:vAlign w:val="bottom"/>
            <w:hideMark/>
          </w:tcPr>
          <w:p w14:paraId="60D571B6"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777831AC"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230,000</w:t>
            </w:r>
          </w:p>
        </w:tc>
      </w:tr>
      <w:tr w:rsidR="00F378AA" w:rsidRPr="004C3D90" w14:paraId="3CAC0FED" w14:textId="77777777" w:rsidTr="625649F6">
        <w:trPr>
          <w:trHeight w:val="288"/>
        </w:trPr>
        <w:tc>
          <w:tcPr>
            <w:tcW w:w="2610" w:type="dxa"/>
            <w:shd w:val="clear" w:color="auto" w:fill="DAF2D0"/>
            <w:noWrap/>
            <w:vAlign w:val="bottom"/>
            <w:hideMark/>
          </w:tcPr>
          <w:p w14:paraId="537FC96C"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lastRenderedPageBreak/>
              <w:t>Nigeria</w:t>
            </w:r>
          </w:p>
        </w:tc>
        <w:tc>
          <w:tcPr>
            <w:tcW w:w="990" w:type="dxa"/>
            <w:shd w:val="clear" w:color="auto" w:fill="DAF2D0"/>
            <w:noWrap/>
            <w:vAlign w:val="bottom"/>
            <w:hideMark/>
          </w:tcPr>
          <w:p w14:paraId="685F2107"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Top 10</w:t>
            </w:r>
          </w:p>
        </w:tc>
        <w:tc>
          <w:tcPr>
            <w:tcW w:w="927" w:type="dxa"/>
            <w:shd w:val="clear" w:color="auto" w:fill="DAF2D0"/>
            <w:noWrap/>
            <w:vAlign w:val="bottom"/>
            <w:hideMark/>
          </w:tcPr>
          <w:p w14:paraId="2482FFDB"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Yes</w:t>
            </w:r>
          </w:p>
        </w:tc>
        <w:tc>
          <w:tcPr>
            <w:tcW w:w="2493" w:type="dxa"/>
            <w:shd w:val="clear" w:color="auto" w:fill="DAF2D0"/>
            <w:noWrap/>
            <w:vAlign w:val="bottom"/>
            <w:hideMark/>
          </w:tcPr>
          <w:p w14:paraId="509E4721"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10.1% of Baseline by 2029</w:t>
            </w:r>
          </w:p>
        </w:tc>
        <w:tc>
          <w:tcPr>
            <w:tcW w:w="870" w:type="dxa"/>
            <w:noWrap/>
            <w:vAlign w:val="bottom"/>
            <w:hideMark/>
          </w:tcPr>
          <w:p w14:paraId="631B9D4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56D4991" w14:textId="38BCBA01" w:rsidR="00F378AA" w:rsidRPr="00016A90" w:rsidRDefault="7630C527" w:rsidP="7630C527">
            <w:pPr>
              <w:tabs>
                <w:tab w:val="clear" w:pos="0"/>
              </w:tabs>
              <w:spacing w:after="0" w:line="259" w:lineRule="auto"/>
              <w:jc w:val="right"/>
              <w:rPr>
                <w:rFonts w:ascii="Aptos" w:hAnsi="Aptos"/>
                <w:sz w:val="20"/>
                <w:szCs w:val="20"/>
                <w:lang w:eastAsia="en-CA"/>
              </w:rPr>
            </w:pPr>
            <w:r w:rsidRPr="7630C527">
              <w:rPr>
                <w:rFonts w:ascii="Aptos" w:hAnsi="Aptos"/>
                <w:sz w:val="20"/>
                <w:szCs w:val="20"/>
                <w:lang w:eastAsia="en-CA"/>
              </w:rPr>
              <w:t>220</w:t>
            </w:r>
            <w:r w:rsidR="00F378AA" w:rsidRPr="21B922CA">
              <w:rPr>
                <w:rFonts w:ascii="Aptos" w:hAnsi="Aptos"/>
                <w:sz w:val="20"/>
                <w:szCs w:val="20"/>
                <w:lang w:eastAsia="en-CA"/>
              </w:rPr>
              <w:t>,000</w:t>
            </w:r>
          </w:p>
        </w:tc>
      </w:tr>
      <w:tr w:rsidR="00F378AA" w:rsidRPr="004C3D90" w14:paraId="7EBEA652" w14:textId="77777777" w:rsidTr="00B92655">
        <w:trPr>
          <w:trHeight w:val="300"/>
        </w:trPr>
        <w:tc>
          <w:tcPr>
            <w:tcW w:w="2610" w:type="dxa"/>
            <w:shd w:val="clear" w:color="auto" w:fill="DAF2D0"/>
            <w:noWrap/>
            <w:vAlign w:val="bottom"/>
            <w:hideMark/>
          </w:tcPr>
          <w:p w14:paraId="2FEBBF2E"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Türkiye</w:t>
            </w:r>
          </w:p>
        </w:tc>
        <w:tc>
          <w:tcPr>
            <w:tcW w:w="990" w:type="dxa"/>
            <w:shd w:val="clear" w:color="auto" w:fill="DAF2D0"/>
            <w:noWrap/>
            <w:vAlign w:val="bottom"/>
            <w:hideMark/>
          </w:tcPr>
          <w:p w14:paraId="02121784"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Top 10</w:t>
            </w:r>
          </w:p>
        </w:tc>
        <w:tc>
          <w:tcPr>
            <w:tcW w:w="927" w:type="dxa"/>
            <w:shd w:val="clear" w:color="auto" w:fill="DAF2D0"/>
            <w:noWrap/>
            <w:vAlign w:val="bottom"/>
            <w:hideMark/>
          </w:tcPr>
          <w:p w14:paraId="0B1CC13A"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Yes</w:t>
            </w:r>
          </w:p>
        </w:tc>
        <w:tc>
          <w:tcPr>
            <w:tcW w:w="2493" w:type="dxa"/>
            <w:shd w:val="clear" w:color="auto" w:fill="DAF2D0"/>
            <w:noWrap/>
            <w:vAlign w:val="bottom"/>
            <w:hideMark/>
          </w:tcPr>
          <w:p w14:paraId="692D903B"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14.4% of Baseline by 2029</w:t>
            </w:r>
          </w:p>
        </w:tc>
        <w:tc>
          <w:tcPr>
            <w:tcW w:w="870" w:type="dxa"/>
            <w:noWrap/>
            <w:vAlign w:val="bottom"/>
            <w:hideMark/>
          </w:tcPr>
          <w:p w14:paraId="1403272E"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802CEA6" w14:textId="36AD2B53" w:rsidR="00F378AA" w:rsidRPr="00016A90" w:rsidRDefault="7630C527" w:rsidP="7630C527">
            <w:pPr>
              <w:tabs>
                <w:tab w:val="clear" w:pos="0"/>
              </w:tabs>
              <w:spacing w:after="0" w:line="259" w:lineRule="auto"/>
              <w:jc w:val="right"/>
              <w:rPr>
                <w:rFonts w:ascii="Aptos" w:hAnsi="Aptos"/>
                <w:sz w:val="20"/>
                <w:szCs w:val="20"/>
                <w:lang w:eastAsia="en-CA"/>
              </w:rPr>
            </w:pPr>
            <w:r w:rsidRPr="7630C527">
              <w:rPr>
                <w:rFonts w:ascii="Aptos" w:hAnsi="Aptos"/>
                <w:sz w:val="20"/>
                <w:szCs w:val="20"/>
                <w:lang w:eastAsia="en-CA"/>
              </w:rPr>
              <w:t>220</w:t>
            </w:r>
            <w:r w:rsidR="00F378AA" w:rsidRPr="21B922CA">
              <w:rPr>
                <w:rFonts w:ascii="Aptos" w:hAnsi="Aptos"/>
                <w:sz w:val="20"/>
                <w:szCs w:val="20"/>
                <w:lang w:eastAsia="en-CA"/>
              </w:rPr>
              <w:t>,000</w:t>
            </w:r>
          </w:p>
        </w:tc>
      </w:tr>
      <w:tr w:rsidR="00F378AA" w:rsidRPr="004C3D90" w14:paraId="6F1AB9DC" w14:textId="77777777" w:rsidTr="625649F6">
        <w:trPr>
          <w:trHeight w:val="288"/>
        </w:trPr>
        <w:tc>
          <w:tcPr>
            <w:tcW w:w="2610" w:type="dxa"/>
            <w:shd w:val="clear" w:color="auto" w:fill="DAF2D0"/>
            <w:noWrap/>
            <w:vAlign w:val="bottom"/>
            <w:hideMark/>
          </w:tcPr>
          <w:p w14:paraId="72FF86D4"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Malaysia</w:t>
            </w:r>
          </w:p>
        </w:tc>
        <w:tc>
          <w:tcPr>
            <w:tcW w:w="990" w:type="dxa"/>
            <w:shd w:val="clear" w:color="auto" w:fill="DAF2D0"/>
            <w:noWrap/>
            <w:vAlign w:val="bottom"/>
            <w:hideMark/>
          </w:tcPr>
          <w:p w14:paraId="4FE47AB6"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Top 10</w:t>
            </w:r>
          </w:p>
        </w:tc>
        <w:tc>
          <w:tcPr>
            <w:tcW w:w="927" w:type="dxa"/>
            <w:shd w:val="clear" w:color="auto" w:fill="DAF2D0"/>
            <w:noWrap/>
            <w:vAlign w:val="bottom"/>
            <w:hideMark/>
          </w:tcPr>
          <w:p w14:paraId="0B447029"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Yes</w:t>
            </w:r>
          </w:p>
        </w:tc>
        <w:tc>
          <w:tcPr>
            <w:tcW w:w="2493" w:type="dxa"/>
            <w:shd w:val="clear" w:color="auto" w:fill="DAF2D0"/>
            <w:noWrap/>
            <w:vAlign w:val="bottom"/>
            <w:hideMark/>
          </w:tcPr>
          <w:p w14:paraId="5B8F98C7"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10% of Baseline by 2029</w:t>
            </w:r>
          </w:p>
        </w:tc>
        <w:tc>
          <w:tcPr>
            <w:tcW w:w="870" w:type="dxa"/>
            <w:noWrap/>
            <w:vAlign w:val="bottom"/>
            <w:hideMark/>
          </w:tcPr>
          <w:p w14:paraId="2EE4F9DD"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21525885" w14:textId="07830979" w:rsidR="00F378AA" w:rsidRPr="00016A90" w:rsidRDefault="7630C527">
            <w:pPr>
              <w:tabs>
                <w:tab w:val="clear" w:pos="0"/>
              </w:tabs>
              <w:spacing w:after="0"/>
              <w:jc w:val="right"/>
              <w:rPr>
                <w:rFonts w:ascii="Aptos" w:hAnsi="Aptos"/>
                <w:noProof/>
                <w:color w:val="000000"/>
                <w:sz w:val="20"/>
                <w:szCs w:val="20"/>
                <w:lang w:eastAsia="en-CA"/>
              </w:rPr>
            </w:pPr>
            <w:r w:rsidRPr="7630C527">
              <w:rPr>
                <w:rFonts w:ascii="Aptos" w:hAnsi="Aptos"/>
                <w:sz w:val="20"/>
                <w:szCs w:val="20"/>
                <w:lang w:eastAsia="en-CA"/>
              </w:rPr>
              <w:t>220</w:t>
            </w:r>
            <w:r w:rsidR="00F378AA" w:rsidRPr="21B922CA">
              <w:rPr>
                <w:rFonts w:ascii="Aptos" w:hAnsi="Aptos"/>
                <w:sz w:val="20"/>
                <w:szCs w:val="20"/>
                <w:lang w:eastAsia="en-CA"/>
              </w:rPr>
              <w:t>,000</w:t>
            </w:r>
          </w:p>
        </w:tc>
      </w:tr>
      <w:tr w:rsidR="00F378AA" w:rsidRPr="004C3D90" w14:paraId="2AB6E854" w14:textId="77777777" w:rsidTr="625649F6">
        <w:trPr>
          <w:trHeight w:val="288"/>
        </w:trPr>
        <w:tc>
          <w:tcPr>
            <w:tcW w:w="2610" w:type="dxa"/>
            <w:shd w:val="clear" w:color="auto" w:fill="DAF2D0"/>
            <w:noWrap/>
            <w:vAlign w:val="bottom"/>
            <w:hideMark/>
          </w:tcPr>
          <w:p w14:paraId="6F591B10"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Indonesia</w:t>
            </w:r>
          </w:p>
        </w:tc>
        <w:tc>
          <w:tcPr>
            <w:tcW w:w="990" w:type="dxa"/>
            <w:shd w:val="clear" w:color="auto" w:fill="DAF2D0"/>
            <w:noWrap/>
            <w:vAlign w:val="bottom"/>
            <w:hideMark/>
          </w:tcPr>
          <w:p w14:paraId="4870359D"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Top 10</w:t>
            </w:r>
          </w:p>
        </w:tc>
        <w:tc>
          <w:tcPr>
            <w:tcW w:w="927" w:type="dxa"/>
            <w:shd w:val="clear" w:color="auto" w:fill="DAF2D0"/>
            <w:noWrap/>
            <w:vAlign w:val="bottom"/>
            <w:hideMark/>
          </w:tcPr>
          <w:p w14:paraId="13C5AB2B"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Yes</w:t>
            </w:r>
          </w:p>
        </w:tc>
        <w:tc>
          <w:tcPr>
            <w:tcW w:w="2493" w:type="dxa"/>
            <w:shd w:val="clear" w:color="auto" w:fill="DAF2D0"/>
            <w:noWrap/>
            <w:vAlign w:val="bottom"/>
            <w:hideMark/>
          </w:tcPr>
          <w:p w14:paraId="21445003"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 </w:t>
            </w:r>
          </w:p>
        </w:tc>
        <w:tc>
          <w:tcPr>
            <w:tcW w:w="870" w:type="dxa"/>
            <w:noWrap/>
            <w:vAlign w:val="bottom"/>
            <w:hideMark/>
          </w:tcPr>
          <w:p w14:paraId="54BE5031"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24173E1F" w14:textId="4D5C5F07" w:rsidR="00F378AA" w:rsidRPr="00016A90" w:rsidRDefault="7630C527" w:rsidP="7630C527">
            <w:pPr>
              <w:tabs>
                <w:tab w:val="clear" w:pos="0"/>
              </w:tabs>
              <w:spacing w:after="0" w:line="259" w:lineRule="auto"/>
              <w:jc w:val="right"/>
              <w:rPr>
                <w:rFonts w:ascii="Aptos" w:hAnsi="Aptos"/>
                <w:sz w:val="20"/>
                <w:szCs w:val="20"/>
                <w:lang w:eastAsia="en-CA"/>
              </w:rPr>
            </w:pPr>
            <w:r w:rsidRPr="7630C527">
              <w:rPr>
                <w:rFonts w:ascii="Aptos" w:hAnsi="Aptos"/>
                <w:sz w:val="20"/>
                <w:szCs w:val="20"/>
                <w:lang w:eastAsia="en-CA"/>
              </w:rPr>
              <w:t>220</w:t>
            </w:r>
            <w:r w:rsidR="00F378AA" w:rsidRPr="21B922CA">
              <w:rPr>
                <w:rFonts w:ascii="Aptos" w:hAnsi="Aptos"/>
                <w:sz w:val="20"/>
                <w:szCs w:val="20"/>
                <w:lang w:eastAsia="en-CA"/>
              </w:rPr>
              <w:t>,000</w:t>
            </w:r>
          </w:p>
        </w:tc>
      </w:tr>
      <w:tr w:rsidR="00F378AA" w:rsidRPr="004C3D90" w14:paraId="75033C10" w14:textId="77777777" w:rsidTr="625649F6">
        <w:trPr>
          <w:trHeight w:val="288"/>
        </w:trPr>
        <w:tc>
          <w:tcPr>
            <w:tcW w:w="2610" w:type="dxa"/>
            <w:shd w:val="clear" w:color="auto" w:fill="DAF2D0"/>
            <w:noWrap/>
            <w:vAlign w:val="bottom"/>
            <w:hideMark/>
          </w:tcPr>
          <w:p w14:paraId="45FBB9C7"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Argentina</w:t>
            </w:r>
          </w:p>
        </w:tc>
        <w:tc>
          <w:tcPr>
            <w:tcW w:w="990" w:type="dxa"/>
            <w:shd w:val="clear" w:color="auto" w:fill="DAF2D0"/>
            <w:noWrap/>
            <w:vAlign w:val="bottom"/>
            <w:hideMark/>
          </w:tcPr>
          <w:p w14:paraId="6512EA45"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Top 10</w:t>
            </w:r>
          </w:p>
        </w:tc>
        <w:tc>
          <w:tcPr>
            <w:tcW w:w="927" w:type="dxa"/>
            <w:shd w:val="clear" w:color="auto" w:fill="DAF2D0"/>
            <w:noWrap/>
            <w:vAlign w:val="bottom"/>
            <w:hideMark/>
          </w:tcPr>
          <w:p w14:paraId="21B2573F"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Yes</w:t>
            </w:r>
          </w:p>
        </w:tc>
        <w:tc>
          <w:tcPr>
            <w:tcW w:w="2493" w:type="dxa"/>
            <w:shd w:val="clear" w:color="auto" w:fill="DAF2D0"/>
            <w:noWrap/>
            <w:vAlign w:val="bottom"/>
            <w:hideMark/>
          </w:tcPr>
          <w:p w14:paraId="51C9E13B"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 </w:t>
            </w:r>
          </w:p>
        </w:tc>
        <w:tc>
          <w:tcPr>
            <w:tcW w:w="870" w:type="dxa"/>
            <w:noWrap/>
            <w:vAlign w:val="bottom"/>
            <w:hideMark/>
          </w:tcPr>
          <w:p w14:paraId="48D26A00"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B396C79"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230,000</w:t>
            </w:r>
          </w:p>
        </w:tc>
      </w:tr>
      <w:tr w:rsidR="00F378AA" w:rsidRPr="004C3D90" w14:paraId="7095E28D" w14:textId="77777777" w:rsidTr="625649F6">
        <w:trPr>
          <w:trHeight w:val="288"/>
        </w:trPr>
        <w:tc>
          <w:tcPr>
            <w:tcW w:w="2610" w:type="dxa"/>
            <w:shd w:val="clear" w:color="auto" w:fill="DAF2D0"/>
            <w:noWrap/>
            <w:vAlign w:val="bottom"/>
            <w:hideMark/>
          </w:tcPr>
          <w:p w14:paraId="1824376A"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Viet Nam</w:t>
            </w:r>
          </w:p>
        </w:tc>
        <w:tc>
          <w:tcPr>
            <w:tcW w:w="990" w:type="dxa"/>
            <w:shd w:val="clear" w:color="auto" w:fill="DAF2D0"/>
            <w:noWrap/>
            <w:vAlign w:val="bottom"/>
            <w:hideMark/>
          </w:tcPr>
          <w:p w14:paraId="406E8BE4"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Top 10</w:t>
            </w:r>
          </w:p>
        </w:tc>
        <w:tc>
          <w:tcPr>
            <w:tcW w:w="927" w:type="dxa"/>
            <w:shd w:val="clear" w:color="auto" w:fill="DAF2D0"/>
            <w:noWrap/>
            <w:vAlign w:val="bottom"/>
            <w:hideMark/>
          </w:tcPr>
          <w:p w14:paraId="6BF96E03"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Yes</w:t>
            </w:r>
          </w:p>
        </w:tc>
        <w:tc>
          <w:tcPr>
            <w:tcW w:w="2493" w:type="dxa"/>
            <w:shd w:val="clear" w:color="auto" w:fill="DAF2D0"/>
            <w:noWrap/>
            <w:vAlign w:val="bottom"/>
            <w:hideMark/>
          </w:tcPr>
          <w:p w14:paraId="5AFE4E2B" w14:textId="77777777" w:rsidR="00F378AA" w:rsidRPr="00016A90" w:rsidRDefault="00F378AA">
            <w:pPr>
              <w:tabs>
                <w:tab w:val="clear" w:pos="0"/>
              </w:tabs>
              <w:spacing w:after="0"/>
              <w:rPr>
                <w:rFonts w:ascii="Calibri" w:hAnsi="Calibri" w:cs="Calibri"/>
                <w:noProof/>
                <w:color w:val="000000"/>
                <w:sz w:val="20"/>
                <w:szCs w:val="20"/>
                <w:lang w:eastAsia="en-CA"/>
              </w:rPr>
            </w:pPr>
            <w:r w:rsidRPr="21B922CA">
              <w:rPr>
                <w:rFonts w:ascii="Calibri" w:hAnsi="Calibri" w:cs="Calibri"/>
                <w:sz w:val="20"/>
                <w:szCs w:val="20"/>
                <w:lang w:eastAsia="en-CA"/>
              </w:rPr>
              <w:t>10% of Baseline by 2029</w:t>
            </w:r>
          </w:p>
        </w:tc>
        <w:tc>
          <w:tcPr>
            <w:tcW w:w="870" w:type="dxa"/>
            <w:noWrap/>
            <w:vAlign w:val="bottom"/>
            <w:hideMark/>
          </w:tcPr>
          <w:p w14:paraId="6909A2CF"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1B7BB3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230,000</w:t>
            </w:r>
          </w:p>
        </w:tc>
      </w:tr>
      <w:tr w:rsidR="00F378AA" w:rsidRPr="004C3D90" w14:paraId="02C98B8F" w14:textId="77777777" w:rsidTr="625649F6">
        <w:trPr>
          <w:trHeight w:val="288"/>
        </w:trPr>
        <w:tc>
          <w:tcPr>
            <w:tcW w:w="2610" w:type="dxa"/>
            <w:shd w:val="clear" w:color="auto" w:fill="DEEAF6" w:themeFill="accent5" w:themeFillTint="33"/>
            <w:noWrap/>
            <w:vAlign w:val="bottom"/>
            <w:hideMark/>
          </w:tcPr>
          <w:p w14:paraId="4121368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Côte d'Ivoire</w:t>
            </w:r>
          </w:p>
        </w:tc>
        <w:tc>
          <w:tcPr>
            <w:tcW w:w="990" w:type="dxa"/>
            <w:shd w:val="clear" w:color="auto" w:fill="DEEAF6" w:themeFill="accent5" w:themeFillTint="33"/>
            <w:noWrap/>
            <w:vAlign w:val="bottom"/>
            <w:hideMark/>
          </w:tcPr>
          <w:p w14:paraId="3236BED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79438B4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2F44035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5F409F2E"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D27969B"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218DD45C" w14:textId="77777777" w:rsidTr="625649F6">
        <w:trPr>
          <w:trHeight w:val="288"/>
        </w:trPr>
        <w:tc>
          <w:tcPr>
            <w:tcW w:w="2610" w:type="dxa"/>
            <w:shd w:val="clear" w:color="auto" w:fill="DEEAF6" w:themeFill="accent5" w:themeFillTint="33"/>
            <w:noWrap/>
            <w:vAlign w:val="bottom"/>
            <w:hideMark/>
          </w:tcPr>
          <w:p w14:paraId="08FB98D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Syrian Arab Republic</w:t>
            </w:r>
          </w:p>
        </w:tc>
        <w:tc>
          <w:tcPr>
            <w:tcW w:w="990" w:type="dxa"/>
            <w:shd w:val="clear" w:color="auto" w:fill="DEEAF6" w:themeFill="accent5" w:themeFillTint="33"/>
            <w:noWrap/>
            <w:vAlign w:val="bottom"/>
            <w:hideMark/>
          </w:tcPr>
          <w:p w14:paraId="3723F45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79614B7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2499FD8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42A045D0"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9A31CA0"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3FB6AE50" w14:textId="77777777" w:rsidTr="625649F6">
        <w:trPr>
          <w:trHeight w:val="288"/>
        </w:trPr>
        <w:tc>
          <w:tcPr>
            <w:tcW w:w="2610" w:type="dxa"/>
            <w:shd w:val="clear" w:color="auto" w:fill="DEEAF6" w:themeFill="accent5" w:themeFillTint="33"/>
            <w:noWrap/>
            <w:vAlign w:val="bottom"/>
            <w:hideMark/>
          </w:tcPr>
          <w:p w14:paraId="591883A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South Africa</w:t>
            </w:r>
          </w:p>
        </w:tc>
        <w:tc>
          <w:tcPr>
            <w:tcW w:w="990" w:type="dxa"/>
            <w:shd w:val="clear" w:color="auto" w:fill="DEEAF6" w:themeFill="accent5" w:themeFillTint="33"/>
            <w:noWrap/>
            <w:vAlign w:val="bottom"/>
            <w:hideMark/>
          </w:tcPr>
          <w:p w14:paraId="1C80247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7B02DD6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37F5079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14.6% of Baseline by 2029</w:t>
            </w:r>
          </w:p>
        </w:tc>
        <w:tc>
          <w:tcPr>
            <w:tcW w:w="870" w:type="dxa"/>
            <w:noWrap/>
            <w:vAlign w:val="bottom"/>
            <w:hideMark/>
          </w:tcPr>
          <w:p w14:paraId="4E313533"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0D2BD58"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6BEE31FF" w14:textId="77777777" w:rsidTr="625649F6">
        <w:trPr>
          <w:trHeight w:val="288"/>
        </w:trPr>
        <w:tc>
          <w:tcPr>
            <w:tcW w:w="2610" w:type="dxa"/>
            <w:shd w:val="clear" w:color="auto" w:fill="DEEAF6" w:themeFill="accent5" w:themeFillTint="33"/>
            <w:noWrap/>
            <w:vAlign w:val="bottom"/>
            <w:hideMark/>
          </w:tcPr>
          <w:p w14:paraId="5E4A08A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Philippines</w:t>
            </w:r>
          </w:p>
        </w:tc>
        <w:tc>
          <w:tcPr>
            <w:tcW w:w="990" w:type="dxa"/>
            <w:shd w:val="clear" w:color="auto" w:fill="DEEAF6" w:themeFill="accent5" w:themeFillTint="33"/>
            <w:noWrap/>
            <w:vAlign w:val="bottom"/>
            <w:hideMark/>
          </w:tcPr>
          <w:p w14:paraId="5939F2F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1F2AA57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421B188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2489D442"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6A0A531"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2B1D5D01" w14:textId="77777777" w:rsidTr="625649F6">
        <w:trPr>
          <w:trHeight w:val="288"/>
        </w:trPr>
        <w:tc>
          <w:tcPr>
            <w:tcW w:w="2610" w:type="dxa"/>
            <w:shd w:val="clear" w:color="auto" w:fill="DEEAF6" w:themeFill="accent5" w:themeFillTint="33"/>
            <w:noWrap/>
            <w:vAlign w:val="bottom"/>
            <w:hideMark/>
          </w:tcPr>
          <w:p w14:paraId="2C0104B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Venezuela (Bolivarian Rep</w:t>
            </w:r>
            <w:r w:rsidRPr="00016A90">
              <w:rPr>
                <w:rFonts w:ascii="Calibri" w:hAnsi="Calibri" w:cs="Calibri"/>
                <w:color w:val="auto"/>
                <w:sz w:val="20"/>
                <w:szCs w:val="20"/>
                <w:lang w:eastAsia="en-CA"/>
              </w:rPr>
              <w:t>)</w:t>
            </w:r>
          </w:p>
        </w:tc>
        <w:tc>
          <w:tcPr>
            <w:tcW w:w="990" w:type="dxa"/>
            <w:shd w:val="clear" w:color="auto" w:fill="DEEAF6" w:themeFill="accent5" w:themeFillTint="33"/>
            <w:noWrap/>
            <w:vAlign w:val="bottom"/>
            <w:hideMark/>
          </w:tcPr>
          <w:p w14:paraId="3E1F9F4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5E2F223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5141731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56EA5ADB"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77AC614A"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5BBDBF5E" w14:textId="77777777" w:rsidTr="625649F6">
        <w:trPr>
          <w:trHeight w:val="288"/>
        </w:trPr>
        <w:tc>
          <w:tcPr>
            <w:tcW w:w="2610" w:type="dxa"/>
            <w:shd w:val="clear" w:color="auto" w:fill="DEEAF6" w:themeFill="accent5" w:themeFillTint="33"/>
            <w:noWrap/>
            <w:vAlign w:val="bottom"/>
            <w:hideMark/>
          </w:tcPr>
          <w:p w14:paraId="2085B26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Colombia</w:t>
            </w:r>
          </w:p>
        </w:tc>
        <w:tc>
          <w:tcPr>
            <w:tcW w:w="990" w:type="dxa"/>
            <w:shd w:val="clear" w:color="auto" w:fill="DEEAF6" w:themeFill="accent5" w:themeFillTint="33"/>
            <w:noWrap/>
            <w:vAlign w:val="bottom"/>
            <w:hideMark/>
          </w:tcPr>
          <w:p w14:paraId="441AC8E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52992BF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59378BF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18.3% of Baseline by 2029</w:t>
            </w:r>
          </w:p>
        </w:tc>
        <w:tc>
          <w:tcPr>
            <w:tcW w:w="870" w:type="dxa"/>
            <w:noWrap/>
            <w:vAlign w:val="bottom"/>
            <w:hideMark/>
          </w:tcPr>
          <w:p w14:paraId="4301BDFA"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4E1F697"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36AF9200" w14:textId="77777777" w:rsidTr="625649F6">
        <w:trPr>
          <w:trHeight w:val="288"/>
        </w:trPr>
        <w:tc>
          <w:tcPr>
            <w:tcW w:w="2610" w:type="dxa"/>
            <w:shd w:val="clear" w:color="auto" w:fill="DEEAF6" w:themeFill="accent5" w:themeFillTint="33"/>
            <w:noWrap/>
            <w:vAlign w:val="bottom"/>
            <w:hideMark/>
          </w:tcPr>
          <w:p w14:paraId="1963620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Bangladesh</w:t>
            </w:r>
          </w:p>
        </w:tc>
        <w:tc>
          <w:tcPr>
            <w:tcW w:w="990" w:type="dxa"/>
            <w:shd w:val="clear" w:color="auto" w:fill="DEEAF6" w:themeFill="accent5" w:themeFillTint="33"/>
            <w:noWrap/>
            <w:vAlign w:val="bottom"/>
            <w:hideMark/>
          </w:tcPr>
          <w:p w14:paraId="14B54B9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0A21A28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47657B4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1B37F36B"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C821D6C"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4DDE38E9" w14:textId="77777777" w:rsidTr="625649F6">
        <w:trPr>
          <w:trHeight w:val="288"/>
        </w:trPr>
        <w:tc>
          <w:tcPr>
            <w:tcW w:w="2610" w:type="dxa"/>
            <w:shd w:val="clear" w:color="auto" w:fill="DEEAF6" w:themeFill="accent5" w:themeFillTint="33"/>
            <w:noWrap/>
            <w:vAlign w:val="bottom"/>
            <w:hideMark/>
          </w:tcPr>
          <w:p w14:paraId="0880D4B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Chile</w:t>
            </w:r>
          </w:p>
        </w:tc>
        <w:tc>
          <w:tcPr>
            <w:tcW w:w="990" w:type="dxa"/>
            <w:shd w:val="clear" w:color="auto" w:fill="DEEAF6" w:themeFill="accent5" w:themeFillTint="33"/>
            <w:noWrap/>
            <w:vAlign w:val="bottom"/>
            <w:hideMark/>
          </w:tcPr>
          <w:p w14:paraId="516CDAE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58169DC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76AF5DD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0AFE1B0"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671FC0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6184B56C" w14:textId="77777777" w:rsidTr="625649F6">
        <w:trPr>
          <w:trHeight w:val="288"/>
        </w:trPr>
        <w:tc>
          <w:tcPr>
            <w:tcW w:w="2610" w:type="dxa"/>
            <w:shd w:val="clear" w:color="auto" w:fill="DEEAF6" w:themeFill="accent5" w:themeFillTint="33"/>
            <w:noWrap/>
            <w:vAlign w:val="bottom"/>
            <w:hideMark/>
          </w:tcPr>
          <w:p w14:paraId="613A2E7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Trinidad and Tobago</w:t>
            </w:r>
          </w:p>
        </w:tc>
        <w:tc>
          <w:tcPr>
            <w:tcW w:w="990" w:type="dxa"/>
            <w:shd w:val="clear" w:color="auto" w:fill="DEEAF6" w:themeFill="accent5" w:themeFillTint="33"/>
            <w:noWrap/>
            <w:vAlign w:val="bottom"/>
            <w:hideMark/>
          </w:tcPr>
          <w:p w14:paraId="101573A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2203BBF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044FDAB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06855C7F"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53A1D59"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362E95C1" w14:textId="77777777" w:rsidTr="625649F6">
        <w:trPr>
          <w:trHeight w:val="288"/>
        </w:trPr>
        <w:tc>
          <w:tcPr>
            <w:tcW w:w="2610" w:type="dxa"/>
            <w:shd w:val="clear" w:color="auto" w:fill="DEEAF6" w:themeFill="accent5" w:themeFillTint="33"/>
            <w:noWrap/>
            <w:vAlign w:val="bottom"/>
            <w:hideMark/>
          </w:tcPr>
          <w:p w14:paraId="3B30E52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Dominican Republic</w:t>
            </w:r>
          </w:p>
        </w:tc>
        <w:tc>
          <w:tcPr>
            <w:tcW w:w="990" w:type="dxa"/>
            <w:shd w:val="clear" w:color="auto" w:fill="DEEAF6" w:themeFill="accent5" w:themeFillTint="33"/>
            <w:noWrap/>
            <w:vAlign w:val="bottom"/>
            <w:hideMark/>
          </w:tcPr>
          <w:p w14:paraId="5DD2BDE3"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78CB8F5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34461F2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0126A17F"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20E35B1"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220,000</w:t>
            </w:r>
          </w:p>
        </w:tc>
      </w:tr>
      <w:tr w:rsidR="00F378AA" w:rsidRPr="004C3D90" w14:paraId="0395ACAF" w14:textId="77777777" w:rsidTr="625649F6">
        <w:trPr>
          <w:trHeight w:val="288"/>
        </w:trPr>
        <w:tc>
          <w:tcPr>
            <w:tcW w:w="2610" w:type="dxa"/>
            <w:shd w:val="clear" w:color="auto" w:fill="DEEAF6" w:themeFill="accent5" w:themeFillTint="33"/>
            <w:noWrap/>
            <w:vAlign w:val="bottom"/>
            <w:hideMark/>
          </w:tcPr>
          <w:p w14:paraId="3433D2D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Angola</w:t>
            </w:r>
          </w:p>
        </w:tc>
        <w:tc>
          <w:tcPr>
            <w:tcW w:w="990" w:type="dxa"/>
            <w:shd w:val="clear" w:color="auto" w:fill="DEEAF6" w:themeFill="accent5" w:themeFillTint="33"/>
            <w:noWrap/>
            <w:vAlign w:val="bottom"/>
            <w:hideMark/>
          </w:tcPr>
          <w:p w14:paraId="432D92F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466C2BC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3ED7680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2030</w:t>
            </w:r>
          </w:p>
        </w:tc>
        <w:tc>
          <w:tcPr>
            <w:tcW w:w="870" w:type="dxa"/>
            <w:noWrap/>
            <w:vAlign w:val="bottom"/>
            <w:hideMark/>
          </w:tcPr>
          <w:p w14:paraId="68BE9102"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71CDE9F7"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36FD5052" w14:textId="77777777" w:rsidTr="625649F6">
        <w:trPr>
          <w:trHeight w:val="288"/>
        </w:trPr>
        <w:tc>
          <w:tcPr>
            <w:tcW w:w="2610" w:type="dxa"/>
            <w:shd w:val="clear" w:color="auto" w:fill="DEEAF6" w:themeFill="accent5" w:themeFillTint="33"/>
            <w:noWrap/>
            <w:vAlign w:val="bottom"/>
            <w:hideMark/>
          </w:tcPr>
          <w:p w14:paraId="200E641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Chad</w:t>
            </w:r>
          </w:p>
        </w:tc>
        <w:tc>
          <w:tcPr>
            <w:tcW w:w="990" w:type="dxa"/>
            <w:shd w:val="clear" w:color="auto" w:fill="DEEAF6" w:themeFill="accent5" w:themeFillTint="33"/>
            <w:noWrap/>
            <w:vAlign w:val="bottom"/>
            <w:hideMark/>
          </w:tcPr>
          <w:p w14:paraId="632331E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583F544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1091C37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304C6F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29518237"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36BE2F2C" w14:textId="77777777" w:rsidTr="625649F6">
        <w:trPr>
          <w:trHeight w:val="288"/>
        </w:trPr>
        <w:tc>
          <w:tcPr>
            <w:tcW w:w="2610" w:type="dxa"/>
            <w:shd w:val="clear" w:color="auto" w:fill="DEEAF6" w:themeFill="accent5" w:themeFillTint="33"/>
            <w:noWrap/>
            <w:vAlign w:val="bottom"/>
            <w:hideMark/>
          </w:tcPr>
          <w:p w14:paraId="2EFF398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Serbia</w:t>
            </w:r>
          </w:p>
        </w:tc>
        <w:tc>
          <w:tcPr>
            <w:tcW w:w="990" w:type="dxa"/>
            <w:shd w:val="clear" w:color="auto" w:fill="DEEAF6" w:themeFill="accent5" w:themeFillTint="33"/>
            <w:noWrap/>
            <w:vAlign w:val="bottom"/>
            <w:hideMark/>
          </w:tcPr>
          <w:p w14:paraId="104F8EF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572BA0A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3FBEC5C3"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14B5B24B"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985A2AB"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00D7C9B8" w14:textId="77777777" w:rsidTr="625649F6">
        <w:trPr>
          <w:trHeight w:val="288"/>
        </w:trPr>
        <w:tc>
          <w:tcPr>
            <w:tcW w:w="2610" w:type="dxa"/>
            <w:shd w:val="clear" w:color="auto" w:fill="DEEAF6" w:themeFill="accent5" w:themeFillTint="33"/>
            <w:noWrap/>
            <w:vAlign w:val="bottom"/>
            <w:hideMark/>
          </w:tcPr>
          <w:p w14:paraId="3924758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Senegal</w:t>
            </w:r>
          </w:p>
        </w:tc>
        <w:tc>
          <w:tcPr>
            <w:tcW w:w="990" w:type="dxa"/>
            <w:shd w:val="clear" w:color="auto" w:fill="DEEAF6" w:themeFill="accent5" w:themeFillTint="33"/>
            <w:noWrap/>
            <w:vAlign w:val="bottom"/>
            <w:hideMark/>
          </w:tcPr>
          <w:p w14:paraId="46BDFEB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01E13BD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38C1C25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20.5% of Baseline by 2029</w:t>
            </w:r>
          </w:p>
        </w:tc>
        <w:tc>
          <w:tcPr>
            <w:tcW w:w="870" w:type="dxa"/>
            <w:noWrap/>
            <w:vAlign w:val="bottom"/>
            <w:hideMark/>
          </w:tcPr>
          <w:p w14:paraId="7C4A04AF"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EA2A66F"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130B1183" w14:textId="77777777" w:rsidTr="625649F6">
        <w:trPr>
          <w:trHeight w:val="288"/>
        </w:trPr>
        <w:tc>
          <w:tcPr>
            <w:tcW w:w="2610" w:type="dxa"/>
            <w:shd w:val="clear" w:color="auto" w:fill="DEEAF6" w:themeFill="accent5" w:themeFillTint="33"/>
            <w:noWrap/>
            <w:vAlign w:val="bottom"/>
            <w:hideMark/>
          </w:tcPr>
          <w:p w14:paraId="71623FB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Ecuador</w:t>
            </w:r>
          </w:p>
        </w:tc>
        <w:tc>
          <w:tcPr>
            <w:tcW w:w="990" w:type="dxa"/>
            <w:shd w:val="clear" w:color="auto" w:fill="DEEAF6" w:themeFill="accent5" w:themeFillTint="33"/>
            <w:noWrap/>
            <w:vAlign w:val="bottom"/>
            <w:hideMark/>
          </w:tcPr>
          <w:p w14:paraId="6132CE8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752928D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470FC0B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14% of Baseline by 2029</w:t>
            </w:r>
          </w:p>
        </w:tc>
        <w:tc>
          <w:tcPr>
            <w:tcW w:w="870" w:type="dxa"/>
            <w:noWrap/>
            <w:vAlign w:val="bottom"/>
            <w:hideMark/>
          </w:tcPr>
          <w:p w14:paraId="42618180"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1B1F4DA"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3FCA384A" w14:textId="77777777" w:rsidTr="625649F6">
        <w:trPr>
          <w:trHeight w:val="288"/>
        </w:trPr>
        <w:tc>
          <w:tcPr>
            <w:tcW w:w="2610" w:type="dxa"/>
            <w:shd w:val="clear" w:color="auto" w:fill="DEEAF6" w:themeFill="accent5" w:themeFillTint="33"/>
            <w:noWrap/>
            <w:vAlign w:val="bottom"/>
            <w:hideMark/>
          </w:tcPr>
          <w:p w14:paraId="2AAB788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Panama</w:t>
            </w:r>
          </w:p>
        </w:tc>
        <w:tc>
          <w:tcPr>
            <w:tcW w:w="990" w:type="dxa"/>
            <w:shd w:val="clear" w:color="auto" w:fill="DEEAF6" w:themeFill="accent5" w:themeFillTint="33"/>
            <w:noWrap/>
            <w:vAlign w:val="bottom"/>
            <w:hideMark/>
          </w:tcPr>
          <w:p w14:paraId="0F3C884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2044B11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064B442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10837DB8"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F7AA9A1"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409AD224" w14:textId="77777777" w:rsidTr="625649F6">
        <w:trPr>
          <w:trHeight w:val="288"/>
        </w:trPr>
        <w:tc>
          <w:tcPr>
            <w:tcW w:w="2610" w:type="dxa"/>
            <w:shd w:val="clear" w:color="auto" w:fill="DEEAF6" w:themeFill="accent5" w:themeFillTint="33"/>
            <w:noWrap/>
            <w:vAlign w:val="bottom"/>
            <w:hideMark/>
          </w:tcPr>
          <w:p w14:paraId="4BDE4E9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Guinea</w:t>
            </w:r>
          </w:p>
        </w:tc>
        <w:tc>
          <w:tcPr>
            <w:tcW w:w="990" w:type="dxa"/>
            <w:shd w:val="clear" w:color="auto" w:fill="DEEAF6" w:themeFill="accent5" w:themeFillTint="33"/>
            <w:noWrap/>
            <w:vAlign w:val="bottom"/>
            <w:hideMark/>
          </w:tcPr>
          <w:p w14:paraId="2A78E8C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7B877E9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18109F0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17.3% of Baseline by 2029</w:t>
            </w:r>
          </w:p>
        </w:tc>
        <w:tc>
          <w:tcPr>
            <w:tcW w:w="870" w:type="dxa"/>
            <w:noWrap/>
            <w:vAlign w:val="bottom"/>
            <w:hideMark/>
          </w:tcPr>
          <w:p w14:paraId="50B1BBAA"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D7946B8"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61A51D87" w14:textId="77777777" w:rsidTr="625649F6">
        <w:trPr>
          <w:trHeight w:val="288"/>
        </w:trPr>
        <w:tc>
          <w:tcPr>
            <w:tcW w:w="2610" w:type="dxa"/>
            <w:shd w:val="clear" w:color="auto" w:fill="DEEAF6" w:themeFill="accent5" w:themeFillTint="33"/>
            <w:noWrap/>
            <w:vAlign w:val="bottom"/>
            <w:hideMark/>
          </w:tcPr>
          <w:p w14:paraId="0E7C8BF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Peru</w:t>
            </w:r>
          </w:p>
        </w:tc>
        <w:tc>
          <w:tcPr>
            <w:tcW w:w="990" w:type="dxa"/>
            <w:shd w:val="clear" w:color="auto" w:fill="DEEAF6" w:themeFill="accent5" w:themeFillTint="33"/>
            <w:noWrap/>
            <w:vAlign w:val="bottom"/>
            <w:hideMark/>
          </w:tcPr>
          <w:p w14:paraId="5B134BB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0E4D81E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4E7D588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39B921AF"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0E4E01BB"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2EB696B7" w14:textId="77777777" w:rsidTr="625649F6">
        <w:trPr>
          <w:trHeight w:val="288"/>
        </w:trPr>
        <w:tc>
          <w:tcPr>
            <w:tcW w:w="2610" w:type="dxa"/>
            <w:shd w:val="clear" w:color="auto" w:fill="DEEAF6" w:themeFill="accent5" w:themeFillTint="33"/>
            <w:noWrap/>
            <w:vAlign w:val="bottom"/>
            <w:hideMark/>
          </w:tcPr>
          <w:p w14:paraId="166A9F8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Benin</w:t>
            </w:r>
          </w:p>
        </w:tc>
        <w:tc>
          <w:tcPr>
            <w:tcW w:w="990" w:type="dxa"/>
            <w:shd w:val="clear" w:color="auto" w:fill="DEEAF6" w:themeFill="accent5" w:themeFillTint="33"/>
            <w:noWrap/>
            <w:vAlign w:val="bottom"/>
            <w:hideMark/>
          </w:tcPr>
          <w:p w14:paraId="1376F5E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55C576E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136FC57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1F7A453"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467D72C"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6CF9C14E" w14:textId="77777777" w:rsidTr="625649F6">
        <w:trPr>
          <w:trHeight w:val="288"/>
        </w:trPr>
        <w:tc>
          <w:tcPr>
            <w:tcW w:w="2610" w:type="dxa"/>
            <w:shd w:val="clear" w:color="auto" w:fill="DEEAF6" w:themeFill="accent5" w:themeFillTint="33"/>
            <w:noWrap/>
            <w:vAlign w:val="bottom"/>
            <w:hideMark/>
          </w:tcPr>
          <w:p w14:paraId="2DC0BB4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Tunisia</w:t>
            </w:r>
          </w:p>
        </w:tc>
        <w:tc>
          <w:tcPr>
            <w:tcW w:w="990" w:type="dxa"/>
            <w:shd w:val="clear" w:color="auto" w:fill="DEEAF6" w:themeFill="accent5" w:themeFillTint="33"/>
            <w:noWrap/>
            <w:vAlign w:val="bottom"/>
            <w:hideMark/>
          </w:tcPr>
          <w:p w14:paraId="55DC7F1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07052E7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6CD538A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23.8% of Baseline by 2030</w:t>
            </w:r>
          </w:p>
        </w:tc>
        <w:tc>
          <w:tcPr>
            <w:tcW w:w="870" w:type="dxa"/>
            <w:noWrap/>
            <w:vAlign w:val="bottom"/>
            <w:hideMark/>
          </w:tcPr>
          <w:p w14:paraId="4AEBC7FF"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2644D63"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6761355C" w14:textId="77777777" w:rsidTr="625649F6">
        <w:trPr>
          <w:trHeight w:val="288"/>
        </w:trPr>
        <w:tc>
          <w:tcPr>
            <w:tcW w:w="2610" w:type="dxa"/>
            <w:shd w:val="clear" w:color="auto" w:fill="DEEAF6" w:themeFill="accent5" w:themeFillTint="33"/>
            <w:noWrap/>
            <w:vAlign w:val="bottom"/>
            <w:hideMark/>
          </w:tcPr>
          <w:p w14:paraId="4479AE3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Gabon</w:t>
            </w:r>
          </w:p>
        </w:tc>
        <w:tc>
          <w:tcPr>
            <w:tcW w:w="990" w:type="dxa"/>
            <w:shd w:val="clear" w:color="auto" w:fill="DEEAF6" w:themeFill="accent5" w:themeFillTint="33"/>
            <w:noWrap/>
            <w:vAlign w:val="bottom"/>
            <w:hideMark/>
          </w:tcPr>
          <w:p w14:paraId="0B1D6EF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0335C9C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418B846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20644A54"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284453E"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67E14108" w14:textId="77777777" w:rsidTr="625649F6">
        <w:trPr>
          <w:trHeight w:val="288"/>
        </w:trPr>
        <w:tc>
          <w:tcPr>
            <w:tcW w:w="2610" w:type="dxa"/>
            <w:shd w:val="clear" w:color="auto" w:fill="DEEAF6" w:themeFill="accent5" w:themeFillTint="33"/>
            <w:noWrap/>
            <w:vAlign w:val="bottom"/>
            <w:hideMark/>
          </w:tcPr>
          <w:p w14:paraId="1749027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Paraguay</w:t>
            </w:r>
          </w:p>
        </w:tc>
        <w:tc>
          <w:tcPr>
            <w:tcW w:w="990" w:type="dxa"/>
            <w:shd w:val="clear" w:color="auto" w:fill="DEEAF6" w:themeFill="accent5" w:themeFillTint="33"/>
            <w:noWrap/>
            <w:vAlign w:val="bottom"/>
            <w:hideMark/>
          </w:tcPr>
          <w:p w14:paraId="66F01BE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246AEE6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35494AA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57C0A81A"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4FDCE55"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53481254" w14:textId="77777777" w:rsidTr="625649F6">
        <w:trPr>
          <w:trHeight w:val="288"/>
        </w:trPr>
        <w:tc>
          <w:tcPr>
            <w:tcW w:w="2610" w:type="dxa"/>
            <w:shd w:val="clear" w:color="auto" w:fill="DEEAF6" w:themeFill="accent5" w:themeFillTint="33"/>
            <w:noWrap/>
            <w:vAlign w:val="bottom"/>
            <w:hideMark/>
          </w:tcPr>
          <w:p w14:paraId="4788CBE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Togo</w:t>
            </w:r>
          </w:p>
        </w:tc>
        <w:tc>
          <w:tcPr>
            <w:tcW w:w="990" w:type="dxa"/>
            <w:shd w:val="clear" w:color="auto" w:fill="DEEAF6" w:themeFill="accent5" w:themeFillTint="33"/>
            <w:noWrap/>
            <w:vAlign w:val="bottom"/>
            <w:hideMark/>
          </w:tcPr>
          <w:p w14:paraId="66039B1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336174F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3CD1A0C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15% of Baseline by 2029</w:t>
            </w:r>
          </w:p>
        </w:tc>
        <w:tc>
          <w:tcPr>
            <w:tcW w:w="870" w:type="dxa"/>
            <w:noWrap/>
            <w:vAlign w:val="bottom"/>
            <w:hideMark/>
          </w:tcPr>
          <w:p w14:paraId="51125CE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8828C2A"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64C457D8" w14:textId="77777777" w:rsidTr="625649F6">
        <w:trPr>
          <w:trHeight w:val="288"/>
        </w:trPr>
        <w:tc>
          <w:tcPr>
            <w:tcW w:w="2610" w:type="dxa"/>
            <w:shd w:val="clear" w:color="auto" w:fill="DEEAF6" w:themeFill="accent5" w:themeFillTint="33"/>
            <w:noWrap/>
            <w:vAlign w:val="bottom"/>
            <w:hideMark/>
          </w:tcPr>
          <w:p w14:paraId="0EF41003"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Honduras</w:t>
            </w:r>
          </w:p>
        </w:tc>
        <w:tc>
          <w:tcPr>
            <w:tcW w:w="990" w:type="dxa"/>
            <w:shd w:val="clear" w:color="auto" w:fill="DEEAF6" w:themeFill="accent5" w:themeFillTint="33"/>
            <w:noWrap/>
            <w:vAlign w:val="bottom"/>
            <w:hideMark/>
          </w:tcPr>
          <w:p w14:paraId="4417015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419BD7B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12AFC1F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15.5% of Baseline by 2029</w:t>
            </w:r>
          </w:p>
        </w:tc>
        <w:tc>
          <w:tcPr>
            <w:tcW w:w="870" w:type="dxa"/>
            <w:noWrap/>
            <w:vAlign w:val="bottom"/>
            <w:hideMark/>
          </w:tcPr>
          <w:p w14:paraId="7BB171A1"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6161173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3A713A64" w14:textId="77777777" w:rsidTr="625649F6">
        <w:trPr>
          <w:trHeight w:val="288"/>
        </w:trPr>
        <w:tc>
          <w:tcPr>
            <w:tcW w:w="2610" w:type="dxa"/>
            <w:shd w:val="clear" w:color="auto" w:fill="DEEAF6" w:themeFill="accent5" w:themeFillTint="33"/>
            <w:noWrap/>
            <w:vAlign w:val="bottom"/>
            <w:hideMark/>
          </w:tcPr>
          <w:p w14:paraId="5B6AE28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Sri Lanka</w:t>
            </w:r>
          </w:p>
        </w:tc>
        <w:tc>
          <w:tcPr>
            <w:tcW w:w="990" w:type="dxa"/>
            <w:shd w:val="clear" w:color="auto" w:fill="DEEAF6" w:themeFill="accent5" w:themeFillTint="33"/>
            <w:noWrap/>
            <w:vAlign w:val="bottom"/>
            <w:hideMark/>
          </w:tcPr>
          <w:p w14:paraId="2E80D51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1F7CC0B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0FF9AD4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787A6319"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0A38A727"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7DA65A18" w14:textId="77777777" w:rsidTr="625649F6">
        <w:trPr>
          <w:trHeight w:val="288"/>
        </w:trPr>
        <w:tc>
          <w:tcPr>
            <w:tcW w:w="2610" w:type="dxa"/>
            <w:shd w:val="clear" w:color="auto" w:fill="DEEAF6" w:themeFill="accent5" w:themeFillTint="33"/>
            <w:noWrap/>
            <w:vAlign w:val="bottom"/>
            <w:hideMark/>
          </w:tcPr>
          <w:p w14:paraId="24D9E32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Cambodia</w:t>
            </w:r>
          </w:p>
        </w:tc>
        <w:tc>
          <w:tcPr>
            <w:tcW w:w="990" w:type="dxa"/>
            <w:shd w:val="clear" w:color="auto" w:fill="DEEAF6" w:themeFill="accent5" w:themeFillTint="33"/>
            <w:noWrap/>
            <w:vAlign w:val="bottom"/>
            <w:hideMark/>
          </w:tcPr>
          <w:p w14:paraId="55EBF3F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57FADEF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4E485ED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96BC91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70DF615"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4F24916B" w14:textId="77777777" w:rsidTr="625649F6">
        <w:trPr>
          <w:trHeight w:val="288"/>
        </w:trPr>
        <w:tc>
          <w:tcPr>
            <w:tcW w:w="2610" w:type="dxa"/>
            <w:shd w:val="clear" w:color="auto" w:fill="DEEAF6" w:themeFill="accent5" w:themeFillTint="33"/>
            <w:noWrap/>
            <w:vAlign w:val="bottom"/>
            <w:hideMark/>
          </w:tcPr>
          <w:p w14:paraId="71DB3C1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Costa Rica</w:t>
            </w:r>
          </w:p>
        </w:tc>
        <w:tc>
          <w:tcPr>
            <w:tcW w:w="990" w:type="dxa"/>
            <w:shd w:val="clear" w:color="auto" w:fill="DEEAF6" w:themeFill="accent5" w:themeFillTint="33"/>
            <w:noWrap/>
            <w:vAlign w:val="bottom"/>
            <w:hideMark/>
          </w:tcPr>
          <w:p w14:paraId="029CEB1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58F395C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13C553D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142DAB68"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71581E2"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6B88E4A8" w14:textId="77777777" w:rsidTr="625649F6">
        <w:trPr>
          <w:trHeight w:val="288"/>
        </w:trPr>
        <w:tc>
          <w:tcPr>
            <w:tcW w:w="2610" w:type="dxa"/>
            <w:shd w:val="clear" w:color="auto" w:fill="DEEAF6" w:themeFill="accent5" w:themeFillTint="33"/>
            <w:noWrap/>
            <w:vAlign w:val="bottom"/>
            <w:hideMark/>
          </w:tcPr>
          <w:p w14:paraId="48EB994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Guatemala</w:t>
            </w:r>
          </w:p>
        </w:tc>
        <w:tc>
          <w:tcPr>
            <w:tcW w:w="990" w:type="dxa"/>
            <w:shd w:val="clear" w:color="auto" w:fill="DEEAF6" w:themeFill="accent5" w:themeFillTint="33"/>
            <w:noWrap/>
            <w:vAlign w:val="bottom"/>
            <w:hideMark/>
          </w:tcPr>
          <w:p w14:paraId="1164FA3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69E0B2C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6C37541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15.9% of Baseline by 2029</w:t>
            </w:r>
          </w:p>
        </w:tc>
        <w:tc>
          <w:tcPr>
            <w:tcW w:w="870" w:type="dxa"/>
            <w:noWrap/>
            <w:vAlign w:val="bottom"/>
            <w:hideMark/>
          </w:tcPr>
          <w:p w14:paraId="21A28B84"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73CF1C98"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4FF7D5C7" w14:textId="77777777" w:rsidTr="625649F6">
        <w:trPr>
          <w:trHeight w:val="288"/>
        </w:trPr>
        <w:tc>
          <w:tcPr>
            <w:tcW w:w="2610" w:type="dxa"/>
            <w:shd w:val="clear" w:color="auto" w:fill="DEEAF6" w:themeFill="accent5" w:themeFillTint="33"/>
            <w:noWrap/>
            <w:vAlign w:val="bottom"/>
            <w:hideMark/>
          </w:tcPr>
          <w:p w14:paraId="7DB9018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Bosnia and Herzegovina</w:t>
            </w:r>
          </w:p>
        </w:tc>
        <w:tc>
          <w:tcPr>
            <w:tcW w:w="990" w:type="dxa"/>
            <w:shd w:val="clear" w:color="auto" w:fill="DEEAF6" w:themeFill="accent5" w:themeFillTint="33"/>
            <w:noWrap/>
            <w:vAlign w:val="bottom"/>
            <w:hideMark/>
          </w:tcPr>
          <w:p w14:paraId="3D7CAC0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Other</w:t>
            </w:r>
          </w:p>
        </w:tc>
        <w:tc>
          <w:tcPr>
            <w:tcW w:w="927" w:type="dxa"/>
            <w:shd w:val="clear" w:color="auto" w:fill="DEEAF6" w:themeFill="accent5" w:themeFillTint="33"/>
            <w:noWrap/>
            <w:vAlign w:val="bottom"/>
            <w:hideMark/>
          </w:tcPr>
          <w:p w14:paraId="72E0587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DEEAF6" w:themeFill="accent5" w:themeFillTint="33"/>
            <w:noWrap/>
            <w:vAlign w:val="bottom"/>
            <w:hideMark/>
          </w:tcPr>
          <w:p w14:paraId="23AFAC5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25738C67"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CDE1C7D"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180,000</w:t>
            </w:r>
          </w:p>
        </w:tc>
      </w:tr>
      <w:tr w:rsidR="00F378AA" w:rsidRPr="004C3D90" w14:paraId="1E9FC3E7" w14:textId="77777777" w:rsidTr="625649F6">
        <w:trPr>
          <w:trHeight w:val="288"/>
        </w:trPr>
        <w:tc>
          <w:tcPr>
            <w:tcW w:w="2610" w:type="dxa"/>
            <w:shd w:val="clear" w:color="auto" w:fill="FBE2D5"/>
            <w:noWrap/>
            <w:vAlign w:val="bottom"/>
            <w:hideMark/>
          </w:tcPr>
          <w:p w14:paraId="71D1227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Mali</w:t>
            </w:r>
          </w:p>
        </w:tc>
        <w:tc>
          <w:tcPr>
            <w:tcW w:w="990" w:type="dxa"/>
            <w:shd w:val="clear" w:color="auto" w:fill="FBE2D5"/>
            <w:noWrap/>
            <w:vAlign w:val="bottom"/>
            <w:hideMark/>
          </w:tcPr>
          <w:p w14:paraId="7F24DE2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446BD97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788336F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5CE1C361"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C114C0F"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5538EAAF" w14:textId="77777777" w:rsidTr="625649F6">
        <w:trPr>
          <w:trHeight w:val="288"/>
        </w:trPr>
        <w:tc>
          <w:tcPr>
            <w:tcW w:w="2610" w:type="dxa"/>
            <w:shd w:val="clear" w:color="auto" w:fill="FBE2D5"/>
            <w:noWrap/>
            <w:vAlign w:val="bottom"/>
            <w:hideMark/>
          </w:tcPr>
          <w:p w14:paraId="722B305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Kenya</w:t>
            </w:r>
          </w:p>
        </w:tc>
        <w:tc>
          <w:tcPr>
            <w:tcW w:w="990" w:type="dxa"/>
            <w:shd w:val="clear" w:color="auto" w:fill="FBE2D5"/>
            <w:noWrap/>
            <w:vAlign w:val="bottom"/>
            <w:hideMark/>
          </w:tcPr>
          <w:p w14:paraId="7DEA2EA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1C0CAD9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D6C232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288CF924"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33EA47B"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073A48DE" w14:textId="77777777" w:rsidTr="625649F6">
        <w:trPr>
          <w:trHeight w:val="288"/>
        </w:trPr>
        <w:tc>
          <w:tcPr>
            <w:tcW w:w="2610" w:type="dxa"/>
            <w:shd w:val="clear" w:color="auto" w:fill="FBE2D5"/>
            <w:noWrap/>
            <w:vAlign w:val="bottom"/>
            <w:hideMark/>
          </w:tcPr>
          <w:p w14:paraId="039019E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Somalia</w:t>
            </w:r>
          </w:p>
        </w:tc>
        <w:tc>
          <w:tcPr>
            <w:tcW w:w="990" w:type="dxa"/>
            <w:shd w:val="clear" w:color="auto" w:fill="FBE2D5"/>
            <w:noWrap/>
            <w:vAlign w:val="bottom"/>
            <w:hideMark/>
          </w:tcPr>
          <w:p w14:paraId="4A3ECD6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65B708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5CF942D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6185EA60"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697D4E8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C306EBF" w14:textId="77777777" w:rsidTr="625649F6">
        <w:trPr>
          <w:trHeight w:val="288"/>
        </w:trPr>
        <w:tc>
          <w:tcPr>
            <w:tcW w:w="2610" w:type="dxa"/>
            <w:shd w:val="clear" w:color="auto" w:fill="FBE2D5"/>
            <w:noWrap/>
            <w:vAlign w:val="bottom"/>
            <w:hideMark/>
          </w:tcPr>
          <w:p w14:paraId="620A2C7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El Salvador</w:t>
            </w:r>
          </w:p>
        </w:tc>
        <w:tc>
          <w:tcPr>
            <w:tcW w:w="990" w:type="dxa"/>
            <w:shd w:val="clear" w:color="auto" w:fill="FBE2D5"/>
            <w:noWrap/>
            <w:vAlign w:val="bottom"/>
            <w:hideMark/>
          </w:tcPr>
          <w:p w14:paraId="3B5987F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74C1A5F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44088DA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173038C9"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2FFF3210"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3DF9D5B0" w14:textId="77777777" w:rsidTr="625649F6">
        <w:trPr>
          <w:trHeight w:val="288"/>
        </w:trPr>
        <w:tc>
          <w:tcPr>
            <w:tcW w:w="2610" w:type="dxa"/>
            <w:shd w:val="clear" w:color="auto" w:fill="FBE2D5"/>
            <w:noWrap/>
            <w:vAlign w:val="bottom"/>
            <w:hideMark/>
          </w:tcPr>
          <w:p w14:paraId="1915748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Albania</w:t>
            </w:r>
          </w:p>
        </w:tc>
        <w:tc>
          <w:tcPr>
            <w:tcW w:w="990" w:type="dxa"/>
            <w:shd w:val="clear" w:color="auto" w:fill="FBE2D5"/>
            <w:noWrap/>
            <w:vAlign w:val="bottom"/>
            <w:hideMark/>
          </w:tcPr>
          <w:p w14:paraId="6724ECB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E99D16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3E02C9E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0C08CEA8"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8ECC2CC"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519C7306" w14:textId="77777777" w:rsidTr="625649F6">
        <w:trPr>
          <w:trHeight w:val="288"/>
        </w:trPr>
        <w:tc>
          <w:tcPr>
            <w:tcW w:w="2610" w:type="dxa"/>
            <w:shd w:val="clear" w:color="auto" w:fill="FBE2D5"/>
            <w:noWrap/>
            <w:vAlign w:val="bottom"/>
            <w:hideMark/>
          </w:tcPr>
          <w:p w14:paraId="3487A90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Cuba</w:t>
            </w:r>
          </w:p>
        </w:tc>
        <w:tc>
          <w:tcPr>
            <w:tcW w:w="990" w:type="dxa"/>
            <w:shd w:val="clear" w:color="auto" w:fill="FBE2D5"/>
            <w:noWrap/>
            <w:vAlign w:val="bottom"/>
            <w:hideMark/>
          </w:tcPr>
          <w:p w14:paraId="536BBD6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74D955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667400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620F944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0AB80B7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4D0A7A2A" w14:textId="77777777" w:rsidTr="625649F6">
        <w:trPr>
          <w:trHeight w:val="288"/>
        </w:trPr>
        <w:tc>
          <w:tcPr>
            <w:tcW w:w="2610" w:type="dxa"/>
            <w:shd w:val="clear" w:color="auto" w:fill="FBE2D5"/>
            <w:noWrap/>
            <w:vAlign w:val="bottom"/>
            <w:hideMark/>
          </w:tcPr>
          <w:p w14:paraId="79F5A01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Uruguay</w:t>
            </w:r>
          </w:p>
        </w:tc>
        <w:tc>
          <w:tcPr>
            <w:tcW w:w="990" w:type="dxa"/>
            <w:shd w:val="clear" w:color="auto" w:fill="FBE2D5"/>
            <w:noWrap/>
            <w:vAlign w:val="bottom"/>
            <w:hideMark/>
          </w:tcPr>
          <w:p w14:paraId="5F0C912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029D24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5F739A7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70FACB48"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60558CE1"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23EB115F" w14:textId="77777777" w:rsidTr="625649F6">
        <w:trPr>
          <w:trHeight w:val="288"/>
        </w:trPr>
        <w:tc>
          <w:tcPr>
            <w:tcW w:w="2610" w:type="dxa"/>
            <w:shd w:val="clear" w:color="auto" w:fill="FBE2D5"/>
            <w:noWrap/>
            <w:vAlign w:val="bottom"/>
            <w:hideMark/>
          </w:tcPr>
          <w:p w14:paraId="25FD82B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Zambia</w:t>
            </w:r>
          </w:p>
        </w:tc>
        <w:tc>
          <w:tcPr>
            <w:tcW w:w="990" w:type="dxa"/>
            <w:shd w:val="clear" w:color="auto" w:fill="FBE2D5"/>
            <w:noWrap/>
            <w:vAlign w:val="bottom"/>
            <w:hideMark/>
          </w:tcPr>
          <w:p w14:paraId="098C57B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80DA18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6DFBA68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6A2FFF4D"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E6215CC"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2E3C887" w14:textId="77777777" w:rsidTr="625649F6">
        <w:trPr>
          <w:trHeight w:val="288"/>
        </w:trPr>
        <w:tc>
          <w:tcPr>
            <w:tcW w:w="2610" w:type="dxa"/>
            <w:shd w:val="clear" w:color="auto" w:fill="FBE2D5"/>
            <w:noWrap/>
            <w:vAlign w:val="bottom"/>
            <w:hideMark/>
          </w:tcPr>
          <w:p w14:paraId="0C063053"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North Macedonia</w:t>
            </w:r>
          </w:p>
        </w:tc>
        <w:tc>
          <w:tcPr>
            <w:tcW w:w="990" w:type="dxa"/>
            <w:shd w:val="clear" w:color="auto" w:fill="FBE2D5"/>
            <w:noWrap/>
            <w:vAlign w:val="bottom"/>
            <w:hideMark/>
          </w:tcPr>
          <w:p w14:paraId="6478863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7EC1D04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6C6148D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18.7% of Baseline by 2029</w:t>
            </w:r>
          </w:p>
        </w:tc>
        <w:tc>
          <w:tcPr>
            <w:tcW w:w="870" w:type="dxa"/>
            <w:noWrap/>
            <w:vAlign w:val="bottom"/>
            <w:hideMark/>
          </w:tcPr>
          <w:p w14:paraId="6B34D199"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6459C4E7"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43274488" w14:textId="77777777" w:rsidTr="625649F6">
        <w:trPr>
          <w:trHeight w:val="288"/>
        </w:trPr>
        <w:tc>
          <w:tcPr>
            <w:tcW w:w="2610" w:type="dxa"/>
            <w:shd w:val="clear" w:color="auto" w:fill="FBE2D5"/>
            <w:noWrap/>
            <w:vAlign w:val="bottom"/>
            <w:hideMark/>
          </w:tcPr>
          <w:p w14:paraId="5790D17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lastRenderedPageBreak/>
              <w:t>Mozambique</w:t>
            </w:r>
          </w:p>
        </w:tc>
        <w:tc>
          <w:tcPr>
            <w:tcW w:w="990" w:type="dxa"/>
            <w:shd w:val="clear" w:color="auto" w:fill="FBE2D5"/>
            <w:noWrap/>
            <w:vAlign w:val="bottom"/>
            <w:hideMark/>
          </w:tcPr>
          <w:p w14:paraId="69C1783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3E2D744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70D1A3C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3584CBAE"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286A9A7"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3DD03712" w14:textId="77777777" w:rsidTr="625649F6">
        <w:trPr>
          <w:trHeight w:val="288"/>
        </w:trPr>
        <w:tc>
          <w:tcPr>
            <w:tcW w:w="2610" w:type="dxa"/>
            <w:shd w:val="clear" w:color="auto" w:fill="FBE2D5"/>
            <w:noWrap/>
            <w:vAlign w:val="bottom"/>
            <w:hideMark/>
          </w:tcPr>
          <w:p w14:paraId="547CFF9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Georgia</w:t>
            </w:r>
          </w:p>
        </w:tc>
        <w:tc>
          <w:tcPr>
            <w:tcW w:w="990" w:type="dxa"/>
            <w:shd w:val="clear" w:color="auto" w:fill="FBE2D5"/>
            <w:noWrap/>
            <w:vAlign w:val="bottom"/>
            <w:hideMark/>
          </w:tcPr>
          <w:p w14:paraId="5A65B95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B85148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0B706C0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22.5% of Baseline by 2029</w:t>
            </w:r>
          </w:p>
        </w:tc>
        <w:tc>
          <w:tcPr>
            <w:tcW w:w="870" w:type="dxa"/>
            <w:noWrap/>
            <w:vAlign w:val="bottom"/>
            <w:hideMark/>
          </w:tcPr>
          <w:p w14:paraId="72ED6092"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79EAFF0"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774A187C" w14:textId="77777777" w:rsidTr="625649F6">
        <w:trPr>
          <w:trHeight w:val="288"/>
        </w:trPr>
        <w:tc>
          <w:tcPr>
            <w:tcW w:w="2610" w:type="dxa"/>
            <w:shd w:val="clear" w:color="auto" w:fill="FBE2D5"/>
            <w:noWrap/>
            <w:vAlign w:val="bottom"/>
            <w:hideMark/>
          </w:tcPr>
          <w:p w14:paraId="77DD7FC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Bolivia (Plurinational State)</w:t>
            </w:r>
          </w:p>
        </w:tc>
        <w:tc>
          <w:tcPr>
            <w:tcW w:w="990" w:type="dxa"/>
            <w:shd w:val="clear" w:color="auto" w:fill="FBE2D5"/>
            <w:noWrap/>
            <w:vAlign w:val="bottom"/>
            <w:hideMark/>
          </w:tcPr>
          <w:p w14:paraId="077D12F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44DAE2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131EE3E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15% of Baseline by 2029</w:t>
            </w:r>
          </w:p>
        </w:tc>
        <w:tc>
          <w:tcPr>
            <w:tcW w:w="870" w:type="dxa"/>
            <w:noWrap/>
            <w:vAlign w:val="bottom"/>
            <w:hideMark/>
          </w:tcPr>
          <w:p w14:paraId="23194D83"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CBF707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545311B0" w14:textId="77777777" w:rsidTr="625649F6">
        <w:trPr>
          <w:trHeight w:val="288"/>
        </w:trPr>
        <w:tc>
          <w:tcPr>
            <w:tcW w:w="2610" w:type="dxa"/>
            <w:shd w:val="clear" w:color="auto" w:fill="FBE2D5"/>
            <w:noWrap/>
            <w:vAlign w:val="bottom"/>
            <w:hideMark/>
          </w:tcPr>
          <w:p w14:paraId="709A410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Belize</w:t>
            </w:r>
          </w:p>
        </w:tc>
        <w:tc>
          <w:tcPr>
            <w:tcW w:w="990" w:type="dxa"/>
            <w:shd w:val="clear" w:color="auto" w:fill="FBE2D5"/>
            <w:noWrap/>
            <w:vAlign w:val="bottom"/>
            <w:hideMark/>
          </w:tcPr>
          <w:p w14:paraId="68BDD70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5EE080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7B68CA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213F68B2"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8A02FB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79CD0CA4" w14:textId="77777777" w:rsidTr="625649F6">
        <w:trPr>
          <w:trHeight w:val="288"/>
        </w:trPr>
        <w:tc>
          <w:tcPr>
            <w:tcW w:w="2610" w:type="dxa"/>
            <w:shd w:val="clear" w:color="auto" w:fill="FBE2D5"/>
            <w:noWrap/>
            <w:vAlign w:val="bottom"/>
            <w:hideMark/>
          </w:tcPr>
          <w:p w14:paraId="11DA6C1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Mauritius</w:t>
            </w:r>
          </w:p>
        </w:tc>
        <w:tc>
          <w:tcPr>
            <w:tcW w:w="990" w:type="dxa"/>
            <w:shd w:val="clear" w:color="auto" w:fill="FBE2D5"/>
            <w:noWrap/>
            <w:vAlign w:val="bottom"/>
            <w:hideMark/>
          </w:tcPr>
          <w:p w14:paraId="0371C8C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3F30885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43EBF3E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DF8035C"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EA5CD98"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5DBE4B4E" w14:textId="77777777" w:rsidTr="625649F6">
        <w:trPr>
          <w:trHeight w:val="288"/>
        </w:trPr>
        <w:tc>
          <w:tcPr>
            <w:tcW w:w="2610" w:type="dxa"/>
            <w:shd w:val="clear" w:color="auto" w:fill="FBE2D5"/>
            <w:noWrap/>
            <w:vAlign w:val="bottom"/>
            <w:hideMark/>
          </w:tcPr>
          <w:p w14:paraId="4A6AFA4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Nicaragua</w:t>
            </w:r>
          </w:p>
        </w:tc>
        <w:tc>
          <w:tcPr>
            <w:tcW w:w="990" w:type="dxa"/>
            <w:shd w:val="clear" w:color="auto" w:fill="FBE2D5"/>
            <w:noWrap/>
            <w:vAlign w:val="bottom"/>
            <w:hideMark/>
          </w:tcPr>
          <w:p w14:paraId="05100B4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38E417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137270C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285DA0D8"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2AF03F6F"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5B1F13A" w14:textId="77777777" w:rsidTr="625649F6">
        <w:trPr>
          <w:trHeight w:val="288"/>
        </w:trPr>
        <w:tc>
          <w:tcPr>
            <w:tcW w:w="2610" w:type="dxa"/>
            <w:shd w:val="clear" w:color="auto" w:fill="FBE2D5"/>
            <w:noWrap/>
            <w:vAlign w:val="bottom"/>
            <w:hideMark/>
          </w:tcPr>
          <w:p w14:paraId="685BE233"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Guinea Bissau</w:t>
            </w:r>
          </w:p>
        </w:tc>
        <w:tc>
          <w:tcPr>
            <w:tcW w:w="990" w:type="dxa"/>
            <w:shd w:val="clear" w:color="auto" w:fill="FBE2D5"/>
            <w:noWrap/>
            <w:vAlign w:val="bottom"/>
            <w:hideMark/>
          </w:tcPr>
          <w:p w14:paraId="2801A9D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2DCE1B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4ECAF53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17.5% of Baseline by 2029</w:t>
            </w:r>
          </w:p>
        </w:tc>
        <w:tc>
          <w:tcPr>
            <w:tcW w:w="870" w:type="dxa"/>
            <w:noWrap/>
            <w:vAlign w:val="bottom"/>
            <w:hideMark/>
          </w:tcPr>
          <w:p w14:paraId="5B2DA4AE"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01138A6C"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1502797B" w14:textId="77777777" w:rsidTr="625649F6">
        <w:trPr>
          <w:trHeight w:val="288"/>
        </w:trPr>
        <w:tc>
          <w:tcPr>
            <w:tcW w:w="2610" w:type="dxa"/>
            <w:shd w:val="clear" w:color="auto" w:fill="FBE2D5"/>
            <w:noWrap/>
            <w:vAlign w:val="bottom"/>
            <w:hideMark/>
          </w:tcPr>
          <w:p w14:paraId="76802D6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Namibia</w:t>
            </w:r>
          </w:p>
        </w:tc>
        <w:tc>
          <w:tcPr>
            <w:tcW w:w="990" w:type="dxa"/>
            <w:shd w:val="clear" w:color="auto" w:fill="FBE2D5"/>
            <w:noWrap/>
            <w:vAlign w:val="bottom"/>
            <w:hideMark/>
          </w:tcPr>
          <w:p w14:paraId="2E5B1DA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788DDAC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750FAE5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75A0C8C6"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4434D8A"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4520C85" w14:textId="77777777" w:rsidTr="625649F6">
        <w:trPr>
          <w:trHeight w:val="288"/>
        </w:trPr>
        <w:tc>
          <w:tcPr>
            <w:tcW w:w="2610" w:type="dxa"/>
            <w:shd w:val="clear" w:color="auto" w:fill="FBE2D5"/>
            <w:noWrap/>
            <w:vAlign w:val="bottom"/>
            <w:hideMark/>
          </w:tcPr>
          <w:p w14:paraId="1AFB2F1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Republic of Moldova</w:t>
            </w:r>
          </w:p>
        </w:tc>
        <w:tc>
          <w:tcPr>
            <w:tcW w:w="990" w:type="dxa"/>
            <w:shd w:val="clear" w:color="auto" w:fill="FBE2D5"/>
            <w:noWrap/>
            <w:vAlign w:val="bottom"/>
            <w:hideMark/>
          </w:tcPr>
          <w:p w14:paraId="3149485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367F42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60FA81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1B014E1"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B1DE11E"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7C593384" w14:textId="77777777" w:rsidTr="625649F6">
        <w:trPr>
          <w:trHeight w:val="288"/>
        </w:trPr>
        <w:tc>
          <w:tcPr>
            <w:tcW w:w="2610" w:type="dxa"/>
            <w:shd w:val="clear" w:color="auto" w:fill="FBE2D5"/>
            <w:noWrap/>
            <w:vAlign w:val="bottom"/>
            <w:hideMark/>
          </w:tcPr>
          <w:p w14:paraId="3AB7353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Botswana</w:t>
            </w:r>
          </w:p>
        </w:tc>
        <w:tc>
          <w:tcPr>
            <w:tcW w:w="990" w:type="dxa"/>
            <w:shd w:val="clear" w:color="auto" w:fill="FBE2D5"/>
            <w:noWrap/>
            <w:vAlign w:val="bottom"/>
            <w:hideMark/>
          </w:tcPr>
          <w:p w14:paraId="218246B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1DDFC75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CEF9E9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15% of Baseline by 2029</w:t>
            </w:r>
          </w:p>
        </w:tc>
        <w:tc>
          <w:tcPr>
            <w:tcW w:w="870" w:type="dxa"/>
            <w:noWrap/>
            <w:vAlign w:val="bottom"/>
            <w:hideMark/>
          </w:tcPr>
          <w:p w14:paraId="7FA4BB7B"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6DB964B4"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7A6164B1" w14:textId="77777777" w:rsidTr="625649F6">
        <w:trPr>
          <w:trHeight w:val="288"/>
        </w:trPr>
        <w:tc>
          <w:tcPr>
            <w:tcW w:w="2610" w:type="dxa"/>
            <w:shd w:val="clear" w:color="auto" w:fill="FBE2D5"/>
            <w:noWrap/>
            <w:vAlign w:val="bottom"/>
            <w:hideMark/>
          </w:tcPr>
          <w:p w14:paraId="051A3EF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Turkmenistan</w:t>
            </w:r>
          </w:p>
        </w:tc>
        <w:tc>
          <w:tcPr>
            <w:tcW w:w="990" w:type="dxa"/>
            <w:shd w:val="clear" w:color="auto" w:fill="FBE2D5"/>
            <w:noWrap/>
            <w:vAlign w:val="bottom"/>
            <w:hideMark/>
          </w:tcPr>
          <w:p w14:paraId="5AEE9F3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F5EC2C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4162C57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053E9EDC"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E61009D"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7D57F5C3" w14:textId="77777777" w:rsidTr="625649F6">
        <w:trPr>
          <w:trHeight w:val="288"/>
        </w:trPr>
        <w:tc>
          <w:tcPr>
            <w:tcW w:w="2610" w:type="dxa"/>
            <w:shd w:val="clear" w:color="auto" w:fill="FBE2D5"/>
            <w:noWrap/>
            <w:vAlign w:val="bottom"/>
            <w:hideMark/>
          </w:tcPr>
          <w:p w14:paraId="0560DC7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Brunei Darussalam</w:t>
            </w:r>
          </w:p>
        </w:tc>
        <w:tc>
          <w:tcPr>
            <w:tcW w:w="990" w:type="dxa"/>
            <w:shd w:val="clear" w:color="auto" w:fill="FBE2D5"/>
            <w:noWrap/>
            <w:vAlign w:val="bottom"/>
            <w:hideMark/>
          </w:tcPr>
          <w:p w14:paraId="6FF6153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4E99FA3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041FD74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5492C8CF"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E2E9D5F"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7841FB5F" w14:textId="77777777" w:rsidTr="625649F6">
        <w:trPr>
          <w:trHeight w:val="288"/>
        </w:trPr>
        <w:tc>
          <w:tcPr>
            <w:tcW w:w="2610" w:type="dxa"/>
            <w:shd w:val="clear" w:color="auto" w:fill="FBE2D5"/>
            <w:noWrap/>
            <w:vAlign w:val="bottom"/>
            <w:hideMark/>
          </w:tcPr>
          <w:p w14:paraId="327C392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Maldives</w:t>
            </w:r>
          </w:p>
        </w:tc>
        <w:tc>
          <w:tcPr>
            <w:tcW w:w="990" w:type="dxa"/>
            <w:shd w:val="clear" w:color="auto" w:fill="FBE2D5"/>
            <w:noWrap/>
            <w:vAlign w:val="bottom"/>
            <w:hideMark/>
          </w:tcPr>
          <w:p w14:paraId="62A90B4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A2327B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01B69D4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55BC5674"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54D79AF"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30927560" w14:textId="77777777" w:rsidTr="625649F6">
        <w:trPr>
          <w:trHeight w:val="288"/>
        </w:trPr>
        <w:tc>
          <w:tcPr>
            <w:tcW w:w="2610" w:type="dxa"/>
            <w:shd w:val="clear" w:color="auto" w:fill="FBE2D5"/>
            <w:noWrap/>
            <w:vAlign w:val="bottom"/>
            <w:hideMark/>
          </w:tcPr>
          <w:p w14:paraId="165572A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Papua New Guinea</w:t>
            </w:r>
          </w:p>
        </w:tc>
        <w:tc>
          <w:tcPr>
            <w:tcW w:w="990" w:type="dxa"/>
            <w:shd w:val="clear" w:color="auto" w:fill="FBE2D5"/>
            <w:noWrap/>
            <w:vAlign w:val="bottom"/>
            <w:hideMark/>
          </w:tcPr>
          <w:p w14:paraId="671D711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F89B263"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108D710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1D361D7E"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0163F98"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09D6163B" w14:textId="77777777" w:rsidTr="625649F6">
        <w:trPr>
          <w:trHeight w:val="288"/>
        </w:trPr>
        <w:tc>
          <w:tcPr>
            <w:tcW w:w="2610" w:type="dxa"/>
            <w:shd w:val="clear" w:color="auto" w:fill="FBE2D5"/>
            <w:noWrap/>
            <w:vAlign w:val="bottom"/>
            <w:hideMark/>
          </w:tcPr>
          <w:p w14:paraId="7DAD9E7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Kyrgyzstan</w:t>
            </w:r>
          </w:p>
        </w:tc>
        <w:tc>
          <w:tcPr>
            <w:tcW w:w="990" w:type="dxa"/>
            <w:shd w:val="clear" w:color="auto" w:fill="FBE2D5"/>
            <w:noWrap/>
            <w:vAlign w:val="bottom"/>
            <w:hideMark/>
          </w:tcPr>
          <w:p w14:paraId="08A53D1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4625203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1952237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7F286B1E"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CA24FA4"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3B4ED503" w14:textId="77777777" w:rsidTr="625649F6">
        <w:trPr>
          <w:trHeight w:val="288"/>
        </w:trPr>
        <w:tc>
          <w:tcPr>
            <w:tcW w:w="2610" w:type="dxa"/>
            <w:shd w:val="clear" w:color="auto" w:fill="FBE2D5"/>
            <w:noWrap/>
            <w:vAlign w:val="bottom"/>
            <w:hideMark/>
          </w:tcPr>
          <w:p w14:paraId="751F8C2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Armenia</w:t>
            </w:r>
          </w:p>
        </w:tc>
        <w:tc>
          <w:tcPr>
            <w:tcW w:w="990" w:type="dxa"/>
            <w:shd w:val="clear" w:color="auto" w:fill="FBE2D5"/>
            <w:noWrap/>
            <w:vAlign w:val="bottom"/>
            <w:hideMark/>
          </w:tcPr>
          <w:p w14:paraId="564FBEC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4C55DA3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14A048B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64136AAD"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7F05DE4"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7D5F03E5" w14:textId="77777777" w:rsidTr="625649F6">
        <w:trPr>
          <w:trHeight w:val="288"/>
        </w:trPr>
        <w:tc>
          <w:tcPr>
            <w:tcW w:w="2610" w:type="dxa"/>
            <w:shd w:val="clear" w:color="auto" w:fill="FBE2D5"/>
            <w:noWrap/>
            <w:vAlign w:val="bottom"/>
            <w:hideMark/>
          </w:tcPr>
          <w:p w14:paraId="5A4E9E1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xml:space="preserve">Lao </w:t>
            </w:r>
            <w:r w:rsidRPr="00016A90">
              <w:rPr>
                <w:rFonts w:ascii="Calibri" w:hAnsi="Calibri" w:cs="Calibri"/>
                <w:color w:val="auto"/>
                <w:sz w:val="20"/>
                <w:szCs w:val="20"/>
                <w:lang w:eastAsia="en-CA"/>
              </w:rPr>
              <w:t>People</w:t>
            </w:r>
            <w:r>
              <w:rPr>
                <w:rFonts w:ascii="Calibri" w:hAnsi="Calibri" w:cs="Calibri"/>
                <w:color w:val="auto"/>
                <w:sz w:val="20"/>
                <w:szCs w:val="20"/>
                <w:lang w:eastAsia="en-CA"/>
              </w:rPr>
              <w:t xml:space="preserve"> </w:t>
            </w:r>
            <w:r w:rsidRPr="00016A90">
              <w:rPr>
                <w:rFonts w:ascii="Calibri" w:hAnsi="Calibri" w:cs="Calibri"/>
                <w:noProof/>
                <w:color w:val="auto"/>
                <w:sz w:val="20"/>
                <w:szCs w:val="20"/>
                <w:lang w:eastAsia="en-CA"/>
              </w:rPr>
              <w:t xml:space="preserve">Democratic </w:t>
            </w:r>
            <w:r w:rsidRPr="00016A90">
              <w:rPr>
                <w:rFonts w:ascii="Calibri" w:hAnsi="Calibri" w:cs="Calibri"/>
                <w:color w:val="auto"/>
                <w:sz w:val="20"/>
                <w:szCs w:val="20"/>
                <w:lang w:eastAsia="en-CA"/>
              </w:rPr>
              <w:t>Rep</w:t>
            </w:r>
          </w:p>
        </w:tc>
        <w:tc>
          <w:tcPr>
            <w:tcW w:w="990" w:type="dxa"/>
            <w:shd w:val="clear" w:color="auto" w:fill="FBE2D5"/>
            <w:noWrap/>
            <w:vAlign w:val="bottom"/>
            <w:hideMark/>
          </w:tcPr>
          <w:p w14:paraId="1514D06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A8C8BC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5CDC767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10B98D26"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9689D15"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5002F5D9" w14:textId="77777777" w:rsidTr="625649F6">
        <w:trPr>
          <w:trHeight w:val="288"/>
        </w:trPr>
        <w:tc>
          <w:tcPr>
            <w:tcW w:w="2610" w:type="dxa"/>
            <w:shd w:val="clear" w:color="auto" w:fill="FBE2D5"/>
            <w:noWrap/>
            <w:vAlign w:val="bottom"/>
            <w:hideMark/>
          </w:tcPr>
          <w:p w14:paraId="41255D2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Fiji</w:t>
            </w:r>
          </w:p>
        </w:tc>
        <w:tc>
          <w:tcPr>
            <w:tcW w:w="990" w:type="dxa"/>
            <w:shd w:val="clear" w:color="auto" w:fill="FBE2D5"/>
            <w:noWrap/>
            <w:vAlign w:val="bottom"/>
            <w:hideMark/>
          </w:tcPr>
          <w:p w14:paraId="51738FD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961E97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1C45990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350D4B02"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A0369E9"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A91DAFC" w14:textId="77777777" w:rsidTr="625649F6">
        <w:trPr>
          <w:trHeight w:val="288"/>
        </w:trPr>
        <w:tc>
          <w:tcPr>
            <w:tcW w:w="2610" w:type="dxa"/>
            <w:shd w:val="clear" w:color="auto" w:fill="FBE2D5"/>
            <w:noWrap/>
            <w:vAlign w:val="bottom"/>
            <w:hideMark/>
          </w:tcPr>
          <w:p w14:paraId="1C9E566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Ethiopia</w:t>
            </w:r>
          </w:p>
        </w:tc>
        <w:tc>
          <w:tcPr>
            <w:tcW w:w="990" w:type="dxa"/>
            <w:shd w:val="clear" w:color="auto" w:fill="FBE2D5"/>
            <w:noWrap/>
            <w:vAlign w:val="bottom"/>
            <w:hideMark/>
          </w:tcPr>
          <w:p w14:paraId="0164AB3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E085C7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71D0A0D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6BB657DD"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D55AB1A"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10F1EF05" w14:textId="77777777" w:rsidTr="625649F6">
        <w:trPr>
          <w:trHeight w:val="288"/>
        </w:trPr>
        <w:tc>
          <w:tcPr>
            <w:tcW w:w="2610" w:type="dxa"/>
            <w:shd w:val="clear" w:color="auto" w:fill="FBE2D5"/>
            <w:noWrap/>
            <w:vAlign w:val="bottom"/>
            <w:hideMark/>
          </w:tcPr>
          <w:p w14:paraId="788AEDE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Sierra Leone</w:t>
            </w:r>
          </w:p>
        </w:tc>
        <w:tc>
          <w:tcPr>
            <w:tcW w:w="990" w:type="dxa"/>
            <w:shd w:val="clear" w:color="auto" w:fill="FBE2D5"/>
            <w:noWrap/>
            <w:vAlign w:val="bottom"/>
            <w:hideMark/>
          </w:tcPr>
          <w:p w14:paraId="04D4C60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71BCD22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73D802E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0F54498"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C5556DC"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B667601" w14:textId="77777777" w:rsidTr="625649F6">
        <w:trPr>
          <w:trHeight w:val="288"/>
        </w:trPr>
        <w:tc>
          <w:tcPr>
            <w:tcW w:w="2610" w:type="dxa"/>
            <w:shd w:val="clear" w:color="auto" w:fill="FBE2D5"/>
            <w:noWrap/>
            <w:vAlign w:val="bottom"/>
            <w:hideMark/>
          </w:tcPr>
          <w:p w14:paraId="2C6B560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Rwanda</w:t>
            </w:r>
          </w:p>
        </w:tc>
        <w:tc>
          <w:tcPr>
            <w:tcW w:w="990" w:type="dxa"/>
            <w:shd w:val="clear" w:color="auto" w:fill="FBE2D5"/>
            <w:noWrap/>
            <w:vAlign w:val="bottom"/>
            <w:hideMark/>
          </w:tcPr>
          <w:p w14:paraId="2CD021C3"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47ABF9C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B9AFDA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25% of Baseline by 2029</w:t>
            </w:r>
          </w:p>
        </w:tc>
        <w:tc>
          <w:tcPr>
            <w:tcW w:w="870" w:type="dxa"/>
            <w:noWrap/>
            <w:vAlign w:val="bottom"/>
            <w:hideMark/>
          </w:tcPr>
          <w:p w14:paraId="74018A6A"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7A27FECA"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714563EA" w14:textId="77777777" w:rsidTr="625649F6">
        <w:trPr>
          <w:trHeight w:val="288"/>
        </w:trPr>
        <w:tc>
          <w:tcPr>
            <w:tcW w:w="2610" w:type="dxa"/>
            <w:shd w:val="clear" w:color="auto" w:fill="FBE2D5"/>
            <w:noWrap/>
            <w:vAlign w:val="bottom"/>
            <w:hideMark/>
          </w:tcPr>
          <w:p w14:paraId="54C9F07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Barbados</w:t>
            </w:r>
          </w:p>
        </w:tc>
        <w:tc>
          <w:tcPr>
            <w:tcW w:w="990" w:type="dxa"/>
            <w:shd w:val="clear" w:color="auto" w:fill="FBE2D5"/>
            <w:noWrap/>
            <w:vAlign w:val="bottom"/>
            <w:hideMark/>
          </w:tcPr>
          <w:p w14:paraId="621BA31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94C34E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5B960DF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26A33964"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EDD77AF"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1411DBD5" w14:textId="77777777" w:rsidTr="625649F6">
        <w:trPr>
          <w:trHeight w:val="288"/>
        </w:trPr>
        <w:tc>
          <w:tcPr>
            <w:tcW w:w="2610" w:type="dxa"/>
            <w:shd w:val="clear" w:color="auto" w:fill="FBE2D5"/>
            <w:noWrap/>
            <w:vAlign w:val="bottom"/>
            <w:hideMark/>
          </w:tcPr>
          <w:p w14:paraId="0E17051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United Republic of Tanzania</w:t>
            </w:r>
          </w:p>
        </w:tc>
        <w:tc>
          <w:tcPr>
            <w:tcW w:w="990" w:type="dxa"/>
            <w:shd w:val="clear" w:color="auto" w:fill="FBE2D5"/>
            <w:noWrap/>
            <w:vAlign w:val="bottom"/>
            <w:hideMark/>
          </w:tcPr>
          <w:p w14:paraId="242A16C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7DB95DB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4B4DD60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0418B791"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346F42B"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5DDBE2A3" w14:textId="77777777" w:rsidTr="625649F6">
        <w:trPr>
          <w:trHeight w:val="288"/>
        </w:trPr>
        <w:tc>
          <w:tcPr>
            <w:tcW w:w="2610" w:type="dxa"/>
            <w:shd w:val="clear" w:color="auto" w:fill="FBE2D5"/>
            <w:noWrap/>
            <w:vAlign w:val="bottom"/>
            <w:hideMark/>
          </w:tcPr>
          <w:p w14:paraId="0C2B356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Gambia</w:t>
            </w:r>
          </w:p>
        </w:tc>
        <w:tc>
          <w:tcPr>
            <w:tcW w:w="990" w:type="dxa"/>
            <w:shd w:val="clear" w:color="auto" w:fill="FBE2D5"/>
            <w:noWrap/>
            <w:vAlign w:val="bottom"/>
            <w:hideMark/>
          </w:tcPr>
          <w:p w14:paraId="70AD4F2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43C303C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B74DD8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3D629380"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09C1761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158AFBF2" w14:textId="77777777" w:rsidTr="625649F6">
        <w:trPr>
          <w:trHeight w:val="288"/>
        </w:trPr>
        <w:tc>
          <w:tcPr>
            <w:tcW w:w="2610" w:type="dxa"/>
            <w:shd w:val="clear" w:color="auto" w:fill="FBE2D5"/>
            <w:noWrap/>
            <w:vAlign w:val="bottom"/>
            <w:hideMark/>
          </w:tcPr>
          <w:p w14:paraId="57926D5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Burundi</w:t>
            </w:r>
          </w:p>
        </w:tc>
        <w:tc>
          <w:tcPr>
            <w:tcW w:w="990" w:type="dxa"/>
            <w:shd w:val="clear" w:color="auto" w:fill="FBE2D5"/>
            <w:noWrap/>
            <w:vAlign w:val="bottom"/>
            <w:hideMark/>
          </w:tcPr>
          <w:p w14:paraId="2779928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7DF7ECE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B49722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3BAC25A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62CF39F"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32D1F694" w14:textId="77777777" w:rsidTr="625649F6">
        <w:trPr>
          <w:trHeight w:val="288"/>
        </w:trPr>
        <w:tc>
          <w:tcPr>
            <w:tcW w:w="2610" w:type="dxa"/>
            <w:shd w:val="clear" w:color="auto" w:fill="FBE2D5"/>
            <w:noWrap/>
            <w:vAlign w:val="bottom"/>
            <w:hideMark/>
          </w:tcPr>
          <w:p w14:paraId="0FF03CF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Bahamas</w:t>
            </w:r>
          </w:p>
        </w:tc>
        <w:tc>
          <w:tcPr>
            <w:tcW w:w="990" w:type="dxa"/>
            <w:shd w:val="clear" w:color="auto" w:fill="FBE2D5"/>
            <w:noWrap/>
            <w:vAlign w:val="bottom"/>
            <w:hideMark/>
          </w:tcPr>
          <w:p w14:paraId="0E5ED51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721067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7902689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6C731C67"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7159A6D"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3CBE8578" w14:textId="77777777" w:rsidTr="625649F6">
        <w:trPr>
          <w:trHeight w:val="288"/>
        </w:trPr>
        <w:tc>
          <w:tcPr>
            <w:tcW w:w="2610" w:type="dxa"/>
            <w:shd w:val="clear" w:color="auto" w:fill="FBE2D5"/>
            <w:noWrap/>
            <w:vAlign w:val="bottom"/>
            <w:hideMark/>
          </w:tcPr>
          <w:p w14:paraId="3BED615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Seychelles</w:t>
            </w:r>
          </w:p>
        </w:tc>
        <w:tc>
          <w:tcPr>
            <w:tcW w:w="990" w:type="dxa"/>
            <w:shd w:val="clear" w:color="auto" w:fill="FBE2D5"/>
            <w:noWrap/>
            <w:vAlign w:val="bottom"/>
            <w:hideMark/>
          </w:tcPr>
          <w:p w14:paraId="1CBBE45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F342EC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3FF4741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2015AB49"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7A58D3B3"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240C7BDE" w14:textId="77777777" w:rsidTr="625649F6">
        <w:trPr>
          <w:trHeight w:val="288"/>
        </w:trPr>
        <w:tc>
          <w:tcPr>
            <w:tcW w:w="2610" w:type="dxa"/>
            <w:shd w:val="clear" w:color="auto" w:fill="FBE2D5"/>
            <w:noWrap/>
            <w:vAlign w:val="bottom"/>
            <w:hideMark/>
          </w:tcPr>
          <w:p w14:paraId="741327C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Eritrea</w:t>
            </w:r>
          </w:p>
        </w:tc>
        <w:tc>
          <w:tcPr>
            <w:tcW w:w="990" w:type="dxa"/>
            <w:shd w:val="clear" w:color="auto" w:fill="FBE2D5"/>
            <w:noWrap/>
            <w:vAlign w:val="bottom"/>
            <w:hideMark/>
          </w:tcPr>
          <w:p w14:paraId="1DE9FFA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35021F0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D6E576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7D1C7CF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8F2C215"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CAE33D4" w14:textId="77777777" w:rsidTr="625649F6">
        <w:trPr>
          <w:trHeight w:val="288"/>
        </w:trPr>
        <w:tc>
          <w:tcPr>
            <w:tcW w:w="2610" w:type="dxa"/>
            <w:shd w:val="clear" w:color="auto" w:fill="FBE2D5"/>
            <w:noWrap/>
            <w:vAlign w:val="bottom"/>
            <w:hideMark/>
          </w:tcPr>
          <w:p w14:paraId="0DF8BE2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Sao Tome and Principe</w:t>
            </w:r>
          </w:p>
        </w:tc>
        <w:tc>
          <w:tcPr>
            <w:tcW w:w="990" w:type="dxa"/>
            <w:shd w:val="clear" w:color="auto" w:fill="FBE2D5"/>
            <w:noWrap/>
            <w:vAlign w:val="bottom"/>
            <w:hideMark/>
          </w:tcPr>
          <w:p w14:paraId="1AA2C09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70C3616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127DAD7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7A74E62D"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71AF49C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0B3DEDB" w14:textId="77777777" w:rsidTr="625649F6">
        <w:trPr>
          <w:trHeight w:val="288"/>
        </w:trPr>
        <w:tc>
          <w:tcPr>
            <w:tcW w:w="2610" w:type="dxa"/>
            <w:shd w:val="clear" w:color="auto" w:fill="FBE2D5"/>
            <w:noWrap/>
            <w:vAlign w:val="bottom"/>
            <w:hideMark/>
          </w:tcPr>
          <w:p w14:paraId="7207327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Montenegro</w:t>
            </w:r>
          </w:p>
        </w:tc>
        <w:tc>
          <w:tcPr>
            <w:tcW w:w="990" w:type="dxa"/>
            <w:shd w:val="clear" w:color="auto" w:fill="FBE2D5"/>
            <w:noWrap/>
            <w:vAlign w:val="bottom"/>
            <w:hideMark/>
          </w:tcPr>
          <w:p w14:paraId="1926FE9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801526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35C2FCB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19.4% of Baseline by 2029</w:t>
            </w:r>
          </w:p>
        </w:tc>
        <w:tc>
          <w:tcPr>
            <w:tcW w:w="870" w:type="dxa"/>
            <w:noWrap/>
            <w:vAlign w:val="bottom"/>
            <w:hideMark/>
          </w:tcPr>
          <w:p w14:paraId="14656394"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0A9E49C"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215F076E" w14:textId="77777777" w:rsidTr="625649F6">
        <w:trPr>
          <w:trHeight w:val="288"/>
        </w:trPr>
        <w:tc>
          <w:tcPr>
            <w:tcW w:w="2610" w:type="dxa"/>
            <w:shd w:val="clear" w:color="auto" w:fill="FBE2D5"/>
            <w:noWrap/>
            <w:vAlign w:val="bottom"/>
            <w:hideMark/>
          </w:tcPr>
          <w:p w14:paraId="6F795B83"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Tuvalu</w:t>
            </w:r>
          </w:p>
        </w:tc>
        <w:tc>
          <w:tcPr>
            <w:tcW w:w="990" w:type="dxa"/>
            <w:shd w:val="clear" w:color="auto" w:fill="FBE2D5"/>
            <w:noWrap/>
            <w:vAlign w:val="bottom"/>
            <w:hideMark/>
          </w:tcPr>
          <w:p w14:paraId="1DB8964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4D699B4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6776ADD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EF7C9AD"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300D102"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F5B19C1" w14:textId="77777777" w:rsidTr="625649F6">
        <w:trPr>
          <w:trHeight w:val="288"/>
        </w:trPr>
        <w:tc>
          <w:tcPr>
            <w:tcW w:w="2610" w:type="dxa"/>
            <w:shd w:val="clear" w:color="auto" w:fill="FBE2D5"/>
            <w:noWrap/>
            <w:vAlign w:val="bottom"/>
            <w:hideMark/>
          </w:tcPr>
          <w:p w14:paraId="55ACC84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Cabo Verde</w:t>
            </w:r>
          </w:p>
        </w:tc>
        <w:tc>
          <w:tcPr>
            <w:tcW w:w="990" w:type="dxa"/>
            <w:shd w:val="clear" w:color="auto" w:fill="FBE2D5"/>
            <w:noWrap/>
            <w:vAlign w:val="bottom"/>
            <w:hideMark/>
          </w:tcPr>
          <w:p w14:paraId="608CF46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1A8A249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40AA554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61973766"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01352863"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4A00F7A3" w14:textId="77777777" w:rsidTr="625649F6">
        <w:trPr>
          <w:trHeight w:val="288"/>
        </w:trPr>
        <w:tc>
          <w:tcPr>
            <w:tcW w:w="2610" w:type="dxa"/>
            <w:shd w:val="clear" w:color="auto" w:fill="FBE2D5"/>
            <w:noWrap/>
            <w:vAlign w:val="bottom"/>
            <w:hideMark/>
          </w:tcPr>
          <w:p w14:paraId="14F7FF5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Saint Lucia</w:t>
            </w:r>
          </w:p>
        </w:tc>
        <w:tc>
          <w:tcPr>
            <w:tcW w:w="990" w:type="dxa"/>
            <w:shd w:val="clear" w:color="auto" w:fill="FBE2D5"/>
            <w:noWrap/>
            <w:vAlign w:val="bottom"/>
            <w:hideMark/>
          </w:tcPr>
          <w:p w14:paraId="090CA11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448C2D4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50B181F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4D3A8A9"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06FA43A0"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79D93857" w14:textId="77777777" w:rsidTr="625649F6">
        <w:trPr>
          <w:trHeight w:val="288"/>
        </w:trPr>
        <w:tc>
          <w:tcPr>
            <w:tcW w:w="2610" w:type="dxa"/>
            <w:shd w:val="clear" w:color="auto" w:fill="FBE2D5"/>
            <w:noWrap/>
            <w:vAlign w:val="bottom"/>
            <w:hideMark/>
          </w:tcPr>
          <w:p w14:paraId="22290FF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Eswatini</w:t>
            </w:r>
          </w:p>
        </w:tc>
        <w:tc>
          <w:tcPr>
            <w:tcW w:w="990" w:type="dxa"/>
            <w:shd w:val="clear" w:color="auto" w:fill="FBE2D5"/>
            <w:noWrap/>
            <w:vAlign w:val="bottom"/>
            <w:hideMark/>
          </w:tcPr>
          <w:p w14:paraId="1C574CB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C266F8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49917B9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6D3F18C2"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28A5C091"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2511DB69" w14:textId="77777777" w:rsidTr="625649F6">
        <w:trPr>
          <w:trHeight w:val="288"/>
        </w:trPr>
        <w:tc>
          <w:tcPr>
            <w:tcW w:w="2610" w:type="dxa"/>
            <w:shd w:val="clear" w:color="auto" w:fill="FBE2D5"/>
            <w:noWrap/>
            <w:vAlign w:val="bottom"/>
            <w:hideMark/>
          </w:tcPr>
          <w:p w14:paraId="1D534E4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Uganda</w:t>
            </w:r>
          </w:p>
        </w:tc>
        <w:tc>
          <w:tcPr>
            <w:tcW w:w="990" w:type="dxa"/>
            <w:shd w:val="clear" w:color="auto" w:fill="FBE2D5"/>
            <w:noWrap/>
            <w:vAlign w:val="bottom"/>
            <w:hideMark/>
          </w:tcPr>
          <w:p w14:paraId="1FEDD5C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22EF5A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5E93EB8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6BBE7ECB"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061314CE"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4DB360D0" w14:textId="77777777" w:rsidTr="625649F6">
        <w:trPr>
          <w:trHeight w:val="288"/>
        </w:trPr>
        <w:tc>
          <w:tcPr>
            <w:tcW w:w="2610" w:type="dxa"/>
            <w:shd w:val="clear" w:color="auto" w:fill="FBE2D5"/>
            <w:noWrap/>
            <w:vAlign w:val="bottom"/>
            <w:hideMark/>
          </w:tcPr>
          <w:p w14:paraId="391B03F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Mongolia</w:t>
            </w:r>
          </w:p>
        </w:tc>
        <w:tc>
          <w:tcPr>
            <w:tcW w:w="990" w:type="dxa"/>
            <w:shd w:val="clear" w:color="auto" w:fill="FBE2D5"/>
            <w:noWrap/>
            <w:vAlign w:val="bottom"/>
            <w:hideMark/>
          </w:tcPr>
          <w:p w14:paraId="5C73024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432A38F3"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45D7AB1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7DCBE2B4"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1C50090"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40E0DAA9" w14:textId="77777777" w:rsidTr="625649F6">
        <w:trPr>
          <w:trHeight w:val="288"/>
        </w:trPr>
        <w:tc>
          <w:tcPr>
            <w:tcW w:w="2610" w:type="dxa"/>
            <w:shd w:val="clear" w:color="auto" w:fill="FBE2D5"/>
            <w:noWrap/>
            <w:vAlign w:val="bottom"/>
            <w:hideMark/>
          </w:tcPr>
          <w:p w14:paraId="7595F6D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Grenada</w:t>
            </w:r>
          </w:p>
        </w:tc>
        <w:tc>
          <w:tcPr>
            <w:tcW w:w="990" w:type="dxa"/>
            <w:shd w:val="clear" w:color="auto" w:fill="FBE2D5"/>
            <w:noWrap/>
            <w:vAlign w:val="bottom"/>
            <w:hideMark/>
          </w:tcPr>
          <w:p w14:paraId="152C33F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BD2165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5B00DB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6E0B77A7"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48FA2EC3"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1E06330B" w14:textId="77777777" w:rsidTr="625649F6">
        <w:trPr>
          <w:trHeight w:val="288"/>
        </w:trPr>
        <w:tc>
          <w:tcPr>
            <w:tcW w:w="2610" w:type="dxa"/>
            <w:shd w:val="clear" w:color="auto" w:fill="FBE2D5"/>
            <w:noWrap/>
            <w:vAlign w:val="bottom"/>
            <w:hideMark/>
          </w:tcPr>
          <w:p w14:paraId="0D316DD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Comoros</w:t>
            </w:r>
          </w:p>
        </w:tc>
        <w:tc>
          <w:tcPr>
            <w:tcW w:w="990" w:type="dxa"/>
            <w:shd w:val="clear" w:color="auto" w:fill="FBE2D5"/>
            <w:noWrap/>
            <w:vAlign w:val="bottom"/>
            <w:hideMark/>
          </w:tcPr>
          <w:p w14:paraId="3C4FD94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E4E47A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7C200F4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74F83FA2"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72AE2674"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13E80CC0" w14:textId="77777777" w:rsidTr="625649F6">
        <w:trPr>
          <w:trHeight w:val="288"/>
        </w:trPr>
        <w:tc>
          <w:tcPr>
            <w:tcW w:w="2610" w:type="dxa"/>
            <w:shd w:val="clear" w:color="auto" w:fill="FBE2D5"/>
            <w:noWrap/>
            <w:vAlign w:val="bottom"/>
            <w:hideMark/>
          </w:tcPr>
          <w:p w14:paraId="6EE0ED0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Vanuatu</w:t>
            </w:r>
          </w:p>
        </w:tc>
        <w:tc>
          <w:tcPr>
            <w:tcW w:w="990" w:type="dxa"/>
            <w:shd w:val="clear" w:color="auto" w:fill="FBE2D5"/>
            <w:noWrap/>
            <w:vAlign w:val="bottom"/>
            <w:hideMark/>
          </w:tcPr>
          <w:p w14:paraId="45F33DE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1F9A9EA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09C587C6"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79F66A41"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7D5729B5"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46733C2A" w14:textId="77777777" w:rsidTr="625649F6">
        <w:trPr>
          <w:trHeight w:val="288"/>
        </w:trPr>
        <w:tc>
          <w:tcPr>
            <w:tcW w:w="2610" w:type="dxa"/>
            <w:shd w:val="clear" w:color="auto" w:fill="FBE2D5"/>
            <w:noWrap/>
            <w:vAlign w:val="bottom"/>
            <w:hideMark/>
          </w:tcPr>
          <w:p w14:paraId="483DEF4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Bhutan</w:t>
            </w:r>
          </w:p>
        </w:tc>
        <w:tc>
          <w:tcPr>
            <w:tcW w:w="990" w:type="dxa"/>
            <w:shd w:val="clear" w:color="auto" w:fill="FBE2D5"/>
            <w:noWrap/>
            <w:vAlign w:val="bottom"/>
            <w:hideMark/>
          </w:tcPr>
          <w:p w14:paraId="0B1236B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4CABB5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0082BC4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 </w:t>
            </w:r>
          </w:p>
        </w:tc>
        <w:tc>
          <w:tcPr>
            <w:tcW w:w="870" w:type="dxa"/>
            <w:noWrap/>
            <w:vAlign w:val="bottom"/>
            <w:hideMark/>
          </w:tcPr>
          <w:p w14:paraId="327E7D76"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99FE725"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2D5E1DF1" w14:textId="77777777" w:rsidTr="625649F6">
        <w:trPr>
          <w:trHeight w:val="288"/>
        </w:trPr>
        <w:tc>
          <w:tcPr>
            <w:tcW w:w="2610" w:type="dxa"/>
            <w:shd w:val="clear" w:color="auto" w:fill="FBE2D5"/>
            <w:noWrap/>
            <w:vAlign w:val="bottom"/>
            <w:hideMark/>
          </w:tcPr>
          <w:p w14:paraId="4DD7DE97"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Samoa</w:t>
            </w:r>
          </w:p>
        </w:tc>
        <w:tc>
          <w:tcPr>
            <w:tcW w:w="990" w:type="dxa"/>
            <w:shd w:val="clear" w:color="auto" w:fill="FBE2D5"/>
            <w:noWrap/>
            <w:vAlign w:val="bottom"/>
            <w:hideMark/>
          </w:tcPr>
          <w:p w14:paraId="6D831DB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A17238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44BA172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321726B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D34CB0A"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247A25FF" w14:textId="77777777" w:rsidTr="625649F6">
        <w:trPr>
          <w:trHeight w:val="288"/>
        </w:trPr>
        <w:tc>
          <w:tcPr>
            <w:tcW w:w="2610" w:type="dxa"/>
            <w:shd w:val="clear" w:color="auto" w:fill="FBE2D5"/>
            <w:noWrap/>
            <w:vAlign w:val="bottom"/>
            <w:hideMark/>
          </w:tcPr>
          <w:p w14:paraId="0EAF823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Marshall Islands</w:t>
            </w:r>
          </w:p>
        </w:tc>
        <w:tc>
          <w:tcPr>
            <w:tcW w:w="990" w:type="dxa"/>
            <w:shd w:val="clear" w:color="auto" w:fill="FBE2D5"/>
            <w:noWrap/>
            <w:vAlign w:val="bottom"/>
            <w:hideMark/>
          </w:tcPr>
          <w:p w14:paraId="7E224AE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4A01CC5"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0D7C627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77DB6D10"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7F3F13B"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28B9986" w14:textId="77777777" w:rsidTr="625649F6">
        <w:trPr>
          <w:trHeight w:val="288"/>
        </w:trPr>
        <w:tc>
          <w:tcPr>
            <w:tcW w:w="2610" w:type="dxa"/>
            <w:shd w:val="clear" w:color="auto" w:fill="FBE2D5"/>
            <w:noWrap/>
            <w:vAlign w:val="bottom"/>
            <w:hideMark/>
          </w:tcPr>
          <w:p w14:paraId="7D107F0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Tonga</w:t>
            </w:r>
          </w:p>
        </w:tc>
        <w:tc>
          <w:tcPr>
            <w:tcW w:w="990" w:type="dxa"/>
            <w:shd w:val="clear" w:color="auto" w:fill="FBE2D5"/>
            <w:noWrap/>
            <w:vAlign w:val="bottom"/>
            <w:hideMark/>
          </w:tcPr>
          <w:p w14:paraId="7CE51B42"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7C53A15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2F619C3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EB39FF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C0C6500"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51BB4F0C" w14:textId="77777777" w:rsidTr="625649F6">
        <w:trPr>
          <w:trHeight w:val="288"/>
        </w:trPr>
        <w:tc>
          <w:tcPr>
            <w:tcW w:w="2610" w:type="dxa"/>
            <w:shd w:val="clear" w:color="auto" w:fill="FBE2D5"/>
            <w:noWrap/>
            <w:vAlign w:val="bottom"/>
            <w:hideMark/>
          </w:tcPr>
          <w:p w14:paraId="208D926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Palau</w:t>
            </w:r>
          </w:p>
        </w:tc>
        <w:tc>
          <w:tcPr>
            <w:tcW w:w="990" w:type="dxa"/>
            <w:shd w:val="clear" w:color="auto" w:fill="FBE2D5"/>
            <w:noWrap/>
            <w:vAlign w:val="bottom"/>
            <w:hideMark/>
          </w:tcPr>
          <w:p w14:paraId="72375D4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5101518A"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3AA20D8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75EE9BB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DD86584"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0460202E" w14:textId="77777777" w:rsidTr="625649F6">
        <w:trPr>
          <w:trHeight w:val="288"/>
        </w:trPr>
        <w:tc>
          <w:tcPr>
            <w:tcW w:w="2610" w:type="dxa"/>
            <w:shd w:val="clear" w:color="auto" w:fill="FBE2D5"/>
            <w:noWrap/>
            <w:vAlign w:val="bottom"/>
            <w:hideMark/>
          </w:tcPr>
          <w:p w14:paraId="19D44DE3" w14:textId="77777777" w:rsidR="00F378AA" w:rsidRPr="00016A90" w:rsidRDefault="00F378AA">
            <w:pPr>
              <w:tabs>
                <w:tab w:val="clear" w:pos="0"/>
              </w:tabs>
              <w:spacing w:after="0"/>
              <w:ind w:right="-18"/>
              <w:rPr>
                <w:rFonts w:ascii="Calibri" w:hAnsi="Calibri" w:cs="Calibri"/>
                <w:noProof/>
                <w:color w:val="auto"/>
                <w:sz w:val="20"/>
                <w:szCs w:val="20"/>
                <w:lang w:eastAsia="en-CA"/>
              </w:rPr>
            </w:pPr>
            <w:r w:rsidRPr="00016A90">
              <w:rPr>
                <w:rFonts w:ascii="Calibri" w:hAnsi="Calibri" w:cs="Calibri"/>
                <w:noProof/>
                <w:color w:val="auto"/>
                <w:sz w:val="20"/>
                <w:szCs w:val="20"/>
                <w:lang w:eastAsia="en-CA"/>
              </w:rPr>
              <w:lastRenderedPageBreak/>
              <w:t>Micronesia (Fed</w:t>
            </w:r>
            <w:r>
              <w:rPr>
                <w:rFonts w:ascii="Calibri" w:hAnsi="Calibri" w:cs="Calibri"/>
                <w:color w:val="auto"/>
                <w:sz w:val="20"/>
                <w:szCs w:val="20"/>
                <w:lang w:eastAsia="en-CA"/>
              </w:rPr>
              <w:t xml:space="preserve"> S</w:t>
            </w:r>
            <w:r w:rsidRPr="00016A90">
              <w:rPr>
                <w:rFonts w:ascii="Calibri" w:hAnsi="Calibri" w:cs="Calibri"/>
                <w:noProof/>
                <w:color w:val="auto"/>
                <w:sz w:val="20"/>
                <w:szCs w:val="20"/>
                <w:lang w:eastAsia="en-CA"/>
              </w:rPr>
              <w:t>tates)</w:t>
            </w:r>
          </w:p>
        </w:tc>
        <w:tc>
          <w:tcPr>
            <w:tcW w:w="990" w:type="dxa"/>
            <w:shd w:val="clear" w:color="auto" w:fill="FBE2D5"/>
            <w:noWrap/>
            <w:vAlign w:val="bottom"/>
            <w:hideMark/>
          </w:tcPr>
          <w:p w14:paraId="00BCBEB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63EDC76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340882FB"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4595A915"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9845290"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6CB18194" w14:textId="77777777" w:rsidTr="625649F6">
        <w:trPr>
          <w:trHeight w:val="288"/>
        </w:trPr>
        <w:tc>
          <w:tcPr>
            <w:tcW w:w="2610" w:type="dxa"/>
            <w:shd w:val="clear" w:color="auto" w:fill="FBE2D5"/>
            <w:noWrap/>
            <w:vAlign w:val="bottom"/>
            <w:hideMark/>
          </w:tcPr>
          <w:p w14:paraId="76BF2B39"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Kiribati</w:t>
            </w:r>
          </w:p>
        </w:tc>
        <w:tc>
          <w:tcPr>
            <w:tcW w:w="990" w:type="dxa"/>
            <w:shd w:val="clear" w:color="auto" w:fill="FBE2D5"/>
            <w:noWrap/>
            <w:vAlign w:val="bottom"/>
            <w:hideMark/>
          </w:tcPr>
          <w:p w14:paraId="1EEA117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14AD8B8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60CF8154"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13A15CF1"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307752D5"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4EE6E894" w14:textId="77777777" w:rsidTr="625649F6">
        <w:trPr>
          <w:trHeight w:val="288"/>
        </w:trPr>
        <w:tc>
          <w:tcPr>
            <w:tcW w:w="2610" w:type="dxa"/>
            <w:shd w:val="clear" w:color="auto" w:fill="FBE2D5"/>
            <w:noWrap/>
            <w:vAlign w:val="bottom"/>
            <w:hideMark/>
          </w:tcPr>
          <w:p w14:paraId="70C5008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Cook Islands</w:t>
            </w:r>
          </w:p>
        </w:tc>
        <w:tc>
          <w:tcPr>
            <w:tcW w:w="990" w:type="dxa"/>
            <w:shd w:val="clear" w:color="auto" w:fill="FBE2D5"/>
            <w:noWrap/>
            <w:vAlign w:val="bottom"/>
            <w:hideMark/>
          </w:tcPr>
          <w:p w14:paraId="50B30FBE"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006FC2D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5A93862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688D84C4"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182B4446"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0D84A5AC" w14:textId="77777777" w:rsidTr="625649F6">
        <w:trPr>
          <w:trHeight w:val="288"/>
        </w:trPr>
        <w:tc>
          <w:tcPr>
            <w:tcW w:w="2610" w:type="dxa"/>
            <w:shd w:val="clear" w:color="auto" w:fill="FBE2D5"/>
            <w:noWrap/>
            <w:vAlign w:val="bottom"/>
            <w:hideMark/>
          </w:tcPr>
          <w:p w14:paraId="0B75439F"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Nauru</w:t>
            </w:r>
          </w:p>
        </w:tc>
        <w:tc>
          <w:tcPr>
            <w:tcW w:w="990" w:type="dxa"/>
            <w:shd w:val="clear" w:color="auto" w:fill="FBE2D5"/>
            <w:noWrap/>
            <w:vAlign w:val="bottom"/>
            <w:hideMark/>
          </w:tcPr>
          <w:p w14:paraId="2CAFD3A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shd w:val="clear" w:color="auto" w:fill="FBE2D5"/>
            <w:noWrap/>
            <w:vAlign w:val="bottom"/>
            <w:hideMark/>
          </w:tcPr>
          <w:p w14:paraId="70584E1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shd w:val="clear" w:color="auto" w:fill="FBE2D5"/>
            <w:noWrap/>
            <w:vAlign w:val="bottom"/>
            <w:hideMark/>
          </w:tcPr>
          <w:p w14:paraId="06B7C13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noWrap/>
            <w:vAlign w:val="bottom"/>
            <w:hideMark/>
          </w:tcPr>
          <w:p w14:paraId="527B0E33"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noWrap/>
            <w:vAlign w:val="bottom"/>
            <w:hideMark/>
          </w:tcPr>
          <w:p w14:paraId="55DCAA78"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14AE31E7" w14:textId="77777777" w:rsidTr="625649F6">
        <w:trPr>
          <w:trHeight w:val="288"/>
        </w:trPr>
        <w:tc>
          <w:tcPr>
            <w:tcW w:w="2610" w:type="dxa"/>
            <w:tcBorders>
              <w:bottom w:val="single" w:sz="4" w:space="0" w:color="auto"/>
            </w:tcBorders>
            <w:shd w:val="clear" w:color="auto" w:fill="FBE2D5"/>
            <w:noWrap/>
            <w:vAlign w:val="bottom"/>
            <w:hideMark/>
          </w:tcPr>
          <w:p w14:paraId="34D4766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Niue</w:t>
            </w:r>
          </w:p>
        </w:tc>
        <w:tc>
          <w:tcPr>
            <w:tcW w:w="990" w:type="dxa"/>
            <w:tcBorders>
              <w:bottom w:val="single" w:sz="4" w:space="0" w:color="auto"/>
            </w:tcBorders>
            <w:shd w:val="clear" w:color="auto" w:fill="FBE2D5"/>
            <w:noWrap/>
            <w:vAlign w:val="bottom"/>
            <w:hideMark/>
          </w:tcPr>
          <w:p w14:paraId="55CFFD40"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LVC</w:t>
            </w:r>
          </w:p>
        </w:tc>
        <w:tc>
          <w:tcPr>
            <w:tcW w:w="927" w:type="dxa"/>
            <w:tcBorders>
              <w:bottom w:val="single" w:sz="4" w:space="0" w:color="auto"/>
            </w:tcBorders>
            <w:shd w:val="clear" w:color="auto" w:fill="FBE2D5"/>
            <w:noWrap/>
            <w:vAlign w:val="bottom"/>
            <w:hideMark/>
          </w:tcPr>
          <w:p w14:paraId="27336F4C"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Yes</w:t>
            </w:r>
          </w:p>
        </w:tc>
        <w:tc>
          <w:tcPr>
            <w:tcW w:w="2493" w:type="dxa"/>
            <w:tcBorders>
              <w:bottom w:val="single" w:sz="4" w:space="0" w:color="auto"/>
            </w:tcBorders>
            <w:shd w:val="clear" w:color="auto" w:fill="FBE2D5"/>
            <w:noWrap/>
            <w:vAlign w:val="bottom"/>
            <w:hideMark/>
          </w:tcPr>
          <w:p w14:paraId="7B41716D"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10% of Baseline by 2029</w:t>
            </w:r>
          </w:p>
        </w:tc>
        <w:tc>
          <w:tcPr>
            <w:tcW w:w="870" w:type="dxa"/>
            <w:tcBorders>
              <w:bottom w:val="single" w:sz="4" w:space="0" w:color="auto"/>
            </w:tcBorders>
            <w:noWrap/>
            <w:vAlign w:val="bottom"/>
            <w:hideMark/>
          </w:tcPr>
          <w:p w14:paraId="18A952FE"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tcBorders>
              <w:bottom w:val="single" w:sz="4" w:space="0" w:color="auto"/>
            </w:tcBorders>
            <w:noWrap/>
            <w:vAlign w:val="bottom"/>
            <w:hideMark/>
          </w:tcPr>
          <w:p w14:paraId="32E19F6F" w14:textId="77777777" w:rsidR="00F378AA" w:rsidRPr="00016A90" w:rsidRDefault="00F378AA">
            <w:pPr>
              <w:tabs>
                <w:tab w:val="clear" w:pos="0"/>
              </w:tabs>
              <w:spacing w:after="0"/>
              <w:jc w:val="right"/>
              <w:rPr>
                <w:rFonts w:ascii="Aptos" w:hAnsi="Aptos"/>
                <w:noProof/>
                <w:color w:val="000000"/>
                <w:sz w:val="20"/>
                <w:szCs w:val="20"/>
                <w:lang w:eastAsia="en-CA"/>
              </w:rPr>
            </w:pPr>
            <w:r w:rsidRPr="21B922CA">
              <w:rPr>
                <w:rFonts w:ascii="Aptos" w:hAnsi="Aptos"/>
                <w:sz w:val="20"/>
                <w:szCs w:val="20"/>
                <w:lang w:eastAsia="en-CA"/>
              </w:rPr>
              <w:t>130,000</w:t>
            </w:r>
          </w:p>
        </w:tc>
      </w:tr>
      <w:tr w:rsidR="00F378AA" w:rsidRPr="004C3D90" w14:paraId="3E34D269" w14:textId="77777777" w:rsidTr="625649F6">
        <w:trPr>
          <w:trHeight w:val="288"/>
        </w:trPr>
        <w:tc>
          <w:tcPr>
            <w:tcW w:w="2610" w:type="dxa"/>
            <w:tcBorders>
              <w:top w:val="single" w:sz="4" w:space="0" w:color="auto"/>
              <w:left w:val="single" w:sz="4" w:space="0" w:color="auto"/>
              <w:bottom w:val="nil"/>
              <w:right w:val="nil"/>
            </w:tcBorders>
            <w:noWrap/>
            <w:vAlign w:val="bottom"/>
            <w:hideMark/>
          </w:tcPr>
          <w:p w14:paraId="79BD36D1"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Total</w:t>
            </w:r>
          </w:p>
        </w:tc>
        <w:tc>
          <w:tcPr>
            <w:tcW w:w="990" w:type="dxa"/>
            <w:tcBorders>
              <w:top w:val="single" w:sz="4" w:space="0" w:color="auto"/>
              <w:left w:val="nil"/>
              <w:bottom w:val="nil"/>
              <w:right w:val="nil"/>
            </w:tcBorders>
            <w:noWrap/>
            <w:vAlign w:val="bottom"/>
            <w:hideMark/>
          </w:tcPr>
          <w:p w14:paraId="6AECF033" w14:textId="77777777" w:rsidR="00F378AA" w:rsidRPr="00016A90" w:rsidRDefault="00F378AA">
            <w:pPr>
              <w:tabs>
                <w:tab w:val="clear" w:pos="0"/>
              </w:tabs>
              <w:spacing w:after="0"/>
              <w:rPr>
                <w:rFonts w:ascii="Calibri" w:hAnsi="Calibri" w:cs="Calibri"/>
                <w:noProof/>
                <w:color w:val="auto"/>
                <w:sz w:val="20"/>
                <w:szCs w:val="20"/>
                <w:lang w:eastAsia="en-CA"/>
              </w:rPr>
            </w:pPr>
          </w:p>
        </w:tc>
        <w:tc>
          <w:tcPr>
            <w:tcW w:w="927" w:type="dxa"/>
            <w:tcBorders>
              <w:top w:val="single" w:sz="4" w:space="0" w:color="auto"/>
              <w:left w:val="nil"/>
              <w:bottom w:val="nil"/>
              <w:right w:val="nil"/>
            </w:tcBorders>
            <w:noWrap/>
            <w:vAlign w:val="bottom"/>
            <w:hideMark/>
          </w:tcPr>
          <w:p w14:paraId="1EC7D388" w14:textId="77777777" w:rsidR="00F378AA" w:rsidRPr="004C3D90" w:rsidRDefault="00F378AA">
            <w:pPr>
              <w:tabs>
                <w:tab w:val="clear" w:pos="0"/>
              </w:tabs>
              <w:spacing w:after="0"/>
              <w:rPr>
                <w:color w:val="auto"/>
                <w:sz w:val="20"/>
                <w:szCs w:val="20"/>
                <w:lang w:eastAsia="en-CA"/>
              </w:rPr>
            </w:pPr>
          </w:p>
        </w:tc>
        <w:tc>
          <w:tcPr>
            <w:tcW w:w="2493" w:type="dxa"/>
            <w:tcBorders>
              <w:top w:val="single" w:sz="4" w:space="0" w:color="auto"/>
              <w:left w:val="nil"/>
              <w:bottom w:val="nil"/>
              <w:right w:val="nil"/>
            </w:tcBorders>
            <w:noWrap/>
            <w:vAlign w:val="bottom"/>
            <w:hideMark/>
          </w:tcPr>
          <w:p w14:paraId="730ADDBF" w14:textId="77777777" w:rsidR="00F378AA" w:rsidRPr="004C3D90" w:rsidRDefault="00F378AA">
            <w:pPr>
              <w:tabs>
                <w:tab w:val="clear" w:pos="0"/>
              </w:tabs>
              <w:spacing w:after="0"/>
              <w:rPr>
                <w:color w:val="auto"/>
                <w:sz w:val="20"/>
                <w:szCs w:val="20"/>
                <w:lang w:eastAsia="en-CA"/>
              </w:rPr>
            </w:pPr>
          </w:p>
        </w:tc>
        <w:tc>
          <w:tcPr>
            <w:tcW w:w="870" w:type="dxa"/>
            <w:tcBorders>
              <w:top w:val="single" w:sz="4" w:space="0" w:color="auto"/>
              <w:left w:val="nil"/>
              <w:bottom w:val="nil"/>
              <w:right w:val="nil"/>
            </w:tcBorders>
            <w:noWrap/>
            <w:vAlign w:val="bottom"/>
            <w:hideMark/>
          </w:tcPr>
          <w:p w14:paraId="02E9E452"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tcBorders>
              <w:top w:val="single" w:sz="4" w:space="0" w:color="auto"/>
              <w:left w:val="nil"/>
              <w:bottom w:val="nil"/>
              <w:right w:val="single" w:sz="4" w:space="0" w:color="auto"/>
            </w:tcBorders>
            <w:noWrap/>
            <w:vAlign w:val="bottom"/>
            <w:hideMark/>
          </w:tcPr>
          <w:p w14:paraId="61E8E20C" w14:textId="77777777" w:rsidR="00F378AA" w:rsidRPr="00016A90" w:rsidRDefault="00F378AA">
            <w:pPr>
              <w:tabs>
                <w:tab w:val="clear" w:pos="0"/>
              </w:tabs>
              <w:spacing w:after="0"/>
              <w:jc w:val="right"/>
              <w:rPr>
                <w:rFonts w:ascii="Aptos" w:hAnsi="Aptos"/>
                <w:b/>
                <w:noProof/>
                <w:color w:val="000000"/>
                <w:sz w:val="20"/>
                <w:szCs w:val="20"/>
                <w:lang w:eastAsia="en-CA"/>
              </w:rPr>
            </w:pPr>
            <w:r w:rsidRPr="21B922CA">
              <w:rPr>
                <w:rFonts w:ascii="Aptos" w:hAnsi="Aptos"/>
                <w:b/>
                <w:sz w:val="20"/>
                <w:szCs w:val="20"/>
                <w:lang w:eastAsia="en-CA"/>
              </w:rPr>
              <w:t>15,660,000</w:t>
            </w:r>
          </w:p>
        </w:tc>
      </w:tr>
      <w:tr w:rsidR="00F378AA" w:rsidRPr="004C3D90" w14:paraId="481DAC36" w14:textId="77777777" w:rsidTr="625649F6">
        <w:trPr>
          <w:trHeight w:val="288"/>
        </w:trPr>
        <w:tc>
          <w:tcPr>
            <w:tcW w:w="2610" w:type="dxa"/>
            <w:tcBorders>
              <w:top w:val="nil"/>
              <w:left w:val="single" w:sz="4" w:space="0" w:color="auto"/>
              <w:bottom w:val="single" w:sz="4" w:space="0" w:color="auto"/>
              <w:right w:val="nil"/>
            </w:tcBorders>
            <w:noWrap/>
            <w:vAlign w:val="bottom"/>
            <w:hideMark/>
          </w:tcPr>
          <w:p w14:paraId="0B78CDC8" w14:textId="77777777" w:rsidR="00F378AA" w:rsidRPr="00016A90" w:rsidRDefault="00F378AA">
            <w:pPr>
              <w:tabs>
                <w:tab w:val="clear" w:pos="0"/>
              </w:tabs>
              <w:spacing w:after="0"/>
              <w:rPr>
                <w:rFonts w:ascii="Calibri" w:hAnsi="Calibri" w:cs="Calibri"/>
                <w:noProof/>
                <w:color w:val="auto"/>
                <w:sz w:val="20"/>
                <w:szCs w:val="20"/>
                <w:lang w:eastAsia="en-CA"/>
              </w:rPr>
            </w:pPr>
            <w:r w:rsidRPr="00016A90">
              <w:rPr>
                <w:rFonts w:ascii="Calibri" w:hAnsi="Calibri" w:cs="Calibri"/>
                <w:noProof/>
                <w:color w:val="auto"/>
                <w:sz w:val="20"/>
                <w:szCs w:val="20"/>
                <w:lang w:eastAsia="en-CA"/>
              </w:rPr>
              <w:t>Total with ASC @ 9.6%</w:t>
            </w:r>
          </w:p>
        </w:tc>
        <w:tc>
          <w:tcPr>
            <w:tcW w:w="990" w:type="dxa"/>
            <w:tcBorders>
              <w:top w:val="nil"/>
              <w:left w:val="nil"/>
              <w:bottom w:val="single" w:sz="4" w:space="0" w:color="auto"/>
              <w:right w:val="nil"/>
            </w:tcBorders>
            <w:noWrap/>
            <w:vAlign w:val="bottom"/>
            <w:hideMark/>
          </w:tcPr>
          <w:p w14:paraId="347B17A5" w14:textId="77777777" w:rsidR="00F378AA" w:rsidRPr="00016A90" w:rsidRDefault="00F378AA">
            <w:pPr>
              <w:tabs>
                <w:tab w:val="clear" w:pos="0"/>
              </w:tabs>
              <w:spacing w:after="0"/>
              <w:rPr>
                <w:rFonts w:ascii="Calibri" w:hAnsi="Calibri" w:cs="Calibri"/>
                <w:noProof/>
                <w:color w:val="auto"/>
                <w:sz w:val="20"/>
                <w:szCs w:val="20"/>
                <w:lang w:eastAsia="en-CA"/>
              </w:rPr>
            </w:pPr>
          </w:p>
        </w:tc>
        <w:tc>
          <w:tcPr>
            <w:tcW w:w="927" w:type="dxa"/>
            <w:tcBorders>
              <w:top w:val="nil"/>
              <w:left w:val="nil"/>
              <w:bottom w:val="single" w:sz="4" w:space="0" w:color="auto"/>
              <w:right w:val="nil"/>
            </w:tcBorders>
            <w:noWrap/>
            <w:vAlign w:val="bottom"/>
            <w:hideMark/>
          </w:tcPr>
          <w:p w14:paraId="7146F24D" w14:textId="77777777" w:rsidR="00F378AA" w:rsidRPr="004C3D90" w:rsidRDefault="00F378AA">
            <w:pPr>
              <w:tabs>
                <w:tab w:val="clear" w:pos="0"/>
              </w:tabs>
              <w:spacing w:after="0"/>
              <w:rPr>
                <w:color w:val="auto"/>
                <w:sz w:val="20"/>
                <w:szCs w:val="20"/>
                <w:lang w:eastAsia="en-CA"/>
              </w:rPr>
            </w:pPr>
          </w:p>
        </w:tc>
        <w:tc>
          <w:tcPr>
            <w:tcW w:w="2493" w:type="dxa"/>
            <w:tcBorders>
              <w:top w:val="nil"/>
              <w:left w:val="nil"/>
              <w:bottom w:val="single" w:sz="4" w:space="0" w:color="auto"/>
              <w:right w:val="nil"/>
            </w:tcBorders>
            <w:noWrap/>
            <w:vAlign w:val="bottom"/>
            <w:hideMark/>
          </w:tcPr>
          <w:p w14:paraId="49CA5A40" w14:textId="77777777" w:rsidR="00F378AA" w:rsidRPr="004C3D90" w:rsidRDefault="00F378AA">
            <w:pPr>
              <w:tabs>
                <w:tab w:val="clear" w:pos="0"/>
              </w:tabs>
              <w:spacing w:after="0"/>
              <w:rPr>
                <w:color w:val="auto"/>
                <w:sz w:val="20"/>
                <w:szCs w:val="20"/>
                <w:lang w:eastAsia="en-CA"/>
              </w:rPr>
            </w:pPr>
          </w:p>
        </w:tc>
        <w:tc>
          <w:tcPr>
            <w:tcW w:w="870" w:type="dxa"/>
            <w:tcBorders>
              <w:top w:val="nil"/>
              <w:left w:val="nil"/>
              <w:bottom w:val="single" w:sz="4" w:space="0" w:color="auto"/>
              <w:right w:val="nil"/>
            </w:tcBorders>
            <w:noWrap/>
            <w:vAlign w:val="bottom"/>
            <w:hideMark/>
          </w:tcPr>
          <w:p w14:paraId="72F520D7" w14:textId="77777777" w:rsidR="00F378AA" w:rsidRPr="00016A90" w:rsidRDefault="00F378AA">
            <w:pPr>
              <w:tabs>
                <w:tab w:val="clear" w:pos="0"/>
              </w:tabs>
              <w:spacing w:after="0"/>
              <w:rPr>
                <w:rFonts w:ascii="Aptos" w:hAnsi="Aptos"/>
                <w:noProof/>
                <w:color w:val="000000"/>
                <w:sz w:val="20"/>
                <w:szCs w:val="20"/>
                <w:lang w:eastAsia="en-CA"/>
              </w:rPr>
            </w:pPr>
            <w:r w:rsidRPr="21B922CA">
              <w:rPr>
                <w:rFonts w:ascii="Aptos" w:hAnsi="Aptos"/>
                <w:sz w:val="20"/>
                <w:szCs w:val="20"/>
                <w:lang w:eastAsia="en-CA"/>
              </w:rPr>
              <w:t>Yes</w:t>
            </w:r>
          </w:p>
        </w:tc>
        <w:tc>
          <w:tcPr>
            <w:tcW w:w="1418" w:type="dxa"/>
            <w:tcBorders>
              <w:top w:val="nil"/>
              <w:left w:val="nil"/>
              <w:bottom w:val="single" w:sz="4" w:space="0" w:color="auto"/>
              <w:right w:val="single" w:sz="4" w:space="0" w:color="auto"/>
            </w:tcBorders>
            <w:noWrap/>
            <w:vAlign w:val="bottom"/>
            <w:hideMark/>
          </w:tcPr>
          <w:p w14:paraId="40F9BEE8" w14:textId="77777777" w:rsidR="00F378AA" w:rsidRPr="00016A90" w:rsidRDefault="00F378AA">
            <w:pPr>
              <w:tabs>
                <w:tab w:val="clear" w:pos="0"/>
              </w:tabs>
              <w:spacing w:after="0"/>
              <w:jc w:val="right"/>
              <w:rPr>
                <w:rFonts w:ascii="Aptos" w:hAnsi="Aptos"/>
                <w:b/>
                <w:noProof/>
                <w:color w:val="000000"/>
                <w:sz w:val="20"/>
                <w:szCs w:val="20"/>
                <w:lang w:eastAsia="en-CA"/>
              </w:rPr>
            </w:pPr>
            <w:r w:rsidRPr="21B922CA">
              <w:rPr>
                <w:rFonts w:ascii="Aptos" w:hAnsi="Aptos"/>
                <w:b/>
                <w:sz w:val="20"/>
                <w:szCs w:val="20"/>
                <w:lang w:eastAsia="en-CA"/>
              </w:rPr>
              <w:t xml:space="preserve">17,163,360 </w:t>
            </w:r>
          </w:p>
        </w:tc>
      </w:tr>
    </w:tbl>
    <w:p w14:paraId="35647CF8" w14:textId="77777777" w:rsidR="00F378AA" w:rsidRPr="00023B49" w:rsidRDefault="00F378AA" w:rsidP="00F378AA"/>
    <w:p w14:paraId="0D7EB19B" w14:textId="334A8432" w:rsidR="00F378AA" w:rsidRDefault="00F378AA" w:rsidP="00A82057">
      <w:pPr>
        <w:tabs>
          <w:tab w:val="clear" w:pos="0"/>
        </w:tabs>
        <w:spacing w:after="0"/>
        <w:sectPr w:rsidR="00F378AA" w:rsidSect="00A80F64">
          <w:type w:val="oddPage"/>
          <w:pgSz w:w="11906" w:h="16838"/>
          <w:pgMar w:top="1411" w:right="1411" w:bottom="1411" w:left="1411" w:header="708" w:footer="708" w:gutter="0"/>
          <w:cols w:space="708"/>
          <w:docGrid w:linePitch="360"/>
        </w:sectPr>
      </w:pPr>
    </w:p>
    <w:p w14:paraId="571CC0D7" w14:textId="4A71930E" w:rsidR="004F39F1" w:rsidRPr="00C3634A" w:rsidRDefault="004F39F1" w:rsidP="005D31A7">
      <w:pPr>
        <w:pStyle w:val="Heading1"/>
      </w:pPr>
      <w:bookmarkStart w:id="394" w:name="_Toc230099176"/>
      <w:r w:rsidRPr="00C3634A">
        <w:rPr>
          <w:rFonts w:eastAsia="SimSun"/>
        </w:rPr>
        <w:lastRenderedPageBreak/>
        <w:t>A</w:t>
      </w:r>
      <w:r>
        <w:rPr>
          <w:rFonts w:eastAsia="SimSun"/>
        </w:rPr>
        <w:t xml:space="preserve">nnex </w:t>
      </w:r>
      <w:r w:rsidR="0813534D">
        <w:rPr>
          <w:rFonts w:eastAsia="SimSun"/>
        </w:rPr>
        <w:t>10</w:t>
      </w:r>
      <w:r>
        <w:rPr>
          <w:rFonts w:eastAsia="SimSun"/>
        </w:rPr>
        <w:t>:</w:t>
      </w:r>
      <w:r w:rsidR="00F6417D">
        <w:rPr>
          <w:rFonts w:eastAsia="SimSun"/>
        </w:rPr>
        <w:t xml:space="preserve"> </w:t>
      </w:r>
      <w:r w:rsidR="37834725" w:rsidRPr="37834725">
        <w:rPr>
          <w:rFonts w:eastAsia="SimSun"/>
        </w:rPr>
        <w:t>INDICATIVE COSTS FOR</w:t>
      </w:r>
      <w:r w:rsidR="00F76F7A" w:rsidRPr="37834725">
        <w:rPr>
          <w:rFonts w:eastAsia="SimSun"/>
        </w:rPr>
        <w:t xml:space="preserve"> E</w:t>
      </w:r>
      <w:r w:rsidR="00F76F7A">
        <w:t xml:space="preserve">OL ODS/HFC </w:t>
      </w:r>
      <w:r w:rsidR="56FAA24C">
        <w:t>MANAGEMENT</w:t>
      </w:r>
      <w:r w:rsidR="1C0C2F7C" w:rsidRPr="3A7AD55E">
        <w:rPr>
          <w:rFonts w:eastAsia="SimSun"/>
          <w:vertAlign w:val="superscript"/>
        </w:rPr>
        <w:footnoteReference w:id="123"/>
      </w:r>
      <w:r w:rsidR="2523C800">
        <w:t xml:space="preserve"> </w:t>
      </w:r>
      <w:r w:rsidR="1C0C2F7C" w:rsidRPr="19D93D57">
        <w:rPr>
          <w:vertAlign w:val="superscript"/>
        </w:rPr>
        <w:footnoteReference w:id="124"/>
      </w:r>
      <w:bookmarkEnd w:id="394"/>
    </w:p>
    <w:tbl>
      <w:tblPr>
        <w:tblW w:w="14578" w:type="dxa"/>
        <w:tblInd w:w="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665"/>
        <w:gridCol w:w="2921"/>
        <w:gridCol w:w="2613"/>
        <w:gridCol w:w="2790"/>
        <w:gridCol w:w="2133"/>
        <w:gridCol w:w="2456"/>
      </w:tblGrid>
      <w:tr w:rsidR="00E8325E" w14:paraId="766A9C33" w14:textId="77777777" w:rsidTr="00284859">
        <w:trPr>
          <w:trHeight w:val="345"/>
        </w:trPr>
        <w:tc>
          <w:tcPr>
            <w:tcW w:w="1665" w:type="dxa"/>
            <w:vMerge w:val="restart"/>
            <w:tcBorders>
              <w:bottom w:val="single" w:sz="8" w:space="0" w:color="000000" w:themeColor="text1"/>
            </w:tcBorders>
            <w:shd w:val="clear" w:color="auto" w:fill="D9E2F3" w:themeFill="accent1" w:themeFillTint="33"/>
            <w:vAlign w:val="center"/>
          </w:tcPr>
          <w:p w14:paraId="7B6A72BD" w14:textId="77777777" w:rsidR="00E8325E" w:rsidRDefault="00E8325E" w:rsidP="00284859">
            <w:pPr>
              <w:pStyle w:val="TableParagraph"/>
              <w:spacing w:beforeLines="0" w:before="60" w:after="60"/>
              <w:ind w:left="103"/>
              <w:rPr>
                <w:b w:val="0"/>
                <w:sz w:val="20"/>
              </w:rPr>
            </w:pPr>
            <w:r w:rsidRPr="2A827AF8">
              <w:rPr>
                <w:sz w:val="20"/>
                <w:szCs w:val="20"/>
              </w:rPr>
              <w:t>Process</w:t>
            </w:r>
          </w:p>
        </w:tc>
        <w:tc>
          <w:tcPr>
            <w:tcW w:w="2921" w:type="dxa"/>
            <w:shd w:val="clear" w:color="auto" w:fill="D9E2F3" w:themeFill="accent1" w:themeFillTint="33"/>
            <w:vAlign w:val="center"/>
          </w:tcPr>
          <w:p w14:paraId="3DC0C089" w14:textId="77777777" w:rsidR="00E8325E" w:rsidRDefault="00E8325E" w:rsidP="00284859">
            <w:pPr>
              <w:pStyle w:val="TableParagraph"/>
              <w:spacing w:beforeLines="0" w:before="60" w:after="60"/>
              <w:ind w:left="172"/>
              <w:rPr>
                <w:b w:val="0"/>
                <w:sz w:val="20"/>
              </w:rPr>
            </w:pPr>
            <w:r>
              <w:rPr>
                <w:sz w:val="20"/>
              </w:rPr>
              <w:t>Capital</w:t>
            </w:r>
            <w:r>
              <w:rPr>
                <w:spacing w:val="-13"/>
                <w:sz w:val="20"/>
              </w:rPr>
              <w:t xml:space="preserve"> </w:t>
            </w:r>
            <w:r>
              <w:rPr>
                <w:sz w:val="20"/>
              </w:rPr>
              <w:t>Expenditure</w:t>
            </w:r>
            <w:r>
              <w:rPr>
                <w:spacing w:val="-11"/>
                <w:sz w:val="20"/>
              </w:rPr>
              <w:t xml:space="preserve"> </w:t>
            </w:r>
            <w:r>
              <w:rPr>
                <w:spacing w:val="-2"/>
                <w:sz w:val="20"/>
              </w:rPr>
              <w:t>(CAPEX)</w:t>
            </w:r>
          </w:p>
        </w:tc>
        <w:tc>
          <w:tcPr>
            <w:tcW w:w="9992" w:type="dxa"/>
            <w:gridSpan w:val="4"/>
            <w:shd w:val="clear" w:color="auto" w:fill="D9E2F3" w:themeFill="accent1" w:themeFillTint="33"/>
            <w:vAlign w:val="center"/>
          </w:tcPr>
          <w:p w14:paraId="26A72CB3" w14:textId="77777777" w:rsidR="00E8325E" w:rsidRDefault="00E8325E" w:rsidP="00284859">
            <w:pPr>
              <w:pStyle w:val="TableParagraph"/>
              <w:spacing w:beforeLines="0" w:before="60" w:after="60"/>
              <w:rPr>
                <w:b w:val="0"/>
                <w:sz w:val="20"/>
              </w:rPr>
            </w:pPr>
            <w:r>
              <w:rPr>
                <w:spacing w:val="-2"/>
                <w:sz w:val="20"/>
              </w:rPr>
              <w:t>Operational</w:t>
            </w:r>
            <w:r>
              <w:rPr>
                <w:spacing w:val="7"/>
                <w:sz w:val="20"/>
              </w:rPr>
              <w:t xml:space="preserve"> </w:t>
            </w:r>
            <w:r>
              <w:rPr>
                <w:spacing w:val="-2"/>
                <w:sz w:val="20"/>
              </w:rPr>
              <w:t>Expenditure</w:t>
            </w:r>
            <w:r>
              <w:rPr>
                <w:spacing w:val="10"/>
                <w:sz w:val="20"/>
              </w:rPr>
              <w:t xml:space="preserve"> </w:t>
            </w:r>
            <w:r>
              <w:rPr>
                <w:spacing w:val="-2"/>
                <w:sz w:val="20"/>
              </w:rPr>
              <w:t>(OPEX)</w:t>
            </w:r>
          </w:p>
        </w:tc>
      </w:tr>
      <w:tr w:rsidR="00E8325E" w14:paraId="397A7BE3" w14:textId="77777777" w:rsidTr="00284859">
        <w:trPr>
          <w:trHeight w:val="575"/>
        </w:trPr>
        <w:tc>
          <w:tcPr>
            <w:tcW w:w="1665" w:type="dxa"/>
            <w:vMerge/>
            <w:vAlign w:val="center"/>
          </w:tcPr>
          <w:p w14:paraId="72F7542C" w14:textId="77777777" w:rsidR="00E8325E" w:rsidRDefault="00E8325E" w:rsidP="00284859">
            <w:pPr>
              <w:spacing w:before="60" w:after="60"/>
              <w:jc w:val="center"/>
              <w:rPr>
                <w:sz w:val="2"/>
                <w:szCs w:val="2"/>
              </w:rPr>
            </w:pPr>
          </w:p>
        </w:tc>
        <w:tc>
          <w:tcPr>
            <w:tcW w:w="2921" w:type="dxa"/>
            <w:tcBorders>
              <w:bottom w:val="single" w:sz="8" w:space="0" w:color="000000" w:themeColor="text1"/>
            </w:tcBorders>
            <w:shd w:val="clear" w:color="auto" w:fill="D9E2F3" w:themeFill="accent1" w:themeFillTint="33"/>
            <w:vAlign w:val="center"/>
          </w:tcPr>
          <w:p w14:paraId="156521BC" w14:textId="77777777" w:rsidR="00E8325E" w:rsidRDefault="00E8325E" w:rsidP="00284859">
            <w:pPr>
              <w:pStyle w:val="TableParagraph"/>
              <w:spacing w:beforeLines="0" w:before="60" w:after="60"/>
              <w:ind w:left="763" w:hanging="634"/>
              <w:rPr>
                <w:b w:val="0"/>
                <w:sz w:val="20"/>
              </w:rPr>
            </w:pPr>
            <w:r>
              <w:rPr>
                <w:sz w:val="20"/>
              </w:rPr>
              <w:t>Equipment,</w:t>
            </w:r>
            <w:r>
              <w:rPr>
                <w:spacing w:val="-13"/>
                <w:sz w:val="20"/>
              </w:rPr>
              <w:t xml:space="preserve"> </w:t>
            </w:r>
            <w:r>
              <w:rPr>
                <w:sz w:val="20"/>
              </w:rPr>
              <w:t>Infrastructure,</w:t>
            </w:r>
            <w:r>
              <w:rPr>
                <w:spacing w:val="-12"/>
                <w:sz w:val="20"/>
              </w:rPr>
              <w:t xml:space="preserve"> </w:t>
            </w:r>
            <w:r>
              <w:rPr>
                <w:sz w:val="20"/>
              </w:rPr>
              <w:t>and Installation costs</w:t>
            </w:r>
          </w:p>
        </w:tc>
        <w:tc>
          <w:tcPr>
            <w:tcW w:w="2613" w:type="dxa"/>
            <w:tcBorders>
              <w:bottom w:val="single" w:sz="8" w:space="0" w:color="000000" w:themeColor="text1"/>
            </w:tcBorders>
            <w:shd w:val="clear" w:color="auto" w:fill="D9E2F3" w:themeFill="accent1" w:themeFillTint="33"/>
            <w:vAlign w:val="center"/>
          </w:tcPr>
          <w:p w14:paraId="63CBE59D" w14:textId="77777777" w:rsidR="00E8325E" w:rsidRDefault="00E8325E" w:rsidP="00284859">
            <w:pPr>
              <w:pStyle w:val="TableParagraph"/>
              <w:spacing w:beforeLines="0" w:before="60" w:after="60"/>
              <w:ind w:left="554" w:right="277" w:hanging="276"/>
              <w:rPr>
                <w:b w:val="0"/>
                <w:sz w:val="20"/>
              </w:rPr>
            </w:pPr>
            <w:r>
              <w:rPr>
                <w:sz w:val="20"/>
              </w:rPr>
              <w:t>Laboratory</w:t>
            </w:r>
            <w:r>
              <w:rPr>
                <w:spacing w:val="-13"/>
                <w:sz w:val="20"/>
              </w:rPr>
              <w:t xml:space="preserve"> </w:t>
            </w:r>
            <w:r>
              <w:rPr>
                <w:sz w:val="20"/>
              </w:rPr>
              <w:t>Testing</w:t>
            </w:r>
            <w:r>
              <w:rPr>
                <w:spacing w:val="-12"/>
                <w:sz w:val="20"/>
              </w:rPr>
              <w:t xml:space="preserve"> </w:t>
            </w:r>
            <w:r>
              <w:rPr>
                <w:sz w:val="20"/>
              </w:rPr>
              <w:t>and Operational costs</w:t>
            </w:r>
          </w:p>
        </w:tc>
        <w:tc>
          <w:tcPr>
            <w:tcW w:w="2790" w:type="dxa"/>
            <w:tcBorders>
              <w:bottom w:val="single" w:sz="8" w:space="0" w:color="000000" w:themeColor="text1"/>
            </w:tcBorders>
            <w:shd w:val="clear" w:color="auto" w:fill="D9E2F3" w:themeFill="accent1" w:themeFillTint="33"/>
            <w:vAlign w:val="center"/>
          </w:tcPr>
          <w:p w14:paraId="20349A58" w14:textId="77777777" w:rsidR="00E8325E" w:rsidRDefault="00E8325E" w:rsidP="00284859">
            <w:pPr>
              <w:pStyle w:val="TableParagraph"/>
              <w:spacing w:beforeLines="0" w:before="60" w:after="60"/>
              <w:ind w:left="387" w:hanging="255"/>
              <w:rPr>
                <w:b w:val="0"/>
                <w:sz w:val="20"/>
              </w:rPr>
            </w:pPr>
            <w:r>
              <w:rPr>
                <w:sz w:val="20"/>
              </w:rPr>
              <w:t>Centralized</w:t>
            </w:r>
            <w:r>
              <w:rPr>
                <w:spacing w:val="-13"/>
                <w:sz w:val="20"/>
              </w:rPr>
              <w:t xml:space="preserve"> </w:t>
            </w:r>
            <w:r>
              <w:rPr>
                <w:sz w:val="20"/>
              </w:rPr>
              <w:t>Handling,</w:t>
            </w:r>
            <w:r>
              <w:rPr>
                <w:spacing w:val="-12"/>
                <w:sz w:val="20"/>
              </w:rPr>
              <w:t xml:space="preserve"> </w:t>
            </w:r>
            <w:r>
              <w:rPr>
                <w:sz w:val="20"/>
              </w:rPr>
              <w:t>Storage and other Logistics costs</w:t>
            </w:r>
          </w:p>
        </w:tc>
        <w:tc>
          <w:tcPr>
            <w:tcW w:w="2133" w:type="dxa"/>
            <w:tcBorders>
              <w:bottom w:val="single" w:sz="8" w:space="0" w:color="000000" w:themeColor="text1"/>
            </w:tcBorders>
            <w:shd w:val="clear" w:color="auto" w:fill="D9E2F3" w:themeFill="accent1" w:themeFillTint="33"/>
            <w:vAlign w:val="center"/>
          </w:tcPr>
          <w:p w14:paraId="1D11E16F" w14:textId="77777777" w:rsidR="00E8325E" w:rsidRDefault="00E8325E" w:rsidP="00284859">
            <w:pPr>
              <w:pStyle w:val="TableParagraph"/>
              <w:spacing w:beforeLines="0" w:before="60" w:after="60" w:line="225" w:lineRule="exact"/>
              <w:ind w:left="493"/>
              <w:rPr>
                <w:b w:val="0"/>
                <w:sz w:val="20"/>
              </w:rPr>
            </w:pPr>
            <w:r>
              <w:rPr>
                <w:sz w:val="20"/>
              </w:rPr>
              <w:t>Training</w:t>
            </w:r>
            <w:r>
              <w:rPr>
                <w:spacing w:val="-11"/>
                <w:sz w:val="20"/>
              </w:rPr>
              <w:t xml:space="preserve"> </w:t>
            </w:r>
            <w:r>
              <w:rPr>
                <w:spacing w:val="-2"/>
                <w:sz w:val="20"/>
              </w:rPr>
              <w:t>costs</w:t>
            </w:r>
          </w:p>
        </w:tc>
        <w:tc>
          <w:tcPr>
            <w:tcW w:w="2456" w:type="dxa"/>
            <w:tcBorders>
              <w:bottom w:val="single" w:sz="8" w:space="0" w:color="000000" w:themeColor="text1"/>
            </w:tcBorders>
            <w:shd w:val="clear" w:color="auto" w:fill="D9E2F3" w:themeFill="accent1" w:themeFillTint="33"/>
            <w:vAlign w:val="center"/>
          </w:tcPr>
          <w:p w14:paraId="52023365" w14:textId="77777777" w:rsidR="00E8325E" w:rsidRDefault="00E8325E" w:rsidP="00284859">
            <w:pPr>
              <w:pStyle w:val="TableParagraph"/>
              <w:spacing w:beforeLines="0" w:before="60" w:after="60" w:line="225" w:lineRule="exact"/>
              <w:ind w:left="105"/>
              <w:rPr>
                <w:b w:val="0"/>
                <w:sz w:val="20"/>
              </w:rPr>
            </w:pPr>
            <w:r>
              <w:rPr>
                <w:sz w:val="20"/>
              </w:rPr>
              <w:t>Compliance</w:t>
            </w:r>
            <w:r>
              <w:rPr>
                <w:spacing w:val="-11"/>
                <w:sz w:val="20"/>
              </w:rPr>
              <w:t xml:space="preserve"> </w:t>
            </w:r>
            <w:r>
              <w:rPr>
                <w:spacing w:val="-2"/>
                <w:sz w:val="20"/>
              </w:rPr>
              <w:t>costs</w:t>
            </w:r>
          </w:p>
        </w:tc>
      </w:tr>
      <w:tr w:rsidR="00E8325E" w14:paraId="28F6D399" w14:textId="77777777" w:rsidTr="077E58F6">
        <w:trPr>
          <w:trHeight w:val="3460"/>
        </w:trPr>
        <w:tc>
          <w:tcPr>
            <w:tcW w:w="1665" w:type="dxa"/>
            <w:tcBorders>
              <w:top w:val="single" w:sz="8" w:space="0" w:color="000000" w:themeColor="text1"/>
            </w:tcBorders>
            <w:shd w:val="clear" w:color="auto" w:fill="D9E2F3" w:themeFill="accent1" w:themeFillTint="33"/>
          </w:tcPr>
          <w:p w14:paraId="2AEF9745" w14:textId="77777777" w:rsidR="00E8325E" w:rsidRDefault="00E8325E">
            <w:pPr>
              <w:pStyle w:val="TableParagraph"/>
              <w:spacing w:before="120"/>
              <w:ind w:left="107" w:right="198"/>
              <w:rPr>
                <w:b w:val="0"/>
                <w:sz w:val="20"/>
              </w:rPr>
            </w:pPr>
            <w:r>
              <w:rPr>
                <w:spacing w:val="-4"/>
                <w:sz w:val="20"/>
              </w:rPr>
              <w:t xml:space="preserve">Leak </w:t>
            </w:r>
            <w:r>
              <w:rPr>
                <w:spacing w:val="-2"/>
                <w:sz w:val="20"/>
              </w:rPr>
              <w:t>prevention</w:t>
            </w:r>
          </w:p>
        </w:tc>
        <w:tc>
          <w:tcPr>
            <w:tcW w:w="2921" w:type="dxa"/>
            <w:tcBorders>
              <w:top w:val="single" w:sz="8" w:space="0" w:color="000000" w:themeColor="text1"/>
            </w:tcBorders>
          </w:tcPr>
          <w:p w14:paraId="5A3998F2" w14:textId="77777777" w:rsidR="00AA3288" w:rsidRDefault="00E8325E" w:rsidP="00AA3288">
            <w:pPr>
              <w:pStyle w:val="TableParagraph"/>
              <w:spacing w:before="120" w:line="230" w:lineRule="auto"/>
              <w:ind w:left="242" w:hanging="142"/>
              <w:jc w:val="left"/>
              <w:rPr>
                <w:b w:val="0"/>
                <w:sz w:val="20"/>
                <w:szCs w:val="20"/>
              </w:rPr>
            </w:pPr>
            <w:r w:rsidRPr="0D296D7E">
              <w:rPr>
                <w:rFonts w:ascii="Calibri"/>
                <w:b w:val="0"/>
                <w:sz w:val="20"/>
                <w:szCs w:val="20"/>
              </w:rPr>
              <w:t>-</w:t>
            </w:r>
            <w:r w:rsidRPr="0D296D7E">
              <w:rPr>
                <w:rFonts w:ascii="Calibri"/>
                <w:b w:val="0"/>
                <w:spacing w:val="21"/>
                <w:sz w:val="20"/>
                <w:szCs w:val="20"/>
              </w:rPr>
              <w:t xml:space="preserve"> </w:t>
            </w:r>
            <w:r w:rsidRPr="0D296D7E">
              <w:rPr>
                <w:b w:val="0"/>
                <w:sz w:val="20"/>
                <w:szCs w:val="20"/>
              </w:rPr>
              <w:t>Hand-held</w:t>
            </w:r>
            <w:r w:rsidRPr="0D296D7E">
              <w:rPr>
                <w:b w:val="0"/>
                <w:spacing w:val="-8"/>
                <w:sz w:val="20"/>
                <w:szCs w:val="20"/>
              </w:rPr>
              <w:t xml:space="preserve"> </w:t>
            </w:r>
            <w:r w:rsidRPr="0D296D7E">
              <w:rPr>
                <w:b w:val="0"/>
                <w:sz w:val="20"/>
                <w:szCs w:val="20"/>
              </w:rPr>
              <w:t>leak</w:t>
            </w:r>
            <w:r w:rsidRPr="0D296D7E">
              <w:rPr>
                <w:b w:val="0"/>
                <w:spacing w:val="-8"/>
                <w:sz w:val="20"/>
                <w:szCs w:val="20"/>
              </w:rPr>
              <w:t xml:space="preserve"> </w:t>
            </w:r>
            <w:r w:rsidRPr="0D296D7E">
              <w:rPr>
                <w:b w:val="0"/>
                <w:sz w:val="20"/>
                <w:szCs w:val="20"/>
              </w:rPr>
              <w:t>detectors</w:t>
            </w:r>
            <w:r w:rsidRPr="0D296D7E">
              <w:rPr>
                <w:b w:val="0"/>
                <w:spacing w:val="-10"/>
                <w:sz w:val="20"/>
                <w:szCs w:val="20"/>
              </w:rPr>
              <w:t xml:space="preserve"> </w:t>
            </w:r>
            <w:r w:rsidRPr="0D296D7E">
              <w:rPr>
                <w:b w:val="0"/>
                <w:sz w:val="20"/>
                <w:szCs w:val="20"/>
              </w:rPr>
              <w:t xml:space="preserve">(US$ </w:t>
            </w:r>
            <w:r w:rsidRPr="0D296D7E">
              <w:rPr>
                <w:b w:val="0"/>
                <w:spacing w:val="-2"/>
                <w:sz w:val="20"/>
                <w:szCs w:val="20"/>
              </w:rPr>
              <w:t>400/unit)</w:t>
            </w:r>
          </w:p>
          <w:p w14:paraId="25041894" w14:textId="0AD2F625" w:rsidR="00E8325E" w:rsidRDefault="00E8325E" w:rsidP="00AA3288">
            <w:pPr>
              <w:pStyle w:val="TableParagraph"/>
              <w:spacing w:before="120" w:line="230" w:lineRule="auto"/>
              <w:ind w:left="242" w:hanging="142"/>
              <w:jc w:val="left"/>
              <w:rPr>
                <w:b w:val="0"/>
                <w:sz w:val="20"/>
                <w:szCs w:val="20"/>
              </w:rPr>
            </w:pPr>
            <w:r w:rsidRPr="0D296D7E">
              <w:rPr>
                <w:b w:val="0"/>
                <w:sz w:val="20"/>
                <w:szCs w:val="20"/>
              </w:rPr>
              <w:t>Automatic leak detectors (not hand-held) (depends on size of coverage</w:t>
            </w:r>
            <w:r w:rsidRPr="0D296D7E">
              <w:rPr>
                <w:b w:val="0"/>
                <w:spacing w:val="-12"/>
                <w:sz w:val="20"/>
                <w:szCs w:val="20"/>
              </w:rPr>
              <w:t xml:space="preserve"> </w:t>
            </w:r>
            <w:r w:rsidRPr="0D296D7E">
              <w:rPr>
                <w:b w:val="0"/>
                <w:sz w:val="20"/>
                <w:szCs w:val="20"/>
              </w:rPr>
              <w:t>required,</w:t>
            </w:r>
            <w:r w:rsidRPr="0D296D7E">
              <w:rPr>
                <w:b w:val="0"/>
                <w:spacing w:val="-9"/>
                <w:sz w:val="20"/>
                <w:szCs w:val="20"/>
              </w:rPr>
              <w:t xml:space="preserve"> </w:t>
            </w:r>
            <w:r w:rsidRPr="0D296D7E">
              <w:rPr>
                <w:b w:val="0"/>
                <w:sz w:val="20"/>
                <w:szCs w:val="20"/>
              </w:rPr>
              <w:t>not</w:t>
            </w:r>
            <w:r w:rsidRPr="0D296D7E">
              <w:rPr>
                <w:b w:val="0"/>
                <w:spacing w:val="-10"/>
                <w:sz w:val="20"/>
                <w:szCs w:val="20"/>
              </w:rPr>
              <w:t xml:space="preserve"> </w:t>
            </w:r>
            <w:r w:rsidRPr="0D296D7E">
              <w:rPr>
                <w:b w:val="0"/>
                <w:sz w:val="20"/>
                <w:szCs w:val="20"/>
              </w:rPr>
              <w:t>possible</w:t>
            </w:r>
            <w:r w:rsidRPr="0D296D7E">
              <w:rPr>
                <w:b w:val="0"/>
                <w:spacing w:val="-10"/>
                <w:sz w:val="20"/>
                <w:szCs w:val="20"/>
              </w:rPr>
              <w:t xml:space="preserve"> </w:t>
            </w:r>
            <w:r w:rsidRPr="0D296D7E">
              <w:rPr>
                <w:b w:val="0"/>
                <w:sz w:val="20"/>
                <w:szCs w:val="20"/>
              </w:rPr>
              <w:t>to provide indicative price)</w:t>
            </w:r>
          </w:p>
        </w:tc>
        <w:tc>
          <w:tcPr>
            <w:tcW w:w="2613" w:type="dxa"/>
            <w:tcBorders>
              <w:top w:val="single" w:sz="8" w:space="0" w:color="000000" w:themeColor="text1"/>
            </w:tcBorders>
          </w:tcPr>
          <w:p w14:paraId="292F9918" w14:textId="77777777" w:rsidR="00E8325E" w:rsidRDefault="00E8325E" w:rsidP="22AF2754">
            <w:pPr>
              <w:pStyle w:val="TableParagraph"/>
              <w:spacing w:before="120" w:line="243" w:lineRule="exact"/>
              <w:ind w:left="98"/>
              <w:jc w:val="left"/>
              <w:rPr>
                <w:b w:val="0"/>
                <w:sz w:val="20"/>
                <w:szCs w:val="20"/>
              </w:rPr>
            </w:pPr>
            <w:r w:rsidRPr="0D296D7E">
              <w:rPr>
                <w:rFonts w:ascii="Calibri"/>
                <w:b w:val="0"/>
                <w:sz w:val="20"/>
                <w:szCs w:val="20"/>
              </w:rPr>
              <w:t>-</w:t>
            </w:r>
            <w:r w:rsidRPr="0D296D7E">
              <w:rPr>
                <w:rFonts w:ascii="Calibri"/>
                <w:b w:val="0"/>
                <w:spacing w:val="34"/>
                <w:sz w:val="20"/>
                <w:szCs w:val="20"/>
              </w:rPr>
              <w:t xml:space="preserve"> </w:t>
            </w:r>
          </w:p>
        </w:tc>
        <w:tc>
          <w:tcPr>
            <w:tcW w:w="2790" w:type="dxa"/>
            <w:tcBorders>
              <w:top w:val="single" w:sz="8" w:space="0" w:color="000000" w:themeColor="text1"/>
            </w:tcBorders>
          </w:tcPr>
          <w:p w14:paraId="2210F175" w14:textId="1F209677" w:rsidR="00E8325E" w:rsidRDefault="482DD753" w:rsidP="22AF2754">
            <w:pPr>
              <w:pStyle w:val="TableParagraph"/>
              <w:spacing w:before="120"/>
              <w:jc w:val="left"/>
              <w:rPr>
                <w:b w:val="0"/>
                <w:sz w:val="20"/>
                <w:szCs w:val="20"/>
              </w:rPr>
            </w:pPr>
            <w:r w:rsidRPr="482DD753">
              <w:rPr>
                <w:b w:val="0"/>
                <w:sz w:val="20"/>
                <w:szCs w:val="20"/>
              </w:rPr>
              <w:t xml:space="preserve"> </w:t>
            </w:r>
            <w:r w:rsidR="0A694E0A" w:rsidRPr="0A694E0A">
              <w:rPr>
                <w:b w:val="0"/>
                <w:sz w:val="20"/>
                <w:szCs w:val="20"/>
              </w:rPr>
              <w:t>-</w:t>
            </w:r>
          </w:p>
        </w:tc>
        <w:tc>
          <w:tcPr>
            <w:tcW w:w="2133" w:type="dxa"/>
            <w:tcBorders>
              <w:top w:val="single" w:sz="8" w:space="0" w:color="000000" w:themeColor="text1"/>
            </w:tcBorders>
          </w:tcPr>
          <w:p w14:paraId="7F0BD0C5" w14:textId="77777777" w:rsidR="00E8325E" w:rsidRDefault="00E8325E" w:rsidP="0D296D7E">
            <w:pPr>
              <w:pStyle w:val="TableParagraph"/>
              <w:widowControl w:val="0"/>
              <w:numPr>
                <w:ilvl w:val="0"/>
                <w:numId w:val="69"/>
              </w:numPr>
              <w:tabs>
                <w:tab w:val="left" w:pos="226"/>
              </w:tabs>
              <w:adjustRightInd/>
              <w:spacing w:beforeLines="0" w:before="0"/>
              <w:ind w:right="128" w:firstLine="0"/>
              <w:jc w:val="left"/>
              <w:rPr>
                <w:b w:val="0"/>
                <w:sz w:val="20"/>
                <w:szCs w:val="20"/>
              </w:rPr>
            </w:pPr>
            <w:r w:rsidRPr="0D296D7E">
              <w:rPr>
                <w:b w:val="0"/>
                <w:sz w:val="20"/>
                <w:szCs w:val="20"/>
              </w:rPr>
              <w:t>Continuous</w:t>
            </w:r>
            <w:r w:rsidRPr="0D296D7E">
              <w:rPr>
                <w:b w:val="0"/>
                <w:spacing w:val="-13"/>
                <w:sz w:val="20"/>
                <w:szCs w:val="20"/>
              </w:rPr>
              <w:t xml:space="preserve"> </w:t>
            </w:r>
            <w:r w:rsidRPr="0D296D7E">
              <w:rPr>
                <w:b w:val="0"/>
                <w:sz w:val="20"/>
                <w:szCs w:val="20"/>
              </w:rPr>
              <w:t>technician training on leak prevention and detection,</w:t>
            </w:r>
            <w:r w:rsidRPr="0D296D7E">
              <w:rPr>
                <w:b w:val="0"/>
                <w:spacing w:val="-12"/>
                <w:sz w:val="20"/>
                <w:szCs w:val="20"/>
              </w:rPr>
              <w:t xml:space="preserve"> </w:t>
            </w:r>
            <w:r w:rsidRPr="0D296D7E">
              <w:rPr>
                <w:b w:val="0"/>
                <w:sz w:val="20"/>
                <w:szCs w:val="20"/>
              </w:rPr>
              <w:t>recovery,</w:t>
            </w:r>
            <w:r w:rsidRPr="0D296D7E">
              <w:rPr>
                <w:b w:val="0"/>
                <w:spacing w:val="-12"/>
                <w:sz w:val="20"/>
                <w:szCs w:val="20"/>
              </w:rPr>
              <w:t xml:space="preserve"> </w:t>
            </w:r>
            <w:r w:rsidRPr="0D296D7E">
              <w:rPr>
                <w:b w:val="0"/>
                <w:sz w:val="20"/>
                <w:szCs w:val="20"/>
              </w:rPr>
              <w:t>and recycling can be combined. Indicative cost,</w:t>
            </w:r>
            <w:r w:rsidRPr="0D296D7E">
              <w:rPr>
                <w:b w:val="0"/>
                <w:spacing w:val="-7"/>
                <w:sz w:val="20"/>
                <w:szCs w:val="20"/>
              </w:rPr>
              <w:t xml:space="preserve"> </w:t>
            </w:r>
            <w:r w:rsidRPr="0D296D7E">
              <w:rPr>
                <w:b w:val="0"/>
                <w:sz w:val="20"/>
                <w:szCs w:val="20"/>
              </w:rPr>
              <w:t>US</w:t>
            </w:r>
            <w:r w:rsidRPr="0D296D7E">
              <w:rPr>
                <w:b w:val="0"/>
                <w:spacing w:val="-8"/>
                <w:sz w:val="20"/>
                <w:szCs w:val="20"/>
              </w:rPr>
              <w:t xml:space="preserve"> </w:t>
            </w:r>
            <w:r w:rsidRPr="0D296D7E">
              <w:rPr>
                <w:b w:val="0"/>
                <w:sz w:val="20"/>
                <w:szCs w:val="20"/>
              </w:rPr>
              <w:t>$250</w:t>
            </w:r>
            <w:r w:rsidRPr="0D296D7E">
              <w:rPr>
                <w:b w:val="0"/>
                <w:spacing w:val="-9"/>
                <w:sz w:val="20"/>
                <w:szCs w:val="20"/>
              </w:rPr>
              <w:t xml:space="preserve"> </w:t>
            </w:r>
            <w:r w:rsidRPr="0D296D7E">
              <w:rPr>
                <w:b w:val="0"/>
                <w:sz w:val="20"/>
                <w:szCs w:val="20"/>
              </w:rPr>
              <w:t>–</w:t>
            </w:r>
            <w:r w:rsidRPr="0D296D7E">
              <w:rPr>
                <w:b w:val="0"/>
                <w:spacing w:val="-7"/>
                <w:sz w:val="20"/>
                <w:szCs w:val="20"/>
              </w:rPr>
              <w:t xml:space="preserve"> </w:t>
            </w:r>
            <w:r w:rsidRPr="0D296D7E">
              <w:rPr>
                <w:b w:val="0"/>
                <w:sz w:val="20"/>
                <w:szCs w:val="20"/>
              </w:rPr>
              <w:t>400</w:t>
            </w:r>
            <w:r w:rsidRPr="0D296D7E">
              <w:rPr>
                <w:b w:val="0"/>
                <w:spacing w:val="-7"/>
                <w:sz w:val="20"/>
                <w:szCs w:val="20"/>
              </w:rPr>
              <w:t xml:space="preserve"> </w:t>
            </w:r>
            <w:r w:rsidRPr="0D296D7E">
              <w:rPr>
                <w:b w:val="0"/>
                <w:sz w:val="20"/>
                <w:szCs w:val="20"/>
              </w:rPr>
              <w:t xml:space="preserve">per </w:t>
            </w:r>
            <w:r w:rsidRPr="0D296D7E">
              <w:rPr>
                <w:b w:val="0"/>
                <w:spacing w:val="-2"/>
                <w:sz w:val="20"/>
                <w:szCs w:val="20"/>
              </w:rPr>
              <w:t>technician.</w:t>
            </w:r>
          </w:p>
          <w:p w14:paraId="29233BD3" w14:textId="5B31C5ED" w:rsidR="79BB47F9" w:rsidRDefault="79BB47F9" w:rsidP="79BB47F9">
            <w:pPr>
              <w:pStyle w:val="TableParagraph"/>
              <w:widowControl w:val="0"/>
              <w:tabs>
                <w:tab w:val="left" w:pos="226"/>
              </w:tabs>
              <w:spacing w:beforeLines="0" w:before="0"/>
              <w:ind w:left="109" w:right="128"/>
              <w:jc w:val="left"/>
              <w:rPr>
                <w:b w:val="0"/>
                <w:sz w:val="20"/>
                <w:szCs w:val="20"/>
              </w:rPr>
            </w:pPr>
          </w:p>
          <w:p w14:paraId="03550969" w14:textId="77777777" w:rsidR="00E8325E" w:rsidRDefault="00E8325E" w:rsidP="1B6C21F3">
            <w:pPr>
              <w:pStyle w:val="TableParagraph"/>
              <w:widowControl w:val="0"/>
              <w:numPr>
                <w:ilvl w:val="0"/>
                <w:numId w:val="69"/>
              </w:numPr>
              <w:tabs>
                <w:tab w:val="left" w:pos="226"/>
              </w:tabs>
              <w:adjustRightInd/>
              <w:spacing w:beforeLines="0" w:before="121"/>
              <w:ind w:right="163" w:firstLine="0"/>
              <w:jc w:val="left"/>
              <w:rPr>
                <w:b w:val="0"/>
                <w:sz w:val="20"/>
                <w:szCs w:val="20"/>
              </w:rPr>
            </w:pPr>
            <w:r w:rsidRPr="0D296D7E">
              <w:rPr>
                <w:b w:val="0"/>
                <w:sz w:val="20"/>
                <w:szCs w:val="20"/>
              </w:rPr>
              <w:t>Awareness</w:t>
            </w:r>
            <w:r w:rsidRPr="0D296D7E">
              <w:rPr>
                <w:b w:val="0"/>
                <w:spacing w:val="-13"/>
                <w:sz w:val="20"/>
                <w:szCs w:val="20"/>
              </w:rPr>
              <w:t xml:space="preserve"> </w:t>
            </w:r>
            <w:r w:rsidRPr="0D296D7E">
              <w:rPr>
                <w:b w:val="0"/>
                <w:sz w:val="20"/>
                <w:szCs w:val="20"/>
              </w:rPr>
              <w:t>campaigns can be consolidated for LRM activities.</w:t>
            </w:r>
          </w:p>
          <w:p w14:paraId="48539555" w14:textId="77777777" w:rsidR="00E8325E" w:rsidRDefault="00E8325E" w:rsidP="0C145699">
            <w:pPr>
              <w:pStyle w:val="TableParagraph"/>
              <w:spacing w:before="120"/>
              <w:ind w:left="109" w:right="292"/>
              <w:jc w:val="left"/>
              <w:rPr>
                <w:b w:val="0"/>
                <w:sz w:val="20"/>
                <w:szCs w:val="20"/>
              </w:rPr>
            </w:pPr>
            <w:r w:rsidRPr="0D296D7E">
              <w:rPr>
                <w:b w:val="0"/>
                <w:sz w:val="20"/>
                <w:szCs w:val="20"/>
              </w:rPr>
              <w:t>Programmes</w:t>
            </w:r>
            <w:r w:rsidRPr="0D296D7E">
              <w:rPr>
                <w:b w:val="0"/>
                <w:spacing w:val="-13"/>
                <w:sz w:val="20"/>
                <w:szCs w:val="20"/>
              </w:rPr>
              <w:t xml:space="preserve"> </w:t>
            </w:r>
            <w:r w:rsidRPr="0D296D7E">
              <w:rPr>
                <w:b w:val="0"/>
                <w:sz w:val="20"/>
                <w:szCs w:val="20"/>
              </w:rPr>
              <w:t>vary</w:t>
            </w:r>
            <w:r w:rsidRPr="0D296D7E">
              <w:rPr>
                <w:b w:val="0"/>
                <w:spacing w:val="-12"/>
                <w:sz w:val="20"/>
                <w:szCs w:val="20"/>
              </w:rPr>
              <w:t xml:space="preserve"> </w:t>
            </w:r>
            <w:r w:rsidRPr="0D296D7E">
              <w:rPr>
                <w:b w:val="0"/>
                <w:sz w:val="20"/>
                <w:szCs w:val="20"/>
              </w:rPr>
              <w:t>in cost starting at US</w:t>
            </w:r>
            <w:r w:rsidRPr="0D296D7E">
              <w:rPr>
                <w:b w:val="0"/>
                <w:spacing w:val="-2"/>
                <w:sz w:val="20"/>
                <w:szCs w:val="20"/>
              </w:rPr>
              <w:t>$10,000</w:t>
            </w:r>
          </w:p>
        </w:tc>
        <w:tc>
          <w:tcPr>
            <w:tcW w:w="2456" w:type="dxa"/>
            <w:tcBorders>
              <w:top w:val="single" w:sz="8" w:space="0" w:color="000000" w:themeColor="text1"/>
            </w:tcBorders>
          </w:tcPr>
          <w:p w14:paraId="6C108037" w14:textId="5F644AB8" w:rsidR="00E8325E" w:rsidRPr="0019649D" w:rsidRDefault="00E8325E" w:rsidP="0D296D7E">
            <w:pPr>
              <w:pStyle w:val="TableParagraph"/>
              <w:widowControl w:val="0"/>
              <w:numPr>
                <w:ilvl w:val="0"/>
                <w:numId w:val="68"/>
              </w:numPr>
              <w:tabs>
                <w:tab w:val="left" w:pos="226"/>
              </w:tabs>
              <w:adjustRightInd/>
              <w:spacing w:beforeLines="0" w:before="120"/>
              <w:ind w:right="121" w:firstLine="0"/>
              <w:jc w:val="left"/>
              <w:rPr>
                <w:b w:val="0"/>
                <w:sz w:val="20"/>
                <w:szCs w:val="20"/>
              </w:rPr>
            </w:pPr>
            <w:r w:rsidRPr="0D296D7E">
              <w:rPr>
                <w:b w:val="0"/>
                <w:sz w:val="20"/>
                <w:szCs w:val="20"/>
              </w:rPr>
              <w:t>Putting</w:t>
            </w:r>
            <w:r w:rsidRPr="0D296D7E">
              <w:rPr>
                <w:b w:val="0"/>
                <w:spacing w:val="-12"/>
                <w:sz w:val="20"/>
                <w:szCs w:val="20"/>
              </w:rPr>
              <w:t xml:space="preserve"> </w:t>
            </w:r>
            <w:r w:rsidRPr="0D296D7E">
              <w:rPr>
                <w:b w:val="0"/>
                <w:sz w:val="20"/>
                <w:szCs w:val="20"/>
              </w:rPr>
              <w:t>policies</w:t>
            </w:r>
            <w:r w:rsidRPr="0D296D7E">
              <w:rPr>
                <w:b w:val="0"/>
                <w:spacing w:val="-13"/>
                <w:sz w:val="20"/>
                <w:szCs w:val="20"/>
              </w:rPr>
              <w:t xml:space="preserve"> </w:t>
            </w:r>
            <w:r w:rsidRPr="0D296D7E">
              <w:rPr>
                <w:b w:val="0"/>
                <w:sz w:val="20"/>
                <w:szCs w:val="20"/>
              </w:rPr>
              <w:t>in</w:t>
            </w:r>
            <w:r w:rsidRPr="0D296D7E">
              <w:rPr>
                <w:b w:val="0"/>
                <w:spacing w:val="-11"/>
                <w:sz w:val="20"/>
                <w:szCs w:val="20"/>
              </w:rPr>
              <w:t xml:space="preserve"> </w:t>
            </w:r>
            <w:r w:rsidRPr="0D296D7E">
              <w:rPr>
                <w:b w:val="0"/>
                <w:sz w:val="20"/>
                <w:szCs w:val="20"/>
              </w:rPr>
              <w:t>place. Indicative</w:t>
            </w:r>
            <w:r w:rsidRPr="0D296D7E">
              <w:rPr>
                <w:b w:val="0"/>
                <w:spacing w:val="-2"/>
                <w:sz w:val="20"/>
                <w:szCs w:val="20"/>
              </w:rPr>
              <w:t xml:space="preserve"> </w:t>
            </w:r>
            <w:r w:rsidRPr="0D296D7E">
              <w:rPr>
                <w:b w:val="0"/>
                <w:sz w:val="20"/>
                <w:szCs w:val="20"/>
              </w:rPr>
              <w:t>cost</w:t>
            </w:r>
            <w:r w:rsidRPr="0D296D7E">
              <w:rPr>
                <w:b w:val="0"/>
                <w:spacing w:val="-2"/>
                <w:sz w:val="20"/>
                <w:szCs w:val="20"/>
              </w:rPr>
              <w:t xml:space="preserve"> </w:t>
            </w:r>
            <w:r w:rsidRPr="0D296D7E">
              <w:rPr>
                <w:b w:val="0"/>
                <w:sz w:val="20"/>
                <w:szCs w:val="20"/>
              </w:rPr>
              <w:t>starts</w:t>
            </w:r>
            <w:r w:rsidRPr="0D296D7E">
              <w:rPr>
                <w:b w:val="0"/>
                <w:spacing w:val="-2"/>
                <w:sz w:val="20"/>
                <w:szCs w:val="20"/>
              </w:rPr>
              <w:t xml:space="preserve"> </w:t>
            </w:r>
            <w:r w:rsidRPr="0D296D7E">
              <w:rPr>
                <w:b w:val="0"/>
                <w:sz w:val="20"/>
                <w:szCs w:val="20"/>
              </w:rPr>
              <w:t>at</w:t>
            </w:r>
            <w:r w:rsidRPr="0D296D7E">
              <w:rPr>
                <w:b w:val="0"/>
                <w:spacing w:val="-2"/>
                <w:sz w:val="20"/>
                <w:szCs w:val="20"/>
              </w:rPr>
              <w:t xml:space="preserve"> </w:t>
            </w:r>
            <w:r w:rsidRPr="0D296D7E">
              <w:rPr>
                <w:b w:val="0"/>
                <w:sz w:val="20"/>
                <w:szCs w:val="20"/>
              </w:rPr>
              <w:t>US</w:t>
            </w:r>
            <w:r w:rsidR="0019649D" w:rsidRPr="0D296D7E">
              <w:rPr>
                <w:b w:val="0"/>
                <w:spacing w:val="-2"/>
                <w:sz w:val="20"/>
                <w:szCs w:val="20"/>
              </w:rPr>
              <w:t xml:space="preserve"> </w:t>
            </w:r>
            <w:r w:rsidRPr="0D296D7E">
              <w:rPr>
                <w:b w:val="0"/>
                <w:spacing w:val="-2"/>
                <w:sz w:val="20"/>
                <w:szCs w:val="20"/>
              </w:rPr>
              <w:t>$15,000</w:t>
            </w:r>
          </w:p>
          <w:p w14:paraId="09FE2B92" w14:textId="50CDA271" w:rsidR="79BB47F9" w:rsidRDefault="79BB47F9" w:rsidP="79BB47F9">
            <w:pPr>
              <w:pStyle w:val="TableParagraph"/>
              <w:widowControl w:val="0"/>
              <w:tabs>
                <w:tab w:val="left" w:pos="226"/>
              </w:tabs>
              <w:spacing w:beforeLines="0" w:before="120"/>
              <w:ind w:left="109" w:right="121"/>
              <w:jc w:val="left"/>
              <w:rPr>
                <w:b w:val="0"/>
                <w:sz w:val="20"/>
                <w:szCs w:val="20"/>
              </w:rPr>
            </w:pPr>
          </w:p>
          <w:p w14:paraId="20686357" w14:textId="23850D1B" w:rsidR="00E8325E" w:rsidRPr="0019649D" w:rsidRDefault="00E8325E" w:rsidP="0D296D7E">
            <w:pPr>
              <w:pStyle w:val="TableParagraph"/>
              <w:widowControl w:val="0"/>
              <w:numPr>
                <w:ilvl w:val="0"/>
                <w:numId w:val="68"/>
              </w:numPr>
              <w:tabs>
                <w:tab w:val="left" w:pos="226"/>
              </w:tabs>
              <w:adjustRightInd/>
              <w:spacing w:beforeLines="0" w:before="120"/>
              <w:ind w:right="150" w:firstLine="0"/>
              <w:jc w:val="left"/>
              <w:rPr>
                <w:b w:val="0"/>
                <w:sz w:val="20"/>
                <w:szCs w:val="20"/>
              </w:rPr>
            </w:pPr>
            <w:r w:rsidRPr="0D296D7E">
              <w:rPr>
                <w:b w:val="0"/>
                <w:sz w:val="20"/>
                <w:szCs w:val="20"/>
              </w:rPr>
              <w:t>Recordkeeping by operators. Cost borne by end users. Cost of awareness</w:t>
            </w:r>
            <w:r w:rsidRPr="0D296D7E">
              <w:rPr>
                <w:b w:val="0"/>
                <w:spacing w:val="-13"/>
                <w:sz w:val="20"/>
                <w:szCs w:val="20"/>
              </w:rPr>
              <w:t xml:space="preserve"> </w:t>
            </w:r>
            <w:r w:rsidRPr="0D296D7E">
              <w:rPr>
                <w:b w:val="0"/>
                <w:sz w:val="20"/>
                <w:szCs w:val="20"/>
              </w:rPr>
              <w:t>campaigns</w:t>
            </w:r>
            <w:r w:rsidRPr="0D296D7E">
              <w:rPr>
                <w:b w:val="0"/>
                <w:spacing w:val="-12"/>
                <w:sz w:val="20"/>
                <w:szCs w:val="20"/>
              </w:rPr>
              <w:t xml:space="preserve"> </w:t>
            </w:r>
            <w:r w:rsidRPr="0D296D7E">
              <w:rPr>
                <w:b w:val="0"/>
                <w:sz w:val="20"/>
                <w:szCs w:val="20"/>
              </w:rPr>
              <w:t>and workshops start at US</w:t>
            </w:r>
            <w:r w:rsidR="0019649D" w:rsidRPr="0D296D7E">
              <w:rPr>
                <w:b w:val="0"/>
                <w:spacing w:val="-2"/>
                <w:sz w:val="20"/>
                <w:szCs w:val="20"/>
              </w:rPr>
              <w:t xml:space="preserve"> </w:t>
            </w:r>
            <w:r w:rsidRPr="0D296D7E">
              <w:rPr>
                <w:b w:val="0"/>
                <w:spacing w:val="-2"/>
                <w:sz w:val="20"/>
                <w:szCs w:val="20"/>
              </w:rPr>
              <w:t>$15,000/Workshop</w:t>
            </w:r>
          </w:p>
          <w:p w14:paraId="63AB8DE3" w14:textId="48C2490C" w:rsidR="79BB47F9" w:rsidRDefault="79BB47F9" w:rsidP="79BB47F9">
            <w:pPr>
              <w:pStyle w:val="TableParagraph"/>
              <w:widowControl w:val="0"/>
              <w:tabs>
                <w:tab w:val="left" w:pos="226"/>
              </w:tabs>
              <w:spacing w:beforeLines="0" w:before="120"/>
              <w:ind w:left="109" w:right="150"/>
              <w:jc w:val="left"/>
              <w:rPr>
                <w:b w:val="0"/>
                <w:sz w:val="20"/>
                <w:szCs w:val="20"/>
              </w:rPr>
            </w:pPr>
          </w:p>
          <w:p w14:paraId="4186F441" w14:textId="4488CFB4" w:rsidR="00E8325E" w:rsidRDefault="00E8325E" w:rsidP="37B45483">
            <w:pPr>
              <w:pStyle w:val="TableParagraph"/>
              <w:widowControl w:val="0"/>
              <w:numPr>
                <w:ilvl w:val="0"/>
                <w:numId w:val="68"/>
              </w:numPr>
              <w:tabs>
                <w:tab w:val="left" w:pos="226"/>
              </w:tabs>
              <w:adjustRightInd/>
              <w:spacing w:beforeLines="0" w:before="118"/>
              <w:ind w:right="199" w:firstLine="0"/>
              <w:jc w:val="left"/>
              <w:rPr>
                <w:b w:val="0"/>
                <w:sz w:val="20"/>
                <w:szCs w:val="20"/>
              </w:rPr>
            </w:pPr>
            <w:r w:rsidRPr="0D296D7E">
              <w:rPr>
                <w:b w:val="0"/>
                <w:sz w:val="20"/>
                <w:szCs w:val="20"/>
              </w:rPr>
              <w:t>Monitoring</w:t>
            </w:r>
            <w:r w:rsidRPr="0D296D7E">
              <w:rPr>
                <w:b w:val="0"/>
                <w:spacing w:val="-4"/>
                <w:sz w:val="20"/>
                <w:szCs w:val="20"/>
              </w:rPr>
              <w:t xml:space="preserve"> </w:t>
            </w:r>
            <w:r w:rsidRPr="0D296D7E">
              <w:rPr>
                <w:b w:val="0"/>
                <w:sz w:val="20"/>
                <w:szCs w:val="20"/>
              </w:rPr>
              <w:t>and tracking.</w:t>
            </w:r>
          </w:p>
          <w:p w14:paraId="5FB7CB15" w14:textId="77777777" w:rsidR="00E8325E" w:rsidRDefault="00E8325E" w:rsidP="0D296D7E">
            <w:pPr>
              <w:pStyle w:val="TableParagraph"/>
              <w:widowControl w:val="0"/>
              <w:numPr>
                <w:ilvl w:val="0"/>
                <w:numId w:val="68"/>
              </w:numPr>
              <w:tabs>
                <w:tab w:val="left" w:pos="226"/>
              </w:tabs>
              <w:adjustRightInd/>
              <w:spacing w:beforeLines="0" w:before="118"/>
              <w:ind w:right="199" w:firstLine="0"/>
              <w:jc w:val="left"/>
              <w:rPr>
                <w:b w:val="0"/>
                <w:sz w:val="20"/>
                <w:szCs w:val="20"/>
              </w:rPr>
            </w:pPr>
            <w:r w:rsidRPr="0D296D7E">
              <w:rPr>
                <w:b w:val="0"/>
                <w:sz w:val="20"/>
                <w:szCs w:val="20"/>
              </w:rPr>
              <w:t>Capacity</w:t>
            </w:r>
            <w:r w:rsidRPr="0D296D7E">
              <w:rPr>
                <w:b w:val="0"/>
                <w:spacing w:val="-12"/>
                <w:sz w:val="20"/>
                <w:szCs w:val="20"/>
              </w:rPr>
              <w:t xml:space="preserve"> </w:t>
            </w:r>
            <w:r w:rsidRPr="0D296D7E">
              <w:rPr>
                <w:b w:val="0"/>
                <w:sz w:val="20"/>
                <w:szCs w:val="20"/>
              </w:rPr>
              <w:t>building</w:t>
            </w:r>
            <w:r w:rsidRPr="0D296D7E">
              <w:rPr>
                <w:b w:val="0"/>
                <w:spacing w:val="-12"/>
                <w:sz w:val="20"/>
                <w:szCs w:val="20"/>
              </w:rPr>
              <w:t xml:space="preserve"> </w:t>
            </w:r>
            <w:r w:rsidRPr="0D296D7E">
              <w:rPr>
                <w:b w:val="0"/>
                <w:sz w:val="20"/>
                <w:szCs w:val="20"/>
              </w:rPr>
              <w:t>cost</w:t>
            </w:r>
            <w:r w:rsidRPr="0D296D7E">
              <w:rPr>
                <w:b w:val="0"/>
                <w:spacing w:val="-12"/>
                <w:sz w:val="20"/>
                <w:szCs w:val="20"/>
              </w:rPr>
              <w:t xml:space="preserve"> </w:t>
            </w:r>
            <w:r w:rsidRPr="0D296D7E">
              <w:rPr>
                <w:b w:val="0"/>
                <w:sz w:val="20"/>
                <w:szCs w:val="20"/>
              </w:rPr>
              <w:t>of NOUs. Indicative cost starts at US $25,000</w:t>
            </w:r>
          </w:p>
        </w:tc>
      </w:tr>
      <w:tr w:rsidR="00E8325E" w14:paraId="77FAF0E1" w14:textId="77777777" w:rsidTr="077E58F6">
        <w:trPr>
          <w:trHeight w:val="1386"/>
        </w:trPr>
        <w:tc>
          <w:tcPr>
            <w:tcW w:w="1665" w:type="dxa"/>
            <w:shd w:val="clear" w:color="auto" w:fill="D9E2F3" w:themeFill="accent1" w:themeFillTint="33"/>
          </w:tcPr>
          <w:p w14:paraId="20206ECC" w14:textId="77777777" w:rsidR="00E8325E" w:rsidRDefault="00E8325E">
            <w:pPr>
              <w:pStyle w:val="TableParagraph"/>
              <w:spacing w:before="120"/>
              <w:ind w:left="107"/>
              <w:rPr>
                <w:b w:val="0"/>
                <w:sz w:val="20"/>
              </w:rPr>
            </w:pPr>
            <w:r>
              <w:rPr>
                <w:sz w:val="20"/>
              </w:rPr>
              <w:t>Leak</w:t>
            </w:r>
            <w:r>
              <w:rPr>
                <w:spacing w:val="-3"/>
                <w:sz w:val="20"/>
              </w:rPr>
              <w:t xml:space="preserve"> </w:t>
            </w:r>
            <w:r>
              <w:rPr>
                <w:spacing w:val="-2"/>
                <w:sz w:val="20"/>
              </w:rPr>
              <w:t>Detection</w:t>
            </w:r>
          </w:p>
        </w:tc>
        <w:tc>
          <w:tcPr>
            <w:tcW w:w="2921" w:type="dxa"/>
          </w:tcPr>
          <w:p w14:paraId="17475643" w14:textId="77777777" w:rsidR="00E8325E" w:rsidRDefault="00E8325E" w:rsidP="0D296D7E">
            <w:pPr>
              <w:pStyle w:val="TableParagraph"/>
              <w:widowControl w:val="0"/>
              <w:numPr>
                <w:ilvl w:val="0"/>
                <w:numId w:val="67"/>
              </w:numPr>
              <w:tabs>
                <w:tab w:val="left" w:pos="242"/>
              </w:tabs>
              <w:adjustRightInd/>
              <w:spacing w:beforeLines="0" w:before="6" w:line="230" w:lineRule="auto"/>
              <w:ind w:right="245"/>
              <w:jc w:val="left"/>
              <w:rPr>
                <w:b w:val="0"/>
                <w:sz w:val="20"/>
                <w:szCs w:val="20"/>
              </w:rPr>
            </w:pPr>
            <w:r w:rsidRPr="0D296D7E">
              <w:rPr>
                <w:b w:val="0"/>
                <w:sz w:val="20"/>
                <w:szCs w:val="20"/>
              </w:rPr>
              <w:t>Hand-held</w:t>
            </w:r>
            <w:r w:rsidRPr="0D296D7E">
              <w:rPr>
                <w:b w:val="0"/>
                <w:spacing w:val="-13"/>
                <w:sz w:val="20"/>
                <w:szCs w:val="20"/>
              </w:rPr>
              <w:t xml:space="preserve"> </w:t>
            </w:r>
            <w:r w:rsidRPr="0D296D7E">
              <w:rPr>
                <w:b w:val="0"/>
                <w:sz w:val="20"/>
                <w:szCs w:val="20"/>
              </w:rPr>
              <w:t>leak</w:t>
            </w:r>
            <w:r w:rsidRPr="0D296D7E">
              <w:rPr>
                <w:b w:val="0"/>
                <w:spacing w:val="-12"/>
                <w:sz w:val="20"/>
                <w:szCs w:val="20"/>
              </w:rPr>
              <w:t xml:space="preserve"> </w:t>
            </w:r>
            <w:r w:rsidRPr="0D296D7E">
              <w:rPr>
                <w:b w:val="0"/>
                <w:sz w:val="20"/>
                <w:szCs w:val="20"/>
              </w:rPr>
              <w:t>detectors</w:t>
            </w:r>
            <w:r w:rsidRPr="0D296D7E">
              <w:rPr>
                <w:b w:val="0"/>
                <w:spacing w:val="-13"/>
                <w:sz w:val="20"/>
                <w:szCs w:val="20"/>
              </w:rPr>
              <w:t xml:space="preserve"> </w:t>
            </w:r>
            <w:r w:rsidRPr="0D296D7E">
              <w:rPr>
                <w:b w:val="0"/>
                <w:sz w:val="20"/>
                <w:szCs w:val="20"/>
              </w:rPr>
              <w:t xml:space="preserve">(US$ </w:t>
            </w:r>
            <w:r w:rsidRPr="0D296D7E">
              <w:rPr>
                <w:b w:val="0"/>
                <w:spacing w:val="-2"/>
                <w:sz w:val="20"/>
                <w:szCs w:val="20"/>
              </w:rPr>
              <w:t>400/unit)</w:t>
            </w:r>
          </w:p>
          <w:p w14:paraId="26C50D20" w14:textId="77777777" w:rsidR="00E8325E" w:rsidRDefault="00E8325E" w:rsidP="0D296D7E">
            <w:pPr>
              <w:pStyle w:val="TableParagraph"/>
              <w:widowControl w:val="0"/>
              <w:numPr>
                <w:ilvl w:val="0"/>
                <w:numId w:val="67"/>
              </w:numPr>
              <w:tabs>
                <w:tab w:val="left" w:pos="242"/>
              </w:tabs>
              <w:adjustRightInd/>
              <w:spacing w:beforeLines="0" w:before="0" w:line="230" w:lineRule="exact"/>
              <w:ind w:right="218"/>
              <w:jc w:val="left"/>
              <w:rPr>
                <w:b w:val="0"/>
                <w:sz w:val="20"/>
                <w:szCs w:val="20"/>
              </w:rPr>
            </w:pPr>
            <w:r w:rsidRPr="0D296D7E">
              <w:rPr>
                <w:b w:val="0"/>
                <w:sz w:val="20"/>
                <w:szCs w:val="20"/>
              </w:rPr>
              <w:t>Automatic leak detectors (not hand-held)</w:t>
            </w:r>
            <w:r w:rsidRPr="0D296D7E">
              <w:rPr>
                <w:b w:val="0"/>
                <w:spacing w:val="-1"/>
                <w:sz w:val="20"/>
                <w:szCs w:val="20"/>
              </w:rPr>
              <w:t xml:space="preserve"> </w:t>
            </w:r>
            <w:r w:rsidRPr="0D296D7E">
              <w:rPr>
                <w:b w:val="0"/>
                <w:sz w:val="20"/>
                <w:szCs w:val="20"/>
              </w:rPr>
              <w:t>(depends</w:t>
            </w:r>
            <w:r w:rsidRPr="0D296D7E">
              <w:rPr>
                <w:b w:val="0"/>
                <w:spacing w:val="-3"/>
                <w:sz w:val="20"/>
                <w:szCs w:val="20"/>
              </w:rPr>
              <w:t xml:space="preserve"> </w:t>
            </w:r>
            <w:r w:rsidRPr="0D296D7E">
              <w:rPr>
                <w:b w:val="0"/>
                <w:sz w:val="20"/>
                <w:szCs w:val="20"/>
              </w:rPr>
              <w:t>on</w:t>
            </w:r>
            <w:r w:rsidRPr="0D296D7E">
              <w:rPr>
                <w:b w:val="0"/>
                <w:spacing w:val="-1"/>
                <w:sz w:val="20"/>
                <w:szCs w:val="20"/>
              </w:rPr>
              <w:t xml:space="preserve"> </w:t>
            </w:r>
            <w:r w:rsidRPr="0D296D7E">
              <w:rPr>
                <w:b w:val="0"/>
                <w:sz w:val="20"/>
                <w:szCs w:val="20"/>
              </w:rPr>
              <w:t>size</w:t>
            </w:r>
            <w:r w:rsidRPr="0D296D7E">
              <w:rPr>
                <w:b w:val="0"/>
                <w:spacing w:val="-2"/>
                <w:sz w:val="20"/>
                <w:szCs w:val="20"/>
              </w:rPr>
              <w:t xml:space="preserve"> </w:t>
            </w:r>
            <w:r w:rsidRPr="0D296D7E">
              <w:rPr>
                <w:b w:val="0"/>
                <w:sz w:val="20"/>
                <w:szCs w:val="20"/>
              </w:rPr>
              <w:t>of coverage</w:t>
            </w:r>
            <w:r w:rsidRPr="0D296D7E">
              <w:rPr>
                <w:b w:val="0"/>
                <w:spacing w:val="-13"/>
                <w:sz w:val="20"/>
                <w:szCs w:val="20"/>
              </w:rPr>
              <w:t xml:space="preserve"> </w:t>
            </w:r>
            <w:r w:rsidRPr="0D296D7E">
              <w:rPr>
                <w:b w:val="0"/>
                <w:sz w:val="20"/>
                <w:szCs w:val="20"/>
              </w:rPr>
              <w:t>required,</w:t>
            </w:r>
            <w:r w:rsidRPr="0D296D7E">
              <w:rPr>
                <w:b w:val="0"/>
                <w:spacing w:val="-12"/>
                <w:sz w:val="20"/>
                <w:szCs w:val="20"/>
              </w:rPr>
              <w:t xml:space="preserve"> </w:t>
            </w:r>
            <w:r w:rsidRPr="0D296D7E">
              <w:rPr>
                <w:b w:val="0"/>
                <w:sz w:val="20"/>
                <w:szCs w:val="20"/>
              </w:rPr>
              <w:t>not</w:t>
            </w:r>
            <w:r w:rsidRPr="0D296D7E">
              <w:rPr>
                <w:b w:val="0"/>
                <w:spacing w:val="-13"/>
                <w:sz w:val="20"/>
                <w:szCs w:val="20"/>
              </w:rPr>
              <w:t xml:space="preserve"> </w:t>
            </w:r>
            <w:r w:rsidRPr="0D296D7E">
              <w:rPr>
                <w:b w:val="0"/>
                <w:sz w:val="20"/>
                <w:szCs w:val="20"/>
              </w:rPr>
              <w:t>possible to provide indicative price)</w:t>
            </w:r>
          </w:p>
        </w:tc>
        <w:tc>
          <w:tcPr>
            <w:tcW w:w="2613" w:type="dxa"/>
          </w:tcPr>
          <w:p w14:paraId="709554B9" w14:textId="77777777" w:rsidR="00E8325E" w:rsidRDefault="00E8325E" w:rsidP="22AF2754">
            <w:pPr>
              <w:pStyle w:val="TableParagraph"/>
              <w:spacing w:before="120" w:line="243" w:lineRule="exact"/>
              <w:ind w:left="98"/>
              <w:jc w:val="left"/>
              <w:rPr>
                <w:rFonts w:ascii="Calibri"/>
                <w:b w:val="0"/>
                <w:sz w:val="20"/>
                <w:szCs w:val="20"/>
              </w:rPr>
            </w:pPr>
            <w:r w:rsidRPr="0D296D7E">
              <w:rPr>
                <w:rFonts w:ascii="Calibri"/>
                <w:b w:val="0"/>
                <w:spacing w:val="-10"/>
                <w:sz w:val="20"/>
                <w:szCs w:val="20"/>
              </w:rPr>
              <w:t>-</w:t>
            </w:r>
          </w:p>
        </w:tc>
        <w:tc>
          <w:tcPr>
            <w:tcW w:w="2790" w:type="dxa"/>
          </w:tcPr>
          <w:p w14:paraId="2BE01DB7" w14:textId="77777777" w:rsidR="00E8325E" w:rsidRDefault="00E8325E" w:rsidP="22AF2754">
            <w:pPr>
              <w:pStyle w:val="TableParagraph"/>
              <w:spacing w:before="120" w:line="243" w:lineRule="exact"/>
              <w:ind w:left="84"/>
              <w:jc w:val="left"/>
              <w:rPr>
                <w:rFonts w:ascii="Calibri"/>
                <w:b w:val="0"/>
                <w:sz w:val="20"/>
                <w:szCs w:val="20"/>
              </w:rPr>
            </w:pPr>
            <w:r w:rsidRPr="0D296D7E">
              <w:rPr>
                <w:rFonts w:ascii="Calibri"/>
                <w:b w:val="0"/>
                <w:spacing w:val="-10"/>
                <w:sz w:val="20"/>
                <w:szCs w:val="20"/>
              </w:rPr>
              <w:t>-</w:t>
            </w:r>
          </w:p>
        </w:tc>
        <w:tc>
          <w:tcPr>
            <w:tcW w:w="2133" w:type="dxa"/>
          </w:tcPr>
          <w:p w14:paraId="4FE0CD85" w14:textId="77777777" w:rsidR="00E8325E" w:rsidRDefault="00E8325E" w:rsidP="22AF2754">
            <w:pPr>
              <w:pStyle w:val="TableParagraph"/>
              <w:spacing w:before="120" w:line="243" w:lineRule="exact"/>
              <w:ind w:left="109"/>
              <w:jc w:val="left"/>
              <w:rPr>
                <w:rFonts w:ascii="Calibri"/>
                <w:b w:val="0"/>
                <w:sz w:val="20"/>
                <w:szCs w:val="20"/>
              </w:rPr>
            </w:pPr>
            <w:r w:rsidRPr="0D296D7E">
              <w:rPr>
                <w:rFonts w:ascii="Calibri"/>
                <w:b w:val="0"/>
                <w:spacing w:val="-10"/>
                <w:sz w:val="20"/>
                <w:szCs w:val="20"/>
              </w:rPr>
              <w:t>-</w:t>
            </w:r>
          </w:p>
        </w:tc>
        <w:tc>
          <w:tcPr>
            <w:tcW w:w="2456" w:type="dxa"/>
          </w:tcPr>
          <w:p w14:paraId="7E395190" w14:textId="77777777" w:rsidR="00E8325E" w:rsidRDefault="00E8325E" w:rsidP="22AF2754">
            <w:pPr>
              <w:pStyle w:val="TableParagraph"/>
              <w:spacing w:before="120" w:line="230" w:lineRule="auto"/>
              <w:ind w:left="203" w:hanging="142"/>
              <w:jc w:val="left"/>
              <w:rPr>
                <w:b w:val="0"/>
                <w:sz w:val="20"/>
                <w:szCs w:val="20"/>
              </w:rPr>
            </w:pPr>
            <w:r w:rsidRPr="0D296D7E">
              <w:rPr>
                <w:rFonts w:ascii="Calibri"/>
                <w:b w:val="0"/>
                <w:sz w:val="20"/>
                <w:szCs w:val="20"/>
              </w:rPr>
              <w:t>-</w:t>
            </w:r>
            <w:r w:rsidRPr="0D296D7E">
              <w:rPr>
                <w:rFonts w:ascii="Calibri"/>
                <w:b w:val="0"/>
                <w:spacing w:val="16"/>
                <w:sz w:val="20"/>
                <w:szCs w:val="20"/>
              </w:rPr>
              <w:t xml:space="preserve"> </w:t>
            </w:r>
            <w:r w:rsidRPr="0D296D7E">
              <w:rPr>
                <w:b w:val="0"/>
                <w:sz w:val="20"/>
                <w:szCs w:val="20"/>
              </w:rPr>
              <w:t>Reporting</w:t>
            </w:r>
            <w:r w:rsidRPr="0D296D7E">
              <w:rPr>
                <w:b w:val="0"/>
                <w:spacing w:val="-11"/>
                <w:sz w:val="20"/>
                <w:szCs w:val="20"/>
              </w:rPr>
              <w:t xml:space="preserve"> </w:t>
            </w:r>
            <w:r w:rsidRPr="0D296D7E">
              <w:rPr>
                <w:b w:val="0"/>
                <w:sz w:val="20"/>
                <w:szCs w:val="20"/>
              </w:rPr>
              <w:t xml:space="preserve">and </w:t>
            </w:r>
            <w:r w:rsidRPr="0D296D7E">
              <w:rPr>
                <w:b w:val="0"/>
                <w:spacing w:val="-2"/>
                <w:sz w:val="20"/>
                <w:szCs w:val="20"/>
              </w:rPr>
              <w:t>recordkeeping</w:t>
            </w:r>
          </w:p>
        </w:tc>
      </w:tr>
      <w:tr w:rsidR="007D44F3" w14:paraId="36FC8A83" w14:textId="77777777" w:rsidTr="077E58F6">
        <w:trPr>
          <w:trHeight w:val="3707"/>
        </w:trPr>
        <w:tc>
          <w:tcPr>
            <w:tcW w:w="1665" w:type="dxa"/>
            <w:shd w:val="clear" w:color="auto" w:fill="D9E2F3" w:themeFill="accent1" w:themeFillTint="33"/>
          </w:tcPr>
          <w:p w14:paraId="70F7D368" w14:textId="77777777" w:rsidR="007D44F3" w:rsidRDefault="007D44F3">
            <w:pPr>
              <w:pStyle w:val="TableParagraph"/>
              <w:spacing w:before="120"/>
              <w:ind w:left="107"/>
              <w:rPr>
                <w:b w:val="0"/>
                <w:sz w:val="20"/>
              </w:rPr>
            </w:pPr>
            <w:r>
              <w:rPr>
                <w:spacing w:val="-2"/>
                <w:sz w:val="20"/>
              </w:rPr>
              <w:lastRenderedPageBreak/>
              <w:t>Recovery</w:t>
            </w:r>
          </w:p>
        </w:tc>
        <w:tc>
          <w:tcPr>
            <w:tcW w:w="2921" w:type="dxa"/>
          </w:tcPr>
          <w:p w14:paraId="6E763DBB" w14:textId="425485EC" w:rsidR="007D44F3" w:rsidRDefault="007D44F3" w:rsidP="0D296D7E">
            <w:pPr>
              <w:pStyle w:val="TableParagraph"/>
              <w:widowControl w:val="0"/>
              <w:numPr>
                <w:ilvl w:val="0"/>
                <w:numId w:val="66"/>
              </w:numPr>
              <w:tabs>
                <w:tab w:val="left" w:pos="242"/>
              </w:tabs>
              <w:adjustRightInd/>
              <w:spacing w:beforeLines="0" w:before="1" w:line="237" w:lineRule="auto"/>
              <w:ind w:right="207"/>
              <w:jc w:val="left"/>
              <w:rPr>
                <w:b w:val="0"/>
                <w:sz w:val="20"/>
                <w:szCs w:val="20"/>
              </w:rPr>
            </w:pPr>
            <w:r w:rsidRPr="0D296D7E">
              <w:rPr>
                <w:b w:val="0"/>
                <w:sz w:val="20"/>
                <w:szCs w:val="20"/>
              </w:rPr>
              <w:t>Recovery</w:t>
            </w:r>
            <w:r w:rsidRPr="0D296D7E">
              <w:rPr>
                <w:b w:val="0"/>
                <w:spacing w:val="-9"/>
                <w:sz w:val="20"/>
                <w:szCs w:val="20"/>
              </w:rPr>
              <w:t xml:space="preserve"> </w:t>
            </w:r>
            <w:r w:rsidRPr="0D296D7E">
              <w:rPr>
                <w:b w:val="0"/>
                <w:sz w:val="20"/>
                <w:szCs w:val="20"/>
              </w:rPr>
              <w:t>cylinders</w:t>
            </w:r>
            <w:r w:rsidRPr="0D296D7E">
              <w:rPr>
                <w:b w:val="0"/>
                <w:spacing w:val="-11"/>
                <w:sz w:val="20"/>
                <w:szCs w:val="20"/>
              </w:rPr>
              <w:t xml:space="preserve"> </w:t>
            </w:r>
            <w:r w:rsidRPr="0D296D7E">
              <w:rPr>
                <w:b w:val="0"/>
                <w:sz w:val="20"/>
                <w:szCs w:val="20"/>
              </w:rPr>
              <w:t>and</w:t>
            </w:r>
            <w:r w:rsidRPr="0D296D7E">
              <w:rPr>
                <w:b w:val="0"/>
                <w:spacing w:val="-11"/>
                <w:sz w:val="20"/>
                <w:szCs w:val="20"/>
              </w:rPr>
              <w:t>/</w:t>
            </w:r>
            <w:r w:rsidRPr="0D296D7E">
              <w:rPr>
                <w:b w:val="0"/>
                <w:sz w:val="20"/>
                <w:szCs w:val="20"/>
              </w:rPr>
              <w:t>or</w:t>
            </w:r>
            <w:r w:rsidRPr="0D296D7E">
              <w:rPr>
                <w:b w:val="0"/>
                <w:spacing w:val="-9"/>
                <w:sz w:val="20"/>
                <w:szCs w:val="20"/>
              </w:rPr>
              <w:t xml:space="preserve"> </w:t>
            </w:r>
            <w:r w:rsidRPr="0D296D7E">
              <w:rPr>
                <w:b w:val="0"/>
                <w:sz w:val="20"/>
                <w:szCs w:val="20"/>
              </w:rPr>
              <w:t>bulk containers (below US$100 for the smallest cylinder, prices depend on sources, volume, presence of valves, transport and registering costs)</w:t>
            </w:r>
          </w:p>
          <w:p w14:paraId="17EA90BC" w14:textId="4CD7218F" w:rsidR="6C25E66F" w:rsidRDefault="6C25E66F" w:rsidP="6D5CB135">
            <w:pPr>
              <w:pStyle w:val="TableParagraph"/>
              <w:widowControl w:val="0"/>
              <w:tabs>
                <w:tab w:val="left" w:pos="242"/>
              </w:tabs>
              <w:spacing w:beforeLines="0" w:before="1" w:line="237" w:lineRule="auto"/>
              <w:ind w:left="242" w:right="207"/>
              <w:jc w:val="left"/>
              <w:rPr>
                <w:b w:val="0"/>
                <w:sz w:val="20"/>
                <w:szCs w:val="20"/>
              </w:rPr>
            </w:pPr>
          </w:p>
          <w:p w14:paraId="7B8BA4EE" w14:textId="0E91E86E" w:rsidR="007D44F3" w:rsidRDefault="007D44F3" w:rsidP="62F8FA21">
            <w:pPr>
              <w:pStyle w:val="TableParagraph"/>
              <w:widowControl w:val="0"/>
              <w:numPr>
                <w:ilvl w:val="0"/>
                <w:numId w:val="66"/>
              </w:numPr>
              <w:tabs>
                <w:tab w:val="left" w:pos="242"/>
              </w:tabs>
              <w:adjustRightInd/>
              <w:spacing w:beforeLines="0" w:before="0" w:line="230" w:lineRule="exact"/>
              <w:ind w:right="166"/>
              <w:jc w:val="left"/>
              <w:rPr>
                <w:b w:val="0"/>
                <w:sz w:val="20"/>
                <w:szCs w:val="20"/>
              </w:rPr>
            </w:pPr>
            <w:r w:rsidRPr="0D296D7E">
              <w:rPr>
                <w:b w:val="0"/>
                <w:sz w:val="20"/>
                <w:szCs w:val="20"/>
              </w:rPr>
              <w:t>Recovery</w:t>
            </w:r>
            <w:r w:rsidRPr="0D296D7E">
              <w:rPr>
                <w:b w:val="0"/>
                <w:spacing w:val="-12"/>
                <w:sz w:val="20"/>
                <w:szCs w:val="20"/>
              </w:rPr>
              <w:t xml:space="preserve"> </w:t>
            </w:r>
            <w:r w:rsidRPr="0D296D7E">
              <w:rPr>
                <w:b w:val="0"/>
                <w:sz w:val="20"/>
                <w:szCs w:val="20"/>
              </w:rPr>
              <w:t>equipment</w:t>
            </w:r>
            <w:r w:rsidRPr="0D296D7E">
              <w:rPr>
                <w:b w:val="0"/>
                <w:spacing w:val="-13"/>
                <w:sz w:val="20"/>
                <w:szCs w:val="20"/>
              </w:rPr>
              <w:t xml:space="preserve"> </w:t>
            </w:r>
            <w:r w:rsidRPr="0D296D7E">
              <w:rPr>
                <w:b w:val="0"/>
                <w:sz w:val="20"/>
                <w:szCs w:val="20"/>
              </w:rPr>
              <w:t>(US$</w:t>
            </w:r>
            <w:r w:rsidRPr="0D296D7E">
              <w:rPr>
                <w:b w:val="0"/>
                <w:spacing w:val="-12"/>
                <w:sz w:val="20"/>
                <w:szCs w:val="20"/>
              </w:rPr>
              <w:t xml:space="preserve"> </w:t>
            </w:r>
            <w:r w:rsidRPr="0D296D7E">
              <w:rPr>
                <w:b w:val="0"/>
                <w:sz w:val="20"/>
                <w:szCs w:val="20"/>
              </w:rPr>
              <w:t>300- 1000/unit for very basic</w:t>
            </w:r>
            <w:r w:rsidRPr="62F8FA21">
              <w:rPr>
                <w:b w:val="0"/>
                <w:sz w:val="20"/>
                <w:szCs w:val="20"/>
              </w:rPr>
              <w:t xml:space="preserve"> </w:t>
            </w:r>
            <w:r w:rsidRPr="0D296D7E">
              <w:rPr>
                <w:b w:val="0"/>
                <w:sz w:val="20"/>
                <w:szCs w:val="20"/>
              </w:rPr>
              <w:t>recovery</w:t>
            </w:r>
            <w:r w:rsidRPr="0D296D7E">
              <w:rPr>
                <w:b w:val="0"/>
                <w:spacing w:val="-13"/>
                <w:sz w:val="20"/>
                <w:szCs w:val="20"/>
              </w:rPr>
              <w:t xml:space="preserve"> </w:t>
            </w:r>
            <w:r w:rsidRPr="0D296D7E">
              <w:rPr>
                <w:b w:val="0"/>
                <w:sz w:val="20"/>
                <w:szCs w:val="20"/>
              </w:rPr>
              <w:t>equipment,</w:t>
            </w:r>
            <w:r w:rsidRPr="0D296D7E">
              <w:rPr>
                <w:b w:val="0"/>
                <w:spacing w:val="-12"/>
                <w:sz w:val="20"/>
                <w:szCs w:val="20"/>
              </w:rPr>
              <w:t xml:space="preserve"> </w:t>
            </w:r>
            <w:r w:rsidRPr="0D296D7E">
              <w:rPr>
                <w:b w:val="0"/>
                <w:sz w:val="20"/>
                <w:szCs w:val="20"/>
              </w:rPr>
              <w:t>US$</w:t>
            </w:r>
            <w:r w:rsidRPr="0D296D7E">
              <w:rPr>
                <w:b w:val="0"/>
                <w:spacing w:val="-13"/>
                <w:sz w:val="20"/>
                <w:szCs w:val="20"/>
              </w:rPr>
              <w:t xml:space="preserve"> </w:t>
            </w:r>
            <w:r w:rsidRPr="0D296D7E">
              <w:rPr>
                <w:b w:val="0"/>
                <w:sz w:val="20"/>
                <w:szCs w:val="20"/>
              </w:rPr>
              <w:t xml:space="preserve">30K- 40K for more complex equipment that can do faster </w:t>
            </w:r>
            <w:r w:rsidRPr="0D296D7E">
              <w:rPr>
                <w:b w:val="0"/>
                <w:spacing w:val="-2"/>
                <w:sz w:val="20"/>
                <w:szCs w:val="20"/>
              </w:rPr>
              <w:t>recoveries)</w:t>
            </w:r>
          </w:p>
          <w:p w14:paraId="492B2000" w14:textId="37433838" w:rsidR="007D44F3" w:rsidRDefault="007D44F3" w:rsidP="0D296D7E">
            <w:pPr>
              <w:pStyle w:val="TableParagraph"/>
              <w:widowControl w:val="0"/>
              <w:numPr>
                <w:ilvl w:val="0"/>
                <w:numId w:val="66"/>
              </w:numPr>
              <w:tabs>
                <w:tab w:val="left" w:pos="242"/>
              </w:tabs>
              <w:spacing w:before="120" w:line="237" w:lineRule="auto"/>
              <w:ind w:right="207"/>
              <w:jc w:val="left"/>
              <w:rPr>
                <w:b w:val="0"/>
                <w:sz w:val="20"/>
                <w:szCs w:val="20"/>
              </w:rPr>
            </w:pPr>
            <w:r w:rsidRPr="0D296D7E">
              <w:rPr>
                <w:b w:val="0"/>
                <w:sz w:val="20"/>
                <w:szCs w:val="20"/>
              </w:rPr>
              <w:t>Refrigerant</w:t>
            </w:r>
            <w:r w:rsidRPr="0D296D7E">
              <w:rPr>
                <w:b w:val="0"/>
                <w:spacing w:val="-15"/>
                <w:sz w:val="20"/>
                <w:szCs w:val="20"/>
              </w:rPr>
              <w:t xml:space="preserve"> </w:t>
            </w:r>
            <w:r w:rsidRPr="0D296D7E">
              <w:rPr>
                <w:b w:val="0"/>
                <w:sz w:val="20"/>
                <w:szCs w:val="20"/>
              </w:rPr>
              <w:t>identifiers</w:t>
            </w:r>
            <w:r w:rsidRPr="0D296D7E">
              <w:rPr>
                <w:b w:val="0"/>
                <w:spacing w:val="-12"/>
                <w:sz w:val="20"/>
                <w:szCs w:val="20"/>
              </w:rPr>
              <w:t xml:space="preserve"> </w:t>
            </w:r>
            <w:r w:rsidRPr="0D296D7E">
              <w:rPr>
                <w:b w:val="0"/>
                <w:sz w:val="20"/>
                <w:szCs w:val="20"/>
              </w:rPr>
              <w:t xml:space="preserve">(US$ </w:t>
            </w:r>
            <w:r w:rsidRPr="0D296D7E">
              <w:rPr>
                <w:b w:val="0"/>
                <w:spacing w:val="-2"/>
                <w:sz w:val="20"/>
                <w:szCs w:val="20"/>
              </w:rPr>
              <w:t>5,000/unit)</w:t>
            </w:r>
          </w:p>
        </w:tc>
        <w:tc>
          <w:tcPr>
            <w:tcW w:w="2613" w:type="dxa"/>
          </w:tcPr>
          <w:p w14:paraId="16777D97" w14:textId="77777777" w:rsidR="007D44F3" w:rsidRDefault="007D44F3" w:rsidP="0D296D7E">
            <w:pPr>
              <w:pStyle w:val="TableParagraph"/>
              <w:widowControl w:val="0"/>
              <w:numPr>
                <w:ilvl w:val="0"/>
                <w:numId w:val="65"/>
              </w:numPr>
              <w:tabs>
                <w:tab w:val="left" w:pos="240"/>
              </w:tabs>
              <w:adjustRightInd/>
              <w:spacing w:beforeLines="0" w:before="6" w:line="230" w:lineRule="auto"/>
              <w:ind w:right="125"/>
              <w:jc w:val="left"/>
              <w:rPr>
                <w:b w:val="0"/>
                <w:sz w:val="20"/>
                <w:szCs w:val="20"/>
              </w:rPr>
            </w:pPr>
            <w:r w:rsidRPr="0D296D7E">
              <w:rPr>
                <w:b w:val="0"/>
                <w:sz w:val="20"/>
                <w:szCs w:val="20"/>
              </w:rPr>
              <w:t>Cost</w:t>
            </w:r>
            <w:r w:rsidRPr="0D296D7E">
              <w:rPr>
                <w:b w:val="0"/>
                <w:spacing w:val="-9"/>
                <w:sz w:val="20"/>
                <w:szCs w:val="20"/>
              </w:rPr>
              <w:t xml:space="preserve"> </w:t>
            </w:r>
            <w:r w:rsidRPr="0D296D7E">
              <w:rPr>
                <w:b w:val="0"/>
                <w:sz w:val="20"/>
                <w:szCs w:val="20"/>
              </w:rPr>
              <w:t>for</w:t>
            </w:r>
            <w:r w:rsidRPr="0D296D7E">
              <w:rPr>
                <w:b w:val="0"/>
                <w:spacing w:val="-8"/>
                <w:sz w:val="20"/>
                <w:szCs w:val="20"/>
              </w:rPr>
              <w:t xml:space="preserve"> </w:t>
            </w:r>
            <w:r w:rsidRPr="0D296D7E">
              <w:rPr>
                <w:b w:val="0"/>
                <w:sz w:val="20"/>
                <w:szCs w:val="20"/>
              </w:rPr>
              <w:t>contracting</w:t>
            </w:r>
            <w:r w:rsidRPr="0D296D7E">
              <w:rPr>
                <w:b w:val="0"/>
                <w:spacing w:val="-10"/>
                <w:sz w:val="20"/>
                <w:szCs w:val="20"/>
              </w:rPr>
              <w:t xml:space="preserve"> </w:t>
            </w:r>
            <w:r w:rsidRPr="0D296D7E">
              <w:rPr>
                <w:b w:val="0"/>
                <w:sz w:val="20"/>
                <w:szCs w:val="20"/>
              </w:rPr>
              <w:t>out</w:t>
            </w:r>
            <w:r w:rsidRPr="0D296D7E">
              <w:rPr>
                <w:b w:val="0"/>
                <w:spacing w:val="-9"/>
                <w:sz w:val="20"/>
                <w:szCs w:val="20"/>
              </w:rPr>
              <w:t xml:space="preserve"> </w:t>
            </w:r>
            <w:r w:rsidRPr="0D296D7E">
              <w:rPr>
                <w:b w:val="0"/>
                <w:sz w:val="20"/>
                <w:szCs w:val="20"/>
              </w:rPr>
              <w:t>GC analysis (US$500)</w:t>
            </w:r>
          </w:p>
          <w:p w14:paraId="0119B851" w14:textId="77777777" w:rsidR="007D44F3" w:rsidRDefault="007D44F3" w:rsidP="046D6109">
            <w:pPr>
              <w:pStyle w:val="TableParagraph"/>
              <w:widowControl w:val="0"/>
              <w:numPr>
                <w:ilvl w:val="0"/>
                <w:numId w:val="65"/>
              </w:numPr>
              <w:tabs>
                <w:tab w:val="left" w:pos="240"/>
              </w:tabs>
              <w:adjustRightInd/>
              <w:spacing w:beforeLines="0" w:before="6" w:line="230" w:lineRule="auto"/>
              <w:ind w:right="125"/>
              <w:jc w:val="left"/>
              <w:rPr>
                <w:b w:val="0"/>
                <w:sz w:val="20"/>
                <w:szCs w:val="20"/>
              </w:rPr>
            </w:pPr>
            <w:r w:rsidRPr="0D296D7E">
              <w:rPr>
                <w:b w:val="0"/>
                <w:sz w:val="20"/>
                <w:szCs w:val="20"/>
              </w:rPr>
              <w:t>Incremental</w:t>
            </w:r>
            <w:r w:rsidRPr="0D296D7E">
              <w:rPr>
                <w:b w:val="0"/>
                <w:spacing w:val="-10"/>
                <w:sz w:val="20"/>
                <w:szCs w:val="20"/>
              </w:rPr>
              <w:t xml:space="preserve"> </w:t>
            </w:r>
            <w:r w:rsidRPr="0D296D7E">
              <w:rPr>
                <w:b w:val="0"/>
                <w:sz w:val="20"/>
                <w:szCs w:val="20"/>
              </w:rPr>
              <w:t>technician</w:t>
            </w:r>
            <w:r w:rsidRPr="0D296D7E">
              <w:rPr>
                <w:b w:val="0"/>
                <w:spacing w:val="-9"/>
                <w:sz w:val="20"/>
                <w:szCs w:val="20"/>
              </w:rPr>
              <w:t xml:space="preserve"> </w:t>
            </w:r>
            <w:r w:rsidRPr="0D296D7E">
              <w:rPr>
                <w:b w:val="0"/>
                <w:spacing w:val="-4"/>
                <w:sz w:val="20"/>
                <w:szCs w:val="20"/>
              </w:rPr>
              <w:t>time</w:t>
            </w:r>
          </w:p>
          <w:p w14:paraId="52C0A037" w14:textId="77777777" w:rsidR="007D44F3" w:rsidRDefault="007D44F3" w:rsidP="6B241EE4">
            <w:pPr>
              <w:pStyle w:val="TableParagraph"/>
              <w:widowControl w:val="0"/>
              <w:numPr>
                <w:ilvl w:val="0"/>
                <w:numId w:val="65"/>
              </w:numPr>
              <w:tabs>
                <w:tab w:val="left" w:pos="239"/>
              </w:tabs>
              <w:adjustRightInd/>
              <w:spacing w:beforeLines="0" w:before="1" w:line="240" w:lineRule="exact"/>
              <w:jc w:val="left"/>
              <w:rPr>
                <w:b w:val="0"/>
                <w:sz w:val="20"/>
                <w:szCs w:val="20"/>
              </w:rPr>
            </w:pPr>
            <w:r w:rsidRPr="0D296D7E">
              <w:rPr>
                <w:b w:val="0"/>
                <w:sz w:val="20"/>
                <w:szCs w:val="20"/>
              </w:rPr>
              <w:t>Technician</w:t>
            </w:r>
            <w:r w:rsidRPr="0D296D7E">
              <w:rPr>
                <w:b w:val="0"/>
                <w:spacing w:val="-13"/>
                <w:sz w:val="20"/>
                <w:szCs w:val="20"/>
              </w:rPr>
              <w:t xml:space="preserve"> </w:t>
            </w:r>
            <w:r w:rsidRPr="0D296D7E">
              <w:rPr>
                <w:b w:val="0"/>
                <w:sz w:val="20"/>
                <w:szCs w:val="20"/>
              </w:rPr>
              <w:t xml:space="preserve">financial </w:t>
            </w:r>
            <w:r w:rsidRPr="0D296D7E">
              <w:rPr>
                <w:b w:val="0"/>
                <w:spacing w:val="-2"/>
                <w:sz w:val="20"/>
                <w:szCs w:val="20"/>
              </w:rPr>
              <w:t>incentive</w:t>
            </w:r>
          </w:p>
        </w:tc>
        <w:tc>
          <w:tcPr>
            <w:tcW w:w="2790" w:type="dxa"/>
          </w:tcPr>
          <w:p w14:paraId="0DC511C7" w14:textId="77777777" w:rsidR="57445137" w:rsidRDefault="007D44F3" w:rsidP="41B602A9">
            <w:pPr>
              <w:pStyle w:val="TableParagraph"/>
              <w:widowControl w:val="0"/>
              <w:numPr>
                <w:ilvl w:val="0"/>
                <w:numId w:val="64"/>
              </w:numPr>
              <w:tabs>
                <w:tab w:val="left" w:pos="264"/>
              </w:tabs>
              <w:adjustRightInd/>
              <w:spacing w:beforeLines="0" w:before="6" w:line="230" w:lineRule="auto"/>
              <w:ind w:right="870"/>
              <w:jc w:val="left"/>
              <w:rPr>
                <w:b w:val="0"/>
                <w:sz w:val="20"/>
                <w:szCs w:val="20"/>
              </w:rPr>
            </w:pPr>
            <w:r w:rsidRPr="0D296D7E">
              <w:rPr>
                <w:b w:val="0"/>
                <w:sz w:val="20"/>
                <w:szCs w:val="20"/>
              </w:rPr>
              <w:t>Incremental</w:t>
            </w:r>
            <w:r w:rsidRPr="0D296D7E">
              <w:rPr>
                <w:b w:val="0"/>
                <w:spacing w:val="-13"/>
                <w:sz w:val="20"/>
                <w:szCs w:val="20"/>
              </w:rPr>
              <w:t xml:space="preserve"> </w:t>
            </w:r>
            <w:r w:rsidRPr="0D296D7E">
              <w:rPr>
                <w:b w:val="0"/>
                <w:sz w:val="20"/>
                <w:szCs w:val="20"/>
              </w:rPr>
              <w:t xml:space="preserve">handling </w:t>
            </w:r>
            <w:r w:rsidRPr="0D296D7E">
              <w:rPr>
                <w:b w:val="0"/>
                <w:spacing w:val="-2"/>
                <w:sz w:val="20"/>
                <w:szCs w:val="20"/>
              </w:rPr>
              <w:t>equipment</w:t>
            </w:r>
          </w:p>
          <w:p w14:paraId="12346030" w14:textId="77777777" w:rsidR="57445137" w:rsidRDefault="007D44F3" w:rsidP="41B602A9">
            <w:pPr>
              <w:pStyle w:val="TableParagraph"/>
              <w:widowControl w:val="0"/>
              <w:numPr>
                <w:ilvl w:val="0"/>
                <w:numId w:val="64"/>
              </w:numPr>
              <w:tabs>
                <w:tab w:val="left" w:pos="264"/>
              </w:tabs>
              <w:adjustRightInd/>
              <w:spacing w:beforeLines="0" w:before="5" w:line="235" w:lineRule="auto"/>
              <w:ind w:right="111"/>
              <w:jc w:val="left"/>
              <w:rPr>
                <w:b w:val="0"/>
                <w:sz w:val="20"/>
                <w:szCs w:val="20"/>
              </w:rPr>
            </w:pPr>
            <w:r w:rsidRPr="0D296D7E">
              <w:rPr>
                <w:b w:val="0"/>
                <w:sz w:val="20"/>
                <w:szCs w:val="20"/>
              </w:rPr>
              <w:t>Storage</w:t>
            </w:r>
            <w:r w:rsidRPr="0D296D7E">
              <w:rPr>
                <w:b w:val="0"/>
                <w:spacing w:val="-10"/>
                <w:sz w:val="20"/>
                <w:szCs w:val="20"/>
              </w:rPr>
              <w:t xml:space="preserve"> </w:t>
            </w:r>
            <w:r w:rsidRPr="0D296D7E">
              <w:rPr>
                <w:b w:val="0"/>
                <w:sz w:val="20"/>
                <w:szCs w:val="20"/>
              </w:rPr>
              <w:t>for</w:t>
            </w:r>
            <w:r w:rsidRPr="0D296D7E">
              <w:rPr>
                <w:b w:val="0"/>
                <w:spacing w:val="-11"/>
                <w:sz w:val="20"/>
                <w:szCs w:val="20"/>
              </w:rPr>
              <w:t xml:space="preserve"> </w:t>
            </w:r>
            <w:r w:rsidRPr="0D296D7E">
              <w:rPr>
                <w:b w:val="0"/>
                <w:sz w:val="20"/>
                <w:szCs w:val="20"/>
              </w:rPr>
              <w:t>economies</w:t>
            </w:r>
            <w:r w:rsidRPr="0D296D7E">
              <w:rPr>
                <w:b w:val="0"/>
                <w:spacing w:val="-10"/>
                <w:sz w:val="20"/>
                <w:szCs w:val="20"/>
              </w:rPr>
              <w:t xml:space="preserve"> </w:t>
            </w:r>
            <w:r w:rsidRPr="0D296D7E">
              <w:rPr>
                <w:b w:val="0"/>
                <w:sz w:val="20"/>
                <w:szCs w:val="20"/>
              </w:rPr>
              <w:t>of</w:t>
            </w:r>
            <w:r w:rsidRPr="0D296D7E">
              <w:rPr>
                <w:b w:val="0"/>
                <w:spacing w:val="-9"/>
                <w:sz w:val="20"/>
                <w:szCs w:val="20"/>
              </w:rPr>
              <w:t xml:space="preserve"> </w:t>
            </w:r>
            <w:r w:rsidRPr="0D296D7E">
              <w:rPr>
                <w:b w:val="0"/>
                <w:sz w:val="20"/>
                <w:szCs w:val="20"/>
              </w:rPr>
              <w:t xml:space="preserve">scale for onward return/treatment/ </w:t>
            </w:r>
            <w:r w:rsidRPr="0D296D7E">
              <w:rPr>
                <w:b w:val="0"/>
                <w:spacing w:val="-2"/>
                <w:sz w:val="20"/>
                <w:szCs w:val="20"/>
              </w:rPr>
              <w:t>destruction</w:t>
            </w:r>
          </w:p>
          <w:p w14:paraId="0E564874" w14:textId="77777777" w:rsidR="2C4F4187" w:rsidRDefault="007D44F3" w:rsidP="41B602A9">
            <w:pPr>
              <w:pStyle w:val="TableParagraph"/>
              <w:widowControl w:val="0"/>
              <w:numPr>
                <w:ilvl w:val="0"/>
                <w:numId w:val="64"/>
              </w:numPr>
              <w:tabs>
                <w:tab w:val="left" w:pos="264"/>
              </w:tabs>
              <w:adjustRightInd/>
              <w:spacing w:beforeLines="0" w:before="5" w:line="232" w:lineRule="auto"/>
              <w:ind w:right="402"/>
              <w:jc w:val="left"/>
              <w:rPr>
                <w:b w:val="0"/>
                <w:sz w:val="20"/>
                <w:szCs w:val="20"/>
              </w:rPr>
            </w:pPr>
            <w:r w:rsidRPr="0D296D7E">
              <w:rPr>
                <w:b w:val="0"/>
                <w:sz w:val="20"/>
                <w:szCs w:val="20"/>
              </w:rPr>
              <w:t>Incremental</w:t>
            </w:r>
            <w:r w:rsidRPr="0D296D7E">
              <w:rPr>
                <w:b w:val="0"/>
                <w:spacing w:val="-13"/>
                <w:sz w:val="20"/>
                <w:szCs w:val="20"/>
              </w:rPr>
              <w:t xml:space="preserve"> </w:t>
            </w:r>
            <w:r w:rsidRPr="0D296D7E">
              <w:rPr>
                <w:b w:val="0"/>
                <w:sz w:val="20"/>
                <w:szCs w:val="20"/>
              </w:rPr>
              <w:t>costs</w:t>
            </w:r>
            <w:r w:rsidRPr="0D296D7E">
              <w:rPr>
                <w:b w:val="0"/>
                <w:spacing w:val="-12"/>
                <w:sz w:val="20"/>
                <w:szCs w:val="20"/>
              </w:rPr>
              <w:t xml:space="preserve"> </w:t>
            </w:r>
            <w:r w:rsidRPr="0D296D7E">
              <w:rPr>
                <w:b w:val="0"/>
                <w:sz w:val="20"/>
                <w:szCs w:val="20"/>
              </w:rPr>
              <w:t>associate with handling mildly</w:t>
            </w:r>
            <w:r w:rsidRPr="2C4F4187">
              <w:rPr>
                <w:b w:val="0"/>
                <w:sz w:val="20"/>
                <w:szCs w:val="20"/>
              </w:rPr>
              <w:t xml:space="preserve"> </w:t>
            </w:r>
            <w:r w:rsidRPr="0D296D7E">
              <w:rPr>
                <w:b w:val="0"/>
                <w:sz w:val="20"/>
                <w:szCs w:val="20"/>
              </w:rPr>
              <w:t>flammable</w:t>
            </w:r>
            <w:r w:rsidRPr="0D296D7E">
              <w:rPr>
                <w:b w:val="0"/>
                <w:spacing w:val="-13"/>
                <w:sz w:val="20"/>
                <w:szCs w:val="20"/>
              </w:rPr>
              <w:t xml:space="preserve"> </w:t>
            </w:r>
            <w:r w:rsidRPr="0D296D7E">
              <w:rPr>
                <w:b w:val="0"/>
                <w:sz w:val="20"/>
                <w:szCs w:val="20"/>
              </w:rPr>
              <w:t>or</w:t>
            </w:r>
            <w:r w:rsidRPr="0D296D7E">
              <w:rPr>
                <w:b w:val="0"/>
                <w:spacing w:val="-12"/>
                <w:sz w:val="20"/>
                <w:szCs w:val="20"/>
              </w:rPr>
              <w:t xml:space="preserve"> </w:t>
            </w:r>
            <w:r w:rsidRPr="0D296D7E">
              <w:rPr>
                <w:b w:val="0"/>
                <w:sz w:val="20"/>
                <w:szCs w:val="20"/>
              </w:rPr>
              <w:t>fl</w:t>
            </w:r>
            <w:bookmarkStart w:id="395" w:name="_bookmark183"/>
            <w:bookmarkEnd w:id="395"/>
            <w:r w:rsidRPr="0D296D7E">
              <w:rPr>
                <w:b w:val="0"/>
                <w:sz w:val="20"/>
                <w:szCs w:val="20"/>
              </w:rPr>
              <w:t>amm</w:t>
            </w:r>
            <w:bookmarkStart w:id="396" w:name="_bookmark184"/>
            <w:bookmarkEnd w:id="396"/>
            <w:r w:rsidRPr="0D296D7E">
              <w:rPr>
                <w:b w:val="0"/>
                <w:sz w:val="20"/>
                <w:szCs w:val="20"/>
              </w:rPr>
              <w:t xml:space="preserve">able </w:t>
            </w:r>
            <w:r w:rsidRPr="0D296D7E">
              <w:rPr>
                <w:b w:val="0"/>
                <w:spacing w:val="-2"/>
                <w:sz w:val="20"/>
                <w:szCs w:val="20"/>
              </w:rPr>
              <w:t>refrigerants</w:t>
            </w:r>
          </w:p>
          <w:p w14:paraId="59C91C42" w14:textId="77777777" w:rsidR="007D44F3" w:rsidRDefault="007D44F3" w:rsidP="0D296D7E">
            <w:pPr>
              <w:pStyle w:val="TableParagraph"/>
              <w:widowControl w:val="0"/>
              <w:numPr>
                <w:ilvl w:val="0"/>
                <w:numId w:val="62"/>
              </w:numPr>
              <w:tabs>
                <w:tab w:val="left" w:pos="264"/>
              </w:tabs>
              <w:adjustRightInd/>
              <w:spacing w:beforeLines="0" w:before="7" w:line="230" w:lineRule="auto"/>
              <w:ind w:right="491"/>
              <w:jc w:val="left"/>
              <w:rPr>
                <w:b w:val="0"/>
                <w:sz w:val="20"/>
                <w:szCs w:val="20"/>
              </w:rPr>
            </w:pPr>
            <w:r w:rsidRPr="0D296D7E">
              <w:rPr>
                <w:b w:val="0"/>
                <w:sz w:val="20"/>
                <w:szCs w:val="20"/>
              </w:rPr>
              <w:t>Transport</w:t>
            </w:r>
            <w:r w:rsidRPr="0D296D7E">
              <w:rPr>
                <w:b w:val="0"/>
                <w:spacing w:val="-12"/>
                <w:sz w:val="20"/>
                <w:szCs w:val="20"/>
              </w:rPr>
              <w:t xml:space="preserve"> </w:t>
            </w:r>
            <w:r w:rsidRPr="0D296D7E">
              <w:rPr>
                <w:b w:val="0"/>
                <w:sz w:val="20"/>
                <w:szCs w:val="20"/>
              </w:rPr>
              <w:t>for</w:t>
            </w:r>
            <w:r w:rsidRPr="0D296D7E">
              <w:rPr>
                <w:b w:val="0"/>
                <w:spacing w:val="-12"/>
                <w:sz w:val="20"/>
                <w:szCs w:val="20"/>
              </w:rPr>
              <w:t xml:space="preserve"> </w:t>
            </w:r>
            <w:r w:rsidRPr="0D296D7E">
              <w:rPr>
                <w:b w:val="0"/>
                <w:sz w:val="20"/>
                <w:szCs w:val="20"/>
              </w:rPr>
              <w:t>treatment</w:t>
            </w:r>
            <w:r w:rsidRPr="0D296D7E">
              <w:rPr>
                <w:b w:val="0"/>
                <w:spacing w:val="-12"/>
                <w:sz w:val="20"/>
                <w:szCs w:val="20"/>
              </w:rPr>
              <w:t xml:space="preserve"> </w:t>
            </w:r>
            <w:r w:rsidRPr="0D296D7E">
              <w:rPr>
                <w:b w:val="0"/>
                <w:sz w:val="20"/>
                <w:szCs w:val="20"/>
              </w:rPr>
              <w:t xml:space="preserve">or </w:t>
            </w:r>
            <w:r w:rsidRPr="0D296D7E">
              <w:rPr>
                <w:b w:val="0"/>
                <w:spacing w:val="-2"/>
                <w:sz w:val="20"/>
                <w:szCs w:val="20"/>
              </w:rPr>
              <w:t>destruction</w:t>
            </w:r>
          </w:p>
          <w:p w14:paraId="74448294" w14:textId="77777777" w:rsidR="007D44F3" w:rsidRDefault="007D44F3" w:rsidP="41B602A9">
            <w:pPr>
              <w:pStyle w:val="TableParagraph"/>
              <w:widowControl w:val="0"/>
              <w:numPr>
                <w:ilvl w:val="0"/>
                <w:numId w:val="62"/>
              </w:numPr>
              <w:tabs>
                <w:tab w:val="left" w:pos="263"/>
              </w:tabs>
              <w:adjustRightInd/>
              <w:spacing w:beforeLines="0" w:before="1" w:line="239" w:lineRule="exact"/>
              <w:ind w:left="263" w:hanging="179"/>
              <w:jc w:val="left"/>
              <w:rPr>
                <w:b w:val="0"/>
                <w:sz w:val="20"/>
                <w:szCs w:val="20"/>
              </w:rPr>
            </w:pPr>
            <w:r w:rsidRPr="0D296D7E">
              <w:rPr>
                <w:b w:val="0"/>
                <w:sz w:val="20"/>
                <w:szCs w:val="20"/>
              </w:rPr>
              <w:t>Indicative</w:t>
            </w:r>
            <w:r w:rsidRPr="0D296D7E">
              <w:rPr>
                <w:b w:val="0"/>
                <w:spacing w:val="-6"/>
                <w:sz w:val="20"/>
                <w:szCs w:val="20"/>
              </w:rPr>
              <w:t xml:space="preserve"> </w:t>
            </w:r>
            <w:r w:rsidRPr="0D296D7E">
              <w:rPr>
                <w:b w:val="0"/>
                <w:sz w:val="20"/>
                <w:szCs w:val="20"/>
              </w:rPr>
              <w:t>costs</w:t>
            </w:r>
            <w:r w:rsidRPr="0D296D7E">
              <w:rPr>
                <w:b w:val="0"/>
                <w:spacing w:val="-6"/>
                <w:sz w:val="20"/>
                <w:szCs w:val="20"/>
              </w:rPr>
              <w:t xml:space="preserve"> </w:t>
            </w:r>
            <w:r w:rsidRPr="0D296D7E">
              <w:rPr>
                <w:b w:val="0"/>
                <w:sz w:val="20"/>
                <w:szCs w:val="20"/>
              </w:rPr>
              <w:t>vary</w:t>
            </w:r>
            <w:r w:rsidRPr="0D296D7E">
              <w:rPr>
                <w:b w:val="0"/>
                <w:spacing w:val="-6"/>
                <w:sz w:val="20"/>
                <w:szCs w:val="20"/>
              </w:rPr>
              <w:t xml:space="preserve"> </w:t>
            </w:r>
            <w:r w:rsidRPr="0D296D7E">
              <w:rPr>
                <w:b w:val="0"/>
                <w:sz w:val="20"/>
                <w:szCs w:val="20"/>
              </w:rPr>
              <w:t>from</w:t>
            </w:r>
            <w:r w:rsidRPr="0D296D7E">
              <w:rPr>
                <w:b w:val="0"/>
                <w:spacing w:val="-5"/>
                <w:sz w:val="20"/>
                <w:szCs w:val="20"/>
              </w:rPr>
              <w:t xml:space="preserve"> US</w:t>
            </w:r>
            <w:r w:rsidRPr="0D296D7E">
              <w:rPr>
                <w:b w:val="0"/>
                <w:sz w:val="20"/>
                <w:szCs w:val="20"/>
              </w:rPr>
              <w:t>$5</w:t>
            </w:r>
            <w:r w:rsidRPr="0D296D7E">
              <w:rPr>
                <w:b w:val="0"/>
                <w:spacing w:val="-1"/>
                <w:sz w:val="20"/>
                <w:szCs w:val="20"/>
              </w:rPr>
              <w:t xml:space="preserve"> </w:t>
            </w:r>
            <w:r w:rsidRPr="0D296D7E">
              <w:rPr>
                <w:b w:val="0"/>
                <w:sz w:val="20"/>
                <w:szCs w:val="20"/>
              </w:rPr>
              <w:t>–</w:t>
            </w:r>
            <w:r w:rsidRPr="0D296D7E">
              <w:rPr>
                <w:b w:val="0"/>
                <w:spacing w:val="-1"/>
                <w:sz w:val="20"/>
                <w:szCs w:val="20"/>
              </w:rPr>
              <w:t xml:space="preserve"> </w:t>
            </w:r>
            <w:r w:rsidRPr="0D296D7E">
              <w:rPr>
                <w:b w:val="0"/>
                <w:spacing w:val="-2"/>
                <w:sz w:val="20"/>
                <w:szCs w:val="20"/>
              </w:rPr>
              <w:t>15/kg</w:t>
            </w:r>
          </w:p>
        </w:tc>
        <w:tc>
          <w:tcPr>
            <w:tcW w:w="2133" w:type="dxa"/>
          </w:tcPr>
          <w:p w14:paraId="03526F3D" w14:textId="77777777" w:rsidR="007D44F3" w:rsidRDefault="007D44F3" w:rsidP="62F8FA21">
            <w:pPr>
              <w:pStyle w:val="TableParagraph"/>
              <w:spacing w:before="120" w:line="230" w:lineRule="auto"/>
              <w:ind w:left="186" w:right="487" w:hanging="77"/>
              <w:jc w:val="left"/>
              <w:rPr>
                <w:b w:val="0"/>
                <w:sz w:val="20"/>
                <w:szCs w:val="20"/>
              </w:rPr>
            </w:pPr>
            <w:r w:rsidRPr="0D296D7E">
              <w:rPr>
                <w:rFonts w:ascii="Calibri"/>
                <w:b w:val="0"/>
                <w:sz w:val="20"/>
                <w:szCs w:val="20"/>
              </w:rPr>
              <w:t>-</w:t>
            </w:r>
            <w:r w:rsidRPr="0D296D7E">
              <w:rPr>
                <w:rFonts w:ascii="Calibri"/>
                <w:b w:val="0"/>
                <w:spacing w:val="-30"/>
                <w:sz w:val="20"/>
                <w:szCs w:val="20"/>
              </w:rPr>
              <w:t xml:space="preserve"> </w:t>
            </w:r>
            <w:r w:rsidRPr="0D296D7E">
              <w:rPr>
                <w:b w:val="0"/>
                <w:sz w:val="20"/>
                <w:szCs w:val="20"/>
              </w:rPr>
              <w:t xml:space="preserve">Technician </w:t>
            </w:r>
            <w:r w:rsidRPr="0D296D7E">
              <w:rPr>
                <w:b w:val="0"/>
                <w:spacing w:val="-2"/>
                <w:sz w:val="20"/>
                <w:szCs w:val="20"/>
              </w:rPr>
              <w:t>training/</w:t>
            </w:r>
            <w:r w:rsidRPr="046D6109">
              <w:rPr>
                <w:b w:val="0"/>
                <w:spacing w:val="-2"/>
                <w:sz w:val="20"/>
                <w:szCs w:val="20"/>
              </w:rPr>
              <w:t>awarenes</w:t>
            </w:r>
          </w:p>
          <w:p w14:paraId="0C823A39" w14:textId="77777777" w:rsidR="007D44F3" w:rsidRDefault="007D44F3" w:rsidP="62F8FA21">
            <w:pPr>
              <w:pStyle w:val="TableParagraph"/>
              <w:spacing w:before="120" w:line="232" w:lineRule="auto"/>
              <w:ind w:left="186" w:hanging="77"/>
              <w:jc w:val="left"/>
              <w:rPr>
                <w:b w:val="0"/>
                <w:sz w:val="20"/>
                <w:szCs w:val="20"/>
              </w:rPr>
            </w:pPr>
            <w:r w:rsidRPr="0D296D7E">
              <w:rPr>
                <w:rFonts w:ascii="Calibri"/>
                <w:b w:val="0"/>
                <w:sz w:val="20"/>
                <w:szCs w:val="20"/>
              </w:rPr>
              <w:t>-</w:t>
            </w:r>
            <w:r w:rsidRPr="0D296D7E">
              <w:rPr>
                <w:rFonts w:ascii="Calibri"/>
                <w:b w:val="0"/>
                <w:spacing w:val="-30"/>
                <w:sz w:val="20"/>
                <w:szCs w:val="20"/>
              </w:rPr>
              <w:t xml:space="preserve"> </w:t>
            </w:r>
            <w:r w:rsidRPr="0D296D7E">
              <w:rPr>
                <w:b w:val="0"/>
                <w:sz w:val="20"/>
                <w:szCs w:val="20"/>
              </w:rPr>
              <w:t>Training</w:t>
            </w:r>
            <w:r w:rsidRPr="0D296D7E">
              <w:rPr>
                <w:b w:val="0"/>
                <w:spacing w:val="-13"/>
                <w:sz w:val="20"/>
                <w:szCs w:val="20"/>
              </w:rPr>
              <w:t xml:space="preserve"> </w:t>
            </w:r>
            <w:r w:rsidRPr="0D296D7E">
              <w:rPr>
                <w:b w:val="0"/>
                <w:sz w:val="20"/>
                <w:szCs w:val="20"/>
              </w:rPr>
              <w:t>for</w:t>
            </w:r>
            <w:r w:rsidRPr="0D296D7E">
              <w:rPr>
                <w:b w:val="0"/>
                <w:spacing w:val="-12"/>
                <w:sz w:val="20"/>
                <w:szCs w:val="20"/>
              </w:rPr>
              <w:t xml:space="preserve"> </w:t>
            </w:r>
            <w:r w:rsidRPr="0D296D7E">
              <w:rPr>
                <w:b w:val="0"/>
                <w:sz w:val="20"/>
                <w:szCs w:val="20"/>
              </w:rPr>
              <w:t xml:space="preserve">new </w:t>
            </w:r>
            <w:r w:rsidRPr="0D296D7E">
              <w:rPr>
                <w:b w:val="0"/>
                <w:spacing w:val="-2"/>
                <w:sz w:val="20"/>
                <w:szCs w:val="20"/>
              </w:rPr>
              <w:t>operations/staff</w:t>
            </w:r>
          </w:p>
        </w:tc>
        <w:tc>
          <w:tcPr>
            <w:tcW w:w="2456" w:type="dxa"/>
          </w:tcPr>
          <w:p w14:paraId="7B0065FC" w14:textId="77777777" w:rsidR="007D44F3" w:rsidRDefault="007D44F3" w:rsidP="0D296D7E">
            <w:pPr>
              <w:pStyle w:val="TableParagraph"/>
              <w:widowControl w:val="0"/>
              <w:numPr>
                <w:ilvl w:val="0"/>
                <w:numId w:val="63"/>
              </w:numPr>
              <w:tabs>
                <w:tab w:val="left" w:pos="203"/>
              </w:tabs>
              <w:adjustRightInd/>
              <w:spacing w:beforeLines="0" w:before="6" w:line="230" w:lineRule="auto"/>
              <w:ind w:right="1040"/>
              <w:jc w:val="left"/>
              <w:rPr>
                <w:b w:val="0"/>
                <w:sz w:val="20"/>
                <w:szCs w:val="20"/>
              </w:rPr>
            </w:pPr>
            <w:r w:rsidRPr="0D296D7E">
              <w:rPr>
                <w:b w:val="0"/>
                <w:sz w:val="20"/>
                <w:szCs w:val="20"/>
              </w:rPr>
              <w:t>Emission</w:t>
            </w:r>
            <w:r w:rsidRPr="0D296D7E">
              <w:rPr>
                <w:b w:val="0"/>
                <w:spacing w:val="-13"/>
                <w:sz w:val="20"/>
                <w:szCs w:val="20"/>
              </w:rPr>
              <w:t xml:space="preserve"> </w:t>
            </w:r>
            <w:r w:rsidRPr="0D296D7E">
              <w:rPr>
                <w:b w:val="0"/>
                <w:sz w:val="20"/>
                <w:szCs w:val="20"/>
              </w:rPr>
              <w:t xml:space="preserve">ban </w:t>
            </w:r>
            <w:r w:rsidRPr="0D296D7E">
              <w:rPr>
                <w:b w:val="0"/>
                <w:spacing w:val="-2"/>
                <w:sz w:val="20"/>
                <w:szCs w:val="20"/>
              </w:rPr>
              <w:t>enforcement</w:t>
            </w:r>
          </w:p>
          <w:p w14:paraId="59557E1B" w14:textId="77777777" w:rsidR="007D44F3" w:rsidRDefault="007D44F3" w:rsidP="0D296D7E">
            <w:pPr>
              <w:pStyle w:val="TableParagraph"/>
              <w:widowControl w:val="0"/>
              <w:numPr>
                <w:ilvl w:val="0"/>
                <w:numId w:val="63"/>
              </w:numPr>
              <w:tabs>
                <w:tab w:val="left" w:pos="202"/>
              </w:tabs>
              <w:adjustRightInd/>
              <w:spacing w:beforeLines="0" w:before="1" w:line="240" w:lineRule="exact"/>
              <w:ind w:left="202" w:hanging="141"/>
              <w:jc w:val="left"/>
              <w:rPr>
                <w:b w:val="0"/>
                <w:sz w:val="20"/>
                <w:szCs w:val="20"/>
              </w:rPr>
            </w:pPr>
            <w:r w:rsidRPr="0D296D7E">
              <w:rPr>
                <w:b w:val="0"/>
                <w:sz w:val="20"/>
                <w:szCs w:val="20"/>
              </w:rPr>
              <w:t>Tracking/</w:t>
            </w:r>
            <w:r w:rsidRPr="0D296D7E">
              <w:rPr>
                <w:b w:val="0"/>
                <w:spacing w:val="-6"/>
                <w:sz w:val="20"/>
                <w:szCs w:val="20"/>
              </w:rPr>
              <w:t xml:space="preserve"> </w:t>
            </w:r>
            <w:r w:rsidRPr="0D296D7E">
              <w:rPr>
                <w:b w:val="0"/>
                <w:spacing w:val="-2"/>
                <w:sz w:val="20"/>
                <w:szCs w:val="20"/>
              </w:rPr>
              <w:t>recordkeeping</w:t>
            </w:r>
          </w:p>
          <w:p w14:paraId="3FD3AF65" w14:textId="77777777" w:rsidR="007D44F3" w:rsidRDefault="007D44F3" w:rsidP="0D296D7E">
            <w:pPr>
              <w:pStyle w:val="TableParagraph"/>
              <w:widowControl w:val="0"/>
              <w:numPr>
                <w:ilvl w:val="0"/>
                <w:numId w:val="63"/>
              </w:numPr>
              <w:tabs>
                <w:tab w:val="left" w:pos="203"/>
              </w:tabs>
              <w:adjustRightInd/>
              <w:spacing w:beforeLines="0" w:before="3" w:line="230" w:lineRule="auto"/>
              <w:ind w:right="978"/>
              <w:jc w:val="left"/>
              <w:rPr>
                <w:b w:val="0"/>
                <w:sz w:val="20"/>
                <w:szCs w:val="20"/>
              </w:rPr>
            </w:pPr>
            <w:r w:rsidRPr="0D296D7E">
              <w:rPr>
                <w:b w:val="0"/>
                <w:sz w:val="20"/>
                <w:szCs w:val="20"/>
              </w:rPr>
              <w:t>Reporting</w:t>
            </w:r>
            <w:r w:rsidRPr="0D296D7E">
              <w:rPr>
                <w:b w:val="0"/>
                <w:spacing w:val="-13"/>
                <w:sz w:val="20"/>
                <w:szCs w:val="20"/>
              </w:rPr>
              <w:t xml:space="preserve"> </w:t>
            </w:r>
            <w:r w:rsidRPr="0D296D7E">
              <w:rPr>
                <w:b w:val="0"/>
                <w:sz w:val="20"/>
                <w:szCs w:val="20"/>
              </w:rPr>
              <w:t xml:space="preserve">and </w:t>
            </w:r>
            <w:r w:rsidRPr="0D296D7E">
              <w:rPr>
                <w:b w:val="0"/>
                <w:spacing w:val="-2"/>
                <w:sz w:val="20"/>
                <w:szCs w:val="20"/>
              </w:rPr>
              <w:t>recordkeeping</w:t>
            </w:r>
          </w:p>
        </w:tc>
      </w:tr>
      <w:tr w:rsidR="007D44F3" w14:paraId="6299AEB9" w14:textId="77777777" w:rsidTr="077E58F6">
        <w:trPr>
          <w:trHeight w:val="1847"/>
        </w:trPr>
        <w:tc>
          <w:tcPr>
            <w:tcW w:w="1665" w:type="dxa"/>
            <w:shd w:val="clear" w:color="auto" w:fill="D9E2F3" w:themeFill="accent1" w:themeFillTint="33"/>
          </w:tcPr>
          <w:p w14:paraId="0CFF1490" w14:textId="18354B7A" w:rsidR="007D44F3" w:rsidRDefault="007D44F3" w:rsidP="007D44F3">
            <w:pPr>
              <w:pStyle w:val="TableParagraph"/>
              <w:spacing w:before="120"/>
              <w:ind w:left="107"/>
              <w:rPr>
                <w:spacing w:val="-2"/>
                <w:sz w:val="20"/>
              </w:rPr>
            </w:pPr>
            <w:r>
              <w:rPr>
                <w:spacing w:val="-2"/>
                <w:sz w:val="20"/>
              </w:rPr>
              <w:t>Recycling</w:t>
            </w:r>
          </w:p>
        </w:tc>
        <w:tc>
          <w:tcPr>
            <w:tcW w:w="2921" w:type="dxa"/>
          </w:tcPr>
          <w:p w14:paraId="3558292A" w14:textId="77777777" w:rsidR="007D44F3" w:rsidRDefault="007D44F3" w:rsidP="0D296D7E">
            <w:pPr>
              <w:pStyle w:val="TableParagraph"/>
              <w:widowControl w:val="0"/>
              <w:numPr>
                <w:ilvl w:val="0"/>
                <w:numId w:val="61"/>
              </w:numPr>
              <w:tabs>
                <w:tab w:val="left" w:pos="242"/>
              </w:tabs>
              <w:adjustRightInd/>
              <w:spacing w:beforeLines="0" w:before="1" w:line="237" w:lineRule="auto"/>
              <w:ind w:right="404"/>
              <w:jc w:val="left"/>
              <w:rPr>
                <w:b w:val="0"/>
                <w:sz w:val="20"/>
                <w:szCs w:val="20"/>
              </w:rPr>
            </w:pPr>
            <w:r w:rsidRPr="0D296D7E">
              <w:rPr>
                <w:b w:val="0"/>
                <w:sz w:val="20"/>
                <w:szCs w:val="20"/>
              </w:rPr>
              <w:t>Recovery and recycling machine (US$ from 1200 onward,</w:t>
            </w:r>
            <w:r w:rsidRPr="0D296D7E">
              <w:rPr>
                <w:b w:val="0"/>
                <w:spacing w:val="-13"/>
                <w:sz w:val="20"/>
                <w:szCs w:val="20"/>
              </w:rPr>
              <w:t xml:space="preserve"> </w:t>
            </w:r>
            <w:r w:rsidRPr="0D296D7E">
              <w:rPr>
                <w:b w:val="0"/>
                <w:sz w:val="20"/>
                <w:szCs w:val="20"/>
              </w:rPr>
              <w:t>prices</w:t>
            </w:r>
            <w:r w:rsidRPr="0D296D7E">
              <w:rPr>
                <w:b w:val="0"/>
                <w:spacing w:val="-12"/>
                <w:sz w:val="20"/>
                <w:szCs w:val="20"/>
              </w:rPr>
              <w:t xml:space="preserve"> </w:t>
            </w:r>
            <w:r w:rsidRPr="0D296D7E">
              <w:rPr>
                <w:b w:val="0"/>
                <w:sz w:val="20"/>
                <w:szCs w:val="20"/>
              </w:rPr>
              <w:t>depending</w:t>
            </w:r>
            <w:r w:rsidRPr="0D296D7E">
              <w:rPr>
                <w:b w:val="0"/>
                <w:spacing w:val="-12"/>
                <w:sz w:val="20"/>
                <w:szCs w:val="20"/>
              </w:rPr>
              <w:t xml:space="preserve"> </w:t>
            </w:r>
            <w:r w:rsidRPr="0D296D7E">
              <w:rPr>
                <w:b w:val="0"/>
                <w:sz w:val="20"/>
                <w:szCs w:val="20"/>
              </w:rPr>
              <w:t xml:space="preserve">on </w:t>
            </w:r>
            <w:r w:rsidRPr="0D296D7E">
              <w:rPr>
                <w:b w:val="0"/>
                <w:spacing w:val="-2"/>
                <w:sz w:val="20"/>
                <w:szCs w:val="20"/>
              </w:rPr>
              <w:t>capacity)</w:t>
            </w:r>
          </w:p>
          <w:p w14:paraId="7B643216" w14:textId="52DDAB64" w:rsidR="007D44F3" w:rsidRDefault="007D44F3" w:rsidP="2D05BB8F">
            <w:pPr>
              <w:pStyle w:val="TableParagraph"/>
              <w:widowControl w:val="0"/>
              <w:tabs>
                <w:tab w:val="left" w:pos="242"/>
              </w:tabs>
              <w:adjustRightInd/>
              <w:spacing w:beforeLines="0" w:before="1" w:line="237" w:lineRule="auto"/>
              <w:ind w:left="242" w:right="404"/>
              <w:jc w:val="left"/>
              <w:rPr>
                <w:b w:val="0"/>
                <w:sz w:val="20"/>
                <w:szCs w:val="20"/>
              </w:rPr>
            </w:pPr>
          </w:p>
          <w:p w14:paraId="30C49C46" w14:textId="1DCAD710" w:rsidR="007D44F3" w:rsidRDefault="007D44F3" w:rsidP="2D05BB8F">
            <w:pPr>
              <w:pStyle w:val="TableParagraph"/>
              <w:widowControl w:val="0"/>
              <w:numPr>
                <w:ilvl w:val="0"/>
                <w:numId w:val="61"/>
              </w:numPr>
              <w:tabs>
                <w:tab w:val="left" w:pos="242"/>
              </w:tabs>
              <w:adjustRightInd/>
              <w:spacing w:beforeLines="0" w:before="1" w:line="237" w:lineRule="auto"/>
              <w:ind w:right="404"/>
              <w:jc w:val="left"/>
              <w:rPr>
                <w:b w:val="0"/>
                <w:sz w:val="20"/>
                <w:szCs w:val="20"/>
              </w:rPr>
            </w:pPr>
            <w:r w:rsidRPr="0D296D7E">
              <w:rPr>
                <w:b w:val="0"/>
                <w:sz w:val="20"/>
                <w:szCs w:val="20"/>
              </w:rPr>
              <w:t>Bespoke</w:t>
            </w:r>
            <w:r w:rsidRPr="18951AB2">
              <w:rPr>
                <w:b w:val="0"/>
                <w:sz w:val="20"/>
                <w:szCs w:val="20"/>
                <w:vertAlign w:val="superscript"/>
              </w:rPr>
              <w:footnoteReference w:id="125"/>
            </w:r>
            <w:r w:rsidRPr="18951AB2">
              <w:rPr>
                <w:b w:val="0"/>
                <w:spacing w:val="-3"/>
                <w:sz w:val="20"/>
                <w:szCs w:val="20"/>
                <w:vertAlign w:val="superscript"/>
              </w:rPr>
              <w:t xml:space="preserve"> </w:t>
            </w:r>
            <w:r w:rsidRPr="0D296D7E">
              <w:rPr>
                <w:b w:val="0"/>
                <w:sz w:val="20"/>
                <w:szCs w:val="20"/>
              </w:rPr>
              <w:t>recycling</w:t>
            </w:r>
            <w:r w:rsidRPr="0D296D7E">
              <w:rPr>
                <w:b w:val="0"/>
                <w:spacing w:val="-2"/>
                <w:sz w:val="20"/>
                <w:szCs w:val="20"/>
              </w:rPr>
              <w:t xml:space="preserve"> equipment</w:t>
            </w:r>
          </w:p>
        </w:tc>
        <w:tc>
          <w:tcPr>
            <w:tcW w:w="2613" w:type="dxa"/>
          </w:tcPr>
          <w:p w14:paraId="01ABF99B" w14:textId="43F2172C" w:rsidR="007D44F3" w:rsidRDefault="007D44F3" w:rsidP="0D296D7E">
            <w:pPr>
              <w:pStyle w:val="TableParagraph"/>
              <w:widowControl w:val="0"/>
              <w:numPr>
                <w:ilvl w:val="0"/>
                <w:numId w:val="65"/>
              </w:numPr>
              <w:tabs>
                <w:tab w:val="left" w:pos="240"/>
              </w:tabs>
              <w:adjustRightInd/>
              <w:spacing w:beforeLines="0" w:before="6" w:line="230" w:lineRule="auto"/>
              <w:ind w:right="125"/>
              <w:jc w:val="left"/>
              <w:rPr>
                <w:b w:val="0"/>
                <w:sz w:val="20"/>
                <w:szCs w:val="20"/>
                <w:vertAlign w:val="superscript"/>
              </w:rPr>
            </w:pPr>
            <w:r w:rsidRPr="0D296D7E">
              <w:rPr>
                <w:b w:val="0"/>
                <w:sz w:val="20"/>
                <w:szCs w:val="20"/>
              </w:rPr>
              <w:t>Moisture, high boiling residue, and other impurities</w:t>
            </w:r>
            <w:r w:rsidRPr="0D296D7E">
              <w:rPr>
                <w:b w:val="0"/>
                <w:spacing w:val="-13"/>
                <w:sz w:val="20"/>
                <w:szCs w:val="20"/>
              </w:rPr>
              <w:t xml:space="preserve"> </w:t>
            </w:r>
            <w:r w:rsidRPr="0D296D7E">
              <w:rPr>
                <w:b w:val="0"/>
                <w:sz w:val="20"/>
                <w:szCs w:val="20"/>
              </w:rPr>
              <w:t>removal</w:t>
            </w:r>
            <w:r w:rsidRPr="0D296D7E">
              <w:rPr>
                <w:b w:val="0"/>
                <w:spacing w:val="-12"/>
                <w:sz w:val="20"/>
                <w:szCs w:val="20"/>
              </w:rPr>
              <w:t xml:space="preserve"> </w:t>
            </w:r>
            <w:r w:rsidRPr="0D296D7E">
              <w:rPr>
                <w:b w:val="0"/>
                <w:sz w:val="20"/>
                <w:szCs w:val="20"/>
              </w:rPr>
              <w:t xml:space="preserve">and </w:t>
            </w:r>
            <w:r w:rsidRPr="0D296D7E">
              <w:rPr>
                <w:b w:val="0"/>
                <w:spacing w:val="-2"/>
                <w:sz w:val="20"/>
                <w:szCs w:val="20"/>
              </w:rPr>
              <w:t>testing</w:t>
            </w:r>
            <w:r w:rsidRPr="235F957B">
              <w:rPr>
                <w:b w:val="0"/>
                <w:sz w:val="20"/>
                <w:szCs w:val="20"/>
                <w:vertAlign w:val="superscript"/>
              </w:rPr>
              <w:footnoteReference w:id="126"/>
            </w:r>
          </w:p>
        </w:tc>
        <w:tc>
          <w:tcPr>
            <w:tcW w:w="2790" w:type="dxa"/>
          </w:tcPr>
          <w:p w14:paraId="3D93706C" w14:textId="5C95EAEE" w:rsidR="007D44F3" w:rsidRDefault="007D44F3" w:rsidP="2D05BB8F">
            <w:pPr>
              <w:pStyle w:val="TableParagraph"/>
              <w:numPr>
                <w:ilvl w:val="0"/>
                <w:numId w:val="79"/>
              </w:numPr>
              <w:spacing w:before="120"/>
              <w:jc w:val="left"/>
              <w:rPr>
                <w:b w:val="0"/>
                <w:sz w:val="20"/>
                <w:szCs w:val="20"/>
              </w:rPr>
            </w:pPr>
            <w:r w:rsidRPr="0D296D7E">
              <w:rPr>
                <w:b w:val="0"/>
                <w:sz w:val="20"/>
                <w:szCs w:val="20"/>
              </w:rPr>
              <w:t>If applicable, operation and maintenance costs for the testing</w:t>
            </w:r>
            <w:r w:rsidRPr="0D296D7E">
              <w:rPr>
                <w:b w:val="0"/>
                <w:spacing w:val="-12"/>
                <w:sz w:val="20"/>
                <w:szCs w:val="20"/>
              </w:rPr>
              <w:t xml:space="preserve"> </w:t>
            </w:r>
            <w:r w:rsidRPr="0D296D7E">
              <w:rPr>
                <w:b w:val="0"/>
                <w:sz w:val="20"/>
                <w:szCs w:val="20"/>
              </w:rPr>
              <w:t>facility</w:t>
            </w:r>
            <w:r w:rsidRPr="0D296D7E">
              <w:rPr>
                <w:b w:val="0"/>
                <w:spacing w:val="-12"/>
                <w:sz w:val="20"/>
                <w:szCs w:val="20"/>
              </w:rPr>
              <w:t xml:space="preserve"> </w:t>
            </w:r>
            <w:r w:rsidRPr="0D296D7E">
              <w:rPr>
                <w:b w:val="0"/>
                <w:sz w:val="20"/>
                <w:szCs w:val="20"/>
              </w:rPr>
              <w:t>or</w:t>
            </w:r>
            <w:r w:rsidRPr="0D296D7E">
              <w:rPr>
                <w:b w:val="0"/>
                <w:spacing w:val="-12"/>
                <w:sz w:val="20"/>
                <w:szCs w:val="20"/>
              </w:rPr>
              <w:t xml:space="preserve"> </w:t>
            </w:r>
            <w:r w:rsidRPr="0D296D7E">
              <w:rPr>
                <w:b w:val="0"/>
                <w:sz w:val="20"/>
                <w:szCs w:val="20"/>
              </w:rPr>
              <w:t>laboratories</w:t>
            </w:r>
          </w:p>
        </w:tc>
        <w:tc>
          <w:tcPr>
            <w:tcW w:w="2133" w:type="dxa"/>
          </w:tcPr>
          <w:p w14:paraId="5C4CB328" w14:textId="7E628C5E" w:rsidR="007D44F3" w:rsidRDefault="007D44F3" w:rsidP="6B241EE4">
            <w:pPr>
              <w:pStyle w:val="TableParagraph"/>
              <w:spacing w:before="120" w:line="230" w:lineRule="auto"/>
              <w:ind w:left="186" w:right="487" w:hanging="77"/>
              <w:jc w:val="left"/>
              <w:rPr>
                <w:rFonts w:ascii="Calibri"/>
                <w:b w:val="0"/>
                <w:sz w:val="20"/>
                <w:szCs w:val="20"/>
              </w:rPr>
            </w:pPr>
            <w:r w:rsidRPr="0D296D7E">
              <w:rPr>
                <w:rFonts w:ascii="Calibri"/>
                <w:b w:val="0"/>
                <w:spacing w:val="-10"/>
                <w:sz w:val="20"/>
                <w:szCs w:val="20"/>
              </w:rPr>
              <w:t>-</w:t>
            </w:r>
          </w:p>
        </w:tc>
        <w:tc>
          <w:tcPr>
            <w:tcW w:w="2456" w:type="dxa"/>
          </w:tcPr>
          <w:p w14:paraId="0581E0CC" w14:textId="25AFDF2C" w:rsidR="007D44F3" w:rsidRDefault="007D44F3" w:rsidP="0D296D7E">
            <w:pPr>
              <w:pStyle w:val="TableParagraph"/>
              <w:widowControl w:val="0"/>
              <w:numPr>
                <w:ilvl w:val="0"/>
                <w:numId w:val="63"/>
              </w:numPr>
              <w:tabs>
                <w:tab w:val="left" w:pos="203"/>
              </w:tabs>
              <w:adjustRightInd/>
              <w:spacing w:beforeLines="0" w:before="6" w:line="230" w:lineRule="auto"/>
              <w:ind w:right="1040"/>
              <w:jc w:val="left"/>
              <w:rPr>
                <w:b w:val="0"/>
                <w:sz w:val="20"/>
                <w:szCs w:val="20"/>
              </w:rPr>
            </w:pPr>
            <w:r w:rsidRPr="0D296D7E">
              <w:rPr>
                <w:b w:val="0"/>
                <w:sz w:val="20"/>
                <w:szCs w:val="20"/>
              </w:rPr>
              <w:t>Reporting</w:t>
            </w:r>
            <w:r w:rsidRPr="13E79CA7">
              <w:rPr>
                <w:b w:val="0"/>
                <w:sz w:val="20"/>
                <w:szCs w:val="20"/>
              </w:rPr>
              <w:t xml:space="preserve"> </w:t>
            </w:r>
            <w:r w:rsidRPr="0D296D7E">
              <w:rPr>
                <w:b w:val="0"/>
                <w:sz w:val="20"/>
                <w:szCs w:val="20"/>
              </w:rPr>
              <w:t xml:space="preserve">and </w:t>
            </w:r>
            <w:r w:rsidRPr="0D296D7E">
              <w:rPr>
                <w:b w:val="0"/>
                <w:spacing w:val="-2"/>
                <w:sz w:val="20"/>
                <w:szCs w:val="20"/>
              </w:rPr>
              <w:t>recordkeeping</w:t>
            </w:r>
          </w:p>
        </w:tc>
      </w:tr>
      <w:tr w:rsidR="007D44F3" w14:paraId="3508488C" w14:textId="77777777" w:rsidTr="077E58F6">
        <w:trPr>
          <w:trHeight w:val="1290"/>
        </w:trPr>
        <w:tc>
          <w:tcPr>
            <w:tcW w:w="1665" w:type="dxa"/>
            <w:shd w:val="clear" w:color="auto" w:fill="D9E2F3" w:themeFill="accent1" w:themeFillTint="33"/>
          </w:tcPr>
          <w:p w14:paraId="797BB418" w14:textId="77777777" w:rsidR="007D44F3" w:rsidRDefault="007D44F3" w:rsidP="007D44F3">
            <w:pPr>
              <w:pStyle w:val="TableParagraph"/>
              <w:spacing w:before="120"/>
              <w:ind w:left="107"/>
              <w:rPr>
                <w:b w:val="0"/>
                <w:sz w:val="20"/>
              </w:rPr>
            </w:pPr>
            <w:r>
              <w:rPr>
                <w:spacing w:val="-2"/>
                <w:sz w:val="20"/>
              </w:rPr>
              <w:t>Reclamation</w:t>
            </w:r>
          </w:p>
          <w:p w14:paraId="2FAE2F24" w14:textId="19B8F0A3" w:rsidR="007D44F3" w:rsidRDefault="007D44F3" w:rsidP="007D44F3">
            <w:pPr>
              <w:pStyle w:val="TableParagraph"/>
              <w:spacing w:before="120"/>
              <w:ind w:left="107"/>
              <w:rPr>
                <w:spacing w:val="-2"/>
                <w:sz w:val="20"/>
              </w:rPr>
            </w:pPr>
            <w:r>
              <w:rPr>
                <w:spacing w:val="-2"/>
                <w:sz w:val="20"/>
              </w:rPr>
              <w:t>(single component refrigerants)</w:t>
            </w:r>
          </w:p>
        </w:tc>
        <w:tc>
          <w:tcPr>
            <w:tcW w:w="2921" w:type="dxa"/>
          </w:tcPr>
          <w:p w14:paraId="66F450B0" w14:textId="77777777" w:rsidR="007D44F3" w:rsidRDefault="007D44F3" w:rsidP="0D296D7E">
            <w:pPr>
              <w:pStyle w:val="TableParagraph"/>
              <w:widowControl w:val="0"/>
              <w:numPr>
                <w:ilvl w:val="0"/>
                <w:numId w:val="60"/>
              </w:numPr>
              <w:tabs>
                <w:tab w:val="left" w:pos="264"/>
              </w:tabs>
              <w:adjustRightInd/>
              <w:spacing w:beforeLines="0" w:before="4" w:line="232" w:lineRule="auto"/>
              <w:ind w:right="450"/>
              <w:jc w:val="left"/>
              <w:rPr>
                <w:b w:val="0"/>
                <w:sz w:val="20"/>
                <w:szCs w:val="20"/>
              </w:rPr>
            </w:pPr>
            <w:r w:rsidRPr="0D296D7E">
              <w:rPr>
                <w:b w:val="0"/>
                <w:sz w:val="20"/>
                <w:szCs w:val="20"/>
              </w:rPr>
              <w:t>Refrigerant</w:t>
            </w:r>
            <w:r w:rsidRPr="0D296D7E">
              <w:rPr>
                <w:b w:val="0"/>
                <w:spacing w:val="-13"/>
                <w:sz w:val="20"/>
                <w:szCs w:val="20"/>
              </w:rPr>
              <w:t xml:space="preserve"> </w:t>
            </w:r>
            <w:r w:rsidRPr="0D296D7E">
              <w:rPr>
                <w:b w:val="0"/>
                <w:sz w:val="20"/>
                <w:szCs w:val="20"/>
              </w:rPr>
              <w:t>identifiers</w:t>
            </w:r>
            <w:r w:rsidRPr="0D296D7E">
              <w:rPr>
                <w:b w:val="0"/>
                <w:spacing w:val="-12"/>
                <w:sz w:val="20"/>
                <w:szCs w:val="20"/>
              </w:rPr>
              <w:t xml:space="preserve"> </w:t>
            </w:r>
            <w:r w:rsidRPr="0D296D7E">
              <w:rPr>
                <w:b w:val="0"/>
                <w:sz w:val="20"/>
                <w:szCs w:val="20"/>
              </w:rPr>
              <w:t xml:space="preserve">(US$ </w:t>
            </w:r>
            <w:r w:rsidRPr="0D296D7E">
              <w:rPr>
                <w:b w:val="0"/>
                <w:spacing w:val="-2"/>
                <w:sz w:val="20"/>
                <w:szCs w:val="20"/>
              </w:rPr>
              <w:t>5,000/unit)</w:t>
            </w:r>
          </w:p>
          <w:p w14:paraId="344994D9" w14:textId="77777777" w:rsidR="007D44F3" w:rsidRDefault="007D44F3" w:rsidP="3CE088B8">
            <w:pPr>
              <w:pStyle w:val="TableParagraph"/>
              <w:widowControl w:val="0"/>
              <w:numPr>
                <w:ilvl w:val="0"/>
                <w:numId w:val="60"/>
              </w:numPr>
              <w:tabs>
                <w:tab w:val="left" w:pos="263"/>
              </w:tabs>
              <w:adjustRightInd/>
              <w:spacing w:beforeLines="0" w:before="8" w:line="230" w:lineRule="auto"/>
              <w:ind w:left="263" w:right="516"/>
              <w:jc w:val="left"/>
              <w:rPr>
                <w:b w:val="0"/>
                <w:sz w:val="20"/>
                <w:szCs w:val="20"/>
              </w:rPr>
            </w:pPr>
            <w:r w:rsidRPr="0D296D7E">
              <w:rPr>
                <w:b w:val="0"/>
                <w:sz w:val="20"/>
                <w:szCs w:val="20"/>
              </w:rPr>
              <w:t>Gas</w:t>
            </w:r>
            <w:r w:rsidRPr="0D296D7E">
              <w:rPr>
                <w:b w:val="0"/>
                <w:spacing w:val="-13"/>
                <w:sz w:val="20"/>
                <w:szCs w:val="20"/>
              </w:rPr>
              <w:t xml:space="preserve"> </w:t>
            </w:r>
            <w:r w:rsidRPr="0D296D7E">
              <w:rPr>
                <w:b w:val="0"/>
                <w:sz w:val="20"/>
                <w:szCs w:val="20"/>
              </w:rPr>
              <w:t>Chromatography</w:t>
            </w:r>
            <w:r w:rsidRPr="0D296D7E">
              <w:rPr>
                <w:b w:val="0"/>
                <w:spacing w:val="-12"/>
                <w:sz w:val="20"/>
                <w:szCs w:val="20"/>
              </w:rPr>
              <w:t xml:space="preserve"> </w:t>
            </w:r>
            <w:r w:rsidRPr="0D296D7E">
              <w:rPr>
                <w:b w:val="0"/>
                <w:sz w:val="20"/>
                <w:szCs w:val="20"/>
              </w:rPr>
              <w:t xml:space="preserve">(GC) </w:t>
            </w:r>
            <w:r w:rsidRPr="0D296D7E">
              <w:rPr>
                <w:b w:val="0"/>
                <w:spacing w:val="-2"/>
                <w:sz w:val="20"/>
                <w:szCs w:val="20"/>
              </w:rPr>
              <w:t>equipment</w:t>
            </w:r>
            <w:r w:rsidRPr="01EB1CC1">
              <w:rPr>
                <w:b w:val="0"/>
                <w:spacing w:val="-2"/>
                <w:sz w:val="20"/>
                <w:szCs w:val="20"/>
              </w:rPr>
              <w:t xml:space="preserve"> </w:t>
            </w:r>
            <w:r w:rsidRPr="0D296D7E">
              <w:rPr>
                <w:b w:val="0"/>
                <w:sz w:val="20"/>
                <w:szCs w:val="20"/>
              </w:rPr>
              <w:t>(US$</w:t>
            </w:r>
            <w:r w:rsidRPr="0D296D7E">
              <w:rPr>
                <w:b w:val="0"/>
                <w:spacing w:val="-3"/>
                <w:sz w:val="20"/>
                <w:szCs w:val="20"/>
              </w:rPr>
              <w:t xml:space="preserve"> </w:t>
            </w:r>
            <w:r w:rsidRPr="0D296D7E">
              <w:rPr>
                <w:b w:val="0"/>
                <w:sz w:val="20"/>
                <w:szCs w:val="20"/>
              </w:rPr>
              <w:t>45K</w:t>
            </w:r>
            <w:r w:rsidRPr="0D296D7E">
              <w:rPr>
                <w:b w:val="0"/>
                <w:spacing w:val="-3"/>
                <w:sz w:val="20"/>
                <w:szCs w:val="20"/>
              </w:rPr>
              <w:t xml:space="preserve"> </w:t>
            </w:r>
            <w:r w:rsidRPr="0D296D7E">
              <w:rPr>
                <w:b w:val="0"/>
                <w:sz w:val="20"/>
                <w:szCs w:val="20"/>
              </w:rPr>
              <w:t>to</w:t>
            </w:r>
            <w:r w:rsidRPr="0D296D7E">
              <w:rPr>
                <w:b w:val="0"/>
                <w:spacing w:val="-4"/>
                <w:sz w:val="20"/>
                <w:szCs w:val="20"/>
              </w:rPr>
              <w:t xml:space="preserve"> 50K)</w:t>
            </w:r>
          </w:p>
          <w:p w14:paraId="3D739AAF" w14:textId="77777777" w:rsidR="007D44F3" w:rsidRDefault="007D44F3" w:rsidP="0D296D7E">
            <w:pPr>
              <w:pStyle w:val="TableParagraph"/>
              <w:widowControl w:val="0"/>
              <w:numPr>
                <w:ilvl w:val="0"/>
                <w:numId w:val="60"/>
              </w:numPr>
              <w:tabs>
                <w:tab w:val="left" w:pos="263"/>
              </w:tabs>
              <w:adjustRightInd/>
              <w:spacing w:beforeLines="0" w:before="3" w:line="235" w:lineRule="auto"/>
              <w:ind w:left="263" w:right="415"/>
              <w:jc w:val="left"/>
              <w:rPr>
                <w:b w:val="0"/>
                <w:sz w:val="20"/>
                <w:szCs w:val="20"/>
              </w:rPr>
            </w:pPr>
            <w:r w:rsidRPr="0D296D7E">
              <w:rPr>
                <w:b w:val="0"/>
                <w:sz w:val="20"/>
                <w:szCs w:val="20"/>
              </w:rPr>
              <w:t>Additional</w:t>
            </w:r>
            <w:r w:rsidRPr="0D296D7E">
              <w:rPr>
                <w:b w:val="0"/>
                <w:spacing w:val="-13"/>
                <w:sz w:val="20"/>
                <w:szCs w:val="20"/>
              </w:rPr>
              <w:t xml:space="preserve"> </w:t>
            </w:r>
            <w:r w:rsidRPr="0D296D7E">
              <w:rPr>
                <w:b w:val="0"/>
                <w:sz w:val="20"/>
                <w:szCs w:val="20"/>
              </w:rPr>
              <w:t>lab</w:t>
            </w:r>
            <w:r w:rsidRPr="0D296D7E">
              <w:rPr>
                <w:b w:val="0"/>
                <w:spacing w:val="-12"/>
                <w:sz w:val="20"/>
                <w:szCs w:val="20"/>
              </w:rPr>
              <w:t xml:space="preserve"> </w:t>
            </w:r>
            <w:r w:rsidRPr="0D296D7E">
              <w:rPr>
                <w:b w:val="0"/>
                <w:sz w:val="20"/>
                <w:szCs w:val="20"/>
              </w:rPr>
              <w:t xml:space="preserve">infrastructure (e.g., fume cupboards, lab </w:t>
            </w:r>
            <w:r w:rsidRPr="0D296D7E">
              <w:rPr>
                <w:b w:val="0"/>
                <w:spacing w:val="-2"/>
                <w:sz w:val="20"/>
                <w:szCs w:val="20"/>
              </w:rPr>
              <w:t>balances)</w:t>
            </w:r>
          </w:p>
          <w:p w14:paraId="48534AB9" w14:textId="53979874" w:rsidR="007D44F3" w:rsidRDefault="007D44F3" w:rsidP="3CE088B8">
            <w:pPr>
              <w:pStyle w:val="TableParagraph"/>
              <w:widowControl w:val="0"/>
              <w:numPr>
                <w:ilvl w:val="0"/>
                <w:numId w:val="60"/>
              </w:numPr>
              <w:tabs>
                <w:tab w:val="left" w:pos="263"/>
              </w:tabs>
              <w:adjustRightInd/>
              <w:spacing w:beforeLines="0" w:before="3" w:line="235" w:lineRule="auto"/>
              <w:ind w:left="263" w:right="415"/>
              <w:jc w:val="left"/>
              <w:rPr>
                <w:b w:val="0"/>
                <w:sz w:val="20"/>
                <w:szCs w:val="20"/>
              </w:rPr>
            </w:pPr>
            <w:r w:rsidRPr="0D296D7E">
              <w:rPr>
                <w:b w:val="0"/>
                <w:sz w:val="20"/>
                <w:szCs w:val="20"/>
              </w:rPr>
              <w:lastRenderedPageBreak/>
              <w:t>Reclamation equipment to remove</w:t>
            </w:r>
            <w:r w:rsidRPr="0D296D7E">
              <w:rPr>
                <w:b w:val="0"/>
                <w:spacing w:val="-13"/>
                <w:sz w:val="20"/>
                <w:szCs w:val="20"/>
              </w:rPr>
              <w:t xml:space="preserve"> </w:t>
            </w:r>
            <w:r w:rsidRPr="0D296D7E">
              <w:rPr>
                <w:b w:val="0"/>
                <w:sz w:val="20"/>
                <w:szCs w:val="20"/>
              </w:rPr>
              <w:t>moisture,</w:t>
            </w:r>
            <w:r w:rsidRPr="0D296D7E">
              <w:rPr>
                <w:b w:val="0"/>
                <w:spacing w:val="-11"/>
                <w:sz w:val="20"/>
                <w:szCs w:val="20"/>
              </w:rPr>
              <w:t xml:space="preserve"> </w:t>
            </w:r>
            <w:r w:rsidRPr="0D296D7E">
              <w:rPr>
                <w:b w:val="0"/>
                <w:sz w:val="20"/>
                <w:szCs w:val="20"/>
              </w:rPr>
              <w:t>high</w:t>
            </w:r>
            <w:r w:rsidRPr="0D296D7E">
              <w:rPr>
                <w:b w:val="0"/>
                <w:spacing w:val="-12"/>
                <w:sz w:val="20"/>
                <w:szCs w:val="20"/>
              </w:rPr>
              <w:t xml:space="preserve"> </w:t>
            </w:r>
            <w:r w:rsidRPr="0D296D7E">
              <w:rPr>
                <w:b w:val="0"/>
                <w:sz w:val="20"/>
                <w:szCs w:val="20"/>
              </w:rPr>
              <w:t>boiling residue and other impurities</w:t>
            </w:r>
          </w:p>
        </w:tc>
        <w:tc>
          <w:tcPr>
            <w:tcW w:w="2613" w:type="dxa"/>
          </w:tcPr>
          <w:p w14:paraId="621AA4DE" w14:textId="77777777" w:rsidR="007D44F3" w:rsidRDefault="007D44F3" w:rsidP="0D296D7E">
            <w:pPr>
              <w:pStyle w:val="TableParagraph"/>
              <w:widowControl w:val="0"/>
              <w:numPr>
                <w:ilvl w:val="0"/>
                <w:numId w:val="59"/>
              </w:numPr>
              <w:tabs>
                <w:tab w:val="left" w:pos="240"/>
              </w:tabs>
              <w:adjustRightInd/>
              <w:spacing w:beforeLines="0" w:before="4" w:line="232" w:lineRule="auto"/>
              <w:ind w:right="197"/>
              <w:jc w:val="left"/>
              <w:rPr>
                <w:b w:val="0"/>
                <w:sz w:val="20"/>
                <w:szCs w:val="20"/>
              </w:rPr>
            </w:pPr>
            <w:r w:rsidRPr="0D296D7E">
              <w:rPr>
                <w:b w:val="0"/>
                <w:sz w:val="20"/>
                <w:szCs w:val="20"/>
              </w:rPr>
              <w:lastRenderedPageBreak/>
              <w:t>Cost</w:t>
            </w:r>
            <w:r w:rsidRPr="0D296D7E">
              <w:rPr>
                <w:b w:val="0"/>
                <w:spacing w:val="-10"/>
                <w:sz w:val="20"/>
                <w:szCs w:val="20"/>
              </w:rPr>
              <w:t xml:space="preserve"> </w:t>
            </w:r>
            <w:r w:rsidRPr="0D296D7E">
              <w:rPr>
                <w:b w:val="0"/>
                <w:sz w:val="20"/>
                <w:szCs w:val="20"/>
              </w:rPr>
              <w:t>per</w:t>
            </w:r>
            <w:r w:rsidRPr="0D296D7E">
              <w:rPr>
                <w:b w:val="0"/>
                <w:spacing w:val="-10"/>
                <w:sz w:val="20"/>
                <w:szCs w:val="20"/>
              </w:rPr>
              <w:t xml:space="preserve"> </w:t>
            </w:r>
            <w:r w:rsidRPr="0D296D7E">
              <w:rPr>
                <w:b w:val="0"/>
                <w:sz w:val="20"/>
                <w:szCs w:val="20"/>
              </w:rPr>
              <w:t>GC</w:t>
            </w:r>
            <w:r w:rsidRPr="0D296D7E">
              <w:rPr>
                <w:b w:val="0"/>
                <w:spacing w:val="-11"/>
                <w:sz w:val="20"/>
                <w:szCs w:val="20"/>
              </w:rPr>
              <w:t xml:space="preserve"> </w:t>
            </w:r>
            <w:r w:rsidRPr="0D296D7E">
              <w:rPr>
                <w:b w:val="0"/>
                <w:sz w:val="20"/>
                <w:szCs w:val="20"/>
              </w:rPr>
              <w:t>analysis</w:t>
            </w:r>
            <w:r w:rsidRPr="0D296D7E">
              <w:rPr>
                <w:b w:val="0"/>
                <w:spacing w:val="-11"/>
                <w:sz w:val="20"/>
                <w:szCs w:val="20"/>
              </w:rPr>
              <w:t xml:space="preserve"> </w:t>
            </w:r>
            <w:r w:rsidRPr="0D296D7E">
              <w:rPr>
                <w:b w:val="0"/>
                <w:sz w:val="20"/>
                <w:szCs w:val="20"/>
              </w:rPr>
              <w:t xml:space="preserve">(US$ </w:t>
            </w:r>
            <w:r w:rsidRPr="0D296D7E">
              <w:rPr>
                <w:b w:val="0"/>
                <w:spacing w:val="-4"/>
                <w:sz w:val="20"/>
                <w:szCs w:val="20"/>
              </w:rPr>
              <w:t>500)</w:t>
            </w:r>
          </w:p>
          <w:p w14:paraId="3333B988" w14:textId="77777777" w:rsidR="007D44F3" w:rsidRDefault="007D44F3" w:rsidP="0D296D7E">
            <w:pPr>
              <w:pStyle w:val="TableParagraph"/>
              <w:widowControl w:val="0"/>
              <w:numPr>
                <w:ilvl w:val="0"/>
                <w:numId w:val="59"/>
              </w:numPr>
              <w:tabs>
                <w:tab w:val="left" w:pos="239"/>
              </w:tabs>
              <w:adjustRightInd/>
              <w:spacing w:beforeLines="0" w:before="0" w:line="238" w:lineRule="exact"/>
              <w:ind w:left="239" w:hanging="141"/>
              <w:jc w:val="left"/>
              <w:rPr>
                <w:b w:val="0"/>
                <w:sz w:val="20"/>
                <w:szCs w:val="20"/>
              </w:rPr>
            </w:pPr>
            <w:r w:rsidRPr="0D296D7E">
              <w:rPr>
                <w:b w:val="0"/>
                <w:sz w:val="20"/>
                <w:szCs w:val="20"/>
              </w:rPr>
              <w:t>Incremental</w:t>
            </w:r>
            <w:r w:rsidRPr="0D296D7E">
              <w:rPr>
                <w:b w:val="0"/>
                <w:spacing w:val="-10"/>
                <w:sz w:val="20"/>
                <w:szCs w:val="20"/>
              </w:rPr>
              <w:t xml:space="preserve"> </w:t>
            </w:r>
            <w:r w:rsidRPr="0D296D7E">
              <w:rPr>
                <w:b w:val="0"/>
                <w:sz w:val="20"/>
                <w:szCs w:val="20"/>
              </w:rPr>
              <w:t>staffing</w:t>
            </w:r>
            <w:r w:rsidRPr="0D296D7E">
              <w:rPr>
                <w:b w:val="0"/>
                <w:spacing w:val="-8"/>
                <w:sz w:val="20"/>
                <w:szCs w:val="20"/>
              </w:rPr>
              <w:t xml:space="preserve"> </w:t>
            </w:r>
            <w:r w:rsidRPr="0D296D7E">
              <w:rPr>
                <w:b w:val="0"/>
                <w:spacing w:val="-4"/>
                <w:sz w:val="20"/>
                <w:szCs w:val="20"/>
              </w:rPr>
              <w:t>costs</w:t>
            </w:r>
          </w:p>
          <w:p w14:paraId="3E668275" w14:textId="58021677" w:rsidR="007D44F3" w:rsidRDefault="007D44F3" w:rsidP="0D296D7E">
            <w:pPr>
              <w:pStyle w:val="TableParagraph"/>
              <w:widowControl w:val="0"/>
              <w:numPr>
                <w:ilvl w:val="0"/>
                <w:numId w:val="65"/>
              </w:numPr>
              <w:tabs>
                <w:tab w:val="left" w:pos="240"/>
              </w:tabs>
              <w:adjustRightInd/>
              <w:spacing w:beforeLines="0" w:before="6" w:line="230" w:lineRule="auto"/>
              <w:ind w:right="125"/>
              <w:jc w:val="left"/>
              <w:rPr>
                <w:b w:val="0"/>
                <w:sz w:val="20"/>
                <w:szCs w:val="20"/>
              </w:rPr>
            </w:pPr>
            <w:r w:rsidRPr="0D296D7E">
              <w:rPr>
                <w:b w:val="0"/>
                <w:sz w:val="20"/>
                <w:szCs w:val="20"/>
              </w:rPr>
              <w:t>Incremental laboratory operational costs (e.g., sample</w:t>
            </w:r>
            <w:r w:rsidRPr="0D296D7E">
              <w:rPr>
                <w:b w:val="0"/>
                <w:spacing w:val="-13"/>
                <w:sz w:val="20"/>
                <w:szCs w:val="20"/>
              </w:rPr>
              <w:t xml:space="preserve"> </w:t>
            </w:r>
            <w:r w:rsidRPr="0D296D7E">
              <w:rPr>
                <w:b w:val="0"/>
                <w:sz w:val="20"/>
                <w:szCs w:val="20"/>
              </w:rPr>
              <w:t>and</w:t>
            </w:r>
            <w:r w:rsidRPr="0D296D7E">
              <w:rPr>
                <w:b w:val="0"/>
                <w:spacing w:val="-12"/>
                <w:sz w:val="20"/>
                <w:szCs w:val="20"/>
              </w:rPr>
              <w:t xml:space="preserve"> </w:t>
            </w:r>
            <w:r w:rsidRPr="0D296D7E">
              <w:rPr>
                <w:b w:val="0"/>
                <w:sz w:val="20"/>
                <w:szCs w:val="20"/>
              </w:rPr>
              <w:t>reagent</w:t>
            </w:r>
            <w:r w:rsidRPr="0D296D7E">
              <w:rPr>
                <w:b w:val="0"/>
                <w:spacing w:val="-13"/>
                <w:sz w:val="20"/>
                <w:szCs w:val="20"/>
              </w:rPr>
              <w:t xml:space="preserve"> </w:t>
            </w:r>
            <w:r w:rsidRPr="0D296D7E">
              <w:rPr>
                <w:b w:val="0"/>
                <w:sz w:val="20"/>
                <w:szCs w:val="20"/>
              </w:rPr>
              <w:t>bottles, calibration standards</w:t>
            </w:r>
            <w:r w:rsidRPr="6B1A0893">
              <w:rPr>
                <w:b w:val="0"/>
                <w:sz w:val="20"/>
                <w:szCs w:val="20"/>
              </w:rPr>
              <w:t>,</w:t>
            </w:r>
            <w:r w:rsidRPr="0D296D7E">
              <w:rPr>
                <w:b w:val="0"/>
                <w:sz w:val="20"/>
                <w:szCs w:val="20"/>
              </w:rPr>
              <w:t xml:space="preserve"> etc.)</w:t>
            </w:r>
          </w:p>
        </w:tc>
        <w:tc>
          <w:tcPr>
            <w:tcW w:w="2790" w:type="dxa"/>
          </w:tcPr>
          <w:p w14:paraId="5007A7F4" w14:textId="77777777" w:rsidR="007D44F3" w:rsidRDefault="007D44F3" w:rsidP="0D296D7E">
            <w:pPr>
              <w:pStyle w:val="TableParagraph"/>
              <w:widowControl w:val="0"/>
              <w:numPr>
                <w:ilvl w:val="0"/>
                <w:numId w:val="58"/>
              </w:numPr>
              <w:tabs>
                <w:tab w:val="left" w:pos="243"/>
              </w:tabs>
              <w:adjustRightInd/>
              <w:spacing w:beforeLines="0" w:before="2" w:line="235" w:lineRule="auto"/>
              <w:ind w:right="201"/>
              <w:jc w:val="left"/>
              <w:rPr>
                <w:b w:val="0"/>
                <w:sz w:val="20"/>
                <w:szCs w:val="20"/>
              </w:rPr>
            </w:pPr>
            <w:r w:rsidRPr="0D296D7E">
              <w:rPr>
                <w:b w:val="0"/>
                <w:sz w:val="20"/>
                <w:szCs w:val="20"/>
              </w:rPr>
              <w:t>Operation and maintenance costs</w:t>
            </w:r>
            <w:r w:rsidRPr="0D296D7E">
              <w:rPr>
                <w:b w:val="0"/>
                <w:spacing w:val="-9"/>
                <w:sz w:val="20"/>
                <w:szCs w:val="20"/>
              </w:rPr>
              <w:t xml:space="preserve"> </w:t>
            </w:r>
            <w:r w:rsidRPr="0D296D7E">
              <w:rPr>
                <w:b w:val="0"/>
                <w:sz w:val="20"/>
                <w:szCs w:val="20"/>
              </w:rPr>
              <w:t>for</w:t>
            </w:r>
            <w:r w:rsidRPr="0D296D7E">
              <w:rPr>
                <w:b w:val="0"/>
                <w:spacing w:val="-7"/>
                <w:sz w:val="20"/>
                <w:szCs w:val="20"/>
              </w:rPr>
              <w:t xml:space="preserve"> </w:t>
            </w:r>
            <w:r w:rsidRPr="0D296D7E">
              <w:rPr>
                <w:b w:val="0"/>
                <w:sz w:val="20"/>
                <w:szCs w:val="20"/>
              </w:rPr>
              <w:t>the</w:t>
            </w:r>
            <w:r w:rsidRPr="0D296D7E">
              <w:rPr>
                <w:b w:val="0"/>
                <w:spacing w:val="-8"/>
                <w:sz w:val="20"/>
                <w:szCs w:val="20"/>
              </w:rPr>
              <w:t xml:space="preserve"> </w:t>
            </w:r>
            <w:r w:rsidRPr="0D296D7E">
              <w:rPr>
                <w:b w:val="0"/>
                <w:sz w:val="20"/>
                <w:szCs w:val="20"/>
              </w:rPr>
              <w:t>testing</w:t>
            </w:r>
            <w:r w:rsidRPr="0D296D7E">
              <w:rPr>
                <w:b w:val="0"/>
                <w:spacing w:val="-7"/>
                <w:sz w:val="20"/>
                <w:szCs w:val="20"/>
              </w:rPr>
              <w:t xml:space="preserve"> </w:t>
            </w:r>
            <w:r w:rsidRPr="0D296D7E">
              <w:rPr>
                <w:b w:val="0"/>
                <w:sz w:val="20"/>
                <w:szCs w:val="20"/>
              </w:rPr>
              <w:t>facility</w:t>
            </w:r>
            <w:r w:rsidRPr="0D296D7E">
              <w:rPr>
                <w:b w:val="0"/>
                <w:spacing w:val="-7"/>
                <w:sz w:val="20"/>
                <w:szCs w:val="20"/>
              </w:rPr>
              <w:t xml:space="preserve"> </w:t>
            </w:r>
            <w:r w:rsidRPr="0D296D7E">
              <w:rPr>
                <w:b w:val="0"/>
                <w:sz w:val="20"/>
                <w:szCs w:val="20"/>
              </w:rPr>
              <w:t xml:space="preserve">or </w:t>
            </w:r>
            <w:r w:rsidRPr="0D296D7E">
              <w:rPr>
                <w:b w:val="0"/>
                <w:spacing w:val="-2"/>
                <w:sz w:val="20"/>
                <w:szCs w:val="20"/>
              </w:rPr>
              <w:t>laboratories</w:t>
            </w:r>
          </w:p>
          <w:p w14:paraId="50C31C5F" w14:textId="77777777" w:rsidR="007D44F3" w:rsidRDefault="007D44F3" w:rsidP="0D296D7E">
            <w:pPr>
              <w:pStyle w:val="TableParagraph"/>
              <w:widowControl w:val="0"/>
              <w:numPr>
                <w:ilvl w:val="0"/>
                <w:numId w:val="58"/>
              </w:numPr>
              <w:tabs>
                <w:tab w:val="left" w:pos="243"/>
              </w:tabs>
              <w:adjustRightInd/>
              <w:spacing w:beforeLines="0" w:before="2" w:line="237" w:lineRule="auto"/>
              <w:ind w:right="429"/>
              <w:jc w:val="left"/>
              <w:rPr>
                <w:b w:val="0"/>
                <w:sz w:val="20"/>
                <w:szCs w:val="20"/>
              </w:rPr>
            </w:pPr>
            <w:r w:rsidRPr="0D296D7E">
              <w:rPr>
                <w:b w:val="0"/>
                <w:sz w:val="20"/>
                <w:szCs w:val="20"/>
              </w:rPr>
              <w:t>Incremental handling equipment (e.g., forklifts, trolleys</w:t>
            </w:r>
            <w:r w:rsidRPr="0D296D7E">
              <w:rPr>
                <w:b w:val="0"/>
                <w:spacing w:val="-9"/>
                <w:sz w:val="20"/>
                <w:szCs w:val="20"/>
              </w:rPr>
              <w:t xml:space="preserve"> </w:t>
            </w:r>
            <w:r w:rsidRPr="0D296D7E">
              <w:rPr>
                <w:b w:val="0"/>
                <w:sz w:val="20"/>
                <w:szCs w:val="20"/>
              </w:rPr>
              <w:t>etc.)</w:t>
            </w:r>
            <w:r w:rsidRPr="0D296D7E">
              <w:rPr>
                <w:b w:val="0"/>
                <w:spacing w:val="-7"/>
                <w:sz w:val="20"/>
                <w:szCs w:val="20"/>
              </w:rPr>
              <w:t xml:space="preserve"> </w:t>
            </w:r>
            <w:r w:rsidRPr="0D296D7E">
              <w:rPr>
                <w:b w:val="0"/>
                <w:sz w:val="20"/>
                <w:szCs w:val="20"/>
              </w:rPr>
              <w:t>–</w:t>
            </w:r>
            <w:r w:rsidRPr="0D296D7E">
              <w:rPr>
                <w:b w:val="0"/>
                <w:spacing w:val="-7"/>
                <w:sz w:val="20"/>
                <w:szCs w:val="20"/>
              </w:rPr>
              <w:t xml:space="preserve"> </w:t>
            </w:r>
            <w:r w:rsidRPr="0D296D7E">
              <w:rPr>
                <w:b w:val="0"/>
                <w:sz w:val="20"/>
                <w:szCs w:val="20"/>
              </w:rPr>
              <w:t>will</w:t>
            </w:r>
            <w:r w:rsidRPr="0D296D7E">
              <w:rPr>
                <w:b w:val="0"/>
                <w:spacing w:val="-8"/>
                <w:sz w:val="20"/>
                <w:szCs w:val="20"/>
              </w:rPr>
              <w:t xml:space="preserve"> </w:t>
            </w:r>
            <w:r w:rsidRPr="0D296D7E">
              <w:rPr>
                <w:b w:val="0"/>
                <w:sz w:val="20"/>
                <w:szCs w:val="20"/>
              </w:rPr>
              <w:t>vary</w:t>
            </w:r>
            <w:r w:rsidRPr="0D296D7E">
              <w:rPr>
                <w:b w:val="0"/>
                <w:spacing w:val="-7"/>
                <w:sz w:val="20"/>
                <w:szCs w:val="20"/>
              </w:rPr>
              <w:t xml:space="preserve"> </w:t>
            </w:r>
            <w:r w:rsidRPr="0D296D7E">
              <w:rPr>
                <w:b w:val="0"/>
                <w:sz w:val="20"/>
                <w:szCs w:val="20"/>
              </w:rPr>
              <w:t>by facility size</w:t>
            </w:r>
          </w:p>
          <w:p w14:paraId="68245575" w14:textId="77777777" w:rsidR="007D44F3" w:rsidRDefault="007D44F3" w:rsidP="0D296D7E">
            <w:pPr>
              <w:pStyle w:val="TableParagraph"/>
              <w:widowControl w:val="0"/>
              <w:numPr>
                <w:ilvl w:val="0"/>
                <w:numId w:val="58"/>
              </w:numPr>
              <w:tabs>
                <w:tab w:val="left" w:pos="243"/>
              </w:tabs>
              <w:adjustRightInd/>
              <w:spacing w:beforeLines="0" w:before="2" w:line="235" w:lineRule="auto"/>
              <w:ind w:right="863"/>
              <w:jc w:val="left"/>
              <w:rPr>
                <w:b w:val="0"/>
                <w:sz w:val="20"/>
                <w:szCs w:val="20"/>
              </w:rPr>
            </w:pPr>
            <w:r w:rsidRPr="0D296D7E">
              <w:rPr>
                <w:b w:val="0"/>
                <w:sz w:val="20"/>
                <w:szCs w:val="20"/>
              </w:rPr>
              <w:t>Storage</w:t>
            </w:r>
            <w:r w:rsidRPr="0D296D7E">
              <w:rPr>
                <w:b w:val="0"/>
                <w:spacing w:val="-13"/>
                <w:sz w:val="20"/>
                <w:szCs w:val="20"/>
              </w:rPr>
              <w:t xml:space="preserve"> </w:t>
            </w:r>
            <w:r w:rsidRPr="0D296D7E">
              <w:rPr>
                <w:b w:val="0"/>
                <w:sz w:val="20"/>
                <w:szCs w:val="20"/>
              </w:rPr>
              <w:t>for</w:t>
            </w:r>
            <w:r w:rsidRPr="0D296D7E">
              <w:rPr>
                <w:b w:val="0"/>
                <w:spacing w:val="-12"/>
                <w:sz w:val="20"/>
                <w:szCs w:val="20"/>
              </w:rPr>
              <w:t xml:space="preserve"> </w:t>
            </w:r>
            <w:r w:rsidRPr="0D296D7E">
              <w:rPr>
                <w:b w:val="0"/>
                <w:sz w:val="20"/>
                <w:szCs w:val="20"/>
              </w:rPr>
              <w:lastRenderedPageBreak/>
              <w:t xml:space="preserve">recovered refrigerants pending </w:t>
            </w:r>
            <w:r w:rsidRPr="0D296D7E">
              <w:rPr>
                <w:b w:val="0"/>
                <w:spacing w:val="-2"/>
                <w:sz w:val="20"/>
                <w:szCs w:val="20"/>
              </w:rPr>
              <w:t>reclamation</w:t>
            </w:r>
          </w:p>
          <w:p w14:paraId="54EF4763" w14:textId="77777777" w:rsidR="007D44F3" w:rsidRDefault="007D44F3" w:rsidP="0D296D7E">
            <w:pPr>
              <w:pStyle w:val="TableParagraph"/>
              <w:widowControl w:val="0"/>
              <w:numPr>
                <w:ilvl w:val="0"/>
                <w:numId w:val="58"/>
              </w:numPr>
              <w:tabs>
                <w:tab w:val="left" w:pos="243"/>
              </w:tabs>
              <w:adjustRightInd/>
              <w:spacing w:beforeLines="0" w:before="3" w:line="235" w:lineRule="auto"/>
              <w:ind w:right="132"/>
              <w:jc w:val="left"/>
              <w:rPr>
                <w:b w:val="0"/>
                <w:sz w:val="20"/>
                <w:szCs w:val="20"/>
              </w:rPr>
            </w:pPr>
            <w:r w:rsidRPr="0D296D7E">
              <w:rPr>
                <w:b w:val="0"/>
                <w:sz w:val="20"/>
                <w:szCs w:val="20"/>
              </w:rPr>
              <w:t>Appropriate cylinder fleet for returning</w:t>
            </w:r>
            <w:r w:rsidRPr="0D296D7E">
              <w:rPr>
                <w:b w:val="0"/>
                <w:spacing w:val="-13"/>
                <w:sz w:val="20"/>
                <w:szCs w:val="20"/>
              </w:rPr>
              <w:t xml:space="preserve"> </w:t>
            </w:r>
            <w:r w:rsidRPr="0D296D7E">
              <w:rPr>
                <w:b w:val="0"/>
                <w:sz w:val="20"/>
                <w:szCs w:val="20"/>
              </w:rPr>
              <w:t>reclaimed</w:t>
            </w:r>
            <w:r w:rsidRPr="0D296D7E">
              <w:rPr>
                <w:b w:val="0"/>
                <w:spacing w:val="-12"/>
                <w:sz w:val="20"/>
                <w:szCs w:val="20"/>
              </w:rPr>
              <w:t xml:space="preserve"> </w:t>
            </w:r>
            <w:r w:rsidRPr="0D296D7E">
              <w:rPr>
                <w:b w:val="0"/>
                <w:sz w:val="20"/>
                <w:szCs w:val="20"/>
              </w:rPr>
              <w:t>refrigerant to the market</w:t>
            </w:r>
          </w:p>
          <w:p w14:paraId="177BD828" w14:textId="77777777" w:rsidR="007D44F3" w:rsidRDefault="007D44F3" w:rsidP="0D296D7E">
            <w:pPr>
              <w:pStyle w:val="TableParagraph"/>
              <w:widowControl w:val="0"/>
              <w:numPr>
                <w:ilvl w:val="0"/>
                <w:numId w:val="58"/>
              </w:numPr>
              <w:tabs>
                <w:tab w:val="left" w:pos="243"/>
              </w:tabs>
              <w:adjustRightInd/>
              <w:spacing w:beforeLines="0" w:before="2" w:line="237" w:lineRule="auto"/>
              <w:ind w:right="109"/>
              <w:jc w:val="left"/>
              <w:rPr>
                <w:b w:val="0"/>
                <w:sz w:val="20"/>
                <w:szCs w:val="20"/>
              </w:rPr>
            </w:pPr>
            <w:r w:rsidRPr="0D296D7E">
              <w:rPr>
                <w:b w:val="0"/>
                <w:sz w:val="20"/>
                <w:szCs w:val="20"/>
              </w:rPr>
              <w:t>Where applicable, costs associated</w:t>
            </w:r>
            <w:r w:rsidRPr="0D296D7E">
              <w:rPr>
                <w:b w:val="0"/>
                <w:spacing w:val="-11"/>
                <w:sz w:val="20"/>
                <w:szCs w:val="20"/>
              </w:rPr>
              <w:t xml:space="preserve"> </w:t>
            </w:r>
            <w:r w:rsidRPr="0D296D7E">
              <w:rPr>
                <w:b w:val="0"/>
                <w:sz w:val="20"/>
                <w:szCs w:val="20"/>
              </w:rPr>
              <w:t>with</w:t>
            </w:r>
            <w:r w:rsidRPr="0D296D7E">
              <w:rPr>
                <w:b w:val="0"/>
                <w:spacing w:val="-11"/>
                <w:sz w:val="20"/>
                <w:szCs w:val="20"/>
              </w:rPr>
              <w:t xml:space="preserve"> </w:t>
            </w:r>
            <w:r w:rsidRPr="0D296D7E">
              <w:rPr>
                <w:b w:val="0"/>
                <w:sz w:val="20"/>
                <w:szCs w:val="20"/>
              </w:rPr>
              <w:t>providing</w:t>
            </w:r>
            <w:r w:rsidRPr="0D296D7E">
              <w:rPr>
                <w:b w:val="0"/>
                <w:spacing w:val="-11"/>
                <w:sz w:val="20"/>
                <w:szCs w:val="20"/>
              </w:rPr>
              <w:t xml:space="preserve"> </w:t>
            </w:r>
            <w:r w:rsidRPr="0D296D7E">
              <w:rPr>
                <w:b w:val="0"/>
                <w:sz w:val="20"/>
                <w:szCs w:val="20"/>
              </w:rPr>
              <w:t>third party</w:t>
            </w:r>
            <w:r w:rsidRPr="0D296D7E">
              <w:rPr>
                <w:b w:val="0"/>
                <w:spacing w:val="-13"/>
                <w:sz w:val="20"/>
                <w:szCs w:val="20"/>
              </w:rPr>
              <w:t xml:space="preserve"> </w:t>
            </w:r>
            <w:r w:rsidRPr="0D296D7E">
              <w:rPr>
                <w:b w:val="0"/>
                <w:sz w:val="20"/>
                <w:szCs w:val="20"/>
              </w:rPr>
              <w:t>certification</w:t>
            </w:r>
            <w:r w:rsidRPr="0D296D7E">
              <w:rPr>
                <w:b w:val="0"/>
                <w:spacing w:val="-12"/>
                <w:sz w:val="20"/>
                <w:szCs w:val="20"/>
              </w:rPr>
              <w:t xml:space="preserve"> </w:t>
            </w:r>
            <w:r w:rsidRPr="0D296D7E">
              <w:rPr>
                <w:b w:val="0"/>
                <w:sz w:val="20"/>
                <w:szCs w:val="20"/>
              </w:rPr>
              <w:t>(e.g.,</w:t>
            </w:r>
            <w:r w:rsidRPr="0D296D7E">
              <w:rPr>
                <w:b w:val="0"/>
                <w:spacing w:val="-13"/>
                <w:sz w:val="20"/>
                <w:szCs w:val="20"/>
              </w:rPr>
              <w:t xml:space="preserve"> </w:t>
            </w:r>
            <w:r w:rsidRPr="0D296D7E">
              <w:rPr>
                <w:b w:val="0"/>
                <w:sz w:val="20"/>
                <w:szCs w:val="20"/>
              </w:rPr>
              <w:t>AHRI- 700, ISO 90001, ISO 17025)</w:t>
            </w:r>
          </w:p>
          <w:p w14:paraId="7DA7A7E1" w14:textId="77777777" w:rsidR="007D44F3" w:rsidRDefault="007D44F3" w:rsidP="4B4B7B1F">
            <w:pPr>
              <w:pStyle w:val="TableParagraph"/>
              <w:widowControl w:val="0"/>
              <w:numPr>
                <w:ilvl w:val="0"/>
                <w:numId w:val="58"/>
              </w:numPr>
              <w:tabs>
                <w:tab w:val="left" w:pos="243"/>
              </w:tabs>
              <w:adjustRightInd/>
              <w:spacing w:beforeLines="0" w:before="2" w:line="237" w:lineRule="auto"/>
              <w:ind w:right="109"/>
              <w:jc w:val="left"/>
              <w:rPr>
                <w:b w:val="0"/>
                <w:sz w:val="20"/>
                <w:szCs w:val="20"/>
              </w:rPr>
            </w:pPr>
            <w:r w:rsidRPr="0D296D7E">
              <w:rPr>
                <w:b w:val="0"/>
                <w:sz w:val="20"/>
                <w:szCs w:val="20"/>
              </w:rPr>
              <w:t xml:space="preserve">Storage of non- </w:t>
            </w:r>
            <w:r w:rsidRPr="0D296D7E">
              <w:rPr>
                <w:b w:val="0"/>
                <w:spacing w:val="-2"/>
                <w:sz w:val="20"/>
                <w:szCs w:val="20"/>
              </w:rPr>
              <w:t xml:space="preserve">reclaimable/contaminated </w:t>
            </w:r>
            <w:r w:rsidRPr="0D296D7E">
              <w:rPr>
                <w:b w:val="0"/>
                <w:sz w:val="20"/>
                <w:szCs w:val="20"/>
              </w:rPr>
              <w:t>refrigerants</w:t>
            </w:r>
            <w:r w:rsidRPr="0D296D7E">
              <w:rPr>
                <w:b w:val="0"/>
                <w:spacing w:val="-13"/>
                <w:sz w:val="20"/>
                <w:szCs w:val="20"/>
              </w:rPr>
              <w:t xml:space="preserve"> </w:t>
            </w:r>
            <w:r w:rsidRPr="0D296D7E">
              <w:rPr>
                <w:b w:val="0"/>
                <w:sz w:val="20"/>
                <w:szCs w:val="20"/>
              </w:rPr>
              <w:t>for</w:t>
            </w:r>
            <w:r w:rsidRPr="0D296D7E">
              <w:rPr>
                <w:b w:val="0"/>
                <w:spacing w:val="-12"/>
                <w:sz w:val="20"/>
                <w:szCs w:val="20"/>
              </w:rPr>
              <w:t xml:space="preserve"> </w:t>
            </w:r>
            <w:r w:rsidRPr="0D296D7E">
              <w:rPr>
                <w:b w:val="0"/>
                <w:sz w:val="20"/>
                <w:szCs w:val="20"/>
              </w:rPr>
              <w:t>destruction</w:t>
            </w:r>
          </w:p>
        </w:tc>
        <w:tc>
          <w:tcPr>
            <w:tcW w:w="2133" w:type="dxa"/>
          </w:tcPr>
          <w:p w14:paraId="79D714EE" w14:textId="79890ADD" w:rsidR="007D44F3" w:rsidRDefault="007D44F3" w:rsidP="44618678">
            <w:pPr>
              <w:pStyle w:val="TableParagraph"/>
              <w:spacing w:before="120" w:line="237" w:lineRule="auto"/>
              <w:ind w:left="183" w:right="58" w:hanging="142"/>
              <w:jc w:val="left"/>
              <w:rPr>
                <w:rFonts w:ascii="Calibri"/>
                <w:b w:val="0"/>
                <w:sz w:val="20"/>
                <w:szCs w:val="20"/>
              </w:rPr>
            </w:pPr>
            <w:r w:rsidRPr="44618678">
              <w:rPr>
                <w:rFonts w:ascii="Calibri"/>
                <w:b w:val="0"/>
                <w:sz w:val="20"/>
                <w:szCs w:val="20"/>
              </w:rPr>
              <w:lastRenderedPageBreak/>
              <w:t>-</w:t>
            </w:r>
            <w:r w:rsidRPr="44618678">
              <w:rPr>
                <w:rFonts w:ascii="Calibri"/>
                <w:b w:val="0"/>
                <w:spacing w:val="40"/>
                <w:sz w:val="20"/>
                <w:szCs w:val="20"/>
              </w:rPr>
              <w:t xml:space="preserve"> </w:t>
            </w:r>
            <w:r w:rsidRPr="44618678">
              <w:rPr>
                <w:b w:val="0"/>
                <w:sz w:val="20"/>
                <w:szCs w:val="20"/>
              </w:rPr>
              <w:t>Employment and training</w:t>
            </w:r>
            <w:r w:rsidRPr="44618678">
              <w:rPr>
                <w:b w:val="0"/>
                <w:spacing w:val="-11"/>
                <w:sz w:val="20"/>
                <w:szCs w:val="20"/>
              </w:rPr>
              <w:t xml:space="preserve"> </w:t>
            </w:r>
            <w:r w:rsidRPr="44618678">
              <w:rPr>
                <w:b w:val="0"/>
                <w:sz w:val="20"/>
                <w:szCs w:val="20"/>
              </w:rPr>
              <w:t>of</w:t>
            </w:r>
            <w:r w:rsidRPr="44618678">
              <w:rPr>
                <w:b w:val="0"/>
                <w:spacing w:val="-11"/>
                <w:sz w:val="20"/>
                <w:szCs w:val="20"/>
              </w:rPr>
              <w:t xml:space="preserve"> </w:t>
            </w:r>
            <w:r w:rsidRPr="44618678">
              <w:rPr>
                <w:b w:val="0"/>
                <w:sz w:val="20"/>
                <w:szCs w:val="20"/>
              </w:rPr>
              <w:t>operators</w:t>
            </w:r>
            <w:r w:rsidRPr="44618678">
              <w:rPr>
                <w:b w:val="0"/>
                <w:spacing w:val="-13"/>
                <w:sz w:val="20"/>
                <w:szCs w:val="20"/>
              </w:rPr>
              <w:t xml:space="preserve"> </w:t>
            </w:r>
            <w:r w:rsidRPr="44618678">
              <w:rPr>
                <w:b w:val="0"/>
                <w:sz w:val="20"/>
                <w:szCs w:val="20"/>
              </w:rPr>
              <w:t>of reclamation</w:t>
            </w:r>
            <w:r w:rsidRPr="44618678">
              <w:rPr>
                <w:b w:val="0"/>
                <w:spacing w:val="-13"/>
                <w:sz w:val="20"/>
                <w:szCs w:val="20"/>
              </w:rPr>
              <w:t xml:space="preserve"> </w:t>
            </w:r>
            <w:r w:rsidRPr="44618678">
              <w:rPr>
                <w:b w:val="0"/>
                <w:sz w:val="20"/>
                <w:szCs w:val="20"/>
              </w:rPr>
              <w:t xml:space="preserve">equipment (which is more extensive than typical technician training) </w:t>
            </w:r>
          </w:p>
          <w:p w14:paraId="23E059BA" w14:textId="77777777" w:rsidR="007D44F3" w:rsidRDefault="007D44F3" w:rsidP="44618678">
            <w:pPr>
              <w:pStyle w:val="TableParagraph"/>
              <w:spacing w:before="120" w:line="237" w:lineRule="auto"/>
              <w:ind w:left="183" w:right="58" w:hanging="142"/>
              <w:jc w:val="left"/>
              <w:rPr>
                <w:rFonts w:ascii="Calibri"/>
                <w:b w:val="0"/>
                <w:sz w:val="20"/>
                <w:szCs w:val="20"/>
              </w:rPr>
            </w:pPr>
            <w:r w:rsidRPr="6B1A0893">
              <w:rPr>
                <w:b w:val="0"/>
                <w:sz w:val="20"/>
                <w:szCs w:val="20"/>
              </w:rPr>
              <w:lastRenderedPageBreak/>
              <w:t xml:space="preserve">- </w:t>
            </w:r>
            <w:r w:rsidRPr="44618678">
              <w:rPr>
                <w:b w:val="0"/>
                <w:sz w:val="20"/>
                <w:szCs w:val="20"/>
              </w:rPr>
              <w:t>Indicative cost US</w:t>
            </w:r>
            <w:r w:rsidRPr="0D296D7E">
              <w:rPr>
                <w:b w:val="0"/>
                <w:sz w:val="20"/>
                <w:szCs w:val="20"/>
              </w:rPr>
              <w:t>$500</w:t>
            </w:r>
            <w:r w:rsidRPr="0D296D7E">
              <w:rPr>
                <w:b w:val="0"/>
                <w:spacing w:val="-2"/>
                <w:sz w:val="20"/>
                <w:szCs w:val="20"/>
              </w:rPr>
              <w:t xml:space="preserve"> </w:t>
            </w:r>
            <w:r w:rsidRPr="0D296D7E">
              <w:rPr>
                <w:b w:val="0"/>
                <w:sz w:val="20"/>
                <w:szCs w:val="20"/>
              </w:rPr>
              <w:t xml:space="preserve">– </w:t>
            </w:r>
            <w:r w:rsidRPr="0D296D7E">
              <w:rPr>
                <w:b w:val="0"/>
                <w:spacing w:val="-2"/>
                <w:sz w:val="20"/>
                <w:szCs w:val="20"/>
              </w:rPr>
              <w:t>750/operator</w:t>
            </w:r>
          </w:p>
        </w:tc>
        <w:tc>
          <w:tcPr>
            <w:tcW w:w="2456" w:type="dxa"/>
          </w:tcPr>
          <w:p w14:paraId="05FA7451" w14:textId="77777777" w:rsidR="007D44F3" w:rsidRDefault="007D44F3" w:rsidP="0D296D7E">
            <w:pPr>
              <w:pStyle w:val="TableParagraph"/>
              <w:widowControl w:val="0"/>
              <w:numPr>
                <w:ilvl w:val="0"/>
                <w:numId w:val="57"/>
              </w:numPr>
              <w:tabs>
                <w:tab w:val="left" w:pos="203"/>
              </w:tabs>
              <w:adjustRightInd/>
              <w:spacing w:beforeLines="0" w:before="4" w:line="232" w:lineRule="auto"/>
              <w:ind w:right="272"/>
              <w:jc w:val="left"/>
              <w:rPr>
                <w:b w:val="0"/>
                <w:sz w:val="20"/>
                <w:szCs w:val="20"/>
              </w:rPr>
            </w:pPr>
            <w:r w:rsidRPr="0D296D7E">
              <w:rPr>
                <w:b w:val="0"/>
                <w:sz w:val="20"/>
                <w:szCs w:val="20"/>
              </w:rPr>
              <w:lastRenderedPageBreak/>
              <w:t>Inventory</w:t>
            </w:r>
            <w:r w:rsidRPr="0D296D7E">
              <w:rPr>
                <w:b w:val="0"/>
                <w:spacing w:val="-13"/>
                <w:sz w:val="20"/>
                <w:szCs w:val="20"/>
              </w:rPr>
              <w:t xml:space="preserve"> </w:t>
            </w:r>
            <w:r w:rsidRPr="0D296D7E">
              <w:rPr>
                <w:b w:val="0"/>
                <w:sz w:val="20"/>
                <w:szCs w:val="20"/>
              </w:rPr>
              <w:t>management (paper or electronic)</w:t>
            </w:r>
          </w:p>
          <w:p w14:paraId="744CF474" w14:textId="77777777" w:rsidR="007D44F3" w:rsidRDefault="007D44F3" w:rsidP="0D296D7E">
            <w:pPr>
              <w:pStyle w:val="TableParagraph"/>
              <w:widowControl w:val="0"/>
              <w:numPr>
                <w:ilvl w:val="0"/>
                <w:numId w:val="57"/>
              </w:numPr>
              <w:tabs>
                <w:tab w:val="left" w:pos="203"/>
              </w:tabs>
              <w:adjustRightInd/>
              <w:spacing w:beforeLines="0" w:before="4" w:line="235" w:lineRule="auto"/>
              <w:ind w:right="335"/>
              <w:jc w:val="left"/>
              <w:rPr>
                <w:b w:val="0"/>
                <w:sz w:val="20"/>
                <w:szCs w:val="20"/>
              </w:rPr>
            </w:pPr>
            <w:r w:rsidRPr="0D296D7E">
              <w:rPr>
                <w:b w:val="0"/>
                <w:sz w:val="20"/>
                <w:szCs w:val="20"/>
              </w:rPr>
              <w:t>Where applicable, facility</w:t>
            </w:r>
            <w:r w:rsidRPr="0D296D7E">
              <w:rPr>
                <w:b w:val="0"/>
                <w:spacing w:val="-13"/>
                <w:sz w:val="20"/>
                <w:szCs w:val="20"/>
              </w:rPr>
              <w:t xml:space="preserve"> </w:t>
            </w:r>
            <w:r w:rsidRPr="0D296D7E">
              <w:rPr>
                <w:b w:val="0"/>
                <w:sz w:val="20"/>
                <w:szCs w:val="20"/>
              </w:rPr>
              <w:t>permitting</w:t>
            </w:r>
            <w:r w:rsidRPr="0D296D7E">
              <w:rPr>
                <w:b w:val="0"/>
                <w:spacing w:val="-12"/>
                <w:sz w:val="20"/>
                <w:szCs w:val="20"/>
              </w:rPr>
              <w:t xml:space="preserve"> </w:t>
            </w:r>
            <w:r w:rsidRPr="0D296D7E">
              <w:rPr>
                <w:b w:val="0"/>
                <w:sz w:val="20"/>
                <w:szCs w:val="20"/>
              </w:rPr>
              <w:t xml:space="preserve">and </w:t>
            </w:r>
            <w:r w:rsidRPr="0D296D7E">
              <w:rPr>
                <w:b w:val="0"/>
                <w:spacing w:val="-2"/>
                <w:sz w:val="20"/>
                <w:szCs w:val="20"/>
              </w:rPr>
              <w:t>individual licensing/certification</w:t>
            </w:r>
          </w:p>
          <w:p w14:paraId="70DEF921" w14:textId="474B0CB6" w:rsidR="007D44F3" w:rsidRDefault="007D44F3" w:rsidP="0D296D7E">
            <w:pPr>
              <w:pStyle w:val="TableParagraph"/>
              <w:widowControl w:val="0"/>
              <w:numPr>
                <w:ilvl w:val="0"/>
                <w:numId w:val="63"/>
              </w:numPr>
              <w:tabs>
                <w:tab w:val="left" w:pos="203"/>
              </w:tabs>
              <w:adjustRightInd/>
              <w:spacing w:beforeLines="0" w:before="6" w:line="230" w:lineRule="auto"/>
              <w:ind w:right="1040"/>
              <w:jc w:val="left"/>
              <w:rPr>
                <w:b w:val="0"/>
                <w:sz w:val="20"/>
                <w:szCs w:val="20"/>
              </w:rPr>
            </w:pPr>
            <w:r w:rsidRPr="0D296D7E">
              <w:rPr>
                <w:b w:val="0"/>
                <w:sz w:val="20"/>
                <w:szCs w:val="20"/>
              </w:rPr>
              <w:t>Reporting</w:t>
            </w:r>
            <w:r w:rsidRPr="0D296D7E">
              <w:rPr>
                <w:b w:val="0"/>
                <w:spacing w:val="-13"/>
                <w:sz w:val="20"/>
                <w:szCs w:val="20"/>
              </w:rPr>
              <w:t xml:space="preserve"> </w:t>
            </w:r>
            <w:r w:rsidRPr="0D296D7E">
              <w:rPr>
                <w:b w:val="0"/>
                <w:sz w:val="20"/>
                <w:szCs w:val="20"/>
              </w:rPr>
              <w:t xml:space="preserve">and </w:t>
            </w:r>
            <w:r w:rsidRPr="0D296D7E">
              <w:rPr>
                <w:b w:val="0"/>
                <w:spacing w:val="-2"/>
                <w:sz w:val="20"/>
                <w:szCs w:val="20"/>
              </w:rPr>
              <w:t>recordkeeping</w:t>
            </w:r>
          </w:p>
        </w:tc>
      </w:tr>
      <w:tr w:rsidR="00912BBA" w14:paraId="3D18C7C3" w14:textId="77777777" w:rsidTr="077E58F6">
        <w:trPr>
          <w:trHeight w:val="5237"/>
        </w:trPr>
        <w:tc>
          <w:tcPr>
            <w:tcW w:w="1665" w:type="dxa"/>
            <w:shd w:val="clear" w:color="auto" w:fill="D9E2F3" w:themeFill="accent1" w:themeFillTint="33"/>
          </w:tcPr>
          <w:p w14:paraId="00DFFC51" w14:textId="77777777" w:rsidR="00912BBA" w:rsidRDefault="00912BBA" w:rsidP="007D44F3">
            <w:pPr>
              <w:pStyle w:val="TableParagraph"/>
              <w:spacing w:before="120"/>
              <w:ind w:left="107"/>
              <w:rPr>
                <w:b w:val="0"/>
                <w:sz w:val="20"/>
              </w:rPr>
            </w:pPr>
            <w:r>
              <w:rPr>
                <w:spacing w:val="-2"/>
                <w:sz w:val="20"/>
              </w:rPr>
              <w:t>Reclamation</w:t>
            </w:r>
          </w:p>
          <w:p w14:paraId="614EEF55" w14:textId="2BDF6D3E" w:rsidR="00912BBA" w:rsidRDefault="00912BBA" w:rsidP="007D44F3">
            <w:pPr>
              <w:pStyle w:val="TableParagraph"/>
              <w:spacing w:before="120"/>
              <w:ind w:left="107"/>
              <w:rPr>
                <w:spacing w:val="-2"/>
                <w:sz w:val="20"/>
              </w:rPr>
            </w:pPr>
            <w:r>
              <w:rPr>
                <w:spacing w:val="-2"/>
                <w:sz w:val="20"/>
              </w:rPr>
              <w:t>(multi- component refrigerants)</w:t>
            </w:r>
          </w:p>
        </w:tc>
        <w:tc>
          <w:tcPr>
            <w:tcW w:w="2921" w:type="dxa"/>
          </w:tcPr>
          <w:p w14:paraId="51F1E1CC" w14:textId="77777777" w:rsidR="00912BBA" w:rsidRDefault="00912BBA" w:rsidP="0D296D7E">
            <w:pPr>
              <w:pStyle w:val="TableParagraph"/>
              <w:widowControl w:val="0"/>
              <w:numPr>
                <w:ilvl w:val="0"/>
                <w:numId w:val="60"/>
              </w:numPr>
              <w:tabs>
                <w:tab w:val="left" w:pos="264"/>
              </w:tabs>
              <w:adjustRightInd/>
              <w:spacing w:beforeLines="0" w:before="4" w:line="232" w:lineRule="auto"/>
              <w:ind w:right="450"/>
              <w:jc w:val="left"/>
              <w:rPr>
                <w:b w:val="0"/>
                <w:sz w:val="20"/>
                <w:szCs w:val="20"/>
              </w:rPr>
            </w:pPr>
            <w:r w:rsidRPr="0D296D7E">
              <w:rPr>
                <w:rFonts w:ascii="Calibri"/>
                <w:b w:val="0"/>
                <w:sz w:val="20"/>
                <w:szCs w:val="20"/>
              </w:rPr>
              <w:t>-</w:t>
            </w:r>
            <w:r w:rsidRPr="0D296D7E">
              <w:rPr>
                <w:rFonts w:ascii="Calibri"/>
                <w:b w:val="0"/>
                <w:spacing w:val="40"/>
                <w:sz w:val="20"/>
                <w:szCs w:val="20"/>
              </w:rPr>
              <w:t xml:space="preserve"> </w:t>
            </w:r>
            <w:r w:rsidRPr="0D296D7E">
              <w:rPr>
                <w:b w:val="0"/>
                <w:sz w:val="20"/>
                <w:szCs w:val="20"/>
              </w:rPr>
              <w:t>Refrigerant</w:t>
            </w:r>
            <w:r w:rsidRPr="0D296D7E">
              <w:rPr>
                <w:b w:val="0"/>
                <w:spacing w:val="-9"/>
                <w:sz w:val="20"/>
                <w:szCs w:val="20"/>
              </w:rPr>
              <w:t xml:space="preserve"> </w:t>
            </w:r>
            <w:r w:rsidRPr="0D296D7E">
              <w:rPr>
                <w:b w:val="0"/>
                <w:sz w:val="20"/>
                <w:szCs w:val="20"/>
              </w:rPr>
              <w:t>identifiers</w:t>
            </w:r>
            <w:r w:rsidRPr="0D296D7E">
              <w:rPr>
                <w:b w:val="0"/>
                <w:spacing w:val="-9"/>
                <w:sz w:val="20"/>
                <w:szCs w:val="20"/>
              </w:rPr>
              <w:t xml:space="preserve"> </w:t>
            </w:r>
            <w:r w:rsidRPr="0D296D7E">
              <w:rPr>
                <w:b w:val="0"/>
                <w:sz w:val="20"/>
                <w:szCs w:val="20"/>
              </w:rPr>
              <w:t>(US$ 5,000/unit, may not yet available to identify the composition for all</w:t>
            </w:r>
            <w:r w:rsidRPr="0D296D7E">
              <w:rPr>
                <w:b w:val="0"/>
                <w:spacing w:val="-1"/>
                <w:sz w:val="20"/>
                <w:szCs w:val="20"/>
              </w:rPr>
              <w:t xml:space="preserve"> </w:t>
            </w:r>
            <w:r w:rsidRPr="0D296D7E">
              <w:rPr>
                <w:b w:val="0"/>
                <w:sz w:val="20"/>
                <w:szCs w:val="20"/>
              </w:rPr>
              <w:t>types</w:t>
            </w:r>
            <w:r w:rsidRPr="0D296D7E">
              <w:rPr>
                <w:b w:val="0"/>
                <w:spacing w:val="-4"/>
                <w:sz w:val="20"/>
                <w:szCs w:val="20"/>
              </w:rPr>
              <w:t xml:space="preserve"> </w:t>
            </w:r>
            <w:r w:rsidRPr="0D296D7E">
              <w:rPr>
                <w:b w:val="0"/>
                <w:sz w:val="20"/>
                <w:szCs w:val="20"/>
              </w:rPr>
              <w:t xml:space="preserve">of </w:t>
            </w:r>
            <w:r w:rsidRPr="0D296D7E">
              <w:rPr>
                <w:b w:val="0"/>
                <w:spacing w:val="-2"/>
                <w:sz w:val="20"/>
                <w:szCs w:val="20"/>
              </w:rPr>
              <w:t>blends)</w:t>
            </w:r>
          </w:p>
          <w:p w14:paraId="0F4D48E5" w14:textId="3EF071D2" w:rsidR="00912BBA" w:rsidRPr="00F77941" w:rsidRDefault="00912BBA" w:rsidP="00F77941">
            <w:pPr>
              <w:pStyle w:val="TableParagraph"/>
              <w:widowControl w:val="0"/>
              <w:numPr>
                <w:ilvl w:val="0"/>
                <w:numId w:val="53"/>
              </w:numPr>
              <w:tabs>
                <w:tab w:val="left" w:pos="264"/>
              </w:tabs>
              <w:adjustRightInd/>
              <w:spacing w:beforeLines="0" w:before="120" w:line="228" w:lineRule="exact"/>
              <w:ind w:right="516"/>
              <w:jc w:val="left"/>
              <w:rPr>
                <w:b w:val="0"/>
                <w:sz w:val="20"/>
                <w:szCs w:val="20"/>
              </w:rPr>
            </w:pPr>
            <w:r w:rsidRPr="00FB070C">
              <w:rPr>
                <w:b w:val="0"/>
                <w:sz w:val="20"/>
                <w:szCs w:val="20"/>
              </w:rPr>
              <w:t>Gas</w:t>
            </w:r>
            <w:r w:rsidRPr="00FB070C">
              <w:rPr>
                <w:b w:val="0"/>
                <w:spacing w:val="-13"/>
                <w:sz w:val="20"/>
                <w:szCs w:val="20"/>
              </w:rPr>
              <w:t xml:space="preserve"> </w:t>
            </w:r>
            <w:r w:rsidRPr="00FB070C">
              <w:rPr>
                <w:b w:val="0"/>
                <w:sz w:val="20"/>
                <w:szCs w:val="20"/>
              </w:rPr>
              <w:t>Chromatography</w:t>
            </w:r>
            <w:r w:rsidRPr="00FB070C">
              <w:rPr>
                <w:b w:val="0"/>
                <w:spacing w:val="-12"/>
                <w:sz w:val="20"/>
                <w:szCs w:val="20"/>
              </w:rPr>
              <w:t xml:space="preserve"> </w:t>
            </w:r>
            <w:r w:rsidRPr="00FB070C">
              <w:rPr>
                <w:b w:val="0"/>
                <w:sz w:val="20"/>
                <w:szCs w:val="20"/>
              </w:rPr>
              <w:t xml:space="preserve">(GC) </w:t>
            </w:r>
            <w:r w:rsidRPr="00FB070C">
              <w:rPr>
                <w:b w:val="0"/>
                <w:spacing w:val="-2"/>
                <w:sz w:val="20"/>
                <w:szCs w:val="20"/>
              </w:rPr>
              <w:t xml:space="preserve">equipment </w:t>
            </w:r>
            <w:r w:rsidRPr="00FB070C">
              <w:rPr>
                <w:b w:val="0"/>
                <w:sz w:val="20"/>
                <w:szCs w:val="20"/>
              </w:rPr>
              <w:t>(US$</w:t>
            </w:r>
            <w:r w:rsidRPr="00FB070C">
              <w:rPr>
                <w:b w:val="0"/>
                <w:spacing w:val="-3"/>
                <w:sz w:val="20"/>
                <w:szCs w:val="20"/>
              </w:rPr>
              <w:t xml:space="preserve"> </w:t>
            </w:r>
            <w:r w:rsidRPr="00FB070C">
              <w:rPr>
                <w:b w:val="0"/>
                <w:sz w:val="20"/>
                <w:szCs w:val="20"/>
              </w:rPr>
              <w:t>45K</w:t>
            </w:r>
            <w:r w:rsidRPr="00FB070C">
              <w:rPr>
                <w:b w:val="0"/>
                <w:spacing w:val="-3"/>
                <w:sz w:val="20"/>
                <w:szCs w:val="20"/>
              </w:rPr>
              <w:t xml:space="preserve"> </w:t>
            </w:r>
            <w:r w:rsidRPr="00FB070C">
              <w:rPr>
                <w:b w:val="0"/>
                <w:sz w:val="20"/>
                <w:szCs w:val="20"/>
              </w:rPr>
              <w:t>to</w:t>
            </w:r>
            <w:r w:rsidRPr="00FB070C">
              <w:rPr>
                <w:b w:val="0"/>
                <w:spacing w:val="-4"/>
                <w:sz w:val="20"/>
                <w:szCs w:val="20"/>
              </w:rPr>
              <w:t xml:space="preserve"> 50K)</w:t>
            </w:r>
          </w:p>
          <w:p w14:paraId="05A553B7" w14:textId="77777777" w:rsidR="00912BBA" w:rsidRDefault="00912BBA" w:rsidP="0D296D7E">
            <w:pPr>
              <w:pStyle w:val="TableParagraph"/>
              <w:widowControl w:val="0"/>
              <w:numPr>
                <w:ilvl w:val="0"/>
                <w:numId w:val="53"/>
              </w:numPr>
              <w:tabs>
                <w:tab w:val="left" w:pos="263"/>
              </w:tabs>
              <w:adjustRightInd/>
              <w:spacing w:beforeLines="0" w:before="4" w:line="235" w:lineRule="auto"/>
              <w:ind w:left="263" w:right="415"/>
              <w:jc w:val="left"/>
              <w:rPr>
                <w:b w:val="0"/>
                <w:sz w:val="20"/>
                <w:szCs w:val="20"/>
              </w:rPr>
            </w:pPr>
            <w:r w:rsidRPr="0D296D7E">
              <w:rPr>
                <w:b w:val="0"/>
                <w:sz w:val="20"/>
                <w:szCs w:val="20"/>
              </w:rPr>
              <w:t>Additional</w:t>
            </w:r>
            <w:r w:rsidRPr="0D296D7E">
              <w:rPr>
                <w:b w:val="0"/>
                <w:spacing w:val="-13"/>
                <w:sz w:val="20"/>
                <w:szCs w:val="20"/>
              </w:rPr>
              <w:t xml:space="preserve"> </w:t>
            </w:r>
            <w:r w:rsidRPr="0D296D7E">
              <w:rPr>
                <w:b w:val="0"/>
                <w:sz w:val="20"/>
                <w:szCs w:val="20"/>
              </w:rPr>
              <w:t>lab</w:t>
            </w:r>
            <w:r w:rsidRPr="0D296D7E">
              <w:rPr>
                <w:b w:val="0"/>
                <w:spacing w:val="-12"/>
                <w:sz w:val="20"/>
                <w:szCs w:val="20"/>
              </w:rPr>
              <w:t xml:space="preserve"> </w:t>
            </w:r>
            <w:r w:rsidRPr="0D296D7E">
              <w:rPr>
                <w:b w:val="0"/>
                <w:sz w:val="20"/>
                <w:szCs w:val="20"/>
              </w:rPr>
              <w:t xml:space="preserve">infrastructure (e.g., fume cupboards, lab </w:t>
            </w:r>
            <w:r w:rsidRPr="0D296D7E">
              <w:rPr>
                <w:b w:val="0"/>
                <w:spacing w:val="-2"/>
                <w:sz w:val="20"/>
                <w:szCs w:val="20"/>
              </w:rPr>
              <w:t>balances)</w:t>
            </w:r>
          </w:p>
          <w:p w14:paraId="2C40849E" w14:textId="32893BDE" w:rsidR="00912BBA" w:rsidRDefault="00912BBA" w:rsidP="0D296D7E">
            <w:pPr>
              <w:pStyle w:val="TableParagraph"/>
              <w:widowControl w:val="0"/>
              <w:numPr>
                <w:ilvl w:val="0"/>
                <w:numId w:val="60"/>
              </w:numPr>
              <w:tabs>
                <w:tab w:val="left" w:pos="264"/>
              </w:tabs>
              <w:spacing w:before="120" w:line="232" w:lineRule="auto"/>
              <w:ind w:right="450"/>
              <w:jc w:val="left"/>
              <w:rPr>
                <w:b w:val="0"/>
                <w:sz w:val="20"/>
                <w:szCs w:val="20"/>
              </w:rPr>
            </w:pPr>
            <w:r w:rsidRPr="0D296D7E">
              <w:rPr>
                <w:b w:val="0"/>
                <w:sz w:val="20"/>
                <w:szCs w:val="20"/>
              </w:rPr>
              <w:t>Reclamation equipment to remove</w:t>
            </w:r>
            <w:r w:rsidRPr="0D296D7E">
              <w:rPr>
                <w:b w:val="0"/>
                <w:spacing w:val="-13"/>
                <w:sz w:val="20"/>
                <w:szCs w:val="20"/>
              </w:rPr>
              <w:t xml:space="preserve"> </w:t>
            </w:r>
            <w:r w:rsidRPr="0D296D7E">
              <w:rPr>
                <w:b w:val="0"/>
                <w:sz w:val="20"/>
                <w:szCs w:val="20"/>
              </w:rPr>
              <w:t>moisture,</w:t>
            </w:r>
            <w:r w:rsidRPr="0D296D7E">
              <w:rPr>
                <w:b w:val="0"/>
                <w:spacing w:val="-11"/>
                <w:sz w:val="20"/>
                <w:szCs w:val="20"/>
              </w:rPr>
              <w:t xml:space="preserve"> </w:t>
            </w:r>
            <w:r w:rsidRPr="0D296D7E">
              <w:rPr>
                <w:b w:val="0"/>
                <w:sz w:val="20"/>
                <w:szCs w:val="20"/>
              </w:rPr>
              <w:t>high</w:t>
            </w:r>
            <w:r w:rsidRPr="0D296D7E">
              <w:rPr>
                <w:b w:val="0"/>
                <w:spacing w:val="-12"/>
                <w:sz w:val="20"/>
                <w:szCs w:val="20"/>
              </w:rPr>
              <w:t xml:space="preserve"> </w:t>
            </w:r>
            <w:r w:rsidRPr="0D296D7E">
              <w:rPr>
                <w:b w:val="0"/>
                <w:sz w:val="20"/>
                <w:szCs w:val="20"/>
              </w:rPr>
              <w:t>boiling residue and other impurities</w:t>
            </w:r>
          </w:p>
        </w:tc>
        <w:tc>
          <w:tcPr>
            <w:tcW w:w="2613" w:type="dxa"/>
          </w:tcPr>
          <w:p w14:paraId="738BDFA8" w14:textId="77777777" w:rsidR="00912BBA" w:rsidRDefault="00912BBA" w:rsidP="612B74D7">
            <w:pPr>
              <w:pStyle w:val="TableParagraph"/>
              <w:widowControl w:val="0"/>
              <w:numPr>
                <w:ilvl w:val="0"/>
                <w:numId w:val="56"/>
              </w:numPr>
              <w:tabs>
                <w:tab w:val="left" w:pos="240"/>
              </w:tabs>
              <w:adjustRightInd/>
              <w:spacing w:beforeLines="0" w:before="6" w:line="230" w:lineRule="auto"/>
              <w:ind w:right="197"/>
              <w:jc w:val="left"/>
              <w:rPr>
                <w:rFonts w:ascii="Calibri" w:hAnsi="Calibri"/>
                <w:b w:val="0"/>
                <w:sz w:val="20"/>
                <w:szCs w:val="20"/>
              </w:rPr>
            </w:pPr>
            <w:r w:rsidRPr="0D296D7E">
              <w:rPr>
                <w:b w:val="0"/>
                <w:sz w:val="20"/>
                <w:szCs w:val="20"/>
              </w:rPr>
              <w:t>Cost</w:t>
            </w:r>
            <w:r w:rsidRPr="0D296D7E">
              <w:rPr>
                <w:b w:val="0"/>
                <w:spacing w:val="-10"/>
                <w:sz w:val="20"/>
                <w:szCs w:val="20"/>
              </w:rPr>
              <w:t xml:space="preserve"> </w:t>
            </w:r>
            <w:r w:rsidRPr="0D296D7E">
              <w:rPr>
                <w:b w:val="0"/>
                <w:sz w:val="20"/>
                <w:szCs w:val="20"/>
              </w:rPr>
              <w:t>per</w:t>
            </w:r>
            <w:r w:rsidRPr="0D296D7E">
              <w:rPr>
                <w:b w:val="0"/>
                <w:spacing w:val="-10"/>
                <w:sz w:val="20"/>
                <w:szCs w:val="20"/>
              </w:rPr>
              <w:t xml:space="preserve"> </w:t>
            </w:r>
            <w:r w:rsidRPr="0D296D7E">
              <w:rPr>
                <w:b w:val="0"/>
                <w:sz w:val="20"/>
                <w:szCs w:val="20"/>
              </w:rPr>
              <w:t>GC</w:t>
            </w:r>
            <w:r w:rsidRPr="0D296D7E">
              <w:rPr>
                <w:b w:val="0"/>
                <w:spacing w:val="-11"/>
                <w:sz w:val="20"/>
                <w:szCs w:val="20"/>
              </w:rPr>
              <w:t xml:space="preserve"> </w:t>
            </w:r>
            <w:r w:rsidRPr="0D296D7E">
              <w:rPr>
                <w:b w:val="0"/>
                <w:sz w:val="20"/>
                <w:szCs w:val="20"/>
              </w:rPr>
              <w:t>analysis</w:t>
            </w:r>
            <w:r w:rsidRPr="0D296D7E">
              <w:rPr>
                <w:b w:val="0"/>
                <w:spacing w:val="-11"/>
                <w:sz w:val="20"/>
                <w:szCs w:val="20"/>
              </w:rPr>
              <w:t xml:space="preserve"> </w:t>
            </w:r>
            <w:r w:rsidRPr="0D296D7E">
              <w:rPr>
                <w:b w:val="0"/>
                <w:sz w:val="20"/>
                <w:szCs w:val="20"/>
              </w:rPr>
              <w:t xml:space="preserve">(US$ </w:t>
            </w:r>
            <w:r w:rsidRPr="0D296D7E">
              <w:rPr>
                <w:b w:val="0"/>
                <w:spacing w:val="-4"/>
                <w:sz w:val="20"/>
                <w:szCs w:val="20"/>
              </w:rPr>
              <w:t>500)</w:t>
            </w:r>
          </w:p>
          <w:p w14:paraId="58101A47" w14:textId="77777777" w:rsidR="00912BBA" w:rsidRDefault="00912BBA" w:rsidP="612B74D7">
            <w:pPr>
              <w:pStyle w:val="TableParagraph"/>
              <w:widowControl w:val="0"/>
              <w:numPr>
                <w:ilvl w:val="0"/>
                <w:numId w:val="56"/>
              </w:numPr>
              <w:tabs>
                <w:tab w:val="left" w:pos="239"/>
              </w:tabs>
              <w:adjustRightInd/>
              <w:spacing w:beforeLines="0" w:before="1" w:line="240" w:lineRule="exact"/>
              <w:ind w:left="239" w:hanging="141"/>
              <w:jc w:val="left"/>
              <w:rPr>
                <w:rFonts w:ascii="Calibri" w:hAnsi="Calibri"/>
                <w:b w:val="0"/>
                <w:sz w:val="20"/>
                <w:szCs w:val="20"/>
              </w:rPr>
            </w:pPr>
            <w:r w:rsidRPr="0D296D7E">
              <w:rPr>
                <w:b w:val="0"/>
                <w:sz w:val="20"/>
                <w:szCs w:val="20"/>
              </w:rPr>
              <w:t>Incremental</w:t>
            </w:r>
            <w:r w:rsidRPr="0D296D7E">
              <w:rPr>
                <w:b w:val="0"/>
                <w:spacing w:val="-10"/>
                <w:sz w:val="20"/>
                <w:szCs w:val="20"/>
              </w:rPr>
              <w:t xml:space="preserve"> </w:t>
            </w:r>
            <w:r w:rsidRPr="0D296D7E">
              <w:rPr>
                <w:b w:val="0"/>
                <w:sz w:val="20"/>
                <w:szCs w:val="20"/>
              </w:rPr>
              <w:t>staffing</w:t>
            </w:r>
            <w:r w:rsidRPr="0D296D7E">
              <w:rPr>
                <w:b w:val="0"/>
                <w:spacing w:val="-8"/>
                <w:sz w:val="20"/>
                <w:szCs w:val="20"/>
              </w:rPr>
              <w:t xml:space="preserve"> </w:t>
            </w:r>
            <w:r w:rsidRPr="0D296D7E">
              <w:rPr>
                <w:b w:val="0"/>
                <w:spacing w:val="-4"/>
                <w:sz w:val="20"/>
                <w:szCs w:val="20"/>
              </w:rPr>
              <w:t>costs</w:t>
            </w:r>
          </w:p>
          <w:p w14:paraId="422C7B16" w14:textId="43B8018D" w:rsidR="00912BBA" w:rsidRDefault="00912BBA" w:rsidP="00F77941">
            <w:pPr>
              <w:pStyle w:val="TableParagraph"/>
              <w:widowControl w:val="0"/>
              <w:numPr>
                <w:ilvl w:val="0"/>
                <w:numId w:val="59"/>
              </w:numPr>
              <w:tabs>
                <w:tab w:val="left" w:pos="240"/>
              </w:tabs>
              <w:adjustRightInd/>
              <w:spacing w:beforeLines="0" w:before="4" w:line="232" w:lineRule="auto"/>
              <w:ind w:right="197"/>
              <w:jc w:val="left"/>
              <w:rPr>
                <w:b w:val="0"/>
                <w:sz w:val="20"/>
                <w:szCs w:val="20"/>
              </w:rPr>
            </w:pPr>
            <w:r w:rsidRPr="0D296D7E">
              <w:rPr>
                <w:b w:val="0"/>
                <w:sz w:val="20"/>
                <w:szCs w:val="20"/>
              </w:rPr>
              <w:t>Incremental</w:t>
            </w:r>
            <w:r w:rsidRPr="0D296D7E">
              <w:rPr>
                <w:b w:val="0"/>
                <w:spacing w:val="-13"/>
                <w:sz w:val="20"/>
                <w:szCs w:val="20"/>
              </w:rPr>
              <w:t xml:space="preserve"> </w:t>
            </w:r>
            <w:r w:rsidRPr="0D296D7E">
              <w:rPr>
                <w:b w:val="0"/>
                <w:sz w:val="20"/>
                <w:szCs w:val="20"/>
              </w:rPr>
              <w:t>laboratory operational</w:t>
            </w:r>
            <w:r w:rsidRPr="0D296D7E">
              <w:rPr>
                <w:b w:val="0"/>
                <w:spacing w:val="-7"/>
                <w:sz w:val="20"/>
                <w:szCs w:val="20"/>
              </w:rPr>
              <w:t xml:space="preserve"> </w:t>
            </w:r>
            <w:r w:rsidRPr="0D296D7E">
              <w:rPr>
                <w:b w:val="0"/>
                <w:sz w:val="20"/>
                <w:szCs w:val="20"/>
              </w:rPr>
              <w:t>costs</w:t>
            </w:r>
            <w:r w:rsidRPr="0D296D7E">
              <w:rPr>
                <w:b w:val="0"/>
                <w:spacing w:val="-8"/>
                <w:sz w:val="20"/>
                <w:szCs w:val="20"/>
              </w:rPr>
              <w:t xml:space="preserve"> </w:t>
            </w:r>
            <w:r w:rsidRPr="0D296D7E">
              <w:rPr>
                <w:b w:val="0"/>
                <w:sz w:val="20"/>
                <w:szCs w:val="20"/>
              </w:rPr>
              <w:t>(e.g., sample and reagent</w:t>
            </w:r>
            <w:r>
              <w:rPr>
                <w:b w:val="0"/>
                <w:sz w:val="20"/>
                <w:szCs w:val="20"/>
              </w:rPr>
              <w:t xml:space="preserve"> </w:t>
            </w:r>
            <w:r w:rsidRPr="0D296D7E">
              <w:rPr>
                <w:b w:val="0"/>
                <w:sz w:val="20"/>
                <w:szCs w:val="20"/>
              </w:rPr>
              <w:t>bottles,</w:t>
            </w:r>
            <w:r w:rsidRPr="0D296D7E">
              <w:rPr>
                <w:b w:val="0"/>
                <w:spacing w:val="-13"/>
                <w:sz w:val="20"/>
                <w:szCs w:val="20"/>
              </w:rPr>
              <w:t xml:space="preserve"> </w:t>
            </w:r>
            <w:r w:rsidRPr="0D296D7E">
              <w:rPr>
                <w:b w:val="0"/>
                <w:sz w:val="20"/>
                <w:szCs w:val="20"/>
              </w:rPr>
              <w:t>calibration standards</w:t>
            </w:r>
            <w:r w:rsidRPr="5D08168A">
              <w:rPr>
                <w:b w:val="0"/>
                <w:sz w:val="20"/>
                <w:szCs w:val="20"/>
              </w:rPr>
              <w:t>,</w:t>
            </w:r>
            <w:r w:rsidRPr="0D296D7E">
              <w:rPr>
                <w:b w:val="0"/>
                <w:sz w:val="20"/>
                <w:szCs w:val="20"/>
              </w:rPr>
              <w:t xml:space="preserve"> etc.)</w:t>
            </w:r>
          </w:p>
        </w:tc>
        <w:tc>
          <w:tcPr>
            <w:tcW w:w="2790" w:type="dxa"/>
          </w:tcPr>
          <w:p w14:paraId="605945C2" w14:textId="77777777" w:rsidR="00912BBA" w:rsidRDefault="00912BBA" w:rsidP="0D296D7E">
            <w:pPr>
              <w:pStyle w:val="TableParagraph"/>
              <w:widowControl w:val="0"/>
              <w:numPr>
                <w:ilvl w:val="0"/>
                <w:numId w:val="55"/>
              </w:numPr>
              <w:tabs>
                <w:tab w:val="left" w:pos="243"/>
              </w:tabs>
              <w:adjustRightInd/>
              <w:spacing w:beforeLines="0" w:before="2" w:line="235" w:lineRule="auto"/>
              <w:ind w:right="201"/>
              <w:jc w:val="left"/>
              <w:rPr>
                <w:b w:val="0"/>
                <w:sz w:val="20"/>
                <w:szCs w:val="20"/>
              </w:rPr>
            </w:pPr>
            <w:r w:rsidRPr="0D296D7E">
              <w:rPr>
                <w:b w:val="0"/>
                <w:sz w:val="20"/>
                <w:szCs w:val="20"/>
              </w:rPr>
              <w:t>Operation and maintenance costs</w:t>
            </w:r>
            <w:r w:rsidRPr="0D296D7E">
              <w:rPr>
                <w:b w:val="0"/>
                <w:spacing w:val="-9"/>
                <w:sz w:val="20"/>
                <w:szCs w:val="20"/>
              </w:rPr>
              <w:t xml:space="preserve"> </w:t>
            </w:r>
            <w:r w:rsidRPr="0D296D7E">
              <w:rPr>
                <w:b w:val="0"/>
                <w:sz w:val="20"/>
                <w:szCs w:val="20"/>
              </w:rPr>
              <w:t>for</w:t>
            </w:r>
            <w:r w:rsidRPr="0D296D7E">
              <w:rPr>
                <w:b w:val="0"/>
                <w:spacing w:val="-7"/>
                <w:sz w:val="20"/>
                <w:szCs w:val="20"/>
              </w:rPr>
              <w:t xml:space="preserve"> </w:t>
            </w:r>
            <w:r w:rsidRPr="0D296D7E">
              <w:rPr>
                <w:b w:val="0"/>
                <w:sz w:val="20"/>
                <w:szCs w:val="20"/>
              </w:rPr>
              <w:t>the</w:t>
            </w:r>
            <w:r w:rsidRPr="0D296D7E">
              <w:rPr>
                <w:b w:val="0"/>
                <w:spacing w:val="-8"/>
                <w:sz w:val="20"/>
                <w:szCs w:val="20"/>
              </w:rPr>
              <w:t xml:space="preserve"> </w:t>
            </w:r>
            <w:r w:rsidRPr="0D296D7E">
              <w:rPr>
                <w:b w:val="0"/>
                <w:sz w:val="20"/>
                <w:szCs w:val="20"/>
              </w:rPr>
              <w:t>testing</w:t>
            </w:r>
            <w:r w:rsidRPr="0D296D7E">
              <w:rPr>
                <w:b w:val="0"/>
                <w:spacing w:val="-7"/>
                <w:sz w:val="20"/>
                <w:szCs w:val="20"/>
              </w:rPr>
              <w:t xml:space="preserve"> </w:t>
            </w:r>
            <w:r w:rsidRPr="0D296D7E">
              <w:rPr>
                <w:b w:val="0"/>
                <w:sz w:val="20"/>
                <w:szCs w:val="20"/>
              </w:rPr>
              <w:t>facility</w:t>
            </w:r>
            <w:r w:rsidRPr="0D296D7E">
              <w:rPr>
                <w:b w:val="0"/>
                <w:spacing w:val="-7"/>
                <w:sz w:val="20"/>
                <w:szCs w:val="20"/>
              </w:rPr>
              <w:t xml:space="preserve"> </w:t>
            </w:r>
            <w:r w:rsidRPr="0D296D7E">
              <w:rPr>
                <w:b w:val="0"/>
                <w:sz w:val="20"/>
                <w:szCs w:val="20"/>
              </w:rPr>
              <w:t xml:space="preserve">or </w:t>
            </w:r>
            <w:r w:rsidRPr="0D296D7E">
              <w:rPr>
                <w:b w:val="0"/>
                <w:spacing w:val="-2"/>
                <w:sz w:val="20"/>
                <w:szCs w:val="20"/>
              </w:rPr>
              <w:t>laboratories</w:t>
            </w:r>
          </w:p>
          <w:p w14:paraId="45AF44EB" w14:textId="27EADACC" w:rsidR="00912BBA" w:rsidRPr="00912BBA" w:rsidRDefault="00912BBA">
            <w:pPr>
              <w:pStyle w:val="TableParagraph"/>
              <w:widowControl w:val="0"/>
              <w:numPr>
                <w:ilvl w:val="0"/>
                <w:numId w:val="58"/>
              </w:numPr>
              <w:tabs>
                <w:tab w:val="left" w:pos="243"/>
              </w:tabs>
              <w:adjustRightInd/>
              <w:spacing w:beforeLines="0" w:before="120" w:line="235" w:lineRule="auto"/>
              <w:ind w:right="201"/>
              <w:jc w:val="left"/>
              <w:rPr>
                <w:b w:val="0"/>
                <w:sz w:val="20"/>
                <w:szCs w:val="20"/>
              </w:rPr>
            </w:pPr>
            <w:r w:rsidRPr="00912BBA">
              <w:rPr>
                <w:b w:val="0"/>
                <w:sz w:val="20"/>
                <w:szCs w:val="20"/>
              </w:rPr>
              <w:t>Incremental handling equipment</w:t>
            </w:r>
            <w:r w:rsidRPr="00912BBA">
              <w:rPr>
                <w:b w:val="0"/>
                <w:spacing w:val="-13"/>
                <w:sz w:val="20"/>
                <w:szCs w:val="20"/>
              </w:rPr>
              <w:t xml:space="preserve"> </w:t>
            </w:r>
            <w:r w:rsidRPr="00912BBA">
              <w:rPr>
                <w:b w:val="0"/>
                <w:sz w:val="20"/>
                <w:szCs w:val="20"/>
              </w:rPr>
              <w:t>(e.g.,</w:t>
            </w:r>
            <w:r w:rsidRPr="00912BBA">
              <w:rPr>
                <w:b w:val="0"/>
                <w:spacing w:val="-12"/>
                <w:sz w:val="20"/>
                <w:szCs w:val="20"/>
              </w:rPr>
              <w:t xml:space="preserve"> </w:t>
            </w:r>
            <w:r w:rsidRPr="00912BBA">
              <w:rPr>
                <w:b w:val="0"/>
                <w:sz w:val="20"/>
                <w:szCs w:val="20"/>
              </w:rPr>
              <w:t>forklifts, trolleys</w:t>
            </w:r>
            <w:r w:rsidRPr="00912BBA">
              <w:rPr>
                <w:b w:val="0"/>
                <w:spacing w:val="-9"/>
                <w:sz w:val="20"/>
                <w:szCs w:val="20"/>
              </w:rPr>
              <w:t xml:space="preserve"> </w:t>
            </w:r>
            <w:r w:rsidRPr="00912BBA">
              <w:rPr>
                <w:b w:val="0"/>
                <w:sz w:val="20"/>
                <w:szCs w:val="20"/>
              </w:rPr>
              <w:t>etc.)</w:t>
            </w:r>
            <w:r w:rsidRPr="00912BBA">
              <w:rPr>
                <w:b w:val="0"/>
                <w:spacing w:val="-7"/>
                <w:sz w:val="20"/>
                <w:szCs w:val="20"/>
              </w:rPr>
              <w:t xml:space="preserve"> </w:t>
            </w:r>
            <w:r w:rsidRPr="00912BBA">
              <w:rPr>
                <w:b w:val="0"/>
                <w:sz w:val="20"/>
                <w:szCs w:val="20"/>
              </w:rPr>
              <w:t>–</w:t>
            </w:r>
            <w:r w:rsidRPr="00912BBA">
              <w:rPr>
                <w:b w:val="0"/>
                <w:spacing w:val="-7"/>
                <w:sz w:val="20"/>
                <w:szCs w:val="20"/>
              </w:rPr>
              <w:t xml:space="preserve"> </w:t>
            </w:r>
            <w:bookmarkStart w:id="397" w:name="_bookmark185"/>
            <w:bookmarkEnd w:id="397"/>
            <w:r w:rsidRPr="00912BBA">
              <w:rPr>
                <w:b w:val="0"/>
                <w:sz w:val="20"/>
                <w:szCs w:val="20"/>
              </w:rPr>
              <w:t>will</w:t>
            </w:r>
            <w:r w:rsidRPr="00912BBA">
              <w:rPr>
                <w:b w:val="0"/>
                <w:spacing w:val="-8"/>
                <w:sz w:val="20"/>
                <w:szCs w:val="20"/>
              </w:rPr>
              <w:t xml:space="preserve"> </w:t>
            </w:r>
            <w:r w:rsidRPr="00912BBA">
              <w:rPr>
                <w:b w:val="0"/>
                <w:sz w:val="20"/>
                <w:szCs w:val="20"/>
              </w:rPr>
              <w:t>vary</w:t>
            </w:r>
            <w:r w:rsidRPr="00912BBA">
              <w:rPr>
                <w:b w:val="0"/>
                <w:spacing w:val="-7"/>
                <w:sz w:val="20"/>
                <w:szCs w:val="20"/>
              </w:rPr>
              <w:t xml:space="preserve"> </w:t>
            </w:r>
            <w:r w:rsidRPr="00912BBA">
              <w:rPr>
                <w:b w:val="0"/>
                <w:sz w:val="20"/>
                <w:szCs w:val="20"/>
              </w:rPr>
              <w:t>by facility size</w:t>
            </w:r>
          </w:p>
          <w:p w14:paraId="6FF3CD26" w14:textId="77777777" w:rsidR="00912BBA" w:rsidRDefault="00912BBA" w:rsidP="0D296D7E">
            <w:pPr>
              <w:pStyle w:val="TableParagraph"/>
              <w:widowControl w:val="0"/>
              <w:numPr>
                <w:ilvl w:val="0"/>
                <w:numId w:val="52"/>
              </w:numPr>
              <w:tabs>
                <w:tab w:val="left" w:pos="243"/>
              </w:tabs>
              <w:adjustRightInd/>
              <w:spacing w:beforeLines="0" w:before="3" w:line="235" w:lineRule="auto"/>
              <w:ind w:right="863"/>
              <w:jc w:val="left"/>
              <w:rPr>
                <w:rFonts w:ascii="Calibri" w:hAnsi="Calibri"/>
                <w:b w:val="0"/>
                <w:sz w:val="20"/>
                <w:szCs w:val="20"/>
              </w:rPr>
            </w:pPr>
            <w:r w:rsidRPr="0D296D7E">
              <w:rPr>
                <w:b w:val="0"/>
                <w:sz w:val="20"/>
                <w:szCs w:val="20"/>
              </w:rPr>
              <w:t>Storage</w:t>
            </w:r>
            <w:r w:rsidRPr="0D296D7E">
              <w:rPr>
                <w:b w:val="0"/>
                <w:spacing w:val="-13"/>
                <w:sz w:val="20"/>
                <w:szCs w:val="20"/>
              </w:rPr>
              <w:t xml:space="preserve"> </w:t>
            </w:r>
            <w:r w:rsidRPr="0D296D7E">
              <w:rPr>
                <w:b w:val="0"/>
                <w:sz w:val="20"/>
                <w:szCs w:val="20"/>
              </w:rPr>
              <w:t>for</w:t>
            </w:r>
            <w:r w:rsidRPr="0D296D7E">
              <w:rPr>
                <w:b w:val="0"/>
                <w:spacing w:val="-12"/>
                <w:sz w:val="20"/>
                <w:szCs w:val="20"/>
              </w:rPr>
              <w:t xml:space="preserve"> </w:t>
            </w:r>
            <w:r w:rsidRPr="0D296D7E">
              <w:rPr>
                <w:b w:val="0"/>
                <w:sz w:val="20"/>
                <w:szCs w:val="20"/>
              </w:rPr>
              <w:t xml:space="preserve">recovered refrigerants pending </w:t>
            </w:r>
            <w:r w:rsidRPr="0D296D7E">
              <w:rPr>
                <w:b w:val="0"/>
                <w:spacing w:val="-2"/>
                <w:sz w:val="20"/>
                <w:szCs w:val="20"/>
              </w:rPr>
              <w:t>reclamation</w:t>
            </w:r>
          </w:p>
          <w:p w14:paraId="77122C94" w14:textId="77777777" w:rsidR="00912BBA" w:rsidRDefault="00912BBA" w:rsidP="0D296D7E">
            <w:pPr>
              <w:pStyle w:val="TableParagraph"/>
              <w:widowControl w:val="0"/>
              <w:numPr>
                <w:ilvl w:val="0"/>
                <w:numId w:val="52"/>
              </w:numPr>
              <w:tabs>
                <w:tab w:val="left" w:pos="243"/>
              </w:tabs>
              <w:adjustRightInd/>
              <w:spacing w:beforeLines="0" w:before="4" w:line="235" w:lineRule="auto"/>
              <w:ind w:right="132"/>
              <w:jc w:val="left"/>
              <w:rPr>
                <w:rFonts w:ascii="Calibri" w:hAnsi="Calibri"/>
                <w:b w:val="0"/>
                <w:sz w:val="20"/>
                <w:szCs w:val="20"/>
              </w:rPr>
            </w:pPr>
            <w:r w:rsidRPr="0D296D7E">
              <w:rPr>
                <w:b w:val="0"/>
                <w:sz w:val="20"/>
                <w:szCs w:val="20"/>
              </w:rPr>
              <w:t>Appropriate cylinder fleet for returning</w:t>
            </w:r>
            <w:r w:rsidRPr="0D296D7E">
              <w:rPr>
                <w:b w:val="0"/>
                <w:spacing w:val="-13"/>
                <w:sz w:val="20"/>
                <w:szCs w:val="20"/>
              </w:rPr>
              <w:t xml:space="preserve"> </w:t>
            </w:r>
            <w:r w:rsidRPr="0D296D7E">
              <w:rPr>
                <w:b w:val="0"/>
                <w:sz w:val="20"/>
                <w:szCs w:val="20"/>
              </w:rPr>
              <w:t>reclaimed</w:t>
            </w:r>
            <w:r w:rsidRPr="0D296D7E">
              <w:rPr>
                <w:b w:val="0"/>
                <w:spacing w:val="-12"/>
                <w:sz w:val="20"/>
                <w:szCs w:val="20"/>
              </w:rPr>
              <w:t xml:space="preserve"> </w:t>
            </w:r>
            <w:r w:rsidRPr="0D296D7E">
              <w:rPr>
                <w:b w:val="0"/>
                <w:sz w:val="20"/>
                <w:szCs w:val="20"/>
              </w:rPr>
              <w:t>refrigerant to the market</w:t>
            </w:r>
          </w:p>
          <w:p w14:paraId="0F451AB0" w14:textId="77777777" w:rsidR="00912BBA" w:rsidRDefault="00912BBA" w:rsidP="0D296D7E">
            <w:pPr>
              <w:pStyle w:val="TableParagraph"/>
              <w:widowControl w:val="0"/>
              <w:numPr>
                <w:ilvl w:val="0"/>
                <w:numId w:val="52"/>
              </w:numPr>
              <w:tabs>
                <w:tab w:val="left" w:pos="243"/>
              </w:tabs>
              <w:adjustRightInd/>
              <w:spacing w:beforeLines="0" w:before="2" w:line="237" w:lineRule="auto"/>
              <w:ind w:right="109"/>
              <w:jc w:val="left"/>
              <w:rPr>
                <w:rFonts w:ascii="Calibri" w:hAnsi="Calibri"/>
                <w:b w:val="0"/>
                <w:sz w:val="20"/>
                <w:szCs w:val="20"/>
              </w:rPr>
            </w:pPr>
            <w:r w:rsidRPr="0D296D7E">
              <w:rPr>
                <w:b w:val="0"/>
                <w:sz w:val="20"/>
                <w:szCs w:val="20"/>
              </w:rPr>
              <w:t>Where applicable, costs associated</w:t>
            </w:r>
            <w:r w:rsidRPr="0D296D7E">
              <w:rPr>
                <w:b w:val="0"/>
                <w:spacing w:val="-11"/>
                <w:sz w:val="20"/>
                <w:szCs w:val="20"/>
              </w:rPr>
              <w:t xml:space="preserve"> </w:t>
            </w:r>
            <w:r w:rsidRPr="0D296D7E">
              <w:rPr>
                <w:b w:val="0"/>
                <w:sz w:val="20"/>
                <w:szCs w:val="20"/>
              </w:rPr>
              <w:t>with</w:t>
            </w:r>
            <w:r w:rsidRPr="0D296D7E">
              <w:rPr>
                <w:b w:val="0"/>
                <w:spacing w:val="-11"/>
                <w:sz w:val="20"/>
                <w:szCs w:val="20"/>
              </w:rPr>
              <w:t xml:space="preserve"> </w:t>
            </w:r>
            <w:r w:rsidRPr="0D296D7E">
              <w:rPr>
                <w:b w:val="0"/>
                <w:sz w:val="20"/>
                <w:szCs w:val="20"/>
              </w:rPr>
              <w:t>providing</w:t>
            </w:r>
            <w:r w:rsidRPr="0D296D7E">
              <w:rPr>
                <w:b w:val="0"/>
                <w:spacing w:val="-11"/>
                <w:sz w:val="20"/>
                <w:szCs w:val="20"/>
              </w:rPr>
              <w:t xml:space="preserve"> </w:t>
            </w:r>
            <w:r w:rsidRPr="0D296D7E">
              <w:rPr>
                <w:b w:val="0"/>
                <w:sz w:val="20"/>
                <w:szCs w:val="20"/>
              </w:rPr>
              <w:t>third party</w:t>
            </w:r>
            <w:r w:rsidRPr="0D296D7E">
              <w:rPr>
                <w:b w:val="0"/>
                <w:spacing w:val="-13"/>
                <w:sz w:val="20"/>
                <w:szCs w:val="20"/>
              </w:rPr>
              <w:t xml:space="preserve"> </w:t>
            </w:r>
            <w:r w:rsidRPr="0D296D7E">
              <w:rPr>
                <w:b w:val="0"/>
                <w:sz w:val="20"/>
                <w:szCs w:val="20"/>
              </w:rPr>
              <w:t>certification</w:t>
            </w:r>
            <w:r w:rsidRPr="0D296D7E">
              <w:rPr>
                <w:b w:val="0"/>
                <w:spacing w:val="-12"/>
                <w:sz w:val="20"/>
                <w:szCs w:val="20"/>
              </w:rPr>
              <w:t xml:space="preserve"> </w:t>
            </w:r>
            <w:r w:rsidRPr="0D296D7E">
              <w:rPr>
                <w:b w:val="0"/>
                <w:sz w:val="20"/>
                <w:szCs w:val="20"/>
              </w:rPr>
              <w:t>(e.g.,</w:t>
            </w:r>
            <w:r w:rsidRPr="0D296D7E">
              <w:rPr>
                <w:b w:val="0"/>
                <w:spacing w:val="-13"/>
                <w:sz w:val="20"/>
                <w:szCs w:val="20"/>
              </w:rPr>
              <w:t xml:space="preserve"> </w:t>
            </w:r>
            <w:r w:rsidRPr="0D296D7E">
              <w:rPr>
                <w:b w:val="0"/>
                <w:sz w:val="20"/>
                <w:szCs w:val="20"/>
              </w:rPr>
              <w:t>AHRI- 700, ISO 90001, ISO 17025)</w:t>
            </w:r>
          </w:p>
          <w:p w14:paraId="3F7AE517" w14:textId="691D7B39" w:rsidR="00912BBA" w:rsidRDefault="00912BBA" w:rsidP="0D296D7E">
            <w:pPr>
              <w:pStyle w:val="TableParagraph"/>
              <w:widowControl w:val="0"/>
              <w:numPr>
                <w:ilvl w:val="0"/>
                <w:numId w:val="55"/>
              </w:numPr>
              <w:tabs>
                <w:tab w:val="left" w:pos="243"/>
              </w:tabs>
              <w:spacing w:before="120" w:line="235" w:lineRule="auto"/>
              <w:ind w:right="201"/>
              <w:jc w:val="left"/>
              <w:rPr>
                <w:b w:val="0"/>
                <w:sz w:val="20"/>
                <w:szCs w:val="20"/>
              </w:rPr>
            </w:pPr>
            <w:r w:rsidRPr="0D296D7E">
              <w:rPr>
                <w:b w:val="0"/>
                <w:sz w:val="20"/>
                <w:szCs w:val="20"/>
              </w:rPr>
              <w:t xml:space="preserve">Storage of non- </w:t>
            </w:r>
            <w:r w:rsidRPr="0D296D7E">
              <w:rPr>
                <w:b w:val="0"/>
                <w:spacing w:val="-2"/>
                <w:sz w:val="20"/>
                <w:szCs w:val="20"/>
              </w:rPr>
              <w:t xml:space="preserve">reclaimable/contaminated </w:t>
            </w:r>
            <w:r w:rsidRPr="0D296D7E">
              <w:rPr>
                <w:b w:val="0"/>
                <w:sz w:val="20"/>
                <w:szCs w:val="20"/>
              </w:rPr>
              <w:t>refrigerants</w:t>
            </w:r>
            <w:r w:rsidRPr="0D296D7E">
              <w:rPr>
                <w:b w:val="0"/>
                <w:spacing w:val="-13"/>
                <w:sz w:val="20"/>
                <w:szCs w:val="20"/>
              </w:rPr>
              <w:t xml:space="preserve"> </w:t>
            </w:r>
            <w:r w:rsidRPr="0D296D7E">
              <w:rPr>
                <w:b w:val="0"/>
                <w:sz w:val="20"/>
                <w:szCs w:val="20"/>
              </w:rPr>
              <w:t>for</w:t>
            </w:r>
            <w:r w:rsidRPr="0D296D7E">
              <w:rPr>
                <w:b w:val="0"/>
                <w:spacing w:val="-12"/>
                <w:sz w:val="20"/>
                <w:szCs w:val="20"/>
              </w:rPr>
              <w:t xml:space="preserve"> </w:t>
            </w:r>
            <w:r w:rsidRPr="0D296D7E">
              <w:rPr>
                <w:b w:val="0"/>
                <w:sz w:val="20"/>
                <w:szCs w:val="20"/>
              </w:rPr>
              <w:t>destruction</w:t>
            </w:r>
          </w:p>
        </w:tc>
        <w:tc>
          <w:tcPr>
            <w:tcW w:w="2133" w:type="dxa"/>
          </w:tcPr>
          <w:p w14:paraId="6A7C71FD" w14:textId="77777777" w:rsidR="00912BBA" w:rsidRDefault="00912BBA" w:rsidP="612B74D7">
            <w:pPr>
              <w:pStyle w:val="TableParagraph"/>
              <w:spacing w:before="120" w:line="237" w:lineRule="auto"/>
              <w:ind w:left="183" w:right="58" w:hanging="142"/>
              <w:jc w:val="left"/>
              <w:rPr>
                <w:rFonts w:ascii="Calibri"/>
                <w:b w:val="0"/>
                <w:sz w:val="20"/>
                <w:szCs w:val="20"/>
              </w:rPr>
            </w:pPr>
            <w:r w:rsidRPr="0D296D7E">
              <w:rPr>
                <w:rFonts w:ascii="Calibri"/>
                <w:b w:val="0"/>
                <w:sz w:val="20"/>
                <w:szCs w:val="20"/>
              </w:rPr>
              <w:t>-</w:t>
            </w:r>
            <w:r w:rsidRPr="0D296D7E">
              <w:rPr>
                <w:rFonts w:ascii="Calibri"/>
                <w:b w:val="0"/>
                <w:spacing w:val="40"/>
                <w:sz w:val="20"/>
                <w:szCs w:val="20"/>
              </w:rPr>
              <w:t xml:space="preserve"> </w:t>
            </w:r>
            <w:r w:rsidRPr="0D296D7E">
              <w:rPr>
                <w:b w:val="0"/>
                <w:sz w:val="20"/>
                <w:szCs w:val="20"/>
              </w:rPr>
              <w:t>Employment and training</w:t>
            </w:r>
            <w:r w:rsidRPr="0D296D7E">
              <w:rPr>
                <w:b w:val="0"/>
                <w:spacing w:val="-11"/>
                <w:sz w:val="20"/>
                <w:szCs w:val="20"/>
              </w:rPr>
              <w:t xml:space="preserve"> </w:t>
            </w:r>
            <w:r w:rsidRPr="0D296D7E">
              <w:rPr>
                <w:b w:val="0"/>
                <w:sz w:val="20"/>
                <w:szCs w:val="20"/>
              </w:rPr>
              <w:t>of</w:t>
            </w:r>
            <w:r w:rsidRPr="0D296D7E">
              <w:rPr>
                <w:b w:val="0"/>
                <w:spacing w:val="-11"/>
                <w:sz w:val="20"/>
                <w:szCs w:val="20"/>
              </w:rPr>
              <w:t xml:space="preserve"> </w:t>
            </w:r>
            <w:r w:rsidRPr="0D296D7E">
              <w:rPr>
                <w:b w:val="0"/>
                <w:sz w:val="20"/>
                <w:szCs w:val="20"/>
              </w:rPr>
              <w:t>operators</w:t>
            </w:r>
            <w:r w:rsidRPr="0D296D7E">
              <w:rPr>
                <w:b w:val="0"/>
                <w:spacing w:val="-13"/>
                <w:sz w:val="20"/>
                <w:szCs w:val="20"/>
              </w:rPr>
              <w:t xml:space="preserve"> </w:t>
            </w:r>
            <w:r w:rsidRPr="0D296D7E">
              <w:rPr>
                <w:b w:val="0"/>
                <w:sz w:val="20"/>
                <w:szCs w:val="20"/>
              </w:rPr>
              <w:t>of reclamation</w:t>
            </w:r>
            <w:r w:rsidRPr="0D296D7E">
              <w:rPr>
                <w:b w:val="0"/>
                <w:spacing w:val="-13"/>
                <w:sz w:val="20"/>
                <w:szCs w:val="20"/>
              </w:rPr>
              <w:t xml:space="preserve"> </w:t>
            </w:r>
            <w:r w:rsidRPr="0D296D7E">
              <w:rPr>
                <w:b w:val="0"/>
                <w:sz w:val="20"/>
                <w:szCs w:val="20"/>
              </w:rPr>
              <w:t>equipment (which is more extensive than typical technician training)</w:t>
            </w:r>
          </w:p>
          <w:p w14:paraId="68B384FC" w14:textId="28178CF9" w:rsidR="00912BBA" w:rsidRDefault="00912BBA" w:rsidP="00912BBA">
            <w:pPr>
              <w:pStyle w:val="TableParagraph"/>
              <w:spacing w:before="120"/>
              <w:ind w:left="183"/>
              <w:jc w:val="left"/>
              <w:rPr>
                <w:rFonts w:ascii="Calibri"/>
                <w:b w:val="0"/>
                <w:sz w:val="20"/>
                <w:szCs w:val="20"/>
              </w:rPr>
            </w:pPr>
            <w:r w:rsidRPr="0D296D7E">
              <w:rPr>
                <w:b w:val="0"/>
                <w:sz w:val="20"/>
                <w:szCs w:val="20"/>
              </w:rPr>
              <w:t>Indicative</w:t>
            </w:r>
            <w:r w:rsidRPr="0D296D7E">
              <w:rPr>
                <w:b w:val="0"/>
                <w:spacing w:val="-6"/>
                <w:sz w:val="20"/>
                <w:szCs w:val="20"/>
              </w:rPr>
              <w:t xml:space="preserve"> </w:t>
            </w:r>
            <w:r w:rsidRPr="0D296D7E">
              <w:rPr>
                <w:b w:val="0"/>
                <w:sz w:val="20"/>
                <w:szCs w:val="20"/>
              </w:rPr>
              <w:t>cost</w:t>
            </w:r>
            <w:r w:rsidRPr="0D296D7E">
              <w:rPr>
                <w:b w:val="0"/>
                <w:spacing w:val="-6"/>
                <w:sz w:val="20"/>
                <w:szCs w:val="20"/>
              </w:rPr>
              <w:t xml:space="preserve"> </w:t>
            </w:r>
            <w:r w:rsidRPr="0D296D7E">
              <w:rPr>
                <w:b w:val="0"/>
                <w:spacing w:val="-5"/>
                <w:sz w:val="20"/>
                <w:szCs w:val="20"/>
              </w:rPr>
              <w:t>US</w:t>
            </w:r>
            <w:r w:rsidRPr="0D296D7E">
              <w:rPr>
                <w:b w:val="0"/>
                <w:sz w:val="20"/>
                <w:szCs w:val="20"/>
              </w:rPr>
              <w:t>$500</w:t>
            </w:r>
            <w:r w:rsidRPr="0D296D7E">
              <w:rPr>
                <w:b w:val="0"/>
                <w:spacing w:val="-2"/>
                <w:sz w:val="20"/>
                <w:szCs w:val="20"/>
              </w:rPr>
              <w:t xml:space="preserve"> </w:t>
            </w:r>
            <w:r w:rsidRPr="0D296D7E">
              <w:rPr>
                <w:b w:val="0"/>
                <w:sz w:val="20"/>
                <w:szCs w:val="20"/>
              </w:rPr>
              <w:t xml:space="preserve">– </w:t>
            </w:r>
            <w:r w:rsidRPr="0D296D7E">
              <w:rPr>
                <w:b w:val="0"/>
                <w:spacing w:val="-2"/>
                <w:sz w:val="20"/>
                <w:szCs w:val="20"/>
              </w:rPr>
              <w:t>750/operator</w:t>
            </w:r>
          </w:p>
        </w:tc>
        <w:tc>
          <w:tcPr>
            <w:tcW w:w="2456" w:type="dxa"/>
          </w:tcPr>
          <w:p w14:paraId="59509B7C" w14:textId="77777777" w:rsidR="00912BBA" w:rsidRDefault="00912BBA" w:rsidP="0D296D7E">
            <w:pPr>
              <w:pStyle w:val="TableParagraph"/>
              <w:widowControl w:val="0"/>
              <w:numPr>
                <w:ilvl w:val="0"/>
                <w:numId w:val="54"/>
              </w:numPr>
              <w:tabs>
                <w:tab w:val="left" w:pos="203"/>
              </w:tabs>
              <w:adjustRightInd/>
              <w:spacing w:beforeLines="0" w:before="6" w:line="230" w:lineRule="auto"/>
              <w:ind w:right="272"/>
              <w:jc w:val="left"/>
              <w:rPr>
                <w:b w:val="0"/>
                <w:sz w:val="20"/>
                <w:szCs w:val="20"/>
              </w:rPr>
            </w:pPr>
            <w:r w:rsidRPr="0D296D7E">
              <w:rPr>
                <w:b w:val="0"/>
                <w:sz w:val="20"/>
                <w:szCs w:val="20"/>
              </w:rPr>
              <w:t>Inventory</w:t>
            </w:r>
            <w:r w:rsidRPr="0D296D7E">
              <w:rPr>
                <w:b w:val="0"/>
                <w:spacing w:val="-13"/>
                <w:sz w:val="20"/>
                <w:szCs w:val="20"/>
              </w:rPr>
              <w:t xml:space="preserve"> </w:t>
            </w:r>
            <w:r w:rsidRPr="0D296D7E">
              <w:rPr>
                <w:b w:val="0"/>
                <w:sz w:val="20"/>
                <w:szCs w:val="20"/>
              </w:rPr>
              <w:t>management (paper or electronic)</w:t>
            </w:r>
          </w:p>
          <w:p w14:paraId="7FCDC7FA" w14:textId="77777777" w:rsidR="00912BBA" w:rsidRDefault="00912BBA" w:rsidP="0D296D7E">
            <w:pPr>
              <w:pStyle w:val="TableParagraph"/>
              <w:widowControl w:val="0"/>
              <w:numPr>
                <w:ilvl w:val="0"/>
                <w:numId w:val="57"/>
              </w:numPr>
              <w:tabs>
                <w:tab w:val="left" w:pos="203"/>
              </w:tabs>
              <w:adjustRightInd/>
              <w:spacing w:beforeLines="0" w:before="4" w:line="232" w:lineRule="auto"/>
              <w:ind w:right="272"/>
              <w:jc w:val="left"/>
              <w:rPr>
                <w:b w:val="0"/>
                <w:sz w:val="20"/>
                <w:szCs w:val="20"/>
              </w:rPr>
            </w:pPr>
            <w:r w:rsidRPr="0D296D7E">
              <w:rPr>
                <w:b w:val="0"/>
                <w:sz w:val="20"/>
                <w:szCs w:val="20"/>
              </w:rPr>
              <w:t>Where applicable, facility</w:t>
            </w:r>
            <w:r w:rsidRPr="0D296D7E">
              <w:rPr>
                <w:b w:val="0"/>
                <w:spacing w:val="-13"/>
                <w:sz w:val="20"/>
                <w:szCs w:val="20"/>
              </w:rPr>
              <w:t xml:space="preserve"> </w:t>
            </w:r>
            <w:r w:rsidRPr="0D296D7E">
              <w:rPr>
                <w:b w:val="0"/>
                <w:sz w:val="20"/>
                <w:szCs w:val="20"/>
              </w:rPr>
              <w:t>permitting</w:t>
            </w:r>
            <w:r w:rsidRPr="0D296D7E">
              <w:rPr>
                <w:b w:val="0"/>
                <w:spacing w:val="-12"/>
                <w:sz w:val="20"/>
                <w:szCs w:val="20"/>
              </w:rPr>
              <w:t xml:space="preserve"> </w:t>
            </w:r>
            <w:r w:rsidRPr="0D296D7E">
              <w:rPr>
                <w:b w:val="0"/>
                <w:sz w:val="20"/>
                <w:szCs w:val="20"/>
              </w:rPr>
              <w:t xml:space="preserve">and </w:t>
            </w:r>
            <w:r w:rsidRPr="0D296D7E">
              <w:rPr>
                <w:b w:val="0"/>
                <w:spacing w:val="-2"/>
                <w:sz w:val="20"/>
                <w:szCs w:val="20"/>
              </w:rPr>
              <w:t>individual licensing/certification</w:t>
            </w:r>
          </w:p>
          <w:p w14:paraId="4A01AB63" w14:textId="664CD71E" w:rsidR="00912BBA" w:rsidRDefault="00912BBA" w:rsidP="0D296D7E">
            <w:pPr>
              <w:pStyle w:val="TableParagraph"/>
              <w:widowControl w:val="0"/>
              <w:numPr>
                <w:ilvl w:val="0"/>
                <w:numId w:val="54"/>
              </w:numPr>
              <w:tabs>
                <w:tab w:val="left" w:pos="203"/>
              </w:tabs>
              <w:spacing w:before="120" w:line="230" w:lineRule="auto"/>
              <w:ind w:right="272"/>
              <w:jc w:val="left"/>
              <w:rPr>
                <w:b w:val="0"/>
                <w:sz w:val="20"/>
                <w:szCs w:val="20"/>
              </w:rPr>
            </w:pPr>
            <w:r w:rsidRPr="0D296D7E">
              <w:rPr>
                <w:b w:val="0"/>
                <w:sz w:val="20"/>
                <w:szCs w:val="20"/>
              </w:rPr>
              <w:t>Reporting</w:t>
            </w:r>
            <w:r w:rsidRPr="0D296D7E">
              <w:rPr>
                <w:b w:val="0"/>
                <w:spacing w:val="-11"/>
                <w:sz w:val="20"/>
                <w:szCs w:val="20"/>
              </w:rPr>
              <w:t xml:space="preserve"> </w:t>
            </w:r>
            <w:r w:rsidRPr="0D296D7E">
              <w:rPr>
                <w:b w:val="0"/>
                <w:sz w:val="20"/>
                <w:szCs w:val="20"/>
              </w:rPr>
              <w:t xml:space="preserve">and </w:t>
            </w:r>
            <w:r w:rsidRPr="0D296D7E">
              <w:rPr>
                <w:b w:val="0"/>
                <w:spacing w:val="-2"/>
                <w:sz w:val="20"/>
                <w:szCs w:val="20"/>
              </w:rPr>
              <w:t>recordkeeping</w:t>
            </w:r>
          </w:p>
        </w:tc>
      </w:tr>
      <w:tr w:rsidR="007D44F3" w14:paraId="4A3561D0" w14:textId="77777777" w:rsidTr="077E58F6">
        <w:trPr>
          <w:trHeight w:val="1847"/>
        </w:trPr>
        <w:tc>
          <w:tcPr>
            <w:tcW w:w="1665" w:type="dxa"/>
            <w:shd w:val="clear" w:color="auto" w:fill="D9E2F3" w:themeFill="accent1" w:themeFillTint="33"/>
          </w:tcPr>
          <w:p w14:paraId="756120E7" w14:textId="43A2D387" w:rsidR="007D44F3" w:rsidRDefault="007D44F3" w:rsidP="007D44F3">
            <w:pPr>
              <w:pStyle w:val="TableParagraph"/>
              <w:spacing w:before="120"/>
              <w:ind w:left="107"/>
              <w:rPr>
                <w:spacing w:val="-2"/>
                <w:sz w:val="20"/>
              </w:rPr>
            </w:pPr>
            <w:r>
              <w:rPr>
                <w:spacing w:val="-2"/>
                <w:sz w:val="20"/>
              </w:rPr>
              <w:lastRenderedPageBreak/>
              <w:t>Destruction</w:t>
            </w:r>
          </w:p>
        </w:tc>
        <w:tc>
          <w:tcPr>
            <w:tcW w:w="2921" w:type="dxa"/>
          </w:tcPr>
          <w:p w14:paraId="5899B058" w14:textId="77777777" w:rsidR="007D44F3" w:rsidRDefault="007D44F3" w:rsidP="0D296D7E">
            <w:pPr>
              <w:pStyle w:val="TableParagraph"/>
              <w:widowControl w:val="0"/>
              <w:numPr>
                <w:ilvl w:val="0"/>
                <w:numId w:val="51"/>
              </w:numPr>
              <w:tabs>
                <w:tab w:val="left" w:pos="240"/>
              </w:tabs>
              <w:adjustRightInd/>
              <w:spacing w:beforeLines="0" w:before="1" w:line="237" w:lineRule="auto"/>
              <w:ind w:right="197"/>
              <w:jc w:val="left"/>
              <w:rPr>
                <w:b w:val="0"/>
                <w:sz w:val="20"/>
                <w:szCs w:val="20"/>
              </w:rPr>
            </w:pPr>
            <w:r w:rsidRPr="0D296D7E">
              <w:rPr>
                <w:b w:val="0"/>
                <w:sz w:val="20"/>
                <w:szCs w:val="20"/>
              </w:rPr>
              <w:t>Existing facility: Retrofitting existing hazardous waste facilities i.e. rotary kilns, cement kilns) with approved refrigerant destruction technologies</w:t>
            </w:r>
            <w:r w:rsidRPr="0D296D7E">
              <w:rPr>
                <w:b w:val="0"/>
                <w:spacing w:val="-13"/>
                <w:sz w:val="20"/>
                <w:szCs w:val="20"/>
              </w:rPr>
              <w:t xml:space="preserve"> </w:t>
            </w:r>
            <w:r w:rsidRPr="0D296D7E">
              <w:rPr>
                <w:b w:val="0"/>
                <w:sz w:val="20"/>
                <w:szCs w:val="20"/>
              </w:rPr>
              <w:t>co-disposing</w:t>
            </w:r>
            <w:r w:rsidRPr="0D296D7E">
              <w:rPr>
                <w:b w:val="0"/>
                <w:spacing w:val="-12"/>
                <w:sz w:val="20"/>
                <w:szCs w:val="20"/>
              </w:rPr>
              <w:t xml:space="preserve"> </w:t>
            </w:r>
            <w:r w:rsidRPr="0D296D7E">
              <w:rPr>
                <w:b w:val="0"/>
                <w:sz w:val="20"/>
                <w:szCs w:val="20"/>
              </w:rPr>
              <w:t xml:space="preserve">EOL ODS/HFCs (US$50,000 – </w:t>
            </w:r>
            <w:r w:rsidRPr="0D296D7E">
              <w:rPr>
                <w:b w:val="0"/>
                <w:spacing w:val="-2"/>
                <w:sz w:val="20"/>
                <w:szCs w:val="20"/>
              </w:rPr>
              <w:t>100,000)</w:t>
            </w:r>
          </w:p>
          <w:p w14:paraId="1B0EF2B1" w14:textId="77777777" w:rsidR="007D44F3" w:rsidRDefault="007D44F3" w:rsidP="0D296D7E">
            <w:pPr>
              <w:pStyle w:val="TableParagraph"/>
              <w:widowControl w:val="0"/>
              <w:numPr>
                <w:ilvl w:val="0"/>
                <w:numId w:val="51"/>
              </w:numPr>
              <w:tabs>
                <w:tab w:val="left" w:pos="240"/>
              </w:tabs>
              <w:adjustRightInd/>
              <w:spacing w:beforeLines="0" w:before="5"/>
              <w:ind w:right="117"/>
              <w:jc w:val="left"/>
              <w:rPr>
                <w:b w:val="0"/>
                <w:sz w:val="20"/>
                <w:szCs w:val="20"/>
              </w:rPr>
            </w:pPr>
            <w:r w:rsidRPr="0D296D7E">
              <w:rPr>
                <w:b w:val="0"/>
                <w:sz w:val="20"/>
                <w:szCs w:val="20"/>
              </w:rPr>
              <w:t>New dedicated facility: Design, fabrication, installation, commissioning costs for approved destruction technologies (e.g., plasma arc etc.)</w:t>
            </w:r>
            <w:r w:rsidRPr="0D296D7E">
              <w:rPr>
                <w:b w:val="0"/>
                <w:spacing w:val="-7"/>
                <w:sz w:val="20"/>
                <w:szCs w:val="20"/>
              </w:rPr>
              <w:t xml:space="preserve"> </w:t>
            </w:r>
            <w:r w:rsidRPr="0D296D7E">
              <w:rPr>
                <w:b w:val="0"/>
                <w:sz w:val="20"/>
                <w:szCs w:val="20"/>
              </w:rPr>
              <w:t>–</w:t>
            </w:r>
            <w:r w:rsidRPr="0D296D7E">
              <w:rPr>
                <w:b w:val="0"/>
                <w:spacing w:val="-7"/>
                <w:sz w:val="20"/>
                <w:szCs w:val="20"/>
              </w:rPr>
              <w:t xml:space="preserve"> </w:t>
            </w:r>
            <w:r w:rsidRPr="0D296D7E">
              <w:rPr>
                <w:b w:val="0"/>
                <w:sz w:val="20"/>
                <w:szCs w:val="20"/>
              </w:rPr>
              <w:t>costs</w:t>
            </w:r>
            <w:r w:rsidRPr="0D296D7E">
              <w:rPr>
                <w:b w:val="0"/>
                <w:spacing w:val="-9"/>
                <w:sz w:val="20"/>
                <w:szCs w:val="20"/>
              </w:rPr>
              <w:t xml:space="preserve"> </w:t>
            </w:r>
            <w:r w:rsidRPr="0D296D7E">
              <w:rPr>
                <w:b w:val="0"/>
                <w:sz w:val="20"/>
                <w:szCs w:val="20"/>
              </w:rPr>
              <w:t>will</w:t>
            </w:r>
            <w:r w:rsidRPr="0D296D7E">
              <w:rPr>
                <w:b w:val="0"/>
                <w:spacing w:val="-8"/>
                <w:sz w:val="20"/>
                <w:szCs w:val="20"/>
              </w:rPr>
              <w:t xml:space="preserve"> </w:t>
            </w:r>
            <w:r w:rsidRPr="0D296D7E">
              <w:rPr>
                <w:b w:val="0"/>
                <w:sz w:val="20"/>
                <w:szCs w:val="20"/>
              </w:rPr>
              <w:t>vary</w:t>
            </w:r>
            <w:r w:rsidRPr="0D296D7E">
              <w:rPr>
                <w:b w:val="0"/>
                <w:spacing w:val="-7"/>
                <w:sz w:val="20"/>
                <w:szCs w:val="20"/>
              </w:rPr>
              <w:t xml:space="preserve"> </w:t>
            </w:r>
            <w:r w:rsidRPr="0D296D7E">
              <w:rPr>
                <w:b w:val="0"/>
                <w:sz w:val="20"/>
                <w:szCs w:val="20"/>
              </w:rPr>
              <w:t>depending on location, scale, and technology type. References costs: &gt;3 million US$ for a small rotary kiln and &gt;.4.2 US$ for a commercial scale plasma</w:t>
            </w:r>
          </w:p>
          <w:p w14:paraId="2B3E6DCA" w14:textId="77777777" w:rsidR="007D44F3" w:rsidRPr="009C3698" w:rsidRDefault="007D44F3" w:rsidP="0D296D7E">
            <w:pPr>
              <w:pStyle w:val="TableParagraph"/>
              <w:widowControl w:val="0"/>
              <w:numPr>
                <w:ilvl w:val="0"/>
                <w:numId w:val="60"/>
              </w:numPr>
              <w:tabs>
                <w:tab w:val="left" w:pos="264"/>
              </w:tabs>
              <w:adjustRightInd/>
              <w:spacing w:beforeLines="0" w:before="4" w:line="232" w:lineRule="auto"/>
              <w:ind w:right="450"/>
              <w:jc w:val="left"/>
              <w:rPr>
                <w:rFonts w:ascii="Calibri"/>
                <w:b w:val="0"/>
                <w:sz w:val="20"/>
                <w:szCs w:val="20"/>
              </w:rPr>
            </w:pPr>
            <w:r w:rsidRPr="0D296D7E">
              <w:rPr>
                <w:b w:val="0"/>
                <w:sz w:val="20"/>
                <w:szCs w:val="20"/>
              </w:rPr>
              <w:t>arc</w:t>
            </w:r>
            <w:r w:rsidRPr="0D296D7E">
              <w:rPr>
                <w:b w:val="0"/>
                <w:spacing w:val="-7"/>
                <w:sz w:val="20"/>
                <w:szCs w:val="20"/>
              </w:rPr>
              <w:t xml:space="preserve"> </w:t>
            </w:r>
            <w:r w:rsidRPr="0D296D7E">
              <w:rPr>
                <w:b w:val="0"/>
                <w:sz w:val="20"/>
                <w:szCs w:val="20"/>
              </w:rPr>
              <w:t>facility</w:t>
            </w:r>
            <w:r w:rsidRPr="0D296D7E">
              <w:rPr>
                <w:b w:val="0"/>
                <w:spacing w:val="-6"/>
                <w:sz w:val="20"/>
                <w:szCs w:val="20"/>
              </w:rPr>
              <w:t xml:space="preserve"> </w:t>
            </w:r>
            <w:r w:rsidRPr="0D296D7E">
              <w:rPr>
                <w:b w:val="0"/>
                <w:sz w:val="20"/>
                <w:szCs w:val="20"/>
              </w:rPr>
              <w:t>(COPA</w:t>
            </w:r>
            <w:r w:rsidRPr="0D296D7E">
              <w:rPr>
                <w:b w:val="0"/>
                <w:spacing w:val="-7"/>
                <w:sz w:val="20"/>
                <w:szCs w:val="20"/>
              </w:rPr>
              <w:t xml:space="preserve"> </w:t>
            </w:r>
            <w:r w:rsidRPr="0D296D7E">
              <w:rPr>
                <w:b w:val="0"/>
                <w:spacing w:val="-2"/>
                <w:sz w:val="20"/>
                <w:szCs w:val="20"/>
              </w:rPr>
              <w:t>(2023)</w:t>
            </w:r>
          </w:p>
          <w:p w14:paraId="2A383714" w14:textId="27813829" w:rsidR="009C3698" w:rsidRDefault="009C3698" w:rsidP="009C3698">
            <w:pPr>
              <w:pStyle w:val="TableParagraph"/>
              <w:widowControl w:val="0"/>
              <w:tabs>
                <w:tab w:val="left" w:pos="264"/>
              </w:tabs>
              <w:adjustRightInd/>
              <w:spacing w:beforeLines="0" w:before="4" w:line="232" w:lineRule="auto"/>
              <w:ind w:left="264" w:right="450"/>
              <w:jc w:val="left"/>
              <w:rPr>
                <w:rFonts w:ascii="Calibri"/>
                <w:b w:val="0"/>
                <w:sz w:val="20"/>
                <w:szCs w:val="20"/>
              </w:rPr>
            </w:pPr>
          </w:p>
        </w:tc>
        <w:tc>
          <w:tcPr>
            <w:tcW w:w="2613" w:type="dxa"/>
          </w:tcPr>
          <w:p w14:paraId="235437CA" w14:textId="77777777" w:rsidR="007D44F3" w:rsidRDefault="007D44F3" w:rsidP="0D296D7E">
            <w:pPr>
              <w:pStyle w:val="TableParagraph"/>
              <w:widowControl w:val="0"/>
              <w:numPr>
                <w:ilvl w:val="0"/>
                <w:numId w:val="50"/>
              </w:numPr>
              <w:tabs>
                <w:tab w:val="left" w:pos="261"/>
              </w:tabs>
              <w:adjustRightInd/>
              <w:spacing w:beforeLines="0" w:before="1" w:line="237" w:lineRule="auto"/>
              <w:ind w:right="138"/>
              <w:jc w:val="left"/>
              <w:rPr>
                <w:b w:val="0"/>
                <w:sz w:val="20"/>
                <w:szCs w:val="20"/>
              </w:rPr>
            </w:pPr>
            <w:r w:rsidRPr="0D296D7E">
              <w:rPr>
                <w:b w:val="0"/>
                <w:sz w:val="20"/>
                <w:szCs w:val="20"/>
              </w:rPr>
              <w:t>Commercial hazardous waste</w:t>
            </w:r>
            <w:r w:rsidRPr="0D296D7E">
              <w:rPr>
                <w:b w:val="0"/>
                <w:spacing w:val="-2"/>
                <w:sz w:val="20"/>
                <w:szCs w:val="20"/>
              </w:rPr>
              <w:t xml:space="preserve"> </w:t>
            </w:r>
            <w:r w:rsidRPr="0D296D7E">
              <w:rPr>
                <w:b w:val="0"/>
                <w:sz w:val="20"/>
                <w:szCs w:val="20"/>
              </w:rPr>
              <w:t>chemical</w:t>
            </w:r>
            <w:r w:rsidRPr="0D296D7E">
              <w:rPr>
                <w:b w:val="0"/>
                <w:spacing w:val="-2"/>
                <w:sz w:val="20"/>
                <w:szCs w:val="20"/>
              </w:rPr>
              <w:t xml:space="preserve"> </w:t>
            </w:r>
            <w:r w:rsidRPr="0D296D7E">
              <w:rPr>
                <w:b w:val="0"/>
                <w:sz w:val="20"/>
                <w:szCs w:val="20"/>
              </w:rPr>
              <w:t>destruction using lowest-cost incineration</w:t>
            </w:r>
            <w:r w:rsidRPr="0D296D7E">
              <w:rPr>
                <w:b w:val="0"/>
                <w:spacing w:val="-13"/>
                <w:sz w:val="20"/>
                <w:szCs w:val="20"/>
              </w:rPr>
              <w:t xml:space="preserve"> </w:t>
            </w:r>
            <w:r w:rsidRPr="0D296D7E">
              <w:rPr>
                <w:b w:val="0"/>
                <w:sz w:val="20"/>
                <w:szCs w:val="20"/>
              </w:rPr>
              <w:t>technology</w:t>
            </w:r>
            <w:r w:rsidRPr="0D296D7E">
              <w:rPr>
                <w:b w:val="0"/>
                <w:spacing w:val="-12"/>
                <w:sz w:val="20"/>
                <w:szCs w:val="20"/>
              </w:rPr>
              <w:t xml:space="preserve"> </w:t>
            </w:r>
            <w:r w:rsidRPr="0D296D7E">
              <w:rPr>
                <w:b w:val="0"/>
                <w:sz w:val="20"/>
                <w:szCs w:val="20"/>
              </w:rPr>
              <w:t>US</w:t>
            </w:r>
          </w:p>
          <w:p w14:paraId="70ED1161" w14:textId="77777777" w:rsidR="007D44F3" w:rsidRDefault="007D44F3" w:rsidP="4A6D76B0">
            <w:pPr>
              <w:pStyle w:val="TableParagraph"/>
              <w:spacing w:before="120"/>
              <w:ind w:left="261" w:right="144"/>
              <w:jc w:val="left"/>
              <w:rPr>
                <w:b w:val="0"/>
                <w:sz w:val="20"/>
                <w:szCs w:val="20"/>
              </w:rPr>
            </w:pPr>
            <w:r w:rsidRPr="0D296D7E">
              <w:rPr>
                <w:b w:val="0"/>
                <w:sz w:val="20"/>
                <w:szCs w:val="20"/>
              </w:rPr>
              <w:t>$2-3/kg, assuming economies of scale are potentially achievable if contracted</w:t>
            </w:r>
            <w:r w:rsidRPr="0D296D7E">
              <w:rPr>
                <w:b w:val="0"/>
                <w:spacing w:val="-13"/>
                <w:sz w:val="20"/>
                <w:szCs w:val="20"/>
              </w:rPr>
              <w:t xml:space="preserve"> </w:t>
            </w:r>
            <w:r w:rsidRPr="0D296D7E">
              <w:rPr>
                <w:b w:val="0"/>
                <w:sz w:val="20"/>
                <w:szCs w:val="20"/>
              </w:rPr>
              <w:t>with</w:t>
            </w:r>
            <w:r w:rsidRPr="0D296D7E">
              <w:rPr>
                <w:b w:val="0"/>
                <w:spacing w:val="-12"/>
                <w:sz w:val="20"/>
                <w:szCs w:val="20"/>
              </w:rPr>
              <w:t xml:space="preserve"> </w:t>
            </w:r>
            <w:r w:rsidRPr="0D296D7E">
              <w:rPr>
                <w:b w:val="0"/>
                <w:sz w:val="20"/>
                <w:szCs w:val="20"/>
              </w:rPr>
              <w:t>established qualified facility</w:t>
            </w:r>
          </w:p>
          <w:p w14:paraId="51C09DA3" w14:textId="77777777" w:rsidR="007D44F3" w:rsidRDefault="007D44F3" w:rsidP="0D296D7E">
            <w:pPr>
              <w:pStyle w:val="TableParagraph"/>
              <w:widowControl w:val="0"/>
              <w:numPr>
                <w:ilvl w:val="0"/>
                <w:numId w:val="50"/>
              </w:numPr>
              <w:tabs>
                <w:tab w:val="left" w:pos="261"/>
              </w:tabs>
              <w:adjustRightInd/>
              <w:spacing w:beforeLines="0" w:before="0" w:line="235" w:lineRule="auto"/>
              <w:ind w:right="425"/>
              <w:jc w:val="left"/>
              <w:rPr>
                <w:b w:val="0"/>
                <w:sz w:val="20"/>
                <w:szCs w:val="20"/>
              </w:rPr>
            </w:pPr>
            <w:r w:rsidRPr="0D296D7E">
              <w:rPr>
                <w:b w:val="0"/>
                <w:sz w:val="20"/>
                <w:szCs w:val="20"/>
              </w:rPr>
              <w:t>Low volume costs in commercial</w:t>
            </w:r>
            <w:r w:rsidRPr="0D296D7E">
              <w:rPr>
                <w:b w:val="0"/>
                <w:spacing w:val="-13"/>
                <w:sz w:val="20"/>
                <w:szCs w:val="20"/>
              </w:rPr>
              <w:t xml:space="preserve"> </w:t>
            </w:r>
            <w:r w:rsidRPr="0D296D7E">
              <w:rPr>
                <w:b w:val="0"/>
                <w:sz w:val="20"/>
                <w:szCs w:val="20"/>
              </w:rPr>
              <w:t>rotary</w:t>
            </w:r>
            <w:r w:rsidRPr="0D296D7E">
              <w:rPr>
                <w:b w:val="0"/>
                <w:spacing w:val="-12"/>
                <w:sz w:val="20"/>
                <w:szCs w:val="20"/>
              </w:rPr>
              <w:t xml:space="preserve"> </w:t>
            </w:r>
            <w:r w:rsidRPr="0D296D7E">
              <w:rPr>
                <w:b w:val="0"/>
                <w:sz w:val="20"/>
                <w:szCs w:val="20"/>
              </w:rPr>
              <w:t>kilns may be US$6-8/kg.</w:t>
            </w:r>
          </w:p>
          <w:p w14:paraId="656C6987" w14:textId="77777777" w:rsidR="007D44F3" w:rsidRDefault="007D44F3" w:rsidP="0D296D7E">
            <w:pPr>
              <w:pStyle w:val="TableParagraph"/>
              <w:widowControl w:val="0"/>
              <w:numPr>
                <w:ilvl w:val="0"/>
                <w:numId w:val="50"/>
              </w:numPr>
              <w:tabs>
                <w:tab w:val="left" w:pos="261"/>
              </w:tabs>
              <w:adjustRightInd/>
              <w:spacing w:beforeLines="0" w:before="8" w:line="230" w:lineRule="auto"/>
              <w:ind w:right="414"/>
              <w:jc w:val="left"/>
              <w:rPr>
                <w:b w:val="0"/>
                <w:sz w:val="20"/>
                <w:szCs w:val="20"/>
              </w:rPr>
            </w:pPr>
            <w:r w:rsidRPr="0D296D7E">
              <w:rPr>
                <w:b w:val="0"/>
                <w:sz w:val="20"/>
                <w:szCs w:val="20"/>
              </w:rPr>
              <w:t>Cement</w:t>
            </w:r>
            <w:r w:rsidRPr="0D296D7E">
              <w:rPr>
                <w:b w:val="0"/>
                <w:spacing w:val="-13"/>
                <w:sz w:val="20"/>
                <w:szCs w:val="20"/>
              </w:rPr>
              <w:t xml:space="preserve"> </w:t>
            </w:r>
            <w:r w:rsidRPr="0D296D7E">
              <w:rPr>
                <w:b w:val="0"/>
                <w:sz w:val="20"/>
                <w:szCs w:val="20"/>
              </w:rPr>
              <w:t>kiln</w:t>
            </w:r>
            <w:r w:rsidRPr="0D296D7E">
              <w:rPr>
                <w:b w:val="0"/>
                <w:spacing w:val="-12"/>
                <w:sz w:val="20"/>
                <w:szCs w:val="20"/>
              </w:rPr>
              <w:t xml:space="preserve"> </w:t>
            </w:r>
            <w:r w:rsidRPr="0D296D7E">
              <w:rPr>
                <w:b w:val="0"/>
                <w:sz w:val="20"/>
                <w:szCs w:val="20"/>
              </w:rPr>
              <w:t>destruction estimated at US$ 8/kg.</w:t>
            </w:r>
          </w:p>
          <w:p w14:paraId="49A5C92A" w14:textId="6221CC42" w:rsidR="007D44F3" w:rsidRDefault="0D296D7E" w:rsidP="4A6D76B0">
            <w:pPr>
              <w:pStyle w:val="TableParagraph"/>
              <w:widowControl w:val="0"/>
              <w:numPr>
                <w:ilvl w:val="0"/>
                <w:numId w:val="56"/>
              </w:numPr>
              <w:tabs>
                <w:tab w:val="left" w:pos="240"/>
              </w:tabs>
              <w:adjustRightInd/>
              <w:spacing w:beforeLines="0" w:before="6" w:line="230" w:lineRule="auto"/>
              <w:ind w:right="197"/>
              <w:jc w:val="left"/>
              <w:rPr>
                <w:b w:val="0"/>
                <w:sz w:val="20"/>
                <w:szCs w:val="20"/>
              </w:rPr>
            </w:pPr>
            <w:r w:rsidRPr="0D296D7E">
              <w:rPr>
                <w:b w:val="0"/>
                <w:sz w:val="20"/>
                <w:szCs w:val="20"/>
              </w:rPr>
              <w:t>Commercial scale plasma arc estimated at US$8/kg while small scale plasma arc at US$20+/kg References (COPA (2023),</w:t>
            </w:r>
            <w:r w:rsidR="14A021F6" w:rsidRPr="14A021F6">
              <w:rPr>
                <w:b w:val="0"/>
                <w:sz w:val="20"/>
                <w:szCs w:val="20"/>
              </w:rPr>
              <w:t xml:space="preserve"> </w:t>
            </w:r>
            <w:r w:rsidRPr="0D296D7E">
              <w:rPr>
                <w:b w:val="0"/>
                <w:sz w:val="20"/>
                <w:szCs w:val="20"/>
              </w:rPr>
              <w:t>UNEP (2019)</w:t>
            </w:r>
          </w:p>
        </w:tc>
        <w:tc>
          <w:tcPr>
            <w:tcW w:w="2790" w:type="dxa"/>
          </w:tcPr>
          <w:p w14:paraId="64F060B1" w14:textId="2514C67F" w:rsidR="007D44F3" w:rsidRDefault="007D44F3" w:rsidP="0D296D7E">
            <w:pPr>
              <w:pStyle w:val="TableParagraph"/>
              <w:widowControl w:val="0"/>
              <w:numPr>
                <w:ilvl w:val="0"/>
                <w:numId w:val="49"/>
              </w:numPr>
              <w:tabs>
                <w:tab w:val="left" w:pos="264"/>
              </w:tabs>
              <w:adjustRightInd/>
              <w:spacing w:beforeLines="0" w:before="1" w:line="237" w:lineRule="auto"/>
              <w:ind w:right="216"/>
              <w:jc w:val="left"/>
              <w:rPr>
                <w:b w:val="0"/>
                <w:sz w:val="20"/>
                <w:szCs w:val="20"/>
              </w:rPr>
            </w:pPr>
            <w:r w:rsidRPr="0D296D7E">
              <w:rPr>
                <w:b w:val="0"/>
                <w:sz w:val="20"/>
                <w:szCs w:val="20"/>
              </w:rPr>
              <w:t>Operation and maintenance costs</w:t>
            </w:r>
            <w:r w:rsidRPr="0D296D7E">
              <w:rPr>
                <w:b w:val="0"/>
                <w:spacing w:val="-13"/>
                <w:sz w:val="20"/>
                <w:szCs w:val="20"/>
              </w:rPr>
              <w:t xml:space="preserve"> </w:t>
            </w:r>
            <w:r w:rsidRPr="0D296D7E">
              <w:rPr>
                <w:b w:val="0"/>
                <w:sz w:val="20"/>
                <w:szCs w:val="20"/>
              </w:rPr>
              <w:t>for</w:t>
            </w:r>
            <w:r w:rsidRPr="0D296D7E">
              <w:rPr>
                <w:b w:val="0"/>
                <w:spacing w:val="-12"/>
                <w:sz w:val="20"/>
                <w:szCs w:val="20"/>
              </w:rPr>
              <w:t xml:space="preserve"> </w:t>
            </w:r>
            <w:r w:rsidRPr="0D296D7E">
              <w:rPr>
                <w:b w:val="0"/>
                <w:sz w:val="20"/>
                <w:szCs w:val="20"/>
              </w:rPr>
              <w:t>destruction</w:t>
            </w:r>
            <w:r w:rsidRPr="0D296D7E">
              <w:rPr>
                <w:b w:val="0"/>
                <w:spacing w:val="-13"/>
                <w:sz w:val="20"/>
                <w:szCs w:val="20"/>
              </w:rPr>
              <w:t xml:space="preserve"> </w:t>
            </w:r>
            <w:r w:rsidRPr="0D296D7E">
              <w:rPr>
                <w:b w:val="0"/>
                <w:sz w:val="20"/>
                <w:szCs w:val="20"/>
              </w:rPr>
              <w:t xml:space="preserve">facilities in accordance with the </w:t>
            </w:r>
            <w:r w:rsidR="00FB7C66">
              <w:rPr>
                <w:b w:val="0"/>
                <w:sz w:val="20"/>
                <w:szCs w:val="20"/>
              </w:rPr>
              <w:t>MP</w:t>
            </w:r>
            <w:r w:rsidRPr="0D296D7E">
              <w:rPr>
                <w:b w:val="0"/>
                <w:sz w:val="20"/>
                <w:szCs w:val="20"/>
              </w:rPr>
              <w:t xml:space="preserve"> handbook</w:t>
            </w:r>
          </w:p>
          <w:p w14:paraId="74BA40D0" w14:textId="77777777" w:rsidR="007D44F3" w:rsidRDefault="007D44F3" w:rsidP="0D296D7E">
            <w:pPr>
              <w:pStyle w:val="TableParagraph"/>
              <w:widowControl w:val="0"/>
              <w:numPr>
                <w:ilvl w:val="0"/>
                <w:numId w:val="49"/>
              </w:numPr>
              <w:tabs>
                <w:tab w:val="left" w:pos="264"/>
              </w:tabs>
              <w:adjustRightInd/>
              <w:spacing w:beforeLines="0" w:before="0" w:line="237" w:lineRule="auto"/>
              <w:ind w:right="329"/>
              <w:jc w:val="left"/>
              <w:rPr>
                <w:b w:val="0"/>
                <w:sz w:val="20"/>
                <w:szCs w:val="20"/>
              </w:rPr>
            </w:pPr>
            <w:r w:rsidRPr="0D296D7E">
              <w:rPr>
                <w:b w:val="0"/>
                <w:sz w:val="20"/>
                <w:szCs w:val="20"/>
              </w:rPr>
              <w:t>Costs associated with achieving</w:t>
            </w:r>
            <w:r w:rsidRPr="0D296D7E">
              <w:rPr>
                <w:b w:val="0"/>
                <w:spacing w:val="-13"/>
                <w:sz w:val="20"/>
                <w:szCs w:val="20"/>
              </w:rPr>
              <w:t xml:space="preserve"> </w:t>
            </w:r>
            <w:r w:rsidRPr="0D296D7E">
              <w:rPr>
                <w:b w:val="0"/>
                <w:sz w:val="20"/>
                <w:szCs w:val="20"/>
              </w:rPr>
              <w:t>optimal</w:t>
            </w:r>
            <w:r w:rsidRPr="0D296D7E">
              <w:rPr>
                <w:b w:val="0"/>
                <w:spacing w:val="-12"/>
                <w:sz w:val="20"/>
                <w:szCs w:val="20"/>
              </w:rPr>
              <w:t xml:space="preserve"> </w:t>
            </w:r>
            <w:r w:rsidRPr="0D296D7E">
              <w:rPr>
                <w:b w:val="0"/>
                <w:sz w:val="20"/>
                <w:szCs w:val="20"/>
              </w:rPr>
              <w:t>operating efficiencies (may include quality testing of material prior to destruction)</w:t>
            </w:r>
          </w:p>
          <w:p w14:paraId="7823345C" w14:textId="28555596" w:rsidR="007D44F3" w:rsidRDefault="007D44F3" w:rsidP="0D296D7E">
            <w:pPr>
              <w:pStyle w:val="TableParagraph"/>
              <w:widowControl w:val="0"/>
              <w:numPr>
                <w:ilvl w:val="0"/>
                <w:numId w:val="55"/>
              </w:numPr>
              <w:tabs>
                <w:tab w:val="left" w:pos="243"/>
              </w:tabs>
              <w:adjustRightInd/>
              <w:spacing w:beforeLines="0" w:before="2" w:line="235" w:lineRule="auto"/>
              <w:ind w:right="201"/>
              <w:jc w:val="left"/>
              <w:rPr>
                <w:b w:val="0"/>
                <w:sz w:val="20"/>
                <w:szCs w:val="20"/>
              </w:rPr>
            </w:pPr>
            <w:r w:rsidRPr="0D296D7E">
              <w:rPr>
                <w:b w:val="0"/>
                <w:sz w:val="20"/>
                <w:szCs w:val="20"/>
              </w:rPr>
              <w:t xml:space="preserve">Storage of non- </w:t>
            </w:r>
            <w:r w:rsidRPr="0D296D7E">
              <w:rPr>
                <w:b w:val="0"/>
                <w:spacing w:val="-2"/>
                <w:sz w:val="20"/>
                <w:szCs w:val="20"/>
              </w:rPr>
              <w:t xml:space="preserve">reclaimable/contaminated </w:t>
            </w:r>
            <w:r w:rsidRPr="0D296D7E">
              <w:rPr>
                <w:b w:val="0"/>
                <w:sz w:val="20"/>
                <w:szCs w:val="20"/>
              </w:rPr>
              <w:t xml:space="preserve">refrigerants pending </w:t>
            </w:r>
            <w:r w:rsidRPr="0D296D7E">
              <w:rPr>
                <w:b w:val="0"/>
                <w:spacing w:val="-2"/>
                <w:sz w:val="20"/>
                <w:szCs w:val="20"/>
              </w:rPr>
              <w:t>destruction</w:t>
            </w:r>
          </w:p>
        </w:tc>
        <w:tc>
          <w:tcPr>
            <w:tcW w:w="2133" w:type="dxa"/>
          </w:tcPr>
          <w:p w14:paraId="6CC1363A" w14:textId="77777777" w:rsidR="007D44F3" w:rsidRDefault="007D44F3" w:rsidP="0D296D7E">
            <w:pPr>
              <w:pStyle w:val="TableParagraph"/>
              <w:spacing w:before="120" w:line="237" w:lineRule="auto"/>
              <w:ind w:left="183" w:right="292" w:hanging="75"/>
              <w:jc w:val="left"/>
              <w:rPr>
                <w:b w:val="0"/>
                <w:sz w:val="20"/>
                <w:szCs w:val="20"/>
              </w:rPr>
            </w:pPr>
            <w:r w:rsidRPr="0D296D7E">
              <w:rPr>
                <w:rFonts w:ascii="Calibri"/>
                <w:b w:val="0"/>
                <w:sz w:val="20"/>
                <w:szCs w:val="20"/>
              </w:rPr>
              <w:t>-</w:t>
            </w:r>
            <w:r w:rsidRPr="0D296D7E">
              <w:rPr>
                <w:rFonts w:ascii="Calibri"/>
                <w:b w:val="0"/>
                <w:spacing w:val="-28"/>
                <w:sz w:val="20"/>
                <w:szCs w:val="20"/>
              </w:rPr>
              <w:t xml:space="preserve"> </w:t>
            </w:r>
            <w:r w:rsidRPr="0D296D7E">
              <w:rPr>
                <w:b w:val="0"/>
                <w:sz w:val="20"/>
                <w:szCs w:val="20"/>
              </w:rPr>
              <w:t>Employment and training for new operations/staff</w:t>
            </w:r>
            <w:r w:rsidRPr="0D296D7E">
              <w:rPr>
                <w:b w:val="0"/>
                <w:spacing w:val="-13"/>
                <w:sz w:val="20"/>
                <w:szCs w:val="20"/>
              </w:rPr>
              <w:t xml:space="preserve"> </w:t>
            </w:r>
            <w:r w:rsidRPr="0D296D7E">
              <w:rPr>
                <w:b w:val="0"/>
                <w:sz w:val="20"/>
                <w:szCs w:val="20"/>
              </w:rPr>
              <w:t xml:space="preserve">(new </w:t>
            </w:r>
            <w:r w:rsidRPr="0D296D7E">
              <w:rPr>
                <w:b w:val="0"/>
                <w:spacing w:val="-2"/>
                <w:sz w:val="20"/>
                <w:szCs w:val="20"/>
              </w:rPr>
              <w:t>facility)</w:t>
            </w:r>
          </w:p>
          <w:p w14:paraId="799CA108" w14:textId="4B4A4E00" w:rsidR="007D44F3" w:rsidRDefault="007D44F3" w:rsidP="4A6D76B0">
            <w:pPr>
              <w:pStyle w:val="TableParagraph"/>
              <w:spacing w:before="120" w:line="237" w:lineRule="auto"/>
              <w:ind w:left="183" w:right="58" w:hanging="142"/>
              <w:jc w:val="left"/>
              <w:rPr>
                <w:rFonts w:ascii="Calibri"/>
                <w:b w:val="0"/>
                <w:sz w:val="20"/>
                <w:szCs w:val="20"/>
              </w:rPr>
            </w:pPr>
            <w:r w:rsidRPr="0D296D7E">
              <w:rPr>
                <w:rFonts w:ascii="Calibri" w:hAnsi="Calibri"/>
                <w:b w:val="0"/>
                <w:sz w:val="20"/>
                <w:szCs w:val="20"/>
              </w:rPr>
              <w:t>-</w:t>
            </w:r>
            <w:r w:rsidRPr="0D296D7E">
              <w:rPr>
                <w:rFonts w:ascii="Calibri" w:hAnsi="Calibri"/>
                <w:b w:val="0"/>
                <w:spacing w:val="-29"/>
                <w:sz w:val="20"/>
                <w:szCs w:val="20"/>
              </w:rPr>
              <w:t xml:space="preserve"> </w:t>
            </w:r>
            <w:r w:rsidRPr="12C2FE65">
              <w:rPr>
                <w:b w:val="0"/>
                <w:sz w:val="20"/>
                <w:szCs w:val="20"/>
              </w:rPr>
              <w:t>Training</w:t>
            </w:r>
            <w:r w:rsidRPr="0D296D7E">
              <w:rPr>
                <w:b w:val="0"/>
                <w:sz w:val="20"/>
                <w:szCs w:val="20"/>
              </w:rPr>
              <w:t xml:space="preserve"> of operators on lower cost </w:t>
            </w:r>
            <w:r w:rsidRPr="0D296D7E">
              <w:rPr>
                <w:b w:val="0"/>
                <w:spacing w:val="-2"/>
                <w:sz w:val="20"/>
                <w:szCs w:val="20"/>
              </w:rPr>
              <w:t xml:space="preserve">destruction </w:t>
            </w:r>
            <w:r w:rsidRPr="0D296D7E">
              <w:rPr>
                <w:b w:val="0"/>
                <w:sz w:val="20"/>
                <w:szCs w:val="20"/>
              </w:rPr>
              <w:t>technologies has a similar</w:t>
            </w:r>
            <w:r w:rsidRPr="0D296D7E">
              <w:rPr>
                <w:b w:val="0"/>
                <w:spacing w:val="-13"/>
                <w:sz w:val="20"/>
                <w:szCs w:val="20"/>
              </w:rPr>
              <w:t xml:space="preserve"> </w:t>
            </w:r>
            <w:r w:rsidRPr="0D296D7E">
              <w:rPr>
                <w:b w:val="0"/>
                <w:sz w:val="20"/>
                <w:szCs w:val="20"/>
              </w:rPr>
              <w:t>indicative</w:t>
            </w:r>
            <w:r w:rsidRPr="0D296D7E">
              <w:rPr>
                <w:b w:val="0"/>
                <w:spacing w:val="-12"/>
                <w:sz w:val="20"/>
                <w:szCs w:val="20"/>
              </w:rPr>
              <w:t xml:space="preserve"> </w:t>
            </w:r>
            <w:r w:rsidRPr="0D296D7E">
              <w:rPr>
                <w:b w:val="0"/>
                <w:sz w:val="20"/>
                <w:szCs w:val="20"/>
              </w:rPr>
              <w:t>cost to RRR operators at US $500 –</w:t>
            </w:r>
            <w:r w:rsidRPr="0D296D7E">
              <w:rPr>
                <w:b w:val="0"/>
                <w:spacing w:val="-2"/>
                <w:sz w:val="20"/>
                <w:szCs w:val="20"/>
              </w:rPr>
              <w:t>750/operator</w:t>
            </w:r>
          </w:p>
        </w:tc>
        <w:tc>
          <w:tcPr>
            <w:tcW w:w="2456" w:type="dxa"/>
          </w:tcPr>
          <w:p w14:paraId="7C9F2472" w14:textId="77777777" w:rsidR="007D44F3" w:rsidRDefault="007D44F3" w:rsidP="0D296D7E">
            <w:pPr>
              <w:pStyle w:val="TableParagraph"/>
              <w:widowControl w:val="0"/>
              <w:numPr>
                <w:ilvl w:val="0"/>
                <w:numId w:val="48"/>
              </w:numPr>
              <w:tabs>
                <w:tab w:val="left" w:pos="313"/>
              </w:tabs>
              <w:adjustRightInd/>
              <w:spacing w:beforeLines="0" w:before="2" w:line="235" w:lineRule="auto"/>
              <w:ind w:right="435"/>
              <w:jc w:val="left"/>
              <w:rPr>
                <w:b w:val="0"/>
                <w:sz w:val="20"/>
                <w:szCs w:val="20"/>
              </w:rPr>
            </w:pPr>
            <w:r w:rsidRPr="0D296D7E">
              <w:rPr>
                <w:b w:val="0"/>
                <w:sz w:val="20"/>
                <w:szCs w:val="20"/>
              </w:rPr>
              <w:t>Permitting, and if applicable,</w:t>
            </w:r>
            <w:r w:rsidRPr="0D296D7E">
              <w:rPr>
                <w:b w:val="0"/>
                <w:spacing w:val="-13"/>
                <w:sz w:val="20"/>
                <w:szCs w:val="20"/>
              </w:rPr>
              <w:t xml:space="preserve"> </w:t>
            </w:r>
            <w:r w:rsidRPr="0D296D7E">
              <w:rPr>
                <w:b w:val="0"/>
                <w:sz w:val="20"/>
                <w:szCs w:val="20"/>
              </w:rPr>
              <w:t xml:space="preserve">periodic </w:t>
            </w:r>
            <w:r w:rsidRPr="0D296D7E">
              <w:rPr>
                <w:b w:val="0"/>
                <w:spacing w:val="-2"/>
                <w:sz w:val="20"/>
                <w:szCs w:val="20"/>
              </w:rPr>
              <w:t>recertification</w:t>
            </w:r>
            <w:hyperlink w:anchor="_bookmark185" w:history="1">
              <w:r w:rsidRPr="0D296D7E">
                <w:rPr>
                  <w:b w:val="0"/>
                  <w:spacing w:val="-2"/>
                  <w:sz w:val="20"/>
                  <w:szCs w:val="20"/>
                  <w:vertAlign w:val="superscript"/>
                </w:rPr>
                <w:t>41</w:t>
              </w:r>
            </w:hyperlink>
          </w:p>
          <w:p w14:paraId="00463070" w14:textId="77777777" w:rsidR="007D44F3" w:rsidRDefault="007D44F3" w:rsidP="0D296D7E">
            <w:pPr>
              <w:pStyle w:val="TableParagraph"/>
              <w:widowControl w:val="0"/>
              <w:numPr>
                <w:ilvl w:val="0"/>
                <w:numId w:val="48"/>
              </w:numPr>
              <w:tabs>
                <w:tab w:val="left" w:pos="313"/>
              </w:tabs>
              <w:adjustRightInd/>
              <w:spacing w:beforeLines="0" w:before="0" w:line="238" w:lineRule="exact"/>
              <w:ind w:hanging="283"/>
              <w:jc w:val="left"/>
              <w:rPr>
                <w:b w:val="0"/>
                <w:sz w:val="20"/>
                <w:szCs w:val="20"/>
              </w:rPr>
            </w:pPr>
            <w:r w:rsidRPr="0D296D7E">
              <w:rPr>
                <w:b w:val="0"/>
                <w:sz w:val="20"/>
                <w:szCs w:val="20"/>
              </w:rPr>
              <w:t>Inventory</w:t>
            </w:r>
            <w:r w:rsidRPr="0D296D7E">
              <w:rPr>
                <w:b w:val="0"/>
                <w:spacing w:val="-7"/>
                <w:sz w:val="20"/>
                <w:szCs w:val="20"/>
              </w:rPr>
              <w:t xml:space="preserve"> </w:t>
            </w:r>
            <w:r w:rsidRPr="0D296D7E">
              <w:rPr>
                <w:b w:val="0"/>
                <w:spacing w:val="-2"/>
                <w:sz w:val="20"/>
                <w:szCs w:val="20"/>
              </w:rPr>
              <w:t>management</w:t>
            </w:r>
          </w:p>
          <w:p w14:paraId="1FBCF874" w14:textId="77777777" w:rsidR="007D44F3" w:rsidRDefault="007D44F3" w:rsidP="0D296D7E">
            <w:pPr>
              <w:pStyle w:val="TableParagraph"/>
              <w:widowControl w:val="0"/>
              <w:numPr>
                <w:ilvl w:val="0"/>
                <w:numId w:val="48"/>
              </w:numPr>
              <w:tabs>
                <w:tab w:val="left" w:pos="313"/>
                <w:tab w:val="left" w:pos="1990"/>
              </w:tabs>
              <w:adjustRightInd/>
              <w:spacing w:beforeLines="0" w:before="1" w:line="232" w:lineRule="auto"/>
              <w:ind w:right="339"/>
              <w:jc w:val="left"/>
              <w:rPr>
                <w:b w:val="0"/>
                <w:sz w:val="20"/>
                <w:szCs w:val="20"/>
              </w:rPr>
            </w:pPr>
            <w:r w:rsidRPr="0D296D7E">
              <w:rPr>
                <w:b w:val="0"/>
                <w:sz w:val="20"/>
                <w:szCs w:val="20"/>
              </w:rPr>
              <w:t>Facility</w:t>
            </w:r>
            <w:r w:rsidRPr="0D296D7E">
              <w:rPr>
                <w:b w:val="0"/>
                <w:spacing w:val="-13"/>
                <w:sz w:val="20"/>
                <w:szCs w:val="20"/>
              </w:rPr>
              <w:t xml:space="preserve"> </w:t>
            </w:r>
            <w:r w:rsidRPr="0D296D7E">
              <w:rPr>
                <w:b w:val="0"/>
                <w:sz w:val="20"/>
                <w:szCs w:val="20"/>
              </w:rPr>
              <w:t xml:space="preserve">performance </w:t>
            </w:r>
            <w:r w:rsidRPr="0D296D7E">
              <w:rPr>
                <w:b w:val="0"/>
                <w:spacing w:val="-2"/>
                <w:sz w:val="20"/>
                <w:szCs w:val="20"/>
              </w:rPr>
              <w:t>qualification</w:t>
            </w:r>
          </w:p>
          <w:p w14:paraId="2F9443B9" w14:textId="77777777" w:rsidR="007D44F3" w:rsidRDefault="007D44F3" w:rsidP="0D296D7E">
            <w:pPr>
              <w:pStyle w:val="TableParagraph"/>
              <w:widowControl w:val="0"/>
              <w:numPr>
                <w:ilvl w:val="0"/>
                <w:numId w:val="48"/>
              </w:numPr>
              <w:tabs>
                <w:tab w:val="left" w:pos="313"/>
              </w:tabs>
              <w:adjustRightInd/>
              <w:spacing w:beforeLines="0" w:before="2" w:line="237" w:lineRule="auto"/>
              <w:ind w:right="269"/>
              <w:jc w:val="left"/>
              <w:rPr>
                <w:b w:val="0"/>
                <w:sz w:val="20"/>
                <w:szCs w:val="20"/>
              </w:rPr>
            </w:pPr>
            <w:r w:rsidRPr="0D296D7E">
              <w:rPr>
                <w:b w:val="0"/>
                <w:sz w:val="20"/>
                <w:szCs w:val="20"/>
              </w:rPr>
              <w:t>Testing of waste streams, air/effluent discharge</w:t>
            </w:r>
            <w:r w:rsidRPr="0D296D7E">
              <w:rPr>
                <w:b w:val="0"/>
                <w:spacing w:val="-13"/>
                <w:sz w:val="20"/>
                <w:szCs w:val="20"/>
              </w:rPr>
              <w:t xml:space="preserve"> </w:t>
            </w:r>
            <w:r w:rsidRPr="0D296D7E">
              <w:rPr>
                <w:b w:val="0"/>
                <w:sz w:val="20"/>
                <w:szCs w:val="20"/>
              </w:rPr>
              <w:t>etc.</w:t>
            </w:r>
            <w:r w:rsidRPr="0D296D7E">
              <w:rPr>
                <w:b w:val="0"/>
                <w:spacing w:val="-11"/>
                <w:sz w:val="20"/>
                <w:szCs w:val="20"/>
              </w:rPr>
              <w:t xml:space="preserve"> </w:t>
            </w:r>
            <w:r w:rsidRPr="0D296D7E">
              <w:rPr>
                <w:b w:val="0"/>
                <w:sz w:val="20"/>
                <w:szCs w:val="20"/>
              </w:rPr>
              <w:t>to</w:t>
            </w:r>
            <w:r w:rsidRPr="0D296D7E">
              <w:rPr>
                <w:b w:val="0"/>
                <w:spacing w:val="-13"/>
                <w:sz w:val="20"/>
                <w:szCs w:val="20"/>
              </w:rPr>
              <w:t xml:space="preserve"> </w:t>
            </w:r>
            <w:r w:rsidRPr="0D296D7E">
              <w:rPr>
                <w:b w:val="0"/>
                <w:sz w:val="20"/>
                <w:szCs w:val="20"/>
              </w:rPr>
              <w:t xml:space="preserve">meet local environmental </w:t>
            </w:r>
            <w:r w:rsidRPr="0D296D7E">
              <w:rPr>
                <w:b w:val="0"/>
                <w:spacing w:val="-2"/>
                <w:sz w:val="20"/>
                <w:szCs w:val="20"/>
              </w:rPr>
              <w:t>regulations</w:t>
            </w:r>
          </w:p>
          <w:p w14:paraId="08DABA9A" w14:textId="65F6E04E" w:rsidR="007D44F3" w:rsidRDefault="0D296D7E" w:rsidP="0D296D7E">
            <w:pPr>
              <w:pStyle w:val="TableParagraph"/>
              <w:widowControl w:val="0"/>
              <w:numPr>
                <w:ilvl w:val="0"/>
                <w:numId w:val="54"/>
              </w:numPr>
              <w:tabs>
                <w:tab w:val="left" w:pos="203"/>
              </w:tabs>
              <w:adjustRightInd/>
              <w:spacing w:beforeLines="0" w:before="6" w:line="230" w:lineRule="auto"/>
              <w:ind w:right="272"/>
              <w:jc w:val="left"/>
              <w:rPr>
                <w:b w:val="0"/>
                <w:sz w:val="20"/>
                <w:szCs w:val="20"/>
              </w:rPr>
            </w:pPr>
            <w:r w:rsidRPr="0D296D7E">
              <w:rPr>
                <w:b w:val="0"/>
                <w:sz w:val="20"/>
                <w:szCs w:val="20"/>
              </w:rPr>
              <w:t>Reporting and record keeping</w:t>
            </w:r>
          </w:p>
        </w:tc>
      </w:tr>
    </w:tbl>
    <w:p w14:paraId="090E2DBF" w14:textId="3A69DC11" w:rsidR="00ED1D46" w:rsidRPr="00875C3B" w:rsidRDefault="00ED1D46" w:rsidP="00912BBA">
      <w:pPr>
        <w:rPr>
          <w:rFonts w:eastAsia="SimSun"/>
        </w:rPr>
      </w:pPr>
    </w:p>
    <w:sectPr w:rsidR="00ED1D46" w:rsidRPr="00875C3B" w:rsidSect="000A5309">
      <w:headerReference w:type="even" r:id="rId74"/>
      <w:headerReference w:type="default" r:id="rId75"/>
      <w:footerReference w:type="even" r:id="rId76"/>
      <w:headerReference w:type="first" r:id="rId77"/>
      <w:pgSz w:w="16838" w:h="11906" w:orient="landscape"/>
      <w:pgMar w:top="1411" w:right="1411" w:bottom="1411" w:left="1411" w:header="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7794F" w14:textId="77777777" w:rsidR="007F5933" w:rsidRDefault="007F5933" w:rsidP="00D35BCB">
      <w:r>
        <w:separator/>
      </w:r>
    </w:p>
  </w:endnote>
  <w:endnote w:type="continuationSeparator" w:id="0">
    <w:p w14:paraId="4823C6CA" w14:textId="77777777" w:rsidR="007F5933" w:rsidRDefault="007F5933" w:rsidP="00D35BCB">
      <w:r>
        <w:continuationSeparator/>
      </w:r>
    </w:p>
  </w:endnote>
  <w:endnote w:type="continuationNotice" w:id="1">
    <w:p w14:paraId="290E04D4" w14:textId="77777777" w:rsidR="007F5933" w:rsidRDefault="007F59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Body)">
    <w:altName w:val="Calibri"/>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Heiti TC Light"/>
    <w:panose1 w:val="020B0604020202020204"/>
    <w:charset w:val="80"/>
    <w:family w:val="auto"/>
    <w:pitch w:val="variable"/>
    <w:sig w:usb0="00000001" w:usb1="00000000" w:usb2="00000000" w:usb3="00000000" w:csb0="00000000" w:csb1="00000000"/>
  </w:font>
  <w:font w:name="Lucida Grande">
    <w:panose1 w:val="020B0600040502020204"/>
    <w:charset w:val="00"/>
    <w:family w:val="swiss"/>
    <w:pitch w:val="variable"/>
    <w:sig w:usb0="E1000AEF" w:usb1="5000A1FF" w:usb2="00000000" w:usb3="00000000" w:csb0="000001B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Roboto Bold">
    <w:altName w:val="Times New Roman"/>
    <w:panose1 w:val="020B0604020202020204"/>
    <w:charset w:val="00"/>
    <w:family w:val="auto"/>
    <w:pitch w:val="variable"/>
    <w:sig w:usb0="E00002FF" w:usb1="5000205B" w:usb2="00000020" w:usb3="00000000" w:csb0="0000019F" w:csb1="00000000"/>
  </w:font>
  <w:font w:name="Times New Roman Bold">
    <w:altName w:val="Times New Roman"/>
    <w:panose1 w:val="020B0604020202020204"/>
    <w:charset w:val="00"/>
    <w:family w:val="roman"/>
    <w:pitch w:val="variable"/>
    <w:sig w:usb0="E0002AFF" w:usb1="C0007841" w:usb2="00000009" w:usb3="00000000" w:csb0="000001FF" w:csb1="00000000"/>
  </w:font>
  <w:font w:name="Times New Roman_MSFontService">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D13A" w14:textId="77777777" w:rsidR="000A6262" w:rsidRDefault="000A6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118D2" w14:textId="77777777" w:rsidR="00EF0F20" w:rsidRDefault="00EF0F2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2B021CA3" w14:textId="77777777" w:rsidR="00EF0F20" w:rsidRDefault="00EF0F20">
    <w:pPr>
      <w:pStyle w:val="Footer"/>
      <w:ind w:right="993" w:firstLine="360"/>
      <w:rPr>
        <w:b/>
        <w:sz w:val="20"/>
      </w:rPr>
    </w:pPr>
    <w:r>
      <w:rPr>
        <w:rStyle w:val="PageNumber"/>
      </w:rPr>
      <w:tab/>
    </w:r>
    <w:r>
      <w:rPr>
        <w:rStyle w:val="PageNumber"/>
        <w:b/>
        <w:sz w:val="20"/>
      </w:rPr>
      <w:t>May 2020 TEAP Progress Report</w:t>
    </w:r>
    <w:r>
      <w:rPr>
        <w:rStyle w:val="PageNumber"/>
        <w:b/>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A6C8" w14:textId="77777777" w:rsidR="00EF0F20" w:rsidRDefault="00EF0F20">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1010832242"/>
      <w:docPartObj>
        <w:docPartGallery w:val="Page Numbers (Bottom of Page)"/>
        <w:docPartUnique/>
      </w:docPartObj>
    </w:sdtPr>
    <w:sdtEndPr>
      <w:rPr>
        <w:rStyle w:val="PageNumber"/>
      </w:rPr>
    </w:sdtEndPr>
    <w:sdtContent>
      <w:p w14:paraId="70FBC6FD" w14:textId="77777777" w:rsidR="004812D9" w:rsidRPr="002135B0" w:rsidRDefault="004812D9" w:rsidP="006233FA">
        <w:pPr>
          <w:pStyle w:val="Footer"/>
          <w:framePr w:wrap="none" w:vAnchor="text" w:hAnchor="margin" w:xAlign="outside" w:y="1"/>
          <w:rPr>
            <w:rStyle w:val="PageNumber"/>
            <w:b/>
            <w:bCs/>
          </w:rPr>
        </w:pPr>
        <w:r w:rsidRPr="002135B0">
          <w:rPr>
            <w:rStyle w:val="PageNumber"/>
            <w:b/>
            <w:bCs/>
            <w:sz w:val="20"/>
            <w:szCs w:val="20"/>
          </w:rPr>
          <w:fldChar w:fldCharType="begin"/>
        </w:r>
        <w:r w:rsidRPr="002135B0">
          <w:rPr>
            <w:rStyle w:val="PageNumber"/>
            <w:b/>
            <w:bCs/>
            <w:sz w:val="20"/>
            <w:szCs w:val="20"/>
          </w:rPr>
          <w:instrText xml:space="preserve"> PAGE </w:instrText>
        </w:r>
        <w:r w:rsidRPr="002135B0">
          <w:rPr>
            <w:rStyle w:val="PageNumber"/>
            <w:b/>
            <w:bCs/>
            <w:sz w:val="20"/>
            <w:szCs w:val="20"/>
          </w:rPr>
          <w:fldChar w:fldCharType="separate"/>
        </w:r>
        <w:r w:rsidRPr="002135B0">
          <w:rPr>
            <w:rStyle w:val="PageNumber"/>
            <w:b/>
            <w:bCs/>
            <w:noProof/>
            <w:sz w:val="20"/>
            <w:szCs w:val="20"/>
          </w:rPr>
          <w:t>iv</w:t>
        </w:r>
        <w:r w:rsidRPr="002135B0">
          <w:rPr>
            <w:rStyle w:val="PageNumber"/>
            <w:b/>
            <w:bCs/>
            <w:sz w:val="20"/>
            <w:szCs w:val="20"/>
          </w:rPr>
          <w:fldChar w:fldCharType="end"/>
        </w:r>
      </w:p>
    </w:sdtContent>
  </w:sdt>
  <w:p w14:paraId="060DD4E5" w14:textId="57EC4A83" w:rsidR="004812D9" w:rsidRPr="00127285" w:rsidRDefault="002B3403" w:rsidP="00163083">
    <w:pPr>
      <w:pStyle w:val="Footer"/>
      <w:ind w:right="360" w:firstLine="360"/>
      <w:jc w:val="center"/>
      <w:rPr>
        <w:rStyle w:val="PageNumber"/>
        <w:b/>
        <w:sz w:val="20"/>
        <w:szCs w:val="20"/>
      </w:rPr>
    </w:pPr>
    <w:r w:rsidRPr="002135B0">
      <w:rPr>
        <w:b/>
        <w:bCs/>
        <w:sz w:val="20"/>
        <w:szCs w:val="20"/>
      </w:rPr>
      <w:t>May 2026 TEAP Decision XXXVII/6 Replenishment Task Force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4762C" w14:textId="2AC1A21D" w:rsidR="00AA722C" w:rsidRDefault="00AA722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p w14:paraId="53700BAB" w14:textId="33174AFC" w:rsidR="003C3196" w:rsidRDefault="003C3196" w:rsidP="00AA722C">
    <w:pPr>
      <w:pStyle w:val="Footer"/>
      <w:ind w:right="360" w:firstLine="360"/>
    </w:pPr>
  </w:p>
  <w:p w14:paraId="0C7C931D" w14:textId="77777777" w:rsidR="003C3196" w:rsidRDefault="003C3196">
    <w:pPr>
      <w:pStyle w:val="Footer"/>
    </w:pPr>
    <w:r>
      <w:rPr>
        <w:sz w:val="20"/>
      </w:rPr>
      <w:t xml:space="preserve">Page </w:t>
    </w:r>
  </w:p>
  <w:p w14:paraId="222479E8" w14:textId="77777777" w:rsidR="003C3196" w:rsidRDefault="003C31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1EE8" w14:textId="77777777" w:rsidR="00F91A0D" w:rsidRPr="00A92F4F" w:rsidRDefault="00F91A0D">
    <w:r w:rsidRPr="00A92F4F">
      <w:fldChar w:fldCharType="begin"/>
    </w:r>
    <w:r w:rsidRPr="00A92F4F">
      <w:instrText xml:space="preserve">PAGE  </w:instrText>
    </w:r>
    <w:r w:rsidRPr="00A92F4F">
      <w:fldChar w:fldCharType="end"/>
    </w:r>
  </w:p>
  <w:p w14:paraId="24827C41" w14:textId="77777777" w:rsidR="00F91A0D" w:rsidRPr="00A92F4F" w:rsidRDefault="00F91A0D">
    <w:r w:rsidRPr="00A92F4F">
      <w:t xml:space="preserve">Page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1A4A" w14:textId="77777777" w:rsidR="00E8325E" w:rsidRDefault="00E8325E">
    <w:pPr>
      <w:pStyle w:val="BodyText"/>
      <w:spacing w:line="14" w:lineRule="auto"/>
      <w:rPr>
        <w:sz w:val="20"/>
      </w:rPr>
    </w:pPr>
    <w:r>
      <w:rPr>
        <w:noProof/>
        <w:sz w:val="20"/>
      </w:rPr>
      <mc:AlternateContent>
        <mc:Choice Requires="wps">
          <w:drawing>
            <wp:anchor distT="0" distB="0" distL="0" distR="0" simplePos="0" relativeHeight="251658246" behindDoc="1" locked="0" layoutInCell="1" allowOverlap="1" wp14:anchorId="2B021A8B" wp14:editId="0AC109B6">
              <wp:simplePos x="0" y="0"/>
              <wp:positionH relativeFrom="page">
                <wp:posOffset>784859</wp:posOffset>
              </wp:positionH>
              <wp:positionV relativeFrom="page">
                <wp:posOffset>6883457</wp:posOffset>
              </wp:positionV>
              <wp:extent cx="243204"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65735"/>
                      </a:xfrm>
                      <a:prstGeom prst="rect">
                        <a:avLst/>
                      </a:prstGeom>
                    </wps:spPr>
                    <wps:txbx>
                      <w:txbxContent>
                        <w:p w14:paraId="4E4483DD" w14:textId="77777777" w:rsidR="00E8325E" w:rsidRDefault="00E8325E">
                          <w:pPr>
                            <w:spacing w:before="1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100</w:t>
                          </w:r>
                          <w:r>
                            <w:rPr>
                              <w:b/>
                              <w:spacing w:val="-5"/>
                              <w:sz w:val="20"/>
                            </w:rPr>
                            <w:fldChar w:fldCharType="end"/>
                          </w:r>
                        </w:p>
                      </w:txbxContent>
                    </wps:txbx>
                    <wps:bodyPr wrap="square" lIns="0" tIns="0" rIns="0" bIns="0" rtlCol="0">
                      <a:noAutofit/>
                    </wps:bodyPr>
                  </wps:wsp>
                </a:graphicData>
              </a:graphic>
            </wp:anchor>
          </w:drawing>
        </mc:Choice>
        <mc:Fallback xmlns:a="http://schemas.openxmlformats.org/drawingml/2006/main" xmlns:arto="http://schemas.microsoft.com/office/word/2006/arto">
          <w:pict w14:anchorId="377475BF">
            <v:shapetype id="_x0000_t202" coordsize="21600,21600" o:spt="202" path="m,l,21600r21600,l21600,xe" w14:anchorId="2B021A8B">
              <v:stroke joinstyle="miter"/>
              <v:path gradientshapeok="t" o:connecttype="rect"/>
            </v:shapetype>
            <v:shape id="Textbox 70" style="position:absolute;margin-left:61.8pt;margin-top:542pt;width:19.15pt;height:13.05pt;z-index:-251658233;visibility:visible;mso-wrap-style:square;mso-wrap-distance-left:0;mso-wrap-distance-top:0;mso-wrap-distance-right:0;mso-wrap-distance-bottom:0;mso-position-horizontal:absolute;mso-position-horizontal-relative:page;mso-position-vertical:absolute;mso-position-vertical-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">
              <v:textbox inset="0,0,0,0">
                <w:txbxContent>
                  <w:p w:rsidR="00E8325E" w:rsidRDefault="00E8325E" w14:paraId="4846A5AA" w14:textId="77777777">
                    <w:pPr>
                      <w:spacing w:before="1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100</w:t>
                    </w:r>
                    <w:r>
                      <w:rPr>
                        <w:b/>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247" behindDoc="1" locked="0" layoutInCell="1" allowOverlap="1" wp14:anchorId="2A9E3BF9" wp14:editId="136F836C">
              <wp:simplePos x="0" y="0"/>
              <wp:positionH relativeFrom="page">
                <wp:posOffset>2250497</wp:posOffset>
              </wp:positionH>
              <wp:positionV relativeFrom="page">
                <wp:posOffset>6883457</wp:posOffset>
              </wp:positionV>
              <wp:extent cx="492506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5060" cy="165735"/>
                      </a:xfrm>
                      <a:prstGeom prst="rect">
                        <a:avLst/>
                      </a:prstGeom>
                    </wps:spPr>
                    <wps:txbx>
                      <w:txbxContent>
                        <w:p w14:paraId="147DE022" w14:textId="77777777" w:rsidR="00E8325E" w:rsidRDefault="00E8325E">
                          <w:pPr>
                            <w:spacing w:before="10"/>
                            <w:ind w:left="20"/>
                            <w:rPr>
                              <w:b/>
                              <w:sz w:val="20"/>
                            </w:rPr>
                          </w:pPr>
                          <w:r>
                            <w:rPr>
                              <w:b/>
                              <w:sz w:val="20"/>
                            </w:rPr>
                            <w:t>Decision</w:t>
                          </w:r>
                          <w:r>
                            <w:rPr>
                              <w:b/>
                              <w:spacing w:val="-6"/>
                              <w:sz w:val="20"/>
                            </w:rPr>
                            <w:t xml:space="preserve"> </w:t>
                          </w:r>
                          <w:r>
                            <w:rPr>
                              <w:b/>
                              <w:sz w:val="20"/>
                            </w:rPr>
                            <w:t>XXXV/11:</w:t>
                          </w:r>
                          <w:r>
                            <w:rPr>
                              <w:b/>
                              <w:spacing w:val="-5"/>
                              <w:sz w:val="20"/>
                            </w:rPr>
                            <w:t xml:space="preserve"> </w:t>
                          </w:r>
                          <w:r>
                            <w:rPr>
                              <w:b/>
                              <w:sz w:val="20"/>
                            </w:rPr>
                            <w:t>TEAP</w:t>
                          </w:r>
                          <w:r>
                            <w:rPr>
                              <w:b/>
                              <w:spacing w:val="-5"/>
                              <w:sz w:val="20"/>
                            </w:rPr>
                            <w:t xml:space="preserve"> </w:t>
                          </w:r>
                          <w:r>
                            <w:rPr>
                              <w:b/>
                              <w:sz w:val="20"/>
                            </w:rPr>
                            <w:t>2024</w:t>
                          </w:r>
                          <w:r>
                            <w:rPr>
                              <w:b/>
                              <w:spacing w:val="-5"/>
                              <w:sz w:val="20"/>
                            </w:rPr>
                            <w:t xml:space="preserve"> </w:t>
                          </w:r>
                          <w:r>
                            <w:rPr>
                              <w:b/>
                              <w:sz w:val="20"/>
                            </w:rPr>
                            <w:t>Task</w:t>
                          </w:r>
                          <w:r>
                            <w:rPr>
                              <w:b/>
                              <w:spacing w:val="-4"/>
                              <w:sz w:val="20"/>
                            </w:rPr>
                            <w:t xml:space="preserve"> </w:t>
                          </w:r>
                          <w:r>
                            <w:rPr>
                              <w:b/>
                              <w:sz w:val="20"/>
                            </w:rPr>
                            <w:t>Force</w:t>
                          </w:r>
                          <w:r>
                            <w:rPr>
                              <w:b/>
                              <w:spacing w:val="-6"/>
                              <w:sz w:val="20"/>
                            </w:rPr>
                            <w:t xml:space="preserve"> </w:t>
                          </w:r>
                          <w:r>
                            <w:rPr>
                              <w:b/>
                              <w:sz w:val="20"/>
                            </w:rPr>
                            <w:t>Report</w:t>
                          </w:r>
                          <w:r>
                            <w:rPr>
                              <w:b/>
                              <w:spacing w:val="-5"/>
                              <w:sz w:val="20"/>
                            </w:rPr>
                            <w:t xml:space="preserve"> </w:t>
                          </w:r>
                          <w:r>
                            <w:rPr>
                              <w:b/>
                              <w:sz w:val="20"/>
                            </w:rPr>
                            <w:t>on</w:t>
                          </w:r>
                          <w:r>
                            <w:rPr>
                              <w:b/>
                              <w:spacing w:val="-6"/>
                              <w:sz w:val="20"/>
                            </w:rPr>
                            <w:t xml:space="preserve"> </w:t>
                          </w:r>
                          <w:r>
                            <w:rPr>
                              <w:b/>
                              <w:sz w:val="20"/>
                            </w:rPr>
                            <w:t>Life</w:t>
                          </w:r>
                          <w:r>
                            <w:rPr>
                              <w:b/>
                              <w:spacing w:val="-6"/>
                              <w:sz w:val="20"/>
                            </w:rPr>
                            <w:t xml:space="preserve"> </w:t>
                          </w:r>
                          <w:r>
                            <w:rPr>
                              <w:b/>
                              <w:sz w:val="20"/>
                            </w:rPr>
                            <w:t>cycle</w:t>
                          </w:r>
                          <w:r>
                            <w:rPr>
                              <w:b/>
                              <w:spacing w:val="-6"/>
                              <w:sz w:val="20"/>
                            </w:rPr>
                            <w:t xml:space="preserve"> </w:t>
                          </w:r>
                          <w:r>
                            <w:rPr>
                              <w:b/>
                              <w:sz w:val="20"/>
                            </w:rPr>
                            <w:t>Refrigerant</w:t>
                          </w:r>
                          <w:r>
                            <w:rPr>
                              <w:b/>
                              <w:spacing w:val="-5"/>
                              <w:sz w:val="20"/>
                            </w:rPr>
                            <w:t xml:space="preserve"> </w:t>
                          </w:r>
                          <w:r>
                            <w:rPr>
                              <w:b/>
                              <w:spacing w:val="-2"/>
                              <w:sz w:val="20"/>
                            </w:rPr>
                            <w:t>Management</w:t>
                          </w:r>
                        </w:p>
                      </w:txbxContent>
                    </wps:txbx>
                    <wps:bodyPr wrap="square" lIns="0" tIns="0" rIns="0" bIns="0" rtlCol="0">
                      <a:noAutofit/>
                    </wps:bodyPr>
                  </wps:wsp>
                </a:graphicData>
              </a:graphic>
            </wp:anchor>
          </w:drawing>
        </mc:Choice>
        <mc:Fallback xmlns:a="http://schemas.openxmlformats.org/drawingml/2006/main" xmlns:arto="http://schemas.microsoft.com/office/word/2006/arto">
          <w:pict w14:anchorId="2587B923">
            <v:shape id="Textbox 71" style="position:absolute;margin-left:177.2pt;margin-top:542pt;width:387.8pt;height:13.05pt;z-index:-251658232;visibility:visible;mso-wrap-style:square;mso-wrap-distance-left:0;mso-wrap-distance-top:0;mso-wrap-distance-right:0;mso-wrap-distance-bottom:0;mso-position-horizontal:absolute;mso-position-horizontal-relative:page;mso-position-vertical:absolute;mso-position-vertical-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" w14:anchorId="2A9E3BF9">
              <v:textbox inset="0,0,0,0">
                <w:txbxContent>
                  <w:p w:rsidR="00E8325E" w:rsidRDefault="00E8325E" w14:paraId="3D057EE7" w14:textId="77777777">
                    <w:pPr>
                      <w:spacing w:before="10"/>
                      <w:ind w:left="20"/>
                      <w:rPr>
                        <w:b/>
                        <w:sz w:val="20"/>
                      </w:rPr>
                    </w:pPr>
                    <w:r>
                      <w:rPr>
                        <w:b/>
                        <w:sz w:val="20"/>
                      </w:rPr>
                      <w:t>Decision</w:t>
                    </w:r>
                    <w:r>
                      <w:rPr>
                        <w:b/>
                        <w:spacing w:val="-6"/>
                        <w:sz w:val="20"/>
                      </w:rPr>
                      <w:t xml:space="preserve"> </w:t>
                    </w:r>
                    <w:r>
                      <w:rPr>
                        <w:b/>
                        <w:sz w:val="20"/>
                      </w:rPr>
                      <w:t>XXXV/11:</w:t>
                    </w:r>
                    <w:r>
                      <w:rPr>
                        <w:b/>
                        <w:spacing w:val="-5"/>
                        <w:sz w:val="20"/>
                      </w:rPr>
                      <w:t xml:space="preserve"> </w:t>
                    </w:r>
                    <w:r>
                      <w:rPr>
                        <w:b/>
                        <w:sz w:val="20"/>
                      </w:rPr>
                      <w:t>TEAP</w:t>
                    </w:r>
                    <w:r>
                      <w:rPr>
                        <w:b/>
                        <w:spacing w:val="-5"/>
                        <w:sz w:val="20"/>
                      </w:rPr>
                      <w:t xml:space="preserve"> </w:t>
                    </w:r>
                    <w:r>
                      <w:rPr>
                        <w:b/>
                        <w:sz w:val="20"/>
                      </w:rPr>
                      <w:t>2024</w:t>
                    </w:r>
                    <w:r>
                      <w:rPr>
                        <w:b/>
                        <w:spacing w:val="-5"/>
                        <w:sz w:val="20"/>
                      </w:rPr>
                      <w:t xml:space="preserve"> </w:t>
                    </w:r>
                    <w:r>
                      <w:rPr>
                        <w:b/>
                        <w:sz w:val="20"/>
                      </w:rPr>
                      <w:t>Task</w:t>
                    </w:r>
                    <w:r>
                      <w:rPr>
                        <w:b/>
                        <w:spacing w:val="-4"/>
                        <w:sz w:val="20"/>
                      </w:rPr>
                      <w:t xml:space="preserve"> </w:t>
                    </w:r>
                    <w:r>
                      <w:rPr>
                        <w:b/>
                        <w:sz w:val="20"/>
                      </w:rPr>
                      <w:t>Force</w:t>
                    </w:r>
                    <w:r>
                      <w:rPr>
                        <w:b/>
                        <w:spacing w:val="-6"/>
                        <w:sz w:val="20"/>
                      </w:rPr>
                      <w:t xml:space="preserve"> </w:t>
                    </w:r>
                    <w:r>
                      <w:rPr>
                        <w:b/>
                        <w:sz w:val="20"/>
                      </w:rPr>
                      <w:t>Report</w:t>
                    </w:r>
                    <w:r>
                      <w:rPr>
                        <w:b/>
                        <w:spacing w:val="-5"/>
                        <w:sz w:val="20"/>
                      </w:rPr>
                      <w:t xml:space="preserve"> </w:t>
                    </w:r>
                    <w:r>
                      <w:rPr>
                        <w:b/>
                        <w:sz w:val="20"/>
                      </w:rPr>
                      <w:t>on</w:t>
                    </w:r>
                    <w:r>
                      <w:rPr>
                        <w:b/>
                        <w:spacing w:val="-6"/>
                        <w:sz w:val="20"/>
                      </w:rPr>
                      <w:t xml:space="preserve"> </w:t>
                    </w:r>
                    <w:r>
                      <w:rPr>
                        <w:b/>
                        <w:sz w:val="20"/>
                      </w:rPr>
                      <w:t>Life</w:t>
                    </w:r>
                    <w:r>
                      <w:rPr>
                        <w:b/>
                        <w:spacing w:val="-6"/>
                        <w:sz w:val="20"/>
                      </w:rPr>
                      <w:t xml:space="preserve"> </w:t>
                    </w:r>
                    <w:r>
                      <w:rPr>
                        <w:b/>
                        <w:sz w:val="20"/>
                      </w:rPr>
                      <w:t>cycle</w:t>
                    </w:r>
                    <w:r>
                      <w:rPr>
                        <w:b/>
                        <w:spacing w:val="-6"/>
                        <w:sz w:val="20"/>
                      </w:rPr>
                      <w:t xml:space="preserve"> </w:t>
                    </w:r>
                    <w:r>
                      <w:rPr>
                        <w:b/>
                        <w:sz w:val="20"/>
                      </w:rPr>
                      <w:t>Refrigerant</w:t>
                    </w:r>
                    <w:r>
                      <w:rPr>
                        <w:b/>
                        <w:spacing w:val="-5"/>
                        <w:sz w:val="20"/>
                      </w:rPr>
                      <w:t xml:space="preserve"> </w:t>
                    </w:r>
                    <w:r>
                      <w:rPr>
                        <w:b/>
                        <w:spacing w:val="-2"/>
                        <w:sz w:val="20"/>
                      </w:rPr>
                      <w:t>Management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A7B88" w14:textId="77777777" w:rsidR="007F5933" w:rsidRDefault="007F5933" w:rsidP="00D35BCB">
      <w:r>
        <w:separator/>
      </w:r>
    </w:p>
  </w:footnote>
  <w:footnote w:type="continuationSeparator" w:id="0">
    <w:p w14:paraId="72EDB935" w14:textId="77777777" w:rsidR="007F5933" w:rsidRDefault="007F5933" w:rsidP="00D35BCB">
      <w:r>
        <w:continuationSeparator/>
      </w:r>
    </w:p>
  </w:footnote>
  <w:footnote w:type="continuationNotice" w:id="1">
    <w:p w14:paraId="53B53D13" w14:textId="77777777" w:rsidR="007F5933" w:rsidRDefault="007F5933">
      <w:pPr>
        <w:spacing w:after="0"/>
      </w:pPr>
    </w:p>
  </w:footnote>
  <w:footnote w:id="2">
    <w:p w14:paraId="4CFF912A" w14:textId="77777777" w:rsidR="005E0BE4" w:rsidRPr="00D71C97" w:rsidRDefault="005E0BE4" w:rsidP="005E0BE4">
      <w:pPr>
        <w:pStyle w:val="FootnoteText"/>
        <w:rPr>
          <w:lang w:val="en-US"/>
        </w:rPr>
      </w:pPr>
      <w:r>
        <w:rPr>
          <w:rStyle w:val="FootnoteReference"/>
        </w:rPr>
        <w:footnoteRef/>
      </w:r>
      <w:r>
        <w:t xml:space="preserve"> </w:t>
      </w:r>
      <w:r w:rsidRPr="00361622">
        <w:t>https://www.multilateralfund.org/our-impact</w:t>
      </w:r>
    </w:p>
  </w:footnote>
  <w:footnote w:id="3">
    <w:p w14:paraId="32A75E61" w14:textId="77777777" w:rsidR="00774DC3" w:rsidRPr="00D71C97" w:rsidRDefault="00774DC3" w:rsidP="00774DC3">
      <w:pPr>
        <w:pStyle w:val="FootnoteText"/>
        <w:rPr>
          <w:lang w:val="en-US"/>
        </w:rPr>
      </w:pPr>
      <w:r>
        <w:rPr>
          <w:rStyle w:val="FootnoteReference"/>
        </w:rPr>
        <w:footnoteRef/>
      </w:r>
      <w:r>
        <w:t xml:space="preserve"> </w:t>
      </w:r>
      <w:r w:rsidRPr="00820FB9">
        <w:t>https://ozone.unep.org/treaties/montreal-protocol/meetings/thirtieth-meeting-parties/decisions/annex-i-adjustments</w:t>
      </w:r>
    </w:p>
  </w:footnote>
  <w:footnote w:id="4">
    <w:p w14:paraId="1CAE81F0" w14:textId="77777777" w:rsidR="00455EB4" w:rsidRPr="00D71C97" w:rsidRDefault="00455EB4" w:rsidP="00455EB4">
      <w:pPr>
        <w:pStyle w:val="FootnoteText"/>
        <w:rPr>
          <w:lang w:val="en-US"/>
        </w:rPr>
      </w:pPr>
      <w:r>
        <w:rPr>
          <w:rStyle w:val="FootnoteReference"/>
        </w:rPr>
        <w:footnoteRef/>
      </w:r>
      <w:r>
        <w:t xml:space="preserve"> </w:t>
      </w:r>
      <w:r w:rsidRPr="00D71C97">
        <w:rPr>
          <w:lang w:val="en-US"/>
        </w:rPr>
        <w:t xml:space="preserve">Decision XXVIII/2, para. 2, under the Montreal Protocol refers to Article 5, group 2, parties as Bahrain, India, the Islamic Republic of Iran, Iraq, Kuwait, Oman, Pakistan, Qatar, Saudi Arabia, and the Unted Arab Emirates. </w:t>
      </w:r>
    </w:p>
  </w:footnote>
  <w:footnote w:id="5">
    <w:p w14:paraId="4F62282F" w14:textId="77777777" w:rsidR="00C979EB" w:rsidRPr="00D71C97" w:rsidRDefault="00C979EB" w:rsidP="00C979EB">
      <w:pPr>
        <w:pStyle w:val="FootnoteText"/>
        <w:rPr>
          <w:lang w:val="en-US"/>
        </w:rPr>
      </w:pPr>
      <w:r w:rsidRPr="00596152">
        <w:rPr>
          <w:rStyle w:val="FootnoteReference"/>
        </w:rPr>
        <w:footnoteRef/>
      </w:r>
      <w:r w:rsidRPr="00596152">
        <w:t xml:space="preserve"> UNEP/OzL.Pro/ExCom/97/20</w:t>
      </w:r>
    </w:p>
  </w:footnote>
  <w:footnote w:id="6">
    <w:p w14:paraId="31B239D9" w14:textId="77777777" w:rsidR="00BC5FCD" w:rsidRPr="002E7126" w:rsidRDefault="00BC5FCD" w:rsidP="00BC5FCD">
      <w:pPr>
        <w:pStyle w:val="FootnoteText"/>
        <w:rPr>
          <w:lang w:val="en-US"/>
        </w:rPr>
      </w:pPr>
      <w:r w:rsidRPr="002E7126">
        <w:rPr>
          <w:rStyle w:val="FootnoteReference"/>
          <w:rFonts w:eastAsia="SimSun"/>
        </w:rPr>
        <w:footnoteRef/>
      </w:r>
      <w:r w:rsidRPr="002E7126">
        <w:t xml:space="preserve"> </w:t>
      </w:r>
      <w:r w:rsidRPr="002E7126">
        <w:rPr>
          <w:lang w:val="en-US"/>
        </w:rPr>
        <w:t xml:space="preserve">This section is </w:t>
      </w:r>
      <w:r>
        <w:rPr>
          <w:lang w:val="en-US"/>
        </w:rPr>
        <w:t xml:space="preserve">based on information </w:t>
      </w:r>
      <w:r w:rsidRPr="002E7126">
        <w:rPr>
          <w:lang w:val="en-US"/>
        </w:rPr>
        <w:t>from the “</w:t>
      </w:r>
      <w:r>
        <w:rPr>
          <w:lang w:val="en-US"/>
        </w:rPr>
        <w:t xml:space="preserve">Policies, Procedures, Guidelines and Criteria of the </w:t>
      </w:r>
      <w:r w:rsidRPr="002E7126">
        <w:rPr>
          <w:lang w:val="en-US"/>
        </w:rPr>
        <w:t xml:space="preserve">Multilateral Fund,” available at </w:t>
      </w:r>
      <w:hyperlink r:id="rId1" w:history="1">
        <w:r w:rsidRPr="00FA27C4">
          <w:rPr>
            <w:rStyle w:val="Hyperlink"/>
            <w:lang w:val="en-US"/>
          </w:rPr>
          <w:t>https://www.multilateralfund.org/policy-frameworks</w:t>
        </w:r>
      </w:hyperlink>
      <w:r w:rsidRPr="002E7126">
        <w:rPr>
          <w:lang w:val="en-US"/>
        </w:rPr>
        <w:t>.</w:t>
      </w:r>
    </w:p>
  </w:footnote>
  <w:footnote w:id="7">
    <w:p w14:paraId="7AA10FED" w14:textId="1F34F4BB" w:rsidR="00E34A9E" w:rsidRPr="00FB4DCA" w:rsidRDefault="00E34A9E">
      <w:pPr>
        <w:pStyle w:val="FootnoteText"/>
        <w:rPr>
          <w:lang w:val="en-US"/>
        </w:rPr>
      </w:pPr>
      <w:r>
        <w:rPr>
          <w:rStyle w:val="FootnoteReference"/>
        </w:rPr>
        <w:footnoteRef/>
      </w:r>
      <w:r>
        <w:t xml:space="preserve"> </w:t>
      </w:r>
      <w:r>
        <w:rPr>
          <w:lang w:val="en-US"/>
        </w:rPr>
        <w:t xml:space="preserve">For the purposes of this report, “parties” and “countries” are </w:t>
      </w:r>
      <w:r w:rsidR="00FB4DCA">
        <w:rPr>
          <w:lang w:val="en-US"/>
        </w:rPr>
        <w:t>used interchangeably.</w:t>
      </w:r>
    </w:p>
  </w:footnote>
  <w:footnote w:id="8">
    <w:p w14:paraId="5FA0F934" w14:textId="77777777" w:rsidR="00F13B13" w:rsidRPr="00304409" w:rsidRDefault="00F13B13" w:rsidP="00F13B13">
      <w:pPr>
        <w:rPr>
          <w:sz w:val="18"/>
          <w:szCs w:val="18"/>
        </w:rPr>
      </w:pPr>
      <w:r w:rsidRPr="00A44E6C">
        <w:rPr>
          <w:sz w:val="18"/>
          <w:szCs w:val="18"/>
          <w:vertAlign w:val="superscript"/>
        </w:rPr>
        <w:footnoteRef/>
      </w:r>
      <w:r w:rsidRPr="00304409">
        <w:rPr>
          <w:sz w:val="18"/>
          <w:szCs w:val="18"/>
        </w:rPr>
        <w:t xml:space="preserve"> The MLF provides assistance to countries that are parties to the Montreal Protocol and whose annual per capita consumption and production of CFCs and halons is less than 0.3 kg on the date of entry into force of the Montreal Protocol or any time thereafter until 1 January 1999. The developing countries that meet these criteria are referred to as Article 5 parties.</w:t>
      </w:r>
    </w:p>
  </w:footnote>
  <w:footnote w:id="9">
    <w:p w14:paraId="7DE0A4C3" w14:textId="77777777" w:rsidR="00C20EA0" w:rsidRPr="002E7126" w:rsidRDefault="00C20EA0" w:rsidP="00C20EA0">
      <w:pPr>
        <w:pStyle w:val="FootnoteText"/>
        <w:rPr>
          <w:highlight w:val="lightGray"/>
          <w:lang w:val="en-US"/>
        </w:rPr>
      </w:pPr>
      <w:r w:rsidRPr="001E3B9A">
        <w:rPr>
          <w:rStyle w:val="FootnoteReference"/>
          <w:rFonts w:eastAsia="SimSun"/>
        </w:rPr>
        <w:footnoteRef/>
      </w:r>
      <w:r w:rsidRPr="001E3B9A">
        <w:t xml:space="preserve"> Freezes and reductions refer to baseline levels. Full details of control measures are published on the Ozone Secretariat’s website, including decisions XXVIII/1 and XXVIII/2 regarding the Kigali Amendment</w:t>
      </w:r>
      <w:r>
        <w:t xml:space="preserve"> at: </w:t>
      </w:r>
      <w:hyperlink r:id="rId2" w:history="1">
        <w:r w:rsidRPr="00FA27C4">
          <w:rPr>
            <w:rStyle w:val="Hyperlink"/>
          </w:rPr>
          <w:t>https://ozone.unep.org/treaties/montreal-protocol/summary-control-measures-under-montreal-protocol</w:t>
        </w:r>
      </w:hyperlink>
      <w:r w:rsidRPr="001E3B9A">
        <w:t>.</w:t>
      </w:r>
    </w:p>
  </w:footnote>
  <w:footnote w:id="10">
    <w:p w14:paraId="3838A81B" w14:textId="77777777" w:rsidR="00BC5FCD" w:rsidRPr="000E3251" w:rsidRDefault="00BC5FCD" w:rsidP="00BC5FCD">
      <w:pPr>
        <w:pStyle w:val="FootnoteText"/>
        <w:rPr>
          <w:lang w:val="en-US"/>
        </w:rPr>
      </w:pPr>
      <w:r>
        <w:rPr>
          <w:rStyle w:val="FootnoteReference"/>
        </w:rPr>
        <w:footnoteRef/>
      </w:r>
      <w:r>
        <w:t xml:space="preserve"> </w:t>
      </w:r>
      <w:r w:rsidRPr="00361622">
        <w:t>https://www.multilateralfund.org/our-impact</w:t>
      </w:r>
    </w:p>
  </w:footnote>
  <w:footnote w:id="11">
    <w:p w14:paraId="440572ED" w14:textId="2E834DFE" w:rsidR="004739C1" w:rsidRPr="005C2D1C" w:rsidRDefault="004739C1" w:rsidP="004739C1">
      <w:pPr>
        <w:pStyle w:val="FootnoteText"/>
        <w:rPr>
          <w:lang w:val="en-US"/>
        </w:rPr>
      </w:pPr>
      <w:r w:rsidRPr="001E17AC">
        <w:rPr>
          <w:rStyle w:val="FootnoteReference"/>
        </w:rPr>
        <w:footnoteRef/>
      </w:r>
      <w:r w:rsidRPr="001E17AC">
        <w:t xml:space="preserve"> UNEP/OzL.Pro.ExMOP.5/3/Add.1</w:t>
      </w:r>
    </w:p>
  </w:footnote>
  <w:footnote w:id="12">
    <w:p w14:paraId="2016C16C" w14:textId="77777777" w:rsidR="004739C1" w:rsidRPr="005C2D1C" w:rsidRDefault="004739C1" w:rsidP="004739C1">
      <w:pPr>
        <w:pStyle w:val="FootnoteText"/>
        <w:rPr>
          <w:lang w:val="en-US"/>
        </w:rPr>
      </w:pPr>
      <w:r w:rsidRPr="005C2D1C">
        <w:rPr>
          <w:rStyle w:val="FootnoteReference"/>
          <w:rFonts w:eastAsia="SimSun"/>
        </w:rPr>
        <w:footnoteRef/>
      </w:r>
      <w:r w:rsidRPr="005C2D1C">
        <w:t xml:space="preserve"> </w:t>
      </w:r>
      <w:r w:rsidRPr="00DC58C1">
        <w:t>UNEP/OzL.Pro.</w:t>
      </w:r>
      <w:r>
        <w:t>35</w:t>
      </w:r>
      <w:r w:rsidRPr="00DC58C1">
        <w:t>/</w:t>
      </w:r>
      <w:r>
        <w:t>12</w:t>
      </w:r>
      <w:r w:rsidRPr="00DC58C1">
        <w:t>/Add.1</w:t>
      </w:r>
    </w:p>
  </w:footnote>
  <w:footnote w:id="13">
    <w:p w14:paraId="5B9B54CB" w14:textId="77777777" w:rsidR="00A72029" w:rsidRPr="00D41BA9" w:rsidRDefault="00A72029" w:rsidP="00A72029">
      <w:pPr>
        <w:pStyle w:val="FootnoteText"/>
        <w:rPr>
          <w:highlight w:val="lightGray"/>
          <w:lang w:val="en-US"/>
        </w:rPr>
      </w:pPr>
      <w:r w:rsidRPr="001E3B9A">
        <w:rPr>
          <w:rStyle w:val="FootnoteReference"/>
          <w:rFonts w:eastAsia="SimSun"/>
        </w:rPr>
        <w:footnoteRef/>
      </w:r>
      <w:r w:rsidRPr="001E3B9A">
        <w:t xml:space="preserve"> Freezes and reductions refer to baseline levels. Full details of control measures are published on the Ozone Secretariat’s website, including decisions XXVIII/1 and XXVIII/2 regarding the Kigali Amendment.</w:t>
      </w:r>
    </w:p>
  </w:footnote>
  <w:footnote w:id="14">
    <w:p w14:paraId="5991446B" w14:textId="77777777" w:rsidR="00584975" w:rsidRPr="007B42BC" w:rsidRDefault="00584975" w:rsidP="00584975">
      <w:pPr>
        <w:pStyle w:val="FootnoteText"/>
        <w:rPr>
          <w:lang w:val="en-US"/>
        </w:rPr>
      </w:pPr>
      <w:r>
        <w:rPr>
          <w:rStyle w:val="FootnoteReference"/>
        </w:rPr>
        <w:footnoteRef/>
      </w:r>
      <w:r>
        <w:t xml:space="preserve"> </w:t>
      </w:r>
      <w:r w:rsidRPr="00820FB9">
        <w:t>https://ozone.unep.org/treaties/montreal-protocol/meetings/thirtieth-meeting-parties/decisions/annex-i-adjustments</w:t>
      </w:r>
    </w:p>
  </w:footnote>
  <w:footnote w:id="15">
    <w:p w14:paraId="2C77163C" w14:textId="77777777" w:rsidR="002A5D20" w:rsidRPr="009C3A21" w:rsidRDefault="002A5D20" w:rsidP="002A5D20">
      <w:pPr>
        <w:pStyle w:val="FootnoteText"/>
      </w:pPr>
      <w:r w:rsidRPr="009C3A21">
        <w:rPr>
          <w:rStyle w:val="FootnoteReference"/>
        </w:rPr>
        <w:footnoteRef/>
      </w:r>
      <w:r w:rsidRPr="009C3A21">
        <w:t xml:space="preserve"> The remaining HCFC consumption eligible for funding depends on the starting point for aggregate reductions in HCFC consumption selected by each A5 country in their HPMP.</w:t>
      </w:r>
    </w:p>
  </w:footnote>
  <w:footnote w:id="16">
    <w:p w14:paraId="58B596AD" w14:textId="7DEB6A79" w:rsidR="00602D62" w:rsidRPr="00900E47" w:rsidRDefault="00602D62">
      <w:pPr>
        <w:pStyle w:val="FootnoteText"/>
        <w:rPr>
          <w:lang w:val="en-US"/>
        </w:rPr>
      </w:pPr>
      <w:r>
        <w:rPr>
          <w:rStyle w:val="FootnoteReference"/>
        </w:rPr>
        <w:footnoteRef/>
      </w:r>
      <w:r>
        <w:t xml:space="preserve"> </w:t>
      </w:r>
      <w:r w:rsidR="00900E47" w:rsidRPr="00900E47">
        <w:t>UNEP/OzL.Pro/ExCom/97/8</w:t>
      </w:r>
    </w:p>
  </w:footnote>
  <w:footnote w:id="17">
    <w:p w14:paraId="03EC88A3" w14:textId="3459C581" w:rsidR="00BB7867" w:rsidRPr="008B534B" w:rsidRDefault="00BB7867">
      <w:pPr>
        <w:pStyle w:val="FootnoteText"/>
        <w:rPr>
          <w:lang w:val="en-US"/>
        </w:rPr>
      </w:pPr>
      <w:r>
        <w:rPr>
          <w:rStyle w:val="FootnoteReference"/>
        </w:rPr>
        <w:footnoteRef/>
      </w:r>
      <w:r>
        <w:t xml:space="preserve"> </w:t>
      </w:r>
      <w:r w:rsidR="008B534B" w:rsidRPr="008B534B">
        <w:rPr>
          <w:lang w:val="en-US"/>
        </w:rPr>
        <w:t>The situation of one of the three countries with cancelled HPMP is pending further clarification, so an adjustment may be made in the RTF supplementary report.</w:t>
      </w:r>
    </w:p>
  </w:footnote>
  <w:footnote w:id="18">
    <w:p w14:paraId="1298AA83" w14:textId="2E72C74A" w:rsidR="008E1A03" w:rsidRPr="008E1A03" w:rsidRDefault="008E1A03">
      <w:pPr>
        <w:pStyle w:val="FootnoteText"/>
        <w:rPr>
          <w:lang w:val="en-US"/>
        </w:rPr>
      </w:pPr>
      <w:r>
        <w:rPr>
          <w:rStyle w:val="FootnoteReference"/>
        </w:rPr>
        <w:footnoteRef/>
      </w:r>
      <w:r>
        <w:t xml:space="preserve"> </w:t>
      </w:r>
      <w:hyperlink r:id="rId3" w:history="1">
        <w:r w:rsidR="007868B3" w:rsidRPr="001F1892">
          <w:rPr>
            <w:rStyle w:val="Hyperlink"/>
          </w:rPr>
          <w:t>https://www.multilateralfund.org/meetings/97/post-session</w:t>
        </w:r>
      </w:hyperlink>
      <w:r w:rsidR="007868B3">
        <w:t xml:space="preserve"> </w:t>
      </w:r>
    </w:p>
  </w:footnote>
  <w:footnote w:id="19">
    <w:p w14:paraId="45DE3AAD" w14:textId="77777777" w:rsidR="00E54FF2" w:rsidRPr="00674EAE" w:rsidRDefault="00E54FF2" w:rsidP="00E54FF2">
      <w:pPr>
        <w:pStyle w:val="FootnoteText"/>
      </w:pPr>
      <w:r>
        <w:rPr>
          <w:rStyle w:val="FootnoteReference"/>
        </w:rPr>
        <w:footnoteRef/>
      </w:r>
      <w:r>
        <w:t xml:space="preserve">  </w:t>
      </w:r>
      <w:fldSimple w:instr="DOCPROPERTY &quot;Document number&quot;  \* MERGEFORMAT">
        <w:r w:rsidRPr="00674EAE">
          <w:t>UNEP/OzL.Pro/ExCom/97/8</w:t>
        </w:r>
      </w:fldSimple>
    </w:p>
  </w:footnote>
  <w:footnote w:id="20">
    <w:p w14:paraId="5D885075" w14:textId="77777777" w:rsidR="000610CE" w:rsidRPr="00A27F13" w:rsidRDefault="000610CE" w:rsidP="000610CE">
      <w:pPr>
        <w:pStyle w:val="FootnoteText"/>
      </w:pPr>
      <w:r w:rsidRPr="00A27F13">
        <w:rPr>
          <w:rStyle w:val="FootnoteReference"/>
        </w:rPr>
        <w:footnoteRef/>
      </w:r>
      <w:r w:rsidRPr="00A27F13">
        <w:t xml:space="preserve"> UNEP/OzL.Pro/ExCom/91/</w:t>
      </w:r>
      <w:r>
        <w:t>71</w:t>
      </w:r>
    </w:p>
  </w:footnote>
  <w:footnote w:id="21">
    <w:p w14:paraId="5183745E" w14:textId="77777777" w:rsidR="000610CE" w:rsidRDefault="000610CE" w:rsidP="00D73BB2">
      <w:pPr>
        <w:spacing w:after="120"/>
        <w:rPr>
          <w:color w:val="FF0000"/>
          <w:sz w:val="18"/>
          <w:szCs w:val="18"/>
        </w:rPr>
      </w:pPr>
      <w:r w:rsidRPr="043C755B">
        <w:rPr>
          <w:vertAlign w:val="superscript"/>
        </w:rPr>
        <w:footnoteRef/>
      </w:r>
      <w:r w:rsidRPr="1AB6E3AA">
        <w:t xml:space="preserve"> </w:t>
      </w:r>
      <w:r w:rsidRPr="008A17F7">
        <w:rPr>
          <w:sz w:val="18"/>
          <w:szCs w:val="18"/>
        </w:rPr>
        <w:t>Recommendation 69/4 of document UNEP/OzL.Pro/ImpCom/69/5</w:t>
      </w:r>
    </w:p>
  </w:footnote>
  <w:footnote w:id="22">
    <w:p w14:paraId="3B140826" w14:textId="77777777" w:rsidR="000610CE" w:rsidRPr="00A27F13" w:rsidRDefault="000610CE" w:rsidP="000610CE">
      <w:pPr>
        <w:pStyle w:val="FootnoteText"/>
      </w:pPr>
      <w:r w:rsidRPr="00A27F13">
        <w:rPr>
          <w:rStyle w:val="FootnoteReference"/>
        </w:rPr>
        <w:footnoteRef/>
      </w:r>
      <w:r w:rsidRPr="00A27F13">
        <w:t xml:space="preserve"> UNEP/OzL.Pro/ExCom/91/72</w:t>
      </w:r>
    </w:p>
  </w:footnote>
  <w:footnote w:id="23">
    <w:p w14:paraId="0A897705" w14:textId="77777777" w:rsidR="000610CE" w:rsidRDefault="000610CE" w:rsidP="000610CE">
      <w:pPr>
        <w:pStyle w:val="FootnoteText"/>
      </w:pPr>
      <w:r>
        <w:rPr>
          <w:rStyle w:val="FootnoteReference"/>
          <w:rFonts w:hint="eastAsia"/>
        </w:rPr>
        <w:footnoteRef/>
      </w:r>
      <w:r>
        <w:rPr>
          <w:rFonts w:hint="eastAsia"/>
        </w:rPr>
        <w:t xml:space="preserve"> </w:t>
      </w:r>
      <w:r w:rsidRPr="00625778">
        <w:rPr>
          <w:rFonts w:hint="eastAsia"/>
        </w:rPr>
        <w:t>UNEP/OzL.Pro/ExCom/86/100</w:t>
      </w:r>
    </w:p>
  </w:footnote>
  <w:footnote w:id="24">
    <w:p w14:paraId="56A7ACCB" w14:textId="77777777" w:rsidR="000610CE" w:rsidRDefault="000610CE" w:rsidP="000610CE">
      <w:pPr>
        <w:pStyle w:val="FootnoteText"/>
      </w:pPr>
      <w:r>
        <w:rPr>
          <w:rStyle w:val="FootnoteReference"/>
          <w:rFonts w:hint="eastAsia"/>
        </w:rPr>
        <w:footnoteRef/>
      </w:r>
      <w:r>
        <w:rPr>
          <w:rFonts w:hint="eastAsia"/>
        </w:rPr>
        <w:t xml:space="preserve"> </w:t>
      </w:r>
      <w:r w:rsidRPr="00FC206C">
        <w:rPr>
          <w:rFonts w:hint="eastAsia"/>
        </w:rPr>
        <w:t>September 2023 TEAP Decision XXXIV/2 Replenishment Supplementary Report</w:t>
      </w:r>
    </w:p>
  </w:footnote>
  <w:footnote w:id="25">
    <w:p w14:paraId="799CC780" w14:textId="77777777" w:rsidR="000610CE" w:rsidRDefault="000610CE" w:rsidP="000610CE">
      <w:pPr>
        <w:pStyle w:val="FootnoteText"/>
      </w:pPr>
      <w:r w:rsidRPr="0801BFFE">
        <w:rPr>
          <w:rStyle w:val="FootnoteReference"/>
        </w:rPr>
        <w:footnoteRef/>
      </w:r>
      <w:r>
        <w:t xml:space="preserve"> UNEP/OzL.Pro/ExCom/97/91</w:t>
      </w:r>
    </w:p>
  </w:footnote>
  <w:footnote w:id="26">
    <w:p w14:paraId="3A705C89" w14:textId="77777777" w:rsidR="00996F96" w:rsidRDefault="00996F96" w:rsidP="00996F96">
      <w:pPr>
        <w:spacing w:after="0"/>
      </w:pPr>
      <w:r w:rsidRPr="00A52B79">
        <w:rPr>
          <w:sz w:val="18"/>
          <w:szCs w:val="18"/>
          <w:vertAlign w:val="superscript"/>
        </w:rPr>
        <w:footnoteRef/>
      </w:r>
      <w:r>
        <w:t xml:space="preserve"> </w:t>
      </w:r>
      <w:r w:rsidRPr="00AE3C8D">
        <w:rPr>
          <w:sz w:val="18"/>
          <w:szCs w:val="18"/>
        </w:rPr>
        <w:t>IS and Standard Activities are presented in another chapter and not part of this total.</w:t>
      </w:r>
    </w:p>
    <w:p w14:paraId="039AD555" w14:textId="77777777" w:rsidR="00996F96" w:rsidRDefault="00996F96" w:rsidP="00996F96"/>
  </w:footnote>
  <w:footnote w:id="27">
    <w:p w14:paraId="270D670F" w14:textId="77777777" w:rsidR="00296C6F" w:rsidRPr="00E05A2B" w:rsidRDefault="00296C6F" w:rsidP="00296C6F">
      <w:pPr>
        <w:pStyle w:val="FootnoteText"/>
        <w:rPr>
          <w:lang w:val="en-US"/>
        </w:rPr>
      </w:pPr>
      <w:r>
        <w:rPr>
          <w:rStyle w:val="FootnoteReference"/>
        </w:rPr>
        <w:footnoteRef/>
      </w:r>
      <w:r>
        <w:t xml:space="preserve"> </w:t>
      </w:r>
      <w:r w:rsidRPr="00832D9A">
        <w:fldChar w:fldCharType="begin"/>
      </w:r>
      <w:r w:rsidRPr="00C37162">
        <w:instrText xml:space="preserve"> DOCPROPERTY "Document number"  \* MERGEFORMAT </w:instrText>
      </w:r>
      <w:r w:rsidRPr="00832D9A">
        <w:fldChar w:fldCharType="separate"/>
      </w:r>
      <w:r w:rsidRPr="00BC19FB">
        <w:t>UNEP/OzL.Pro/ExCom/97/8</w:t>
      </w:r>
      <w:r w:rsidRPr="00832D9A">
        <w:fldChar w:fldCharType="end"/>
      </w:r>
    </w:p>
  </w:footnote>
  <w:footnote w:id="28">
    <w:p w14:paraId="48376EB5" w14:textId="77777777" w:rsidR="00296C6F" w:rsidRPr="00E05A2B" w:rsidRDefault="00296C6F" w:rsidP="00296C6F">
      <w:pPr>
        <w:pStyle w:val="FootnoteText"/>
        <w:rPr>
          <w:lang w:val="en-US"/>
        </w:rPr>
      </w:pPr>
      <w:r>
        <w:rPr>
          <w:rStyle w:val="FootnoteReference"/>
        </w:rPr>
        <w:footnoteRef/>
      </w:r>
      <w:r>
        <w:t xml:space="preserve"> O</w:t>
      </w:r>
      <w:r w:rsidRPr="00E05A2B">
        <w:rPr>
          <w:lang w:val="en-US"/>
        </w:rPr>
        <w:t>ne of which has not ratified the Kigali Amendment.</w:t>
      </w:r>
    </w:p>
  </w:footnote>
  <w:footnote w:id="29">
    <w:p w14:paraId="119F01CE" w14:textId="77777777" w:rsidR="00296C6F" w:rsidRPr="00E05A2B" w:rsidRDefault="00296C6F" w:rsidP="00296C6F">
      <w:pPr>
        <w:pStyle w:val="FootnoteText"/>
        <w:rPr>
          <w:lang w:val="en-US"/>
        </w:rPr>
      </w:pPr>
      <w:r>
        <w:rPr>
          <w:rStyle w:val="FootnoteReference"/>
        </w:rPr>
        <w:footnoteRef/>
      </w:r>
      <w:r>
        <w:t xml:space="preserve"> </w:t>
      </w:r>
      <w:hyperlink r:id="rId4" w:history="1">
        <w:r w:rsidRPr="00FA27C4">
          <w:rPr>
            <w:rStyle w:val="Hyperlink"/>
          </w:rPr>
          <w:t>https://www.multilateralfund.org/resources/project-guides-tools</w:t>
        </w:r>
      </w:hyperlink>
    </w:p>
  </w:footnote>
  <w:footnote w:id="30">
    <w:p w14:paraId="69C066A6" w14:textId="77777777" w:rsidR="00296C6F" w:rsidRPr="00E05A2B" w:rsidRDefault="00296C6F" w:rsidP="00296C6F">
      <w:pPr>
        <w:pStyle w:val="FootnoteText"/>
        <w:rPr>
          <w:lang w:val="en-US"/>
        </w:rPr>
      </w:pPr>
      <w:r>
        <w:rPr>
          <w:rStyle w:val="FootnoteReference"/>
        </w:rPr>
        <w:footnoteRef/>
      </w:r>
      <w:r>
        <w:t xml:space="preserve"> </w:t>
      </w:r>
      <w:r w:rsidRPr="00594330">
        <w:t>UNEP/OzL.Pro/ExCom/95/86 and background document UNEP/OzL.Pro/ExCom/93/97</w:t>
      </w:r>
    </w:p>
  </w:footnote>
  <w:footnote w:id="31">
    <w:p w14:paraId="3907DD54" w14:textId="36AF0D2F" w:rsidR="00FD5F91" w:rsidRPr="00FD5F91" w:rsidRDefault="00FD5F91">
      <w:pPr>
        <w:pStyle w:val="FootnoteText"/>
        <w:rPr>
          <w:lang w:val="en-US"/>
        </w:rPr>
      </w:pPr>
      <w:r>
        <w:rPr>
          <w:rStyle w:val="FootnoteReference"/>
        </w:rPr>
        <w:footnoteRef/>
      </w:r>
      <w:r>
        <w:t xml:space="preserve"> </w:t>
      </w:r>
      <w:r w:rsidRPr="00FD5F91">
        <w:t>UNEP/OzL.Pro/ExCom/97/8</w:t>
      </w:r>
    </w:p>
  </w:footnote>
  <w:footnote w:id="32">
    <w:p w14:paraId="10F7F4EC" w14:textId="0F873902" w:rsidR="0032079C" w:rsidRPr="0032079C" w:rsidRDefault="0032079C">
      <w:pPr>
        <w:pStyle w:val="FootnoteText"/>
        <w:rPr>
          <w:lang w:val="en-US"/>
        </w:rPr>
      </w:pPr>
      <w:r>
        <w:rPr>
          <w:rStyle w:val="FootnoteReference"/>
        </w:rPr>
        <w:footnoteRef/>
      </w:r>
      <w:r>
        <w:t xml:space="preserve"> </w:t>
      </w:r>
      <w:r>
        <w:rPr>
          <w:lang w:val="en-US"/>
        </w:rPr>
        <w:t xml:space="preserve"> </w:t>
      </w:r>
      <w:r w:rsidRPr="0032079C">
        <w:rPr>
          <w:lang w:val="en-US"/>
        </w:rPr>
        <w:t>UNEP/OzL.Pro/ExCom/97/8</w:t>
      </w:r>
    </w:p>
  </w:footnote>
  <w:footnote w:id="33">
    <w:p w14:paraId="3F288075" w14:textId="77777777" w:rsidR="00296C6F" w:rsidRPr="009C3A21" w:rsidRDefault="00296C6F" w:rsidP="00296C6F">
      <w:pPr>
        <w:pStyle w:val="FootnoteText"/>
      </w:pPr>
      <w:r w:rsidRPr="009C3A21">
        <w:rPr>
          <w:rStyle w:val="FootnoteReference"/>
        </w:rPr>
        <w:footnoteRef/>
      </w:r>
      <w:r w:rsidRPr="009C3A21">
        <w:t xml:space="preserve"> LVC and non-LVC classification is based on HCFC baseline.</w:t>
      </w:r>
    </w:p>
  </w:footnote>
  <w:footnote w:id="34">
    <w:p w14:paraId="615DFB7E" w14:textId="23A8E9F7" w:rsidR="0032604D" w:rsidRPr="00F65354" w:rsidRDefault="0032604D">
      <w:pPr>
        <w:pStyle w:val="FootnoteText"/>
      </w:pPr>
      <w:r w:rsidRPr="00F65354">
        <w:rPr>
          <w:rStyle w:val="FootnoteReference"/>
        </w:rPr>
        <w:footnoteRef/>
      </w:r>
      <w:r w:rsidRPr="00F65354">
        <w:t xml:space="preserve"> In addition, one country has </w:t>
      </w:r>
      <w:r w:rsidR="006C4B54" w:rsidRPr="00F65354">
        <w:t xml:space="preserve">a </w:t>
      </w:r>
      <w:r w:rsidRPr="00F65354">
        <w:t>first tranche KIP approved without an approved agreement</w:t>
      </w:r>
      <w:r w:rsidR="00D156A1" w:rsidRPr="00F65354">
        <w:t>.</w:t>
      </w:r>
      <w:r w:rsidRPr="00F65354">
        <w:t xml:space="preserve"> </w:t>
      </w:r>
    </w:p>
  </w:footnote>
  <w:footnote w:id="35">
    <w:p w14:paraId="37A10F18" w14:textId="399F5156" w:rsidR="00E36672" w:rsidRPr="00D156A1" w:rsidRDefault="00E36672">
      <w:pPr>
        <w:pStyle w:val="FootnoteText"/>
      </w:pPr>
      <w:r w:rsidRPr="00F65354">
        <w:rPr>
          <w:rStyle w:val="FootnoteReference"/>
        </w:rPr>
        <w:footnoteRef/>
      </w:r>
      <w:r w:rsidRPr="00F65354">
        <w:t xml:space="preserve"> </w:t>
      </w:r>
      <w:r w:rsidR="000C39B9" w:rsidRPr="00F65354">
        <w:t xml:space="preserve">Total needed Stage I and II for G1 and Stage I for G2 have been </w:t>
      </w:r>
      <w:r w:rsidR="006827E7" w:rsidRPr="00F65354">
        <w:t>estimated without certainty</w:t>
      </w:r>
      <w:r w:rsidR="00215ED7" w:rsidRPr="00F65354">
        <w:t xml:space="preserve"> </w:t>
      </w:r>
      <w:r w:rsidR="006827E7" w:rsidRPr="00F65354">
        <w:t>of the number of G2 submissions prior to 2030</w:t>
      </w:r>
      <w:r w:rsidR="006C4B54" w:rsidRPr="00F65354">
        <w:t>.</w:t>
      </w:r>
      <w:r w:rsidR="006827E7">
        <w:t xml:space="preserve"> </w:t>
      </w:r>
    </w:p>
  </w:footnote>
  <w:footnote w:id="36">
    <w:p w14:paraId="20058C6E" w14:textId="77777777" w:rsidR="004C738E" w:rsidRPr="00F74429" w:rsidRDefault="004C738E" w:rsidP="004C738E">
      <w:pPr>
        <w:rPr>
          <w:rFonts w:eastAsia="Helvetica"/>
          <w:sz w:val="16"/>
          <w:szCs w:val="16"/>
          <w:lang w:val="en-US"/>
        </w:rPr>
      </w:pPr>
      <w:r w:rsidRPr="00C86E30">
        <w:rPr>
          <w:vertAlign w:val="superscript"/>
        </w:rPr>
        <w:footnoteRef/>
      </w:r>
      <w:r w:rsidRPr="00C86E30">
        <w:rPr>
          <w:vertAlign w:val="superscript"/>
        </w:rPr>
        <w:t xml:space="preserve"> </w:t>
      </w:r>
      <w:r w:rsidRPr="00F74429">
        <w:rPr>
          <w:rFonts w:eastAsia="Helvetica"/>
          <w:sz w:val="16"/>
          <w:szCs w:val="16"/>
          <w:lang w:val="en-US"/>
        </w:rPr>
        <w:t>UNEP/OzL.Pro/ExCom/91/72</w:t>
      </w:r>
    </w:p>
  </w:footnote>
  <w:footnote w:id="37">
    <w:p w14:paraId="7FB3F4C5" w14:textId="77777777" w:rsidR="000064ED" w:rsidRPr="00BC19FB" w:rsidRDefault="000064ED" w:rsidP="0070561A">
      <w:pPr>
        <w:spacing w:after="120"/>
        <w:rPr>
          <w:rFonts w:eastAsia="Helvetica"/>
          <w:i/>
          <w:sz w:val="18"/>
          <w:szCs w:val="18"/>
        </w:rPr>
      </w:pPr>
      <w:r w:rsidRPr="00792C07">
        <w:rPr>
          <w:sz w:val="18"/>
          <w:szCs w:val="18"/>
          <w:vertAlign w:val="superscript"/>
        </w:rPr>
        <w:footnoteRef/>
      </w:r>
      <w:r w:rsidRPr="00792C07">
        <w:rPr>
          <w:sz w:val="18"/>
          <w:szCs w:val="18"/>
          <w:vertAlign w:val="superscript"/>
        </w:rPr>
        <w:t xml:space="preserve"> </w:t>
      </w:r>
      <w:r w:rsidRPr="001D7540">
        <w:rPr>
          <w:rFonts w:eastAsia="Helvetica"/>
          <w:sz w:val="18"/>
          <w:szCs w:val="18"/>
        </w:rPr>
        <w:t>UNEP/OzL.Pro/ExCom/9</w:t>
      </w:r>
      <w:r>
        <w:rPr>
          <w:rFonts w:eastAsia="Helvetica"/>
          <w:sz w:val="18"/>
          <w:szCs w:val="18"/>
        </w:rPr>
        <w:t>4</w:t>
      </w:r>
      <w:r w:rsidRPr="001D7540">
        <w:rPr>
          <w:rFonts w:eastAsia="Helvetica"/>
          <w:sz w:val="18"/>
          <w:szCs w:val="18"/>
        </w:rPr>
        <w:t>/</w:t>
      </w:r>
      <w:r>
        <w:rPr>
          <w:rFonts w:eastAsia="Helvetica"/>
          <w:sz w:val="18"/>
          <w:szCs w:val="18"/>
        </w:rPr>
        <w:t>67</w:t>
      </w:r>
    </w:p>
  </w:footnote>
  <w:footnote w:id="38">
    <w:p w14:paraId="35C2208E" w14:textId="77777777" w:rsidR="000064ED" w:rsidRPr="003C484D" w:rsidRDefault="000064ED" w:rsidP="000064ED">
      <w:pPr>
        <w:pStyle w:val="FootnoteText"/>
      </w:pPr>
      <w:r w:rsidRPr="003C484D">
        <w:rPr>
          <w:rStyle w:val="FootnoteReference"/>
        </w:rPr>
        <w:footnoteRef/>
      </w:r>
      <w:r w:rsidRPr="003C484D">
        <w:t xml:space="preserve"> UNEP/OzL.Pro/ExCom/95/94</w:t>
      </w:r>
    </w:p>
  </w:footnote>
  <w:footnote w:id="39">
    <w:p w14:paraId="7367AC24" w14:textId="77777777" w:rsidR="000064ED" w:rsidRPr="00BC19FB" w:rsidRDefault="000064ED" w:rsidP="000064ED">
      <w:pPr>
        <w:rPr>
          <w:rFonts w:eastAsia="Helvetica"/>
          <w:i/>
          <w:sz w:val="18"/>
          <w:szCs w:val="18"/>
        </w:rPr>
      </w:pPr>
      <w:r w:rsidRPr="00792C07">
        <w:rPr>
          <w:sz w:val="18"/>
          <w:szCs w:val="18"/>
          <w:vertAlign w:val="superscript"/>
        </w:rPr>
        <w:footnoteRef/>
      </w:r>
      <w:r w:rsidRPr="00792C07">
        <w:rPr>
          <w:sz w:val="18"/>
          <w:szCs w:val="18"/>
          <w:vertAlign w:val="superscript"/>
        </w:rPr>
        <w:t xml:space="preserve"> </w:t>
      </w:r>
      <w:r w:rsidRPr="001D7540">
        <w:rPr>
          <w:rFonts w:eastAsia="Helvetica"/>
          <w:sz w:val="18"/>
          <w:szCs w:val="18"/>
        </w:rPr>
        <w:t>UNEP/OzL.Pro/ExCom/9</w:t>
      </w:r>
      <w:r>
        <w:rPr>
          <w:rFonts w:eastAsia="Helvetica"/>
          <w:sz w:val="18"/>
          <w:szCs w:val="18"/>
        </w:rPr>
        <w:t>5/94</w:t>
      </w:r>
    </w:p>
  </w:footnote>
  <w:footnote w:id="40">
    <w:p w14:paraId="69BE00AD" w14:textId="77777777" w:rsidR="00D72A33" w:rsidRPr="009D75AC" w:rsidRDefault="00D72A33" w:rsidP="00D72A33">
      <w:pPr>
        <w:pStyle w:val="FootnoteText"/>
        <w:rPr>
          <w:lang w:val="en-US"/>
        </w:rPr>
      </w:pPr>
      <w:r w:rsidRPr="009B7B00">
        <w:rPr>
          <w:rStyle w:val="FootnoteReference"/>
        </w:rPr>
        <w:footnoteRef/>
      </w:r>
      <w:r w:rsidRPr="009B7B00">
        <w:t xml:space="preserve"> https://cdm.unfccc.int/</w:t>
      </w:r>
    </w:p>
  </w:footnote>
  <w:footnote w:id="41">
    <w:p w14:paraId="392CE69B" w14:textId="77777777" w:rsidR="00D72A33" w:rsidRPr="009B7B00" w:rsidRDefault="00D72A33" w:rsidP="00D72A33">
      <w:pPr>
        <w:pStyle w:val="FootnoteText"/>
      </w:pPr>
      <w:r w:rsidRPr="009B7B00">
        <w:rPr>
          <w:rStyle w:val="FootnoteReference"/>
        </w:rPr>
        <w:footnoteRef/>
      </w:r>
      <w:r w:rsidRPr="009B7B00">
        <w:t xml:space="preserve"> 2018 TEAP Report, Supplement to the April 2018 Decision XXIX/4 TEAP Task Force Report on Destruction Technologies for Controlled Substances.</w:t>
      </w:r>
    </w:p>
  </w:footnote>
  <w:footnote w:id="42">
    <w:p w14:paraId="0A97A885" w14:textId="77777777" w:rsidR="00D72A33" w:rsidRPr="009B7B00" w:rsidRDefault="00D72A33" w:rsidP="00D72A33">
      <w:pPr>
        <w:pStyle w:val="FootnoteText"/>
      </w:pPr>
      <w:r w:rsidRPr="009B7B00">
        <w:rPr>
          <w:rStyle w:val="FootnoteReference"/>
        </w:rPr>
        <w:footnoteRef/>
      </w:r>
      <w:r w:rsidRPr="009B7B00">
        <w:t xml:space="preserve"> 2018 TEAP Report, Supplement to the April 2018 Decision XXIX/4 TEAP Task Force Report on Destruction Technologies for Controlled Substances.</w:t>
      </w:r>
    </w:p>
  </w:footnote>
  <w:footnote w:id="43">
    <w:p w14:paraId="7728B27B" w14:textId="77777777" w:rsidR="00D72A33" w:rsidRPr="009B7B00" w:rsidRDefault="00D72A33" w:rsidP="00D72A33">
      <w:pPr>
        <w:pStyle w:val="FootnoteText"/>
      </w:pPr>
      <w:r w:rsidRPr="009B7B00">
        <w:rPr>
          <w:rStyle w:val="FootnoteReference"/>
        </w:rPr>
        <w:footnoteRef/>
      </w:r>
      <w:r w:rsidRPr="009B7B00">
        <w:t xml:space="preserve"> The themes on “Key aspects related to HFC-23 by-product control technologies” (Decision 82/69; 83</w:t>
      </w:r>
      <w:r w:rsidRPr="009B7B00">
        <w:rPr>
          <w:rFonts w:eastAsia="SimSun"/>
        </w:rPr>
        <w:t>/44; 84/70; 85/63; 86/94; 87/52</w:t>
      </w:r>
      <w:r w:rsidRPr="009B7B00">
        <w:t>).</w:t>
      </w:r>
    </w:p>
  </w:footnote>
  <w:footnote w:id="44">
    <w:p w14:paraId="6F54136A" w14:textId="77777777" w:rsidR="00D72A33" w:rsidRPr="009B7B00" w:rsidRDefault="00D72A33" w:rsidP="00D72A33">
      <w:pPr>
        <w:pStyle w:val="FootnoteText"/>
      </w:pPr>
      <w:r w:rsidRPr="009B7B00">
        <w:rPr>
          <w:rStyle w:val="FootnoteReference"/>
        </w:rPr>
        <w:footnoteRef/>
      </w:r>
      <w:r w:rsidRPr="009B7B00">
        <w:t xml:space="preserve"> UNEP May 2020 TEAP Progress Report. Medical and Chemicals Technical Options Committee Progress Report</w:t>
      </w:r>
    </w:p>
  </w:footnote>
  <w:footnote w:id="45">
    <w:p w14:paraId="0779B7BB" w14:textId="77777777" w:rsidR="00D72A33" w:rsidRPr="009B7B00" w:rsidRDefault="00D72A33" w:rsidP="00D72A33">
      <w:pPr>
        <w:pStyle w:val="FootnoteText"/>
      </w:pPr>
      <w:r w:rsidRPr="009B7B00">
        <w:rPr>
          <w:rStyle w:val="FootnoteReference"/>
        </w:rPr>
        <w:footnoteRef/>
      </w:r>
      <w:r w:rsidRPr="009B7B00">
        <w:t xml:space="preserve"> 2018 TEAP Report, Supplement to the April 2018 Decision XXIX/4 TEAP Task Force Report on Destruction Technologies for Controlled Substances.</w:t>
      </w:r>
      <w:r w:rsidRPr="009B7B00">
        <w:rPr>
          <w:rFonts w:hint="eastAsia"/>
        </w:rPr>
        <w:t xml:space="preserve"> </w:t>
      </w:r>
    </w:p>
  </w:footnote>
  <w:footnote w:id="46">
    <w:p w14:paraId="638A3BE6" w14:textId="77777777" w:rsidR="00D72A33" w:rsidRPr="009B7B00" w:rsidRDefault="00D72A33" w:rsidP="00D72A33">
      <w:pPr>
        <w:pStyle w:val="FootnoteText"/>
      </w:pPr>
      <w:r w:rsidRPr="009B7B00">
        <w:rPr>
          <w:rStyle w:val="FootnoteReference"/>
        </w:rPr>
        <w:footnoteRef/>
      </w:r>
      <w:r w:rsidRPr="009B7B00">
        <w:t xml:space="preserve"> TEAP September 2024: Response to decision XXXV/7: Emissions of HFC-23 (volume 5)</w:t>
      </w:r>
    </w:p>
  </w:footnote>
  <w:footnote w:id="47">
    <w:p w14:paraId="4928E4E2" w14:textId="77777777" w:rsidR="00D72A33" w:rsidRPr="009B7B00" w:rsidRDefault="00D72A33" w:rsidP="00D72A33">
      <w:pPr>
        <w:pStyle w:val="FootnoteText"/>
      </w:pPr>
      <w:r w:rsidRPr="009B7B00">
        <w:rPr>
          <w:rStyle w:val="FootnoteReference"/>
        </w:rPr>
        <w:footnoteRef/>
      </w:r>
      <w:r w:rsidRPr="009B7B00">
        <w:t xml:space="preserve"> </w:t>
      </w:r>
      <w:bookmarkStart w:id="216" w:name="OLE_LINK6"/>
      <w:r w:rsidRPr="009B7B00">
        <w:t>TEAP September 2025: Response to decision XXXVI/3: Emissions of HFC-23 (volume 2)</w:t>
      </w:r>
      <w:bookmarkEnd w:id="216"/>
    </w:p>
  </w:footnote>
  <w:footnote w:id="48">
    <w:p w14:paraId="40E19562" w14:textId="77777777" w:rsidR="00D72A33" w:rsidRPr="009B7B00" w:rsidRDefault="00D72A33" w:rsidP="00D72A33">
      <w:pPr>
        <w:pStyle w:val="FootnoteText"/>
      </w:pPr>
      <w:r w:rsidRPr="009B7B00">
        <w:rPr>
          <w:rStyle w:val="FootnoteReference"/>
          <w:rFonts w:hint="eastAsia"/>
        </w:rPr>
        <w:footnoteRef/>
      </w:r>
      <w:r w:rsidRPr="009B7B00">
        <w:rPr>
          <w:rFonts w:hint="eastAsia"/>
        </w:rPr>
        <w:t xml:space="preserve"> UNEP 2024, September 2024 Report of the Science Assessment Panel, Response to Decision XXXV/7: Emissions of HFC 23.</w:t>
      </w:r>
    </w:p>
  </w:footnote>
  <w:footnote w:id="49">
    <w:p w14:paraId="292C9DEE" w14:textId="77777777" w:rsidR="00D72A33" w:rsidRPr="009B7B00" w:rsidRDefault="00D72A33" w:rsidP="00D72A33">
      <w:pPr>
        <w:pStyle w:val="FootnoteText"/>
      </w:pPr>
      <w:r w:rsidRPr="009B7B00">
        <w:rPr>
          <w:rStyle w:val="FootnoteReference"/>
          <w:rFonts w:hint="eastAsia"/>
        </w:rPr>
        <w:footnoteRef/>
      </w:r>
      <w:r w:rsidRPr="009B7B00">
        <w:rPr>
          <w:rFonts w:hint="eastAsia"/>
        </w:rPr>
        <w:t xml:space="preserve"> UNEP 2023, September 2023 TEAP Report, Volume 6: Response to Decision XXXIV/7: Strengthening Institutional Processes with Respect to Information on HFC-23 By-Product Emissions.</w:t>
      </w:r>
    </w:p>
  </w:footnote>
  <w:footnote w:id="50">
    <w:p w14:paraId="2FB37852" w14:textId="77777777" w:rsidR="00D72A33" w:rsidRPr="006140A9" w:rsidRDefault="00D72A33" w:rsidP="00D72A33">
      <w:r w:rsidRPr="009B7B00">
        <w:rPr>
          <w:sz w:val="18"/>
          <w:szCs w:val="18"/>
          <w:vertAlign w:val="superscript"/>
        </w:rPr>
        <w:footnoteRef/>
      </w:r>
      <w:r w:rsidRPr="009B7B00">
        <w:rPr>
          <w:sz w:val="18"/>
          <w:szCs w:val="18"/>
        </w:rPr>
        <w:t xml:space="preserve"> UNEP/OzL.Pro/ExCom/89/16</w:t>
      </w:r>
    </w:p>
  </w:footnote>
  <w:footnote w:id="51">
    <w:p w14:paraId="6D9CA49C" w14:textId="77777777" w:rsidR="001D54E1" w:rsidRPr="0086102B" w:rsidRDefault="001D54E1" w:rsidP="001D54E1">
      <w:pPr>
        <w:pStyle w:val="FootnoteText"/>
      </w:pPr>
      <w:r>
        <w:rPr>
          <w:rStyle w:val="FootnoteReference"/>
        </w:rPr>
        <w:footnoteRef/>
      </w:r>
      <w:r>
        <w:t xml:space="preserve"> </w:t>
      </w:r>
      <w:r>
        <w:rPr>
          <w:rFonts w:hint="eastAsia"/>
        </w:rPr>
        <w:t xml:space="preserve">Cited from </w:t>
      </w:r>
      <w:r>
        <w:t>ExCom documents “</w:t>
      </w:r>
      <w:bookmarkStart w:id="220" w:name="OLE_LINK11"/>
      <w:r w:rsidRPr="0086102B">
        <w:t>Country Programme Data and Prospects for Compliance</w:t>
      </w:r>
      <w:bookmarkEnd w:id="220"/>
      <w:r>
        <w:t>.” (</w:t>
      </w:r>
      <w:hyperlink r:id="rId5" w:history="1">
        <w:r w:rsidRPr="0086102B">
          <w:rPr>
            <w:rStyle w:val="Hyperlink"/>
          </w:rPr>
          <w:t>UNEP/OzL.Pro/ExCom/91/8</w:t>
        </w:r>
      </w:hyperlink>
      <w:r>
        <w:t xml:space="preserve">), UNEP/OzL.Pro/ExCom/93/8), </w:t>
      </w:r>
      <w:bookmarkStart w:id="221" w:name="OLE_LINK12"/>
      <w:r>
        <w:t>UNEP/Ozl.Pro/ExCom/95/8</w:t>
      </w:r>
      <w:bookmarkEnd w:id="221"/>
      <w:r>
        <w:rPr>
          <w:rFonts w:hint="eastAsia"/>
        </w:rPr>
        <w:t xml:space="preserve">, </w:t>
      </w:r>
      <w:r w:rsidRPr="00581A8F">
        <w:rPr>
          <w:rFonts w:hint="eastAsia"/>
        </w:rPr>
        <w:t>UNEP/OzL.Pro/ExCom/97/8</w:t>
      </w:r>
      <w:r>
        <w:t>)</w:t>
      </w:r>
      <w:r>
        <w:rPr>
          <w:rFonts w:hint="eastAsia"/>
        </w:rPr>
        <w:t xml:space="preserve">, and </w:t>
      </w:r>
      <w:r w:rsidRPr="00804E4D">
        <w:rPr>
          <w:rFonts w:hint="eastAsia"/>
        </w:rPr>
        <w:t>Article 7: Reporting of data</w:t>
      </w:r>
    </w:p>
  </w:footnote>
  <w:footnote w:id="52">
    <w:p w14:paraId="6BF318A0" w14:textId="376B8A7D" w:rsidR="00DD15D6" w:rsidRPr="009D75AC" w:rsidRDefault="00DD15D6">
      <w:pPr>
        <w:pStyle w:val="FootnoteText"/>
        <w:rPr>
          <w:lang w:val="en-US"/>
        </w:rPr>
      </w:pPr>
      <w:r>
        <w:rPr>
          <w:rStyle w:val="FootnoteReference"/>
        </w:rPr>
        <w:footnoteRef/>
      </w:r>
      <w:r>
        <w:t xml:space="preserve"> </w:t>
      </w:r>
      <w:r w:rsidR="00176FDB">
        <w:t xml:space="preserve">China has also set the 2025 HFC production quota at 1.853 billion tCO2 equivalent, and the production quota of 11 types of HFCs is 792,000 tons (equivalent to 1.464 billion tCO2 equivalent). The quota management system controls the total production capacity and indirectly affects the production cost of HFC enterprises. </w:t>
      </w:r>
      <w:hyperlink r:id="rId6">
        <w:r w:rsidR="4BCEE662" w:rsidRPr="4BCEE662">
          <w:rPr>
            <w:rStyle w:val="Hyperlink"/>
          </w:rPr>
          <w:t>https://www.mee.gov.cn/ywdt/zbft/202411/t20241113_1095266.shtml</w:t>
        </w:r>
      </w:hyperlink>
      <w:r w:rsidR="00176FDB">
        <w:t xml:space="preserve"> </w:t>
      </w:r>
    </w:p>
  </w:footnote>
  <w:footnote w:id="53">
    <w:p w14:paraId="65EE3BB2" w14:textId="5E020EAC" w:rsidR="007A3A02" w:rsidRPr="0086102B" w:rsidRDefault="007A3A02" w:rsidP="007A3A02">
      <w:pPr>
        <w:pStyle w:val="FootnoteText"/>
      </w:pPr>
      <w:r>
        <w:rPr>
          <w:rStyle w:val="FootnoteReference"/>
        </w:rPr>
        <w:footnoteRef/>
      </w:r>
      <w:r>
        <w:t xml:space="preserve"> </w:t>
      </w:r>
      <w:r w:rsidRPr="0086102B">
        <w:t xml:space="preserve">The data for Argentina, China, </w:t>
      </w:r>
      <w:r>
        <w:t xml:space="preserve">India, </w:t>
      </w:r>
      <w:r w:rsidR="00B62103">
        <w:t xml:space="preserve">the </w:t>
      </w:r>
      <w:r w:rsidRPr="0086102B">
        <w:t xml:space="preserve">DPRK and Mexico </w:t>
      </w:r>
      <w:r>
        <w:t>are</w:t>
      </w:r>
      <w:r w:rsidRPr="0086102B">
        <w:t xml:space="preserve"> cited from the </w:t>
      </w:r>
      <w:r>
        <w:t>ExCom documents “</w:t>
      </w:r>
      <w:r w:rsidRPr="0086102B">
        <w:t>Country Programme Data and Prospects for Compliance</w:t>
      </w:r>
      <w:r>
        <w:t>.” (</w:t>
      </w:r>
      <w:hyperlink r:id="rId7" w:history="1">
        <w:r w:rsidRPr="0086102B">
          <w:rPr>
            <w:rStyle w:val="Hyperlink"/>
          </w:rPr>
          <w:t>UNEP/OzL.Pro/ExCom/91/8</w:t>
        </w:r>
      </w:hyperlink>
      <w:r>
        <w:t>), UNEP/OzL.Pro/ExCom/93/8), UNEP/Ozl.Pro/ExCom/95/8)</w:t>
      </w:r>
    </w:p>
  </w:footnote>
  <w:footnote w:id="54">
    <w:p w14:paraId="7F7505AF" w14:textId="77777777" w:rsidR="007A3A02" w:rsidRPr="00952C2D" w:rsidRDefault="007A3A02" w:rsidP="007A3A02">
      <w:pPr>
        <w:pStyle w:val="FootnoteText"/>
      </w:pPr>
      <w:r>
        <w:rPr>
          <w:rStyle w:val="FootnoteReference"/>
          <w:rFonts w:hint="eastAsia"/>
        </w:rPr>
        <w:footnoteRef/>
      </w:r>
      <w:r>
        <w:rPr>
          <w:rFonts w:hint="eastAsia"/>
        </w:rPr>
        <w:t xml:space="preserve"> </w:t>
      </w:r>
      <w:bookmarkStart w:id="225" w:name="OLE_LINK10"/>
      <w:r w:rsidRPr="00952C2D">
        <w:rPr>
          <w:rFonts w:hint="eastAsia"/>
        </w:rPr>
        <w:t>TEAP September 2025: Response to decision XXXVI/3: Emissions of HFC-23 (volume 2)</w:t>
      </w:r>
      <w:bookmarkEnd w:id="225"/>
    </w:p>
  </w:footnote>
  <w:footnote w:id="55">
    <w:p w14:paraId="47680B9A" w14:textId="77777777" w:rsidR="007A3A02" w:rsidRDefault="007A3A02" w:rsidP="007A3A02">
      <w:pPr>
        <w:pStyle w:val="FootnoteText"/>
      </w:pPr>
      <w:r w:rsidRPr="00AE51E9">
        <w:rPr>
          <w:rStyle w:val="FootnoteReference"/>
          <w:rFonts w:hint="eastAsia"/>
        </w:rPr>
        <w:footnoteRef/>
      </w:r>
      <w:r w:rsidRPr="00AE51E9">
        <w:rPr>
          <w:rFonts w:hint="eastAsia"/>
        </w:rPr>
        <w:t xml:space="preserve"> </w:t>
      </w:r>
      <w:hyperlink r:id="rId8" w:history="1">
        <w:r w:rsidRPr="00AE51E9">
          <w:rPr>
            <w:rFonts w:eastAsia="SimSun"/>
            <w:color w:val="0000FF"/>
            <w:szCs w:val="20"/>
            <w:u w:val="single"/>
          </w:rPr>
          <w:t>https://ozone.unep.org/hfc-23-emissions</w:t>
        </w:r>
      </w:hyperlink>
    </w:p>
  </w:footnote>
  <w:footnote w:id="56">
    <w:p w14:paraId="12EEAB1C" w14:textId="77777777" w:rsidR="00F2583B" w:rsidRDefault="00F2583B" w:rsidP="00F2583B">
      <w:pPr>
        <w:pStyle w:val="FootnoteText"/>
      </w:pPr>
      <w:r>
        <w:rPr>
          <w:rStyle w:val="FootnoteReference"/>
          <w:rFonts w:hint="eastAsia"/>
        </w:rPr>
        <w:footnoteRef/>
      </w:r>
      <w:r>
        <w:rPr>
          <w:rFonts w:hint="eastAsia"/>
        </w:rPr>
        <w:t xml:space="preserve"> </w:t>
      </w:r>
      <w:r w:rsidRPr="00CF7571">
        <w:rPr>
          <w:rFonts w:hint="eastAsia"/>
        </w:rPr>
        <w:t>TEAP September 2025: Response to decision XXXVI/3: Emissions of HFC-23 (volume 2)</w:t>
      </w:r>
    </w:p>
  </w:footnote>
  <w:footnote w:id="57">
    <w:p w14:paraId="1915440A" w14:textId="4544DA1B" w:rsidR="00F2583B" w:rsidRDefault="00F2583B" w:rsidP="00F2583B">
      <w:pPr>
        <w:pStyle w:val="FootnoteText"/>
      </w:pPr>
      <w:r>
        <w:rPr>
          <w:rStyle w:val="FootnoteReference"/>
          <w:rFonts w:hint="eastAsia"/>
        </w:rPr>
        <w:footnoteRef/>
      </w:r>
      <w:r>
        <w:rPr>
          <w:rFonts w:hint="eastAsia"/>
        </w:rPr>
        <w:t xml:space="preserve"> </w:t>
      </w:r>
      <w:r w:rsidRPr="000E2959">
        <w:rPr>
          <w:rFonts w:hint="eastAsia"/>
        </w:rPr>
        <w:t>UNEP/OzL.Pro/ExCom/97/91</w:t>
      </w:r>
    </w:p>
  </w:footnote>
  <w:footnote w:id="58">
    <w:p w14:paraId="1C303151" w14:textId="74E32F3A" w:rsidR="00F13DD7" w:rsidRPr="00DE196D" w:rsidRDefault="00F13DD7">
      <w:pPr>
        <w:pStyle w:val="FootnoteText"/>
        <w:rPr>
          <w:lang w:val="en-US"/>
        </w:rPr>
      </w:pPr>
      <w:r>
        <w:rPr>
          <w:rStyle w:val="FootnoteReference"/>
        </w:rPr>
        <w:footnoteRef/>
      </w:r>
      <w:r>
        <w:t xml:space="preserve"> </w:t>
      </w:r>
      <w:r w:rsidR="00F928C2" w:rsidRPr="00F928C2">
        <w:t>https://ozone.unep.org/hfc-23-emissions</w:t>
      </w:r>
    </w:p>
  </w:footnote>
  <w:footnote w:id="59">
    <w:p w14:paraId="3D883AA1" w14:textId="77777777" w:rsidR="00802938" w:rsidRPr="009D75AC" w:rsidRDefault="00802938" w:rsidP="00802938">
      <w:pPr>
        <w:pStyle w:val="FootnoteText"/>
        <w:rPr>
          <w:lang w:val="en-US"/>
        </w:rPr>
      </w:pPr>
      <w:r w:rsidRPr="2EFD9F41">
        <w:rPr>
          <w:rStyle w:val="FootnoteReference"/>
        </w:rPr>
        <w:footnoteRef/>
      </w:r>
      <w:r w:rsidRPr="00743983">
        <w:t xml:space="preserve"> UNEP/OzL.Pro/ExCom/89/13</w:t>
      </w:r>
    </w:p>
  </w:footnote>
  <w:footnote w:id="60">
    <w:p w14:paraId="2E3E0356" w14:textId="77777777" w:rsidR="00802938" w:rsidRPr="009D75AC" w:rsidRDefault="00802938" w:rsidP="00802938">
      <w:pPr>
        <w:pStyle w:val="FootnoteText"/>
        <w:rPr>
          <w:lang w:val="en-US"/>
        </w:rPr>
      </w:pPr>
      <w:r w:rsidRPr="00375CFF">
        <w:rPr>
          <w:rStyle w:val="FootnoteReference"/>
        </w:rPr>
        <w:footnoteRef/>
      </w:r>
      <w:r w:rsidRPr="00375CFF">
        <w:t xml:space="preserve"> UNEP/OzL.Pro/ExCom/89/16</w:t>
      </w:r>
    </w:p>
  </w:footnote>
  <w:footnote w:id="61">
    <w:p w14:paraId="65ED4E30" w14:textId="77777777" w:rsidR="0013474F" w:rsidRDefault="0013474F" w:rsidP="0013474F">
      <w:pPr>
        <w:pStyle w:val="FootnoteText"/>
      </w:pPr>
      <w:r>
        <w:rPr>
          <w:rStyle w:val="FootnoteReference"/>
          <w:rFonts w:hint="eastAsia"/>
        </w:rPr>
        <w:footnoteRef/>
      </w:r>
      <w:r>
        <w:rPr>
          <w:rFonts w:hint="eastAsia"/>
        </w:rPr>
        <w:t xml:space="preserve"> </w:t>
      </w:r>
      <w:r w:rsidRPr="00B34359">
        <w:rPr>
          <w:rFonts w:hint="eastAsia"/>
        </w:rPr>
        <w:t>UNEP/OzL.Pro/ExCom/95/94</w:t>
      </w:r>
    </w:p>
  </w:footnote>
  <w:footnote w:id="62">
    <w:p w14:paraId="7EC8A030" w14:textId="77777777" w:rsidR="00224613" w:rsidRPr="0049494E" w:rsidRDefault="00224613" w:rsidP="00224613">
      <w:pPr>
        <w:pStyle w:val="FootnoteText"/>
      </w:pPr>
      <w:r w:rsidRPr="00C24BDF">
        <w:rPr>
          <w:rStyle w:val="FootnoteReference"/>
          <w:sz w:val="20"/>
          <w:szCs w:val="20"/>
        </w:rPr>
        <w:footnoteRef/>
      </w:r>
      <w:r w:rsidRPr="00C24BDF">
        <w:rPr>
          <w:sz w:val="20"/>
          <w:szCs w:val="20"/>
        </w:rPr>
        <w:t xml:space="preserve"> UNEP/OzL.Pro/ExCom/82/68. The cost-effective options for controlling HFC-23 By-Product Emissions</w:t>
      </w:r>
    </w:p>
  </w:footnote>
  <w:footnote w:id="63">
    <w:p w14:paraId="71B65143" w14:textId="77777777" w:rsidR="00224613" w:rsidRPr="00FC6345" w:rsidRDefault="00224613" w:rsidP="00224613">
      <w:pPr>
        <w:pStyle w:val="FootnoteText"/>
      </w:pPr>
      <w:r w:rsidRPr="00C24BDF">
        <w:rPr>
          <w:rStyle w:val="FootnoteReference"/>
          <w:sz w:val="20"/>
          <w:szCs w:val="20"/>
        </w:rPr>
        <w:footnoteRef/>
      </w:r>
      <w:r w:rsidRPr="00C24BDF">
        <w:rPr>
          <w:sz w:val="20"/>
          <w:szCs w:val="20"/>
        </w:rPr>
        <w:t xml:space="preserve"> UNEP/OzL.Pro/ExCom/87/58. Report of Eighty-seventh Meeting of the Executive Committee.</w:t>
      </w:r>
    </w:p>
  </w:footnote>
  <w:footnote w:id="64">
    <w:p w14:paraId="11FDDFD9" w14:textId="77777777" w:rsidR="00C00B6C" w:rsidRDefault="00C00B6C" w:rsidP="00066319">
      <w:pPr>
        <w:spacing w:after="120"/>
      </w:pPr>
      <w:r w:rsidRPr="4BE4E9B4">
        <w:rPr>
          <w:vertAlign w:val="superscript"/>
        </w:rPr>
        <w:footnoteRef/>
      </w:r>
      <w:r w:rsidRPr="4BE4E9B4">
        <w:t xml:space="preserve"> </w:t>
      </w:r>
      <w:r w:rsidRPr="00066319">
        <w:rPr>
          <w:sz w:val="18"/>
          <w:szCs w:val="18"/>
        </w:rPr>
        <w:t>UNEP/OzL.Pro/ExCom/96/58</w:t>
      </w:r>
    </w:p>
  </w:footnote>
  <w:footnote w:id="65">
    <w:p w14:paraId="5A2270F0" w14:textId="77777777" w:rsidR="00BA2564" w:rsidRPr="006762BA" w:rsidRDefault="00BA2564" w:rsidP="00066319">
      <w:pPr>
        <w:pStyle w:val="FootnoteText"/>
      </w:pPr>
      <w:r w:rsidRPr="006762BA">
        <w:rPr>
          <w:rStyle w:val="FootnoteReference"/>
        </w:rPr>
        <w:footnoteRef/>
      </w:r>
      <w:r w:rsidRPr="006762BA">
        <w:t xml:space="preserve"> UNEP/OzL.Pro/ExCom/84/72</w:t>
      </w:r>
    </w:p>
  </w:footnote>
  <w:footnote w:id="66">
    <w:p w14:paraId="76539DCC" w14:textId="77777777" w:rsidR="00BA2564" w:rsidRPr="006762BA" w:rsidRDefault="00BA2564" w:rsidP="00BA2564">
      <w:pPr>
        <w:pStyle w:val="FootnoteText"/>
      </w:pPr>
      <w:r w:rsidRPr="006762BA">
        <w:rPr>
          <w:rStyle w:val="FootnoteReference"/>
        </w:rPr>
        <w:footnoteRef/>
      </w:r>
      <w:r w:rsidRPr="006762BA">
        <w:t xml:space="preserve"> UNEP/OzL.Pro/ExCom/86/100</w:t>
      </w:r>
    </w:p>
  </w:footnote>
  <w:footnote w:id="67">
    <w:p w14:paraId="00D9898F" w14:textId="77777777" w:rsidR="00BA2564" w:rsidRPr="00737033" w:rsidRDefault="00BA2564" w:rsidP="00BA2564">
      <w:pPr>
        <w:pStyle w:val="FootnoteText"/>
      </w:pPr>
      <w:r w:rsidRPr="006762BA">
        <w:rPr>
          <w:rStyle w:val="FootnoteReference"/>
        </w:rPr>
        <w:footnoteRef/>
      </w:r>
      <w:r w:rsidRPr="006762BA">
        <w:t xml:space="preserve"> UNEP/OzL.Pro/ExCom/87/IAP/3</w:t>
      </w:r>
    </w:p>
  </w:footnote>
  <w:footnote w:id="68">
    <w:p w14:paraId="5386920A" w14:textId="77777777" w:rsidR="009275CC" w:rsidRPr="00CA1F31" w:rsidRDefault="009275CC" w:rsidP="009275CC">
      <w:pPr>
        <w:pStyle w:val="FootnoteText"/>
        <w:rPr>
          <w:lang w:val="en-US"/>
        </w:rPr>
      </w:pPr>
      <w:r w:rsidRPr="00354BEB">
        <w:rPr>
          <w:rStyle w:val="FootnoteReference"/>
        </w:rPr>
        <w:footnoteRef/>
      </w:r>
      <w:r w:rsidRPr="00AE7C9D">
        <w:t xml:space="preserve"> </w:t>
      </w:r>
      <w:r w:rsidRPr="00CA1F31">
        <w:rPr>
          <w:lang w:val="en-US"/>
        </w:rPr>
        <w:t>For Bilateral Agencies and UNEP, agency support costs vary from 11 to 13% depending on the cost of the project.</w:t>
      </w:r>
    </w:p>
  </w:footnote>
  <w:footnote w:id="69">
    <w:p w14:paraId="6C9D61F9" w14:textId="77777777" w:rsidR="009275CC" w:rsidRPr="002135B0" w:rsidRDefault="009275CC" w:rsidP="009275CC">
      <w:pPr>
        <w:pStyle w:val="FootnoteText"/>
        <w:rPr>
          <w:lang w:val="pt-BR"/>
        </w:rPr>
      </w:pPr>
      <w:r w:rsidRPr="00354BEB">
        <w:rPr>
          <w:rStyle w:val="FootnoteReference"/>
        </w:rPr>
        <w:footnoteRef/>
      </w:r>
      <w:r w:rsidRPr="002135B0">
        <w:rPr>
          <w:lang w:val="pt-BR"/>
        </w:rPr>
        <w:t xml:space="preserve"> UNEP/OzL.Pro/ExCom/84/65 para 54</w:t>
      </w:r>
    </w:p>
    <w:p w14:paraId="6CC46D37" w14:textId="77777777" w:rsidR="009275CC" w:rsidRPr="002135B0" w:rsidRDefault="009275CC" w:rsidP="009275CC">
      <w:pPr>
        <w:pStyle w:val="FootnoteText"/>
        <w:rPr>
          <w:lang w:val="pt-BR"/>
        </w:rPr>
      </w:pPr>
    </w:p>
  </w:footnote>
  <w:footnote w:id="70">
    <w:p w14:paraId="2EC556C6" w14:textId="77777777" w:rsidR="005F2B9F" w:rsidRPr="00CA1F31" w:rsidRDefault="005F2B9F" w:rsidP="005F2B9F">
      <w:pPr>
        <w:pStyle w:val="FootnoteText"/>
        <w:rPr>
          <w:lang w:val="en-US"/>
        </w:rPr>
      </w:pPr>
      <w:r>
        <w:rPr>
          <w:rStyle w:val="FootnoteReference"/>
        </w:rPr>
        <w:footnoteRef/>
      </w:r>
      <w:r>
        <w:t xml:space="preserve"> </w:t>
      </w:r>
      <w:r w:rsidRPr="00CA1F31">
        <w:rPr>
          <w:lang w:val="en-US"/>
        </w:rPr>
        <w:t>UNEP/OzL.Pro/ExCom/97/91 Decision 97/5</w:t>
      </w:r>
    </w:p>
  </w:footnote>
  <w:footnote w:id="71">
    <w:p w14:paraId="33D49837" w14:textId="77777777" w:rsidR="00210339" w:rsidRDefault="00210339" w:rsidP="00210339">
      <w:pPr>
        <w:pStyle w:val="FootnoteText"/>
      </w:pPr>
      <w:r>
        <w:rPr>
          <w:rStyle w:val="FootnoteReference"/>
        </w:rPr>
        <w:footnoteRef/>
      </w:r>
      <w:r>
        <w:t xml:space="preserve"> Decision XXVIII/2, para 22: “</w:t>
      </w:r>
      <w:r w:rsidRPr="003C2AF0">
        <w:t>To request the Executive Committee to develop cost guidance associated with maintaining and/or enhancing the energy efficiency of low-GWP or zero-GWP replacement technologies and equipment, when phasing down hydrofluorocarbons, while taking note of the role of other institutions addressing energy efficiency, when appropriate;</w:t>
      </w:r>
      <w:r>
        <w:t xml:space="preserve">” </w:t>
      </w:r>
      <w:hyperlink r:id="rId9" w:history="1">
        <w:r w:rsidRPr="001B2E3B">
          <w:rPr>
            <w:rStyle w:val="Hyperlink"/>
          </w:rPr>
          <w:t>https://ozone.unep.org/treaties/montreal-protocol/meetings/twenty-eighth-meeting-parties/decisions/decision-xxviii2-decision-related-amendment-phasing-down-hydrofluorocarbons</w:t>
        </w:r>
      </w:hyperlink>
      <w:r>
        <w:t xml:space="preserve"> </w:t>
      </w:r>
    </w:p>
  </w:footnote>
  <w:footnote w:id="72">
    <w:p w14:paraId="078C4781" w14:textId="77777777" w:rsidR="00577395" w:rsidRPr="00BC19FB" w:rsidRDefault="00577395" w:rsidP="00577395">
      <w:pPr>
        <w:rPr>
          <w:rFonts w:eastAsia="Helvetica"/>
          <w:i/>
          <w:sz w:val="18"/>
          <w:szCs w:val="18"/>
        </w:rPr>
      </w:pPr>
      <w:r w:rsidRPr="00792C07">
        <w:rPr>
          <w:sz w:val="18"/>
          <w:szCs w:val="18"/>
          <w:vertAlign w:val="superscript"/>
        </w:rPr>
        <w:footnoteRef/>
      </w:r>
      <w:r w:rsidRPr="00792C07">
        <w:rPr>
          <w:sz w:val="18"/>
          <w:szCs w:val="18"/>
          <w:vertAlign w:val="superscript"/>
        </w:rPr>
        <w:t xml:space="preserve"> </w:t>
      </w:r>
      <w:r w:rsidRPr="001D7540">
        <w:rPr>
          <w:rFonts w:eastAsia="Helvetica"/>
          <w:sz w:val="18"/>
          <w:szCs w:val="18"/>
        </w:rPr>
        <w:t>UNEP/OzL.Pro/ExCom/91/72</w:t>
      </w:r>
    </w:p>
  </w:footnote>
  <w:footnote w:id="73">
    <w:p w14:paraId="2B9FC734" w14:textId="77777777" w:rsidR="00577395" w:rsidRPr="003C484D" w:rsidRDefault="00577395" w:rsidP="00577395">
      <w:pPr>
        <w:pStyle w:val="FootnoteText"/>
      </w:pPr>
      <w:r w:rsidRPr="003C484D">
        <w:rPr>
          <w:rStyle w:val="FootnoteReference"/>
        </w:rPr>
        <w:footnoteRef/>
      </w:r>
      <w:r w:rsidRPr="003C484D">
        <w:t xml:space="preserve"> Decision 95/87 paragraph (d). UNEP/OzL.Pro/ExCom/95/94</w:t>
      </w:r>
    </w:p>
  </w:footnote>
  <w:footnote w:id="74">
    <w:p w14:paraId="5E3390E8" w14:textId="77777777" w:rsidR="00D46450" w:rsidRPr="00BC19FB" w:rsidRDefault="00D46450" w:rsidP="00D46450">
      <w:pPr>
        <w:rPr>
          <w:rFonts w:eastAsia="Helvetica"/>
          <w:i/>
          <w:sz w:val="18"/>
          <w:szCs w:val="18"/>
        </w:rPr>
      </w:pPr>
      <w:r w:rsidRPr="00792C07">
        <w:rPr>
          <w:sz w:val="18"/>
          <w:szCs w:val="18"/>
          <w:vertAlign w:val="superscript"/>
        </w:rPr>
        <w:footnoteRef/>
      </w:r>
      <w:r w:rsidRPr="00792C07">
        <w:rPr>
          <w:sz w:val="18"/>
          <w:szCs w:val="18"/>
          <w:vertAlign w:val="superscript"/>
        </w:rPr>
        <w:t xml:space="preserve"> </w:t>
      </w:r>
      <w:r w:rsidRPr="001D7540">
        <w:rPr>
          <w:rFonts w:eastAsia="Helvetica"/>
          <w:sz w:val="18"/>
          <w:szCs w:val="18"/>
        </w:rPr>
        <w:t>UNEP/OzL.Pro/ExCom/9</w:t>
      </w:r>
      <w:r>
        <w:rPr>
          <w:rFonts w:eastAsia="Helvetica"/>
          <w:sz w:val="18"/>
          <w:szCs w:val="18"/>
        </w:rPr>
        <w:t>4</w:t>
      </w:r>
      <w:r w:rsidRPr="001D7540">
        <w:rPr>
          <w:rFonts w:eastAsia="Helvetica"/>
          <w:sz w:val="18"/>
          <w:szCs w:val="18"/>
        </w:rPr>
        <w:t>/</w:t>
      </w:r>
      <w:r>
        <w:rPr>
          <w:rFonts w:eastAsia="Helvetica"/>
          <w:sz w:val="18"/>
          <w:szCs w:val="18"/>
        </w:rPr>
        <w:t>67</w:t>
      </w:r>
    </w:p>
  </w:footnote>
  <w:footnote w:id="75">
    <w:p w14:paraId="7B4B0DD0" w14:textId="77777777" w:rsidR="00D46450" w:rsidRPr="003C484D" w:rsidRDefault="00D46450" w:rsidP="00D46450">
      <w:pPr>
        <w:pStyle w:val="FootnoteText"/>
      </w:pPr>
      <w:r w:rsidRPr="003C484D">
        <w:rPr>
          <w:rStyle w:val="FootnoteReference"/>
        </w:rPr>
        <w:footnoteRef/>
      </w:r>
      <w:r w:rsidRPr="003C484D">
        <w:t xml:space="preserve"> UNEP/OzL.Pro/ExCom/95/94</w:t>
      </w:r>
    </w:p>
  </w:footnote>
  <w:footnote w:id="76">
    <w:p w14:paraId="0A616F02" w14:textId="77777777" w:rsidR="00B84EA2" w:rsidRPr="00BC19FB" w:rsidRDefault="00B84EA2" w:rsidP="00B84EA2">
      <w:pPr>
        <w:rPr>
          <w:rFonts w:eastAsia="Helvetica"/>
          <w:i/>
          <w:sz w:val="18"/>
          <w:szCs w:val="18"/>
        </w:rPr>
      </w:pPr>
      <w:r w:rsidRPr="00792C07">
        <w:rPr>
          <w:sz w:val="18"/>
          <w:szCs w:val="18"/>
          <w:vertAlign w:val="superscript"/>
        </w:rPr>
        <w:footnoteRef/>
      </w:r>
      <w:r w:rsidRPr="00792C07">
        <w:rPr>
          <w:sz w:val="18"/>
          <w:szCs w:val="18"/>
          <w:vertAlign w:val="superscript"/>
        </w:rPr>
        <w:t xml:space="preserve"> </w:t>
      </w:r>
      <w:r w:rsidRPr="001D7540">
        <w:rPr>
          <w:rFonts w:eastAsia="Helvetica"/>
          <w:sz w:val="18"/>
          <w:szCs w:val="18"/>
        </w:rPr>
        <w:t>UNEP/OzL.Pro/ExCom/9</w:t>
      </w:r>
      <w:r>
        <w:rPr>
          <w:rFonts w:eastAsia="Helvetica"/>
          <w:sz w:val="18"/>
          <w:szCs w:val="18"/>
        </w:rPr>
        <w:t>5/94</w:t>
      </w:r>
    </w:p>
  </w:footnote>
  <w:footnote w:id="77">
    <w:p w14:paraId="7845AA13" w14:textId="20B55071" w:rsidR="00A76A75" w:rsidRPr="002C0D3A" w:rsidRDefault="00A76A75">
      <w:pPr>
        <w:pStyle w:val="FootnoteText"/>
        <w:rPr>
          <w:lang w:val="en-US"/>
        </w:rPr>
      </w:pPr>
      <w:r>
        <w:rPr>
          <w:rStyle w:val="FootnoteReference"/>
        </w:rPr>
        <w:footnoteRef/>
      </w:r>
      <w:r>
        <w:t xml:space="preserve"> </w:t>
      </w:r>
      <w:r w:rsidR="00084D8C" w:rsidRPr="00084D8C">
        <w:t>UNEP/OzL.Pro/ExCom/91/72</w:t>
      </w:r>
    </w:p>
  </w:footnote>
  <w:footnote w:id="78">
    <w:p w14:paraId="4155B30F" w14:textId="2400F7D8" w:rsidR="009A0ADB" w:rsidRPr="002C0D3A" w:rsidRDefault="009A0ADB">
      <w:pPr>
        <w:pStyle w:val="FootnoteText"/>
        <w:rPr>
          <w:lang w:val="en-US"/>
        </w:rPr>
      </w:pPr>
      <w:r>
        <w:rPr>
          <w:rStyle w:val="FootnoteReference"/>
        </w:rPr>
        <w:footnoteRef/>
      </w:r>
      <w:r>
        <w:t xml:space="preserve"> </w:t>
      </w:r>
      <w:r w:rsidR="002D6C34" w:rsidRPr="002D6C34">
        <w:t>UNEP/OzL.Pro/ExCom/97/91</w:t>
      </w:r>
    </w:p>
  </w:footnote>
  <w:footnote w:id="79">
    <w:p w14:paraId="334025BD" w14:textId="14D1DEAC" w:rsidR="003C5437" w:rsidRPr="00F24869" w:rsidRDefault="003C5437">
      <w:pPr>
        <w:pStyle w:val="FootnoteText"/>
        <w:rPr>
          <w:lang w:val="en-US"/>
        </w:rPr>
      </w:pPr>
      <w:r>
        <w:rPr>
          <w:rStyle w:val="FootnoteReference"/>
        </w:rPr>
        <w:footnoteRef/>
      </w:r>
      <w:r>
        <w:t xml:space="preserve"> </w:t>
      </w:r>
      <w:r w:rsidR="005352C0">
        <w:t>Through leakage reduction/prevention during the use of RACHP equipment.</w:t>
      </w:r>
    </w:p>
  </w:footnote>
  <w:footnote w:id="80">
    <w:p w14:paraId="631BD49E" w14:textId="1A15470C" w:rsidR="00F1104C" w:rsidRPr="00F24869" w:rsidRDefault="00F1104C">
      <w:pPr>
        <w:pStyle w:val="FootnoteText"/>
        <w:rPr>
          <w:lang w:val="en-US"/>
        </w:rPr>
      </w:pPr>
      <w:r>
        <w:rPr>
          <w:rStyle w:val="FootnoteReference"/>
        </w:rPr>
        <w:footnoteRef/>
      </w:r>
      <w:r>
        <w:t xml:space="preserve"> </w:t>
      </w:r>
      <w:r w:rsidR="001374FD" w:rsidRPr="001374FD">
        <w:t>UNEP, 2024. </w:t>
      </w:r>
      <w:r w:rsidR="001374FD" w:rsidRPr="00BC19FB">
        <w:rPr>
          <w:i/>
        </w:rPr>
        <w:t>Lifecycle Refrigerant Management Task Force Report.</w:t>
      </w:r>
      <w:r w:rsidR="001374FD" w:rsidRPr="001374FD">
        <w:t> Technology and Economic Assessment Panel (TEAP). United Nations Environment Programme. </w:t>
      </w:r>
    </w:p>
  </w:footnote>
  <w:footnote w:id="81">
    <w:p w14:paraId="3129D770" w14:textId="70C7463E" w:rsidR="006908FD" w:rsidRPr="00F24869" w:rsidRDefault="006908FD">
      <w:pPr>
        <w:pStyle w:val="FootnoteText"/>
        <w:rPr>
          <w:lang w:val="en-US"/>
        </w:rPr>
      </w:pPr>
      <w:r>
        <w:rPr>
          <w:rStyle w:val="FootnoteReference"/>
        </w:rPr>
        <w:footnoteRef/>
      </w:r>
      <w:r>
        <w:t xml:space="preserve"> </w:t>
      </w:r>
      <w:r w:rsidR="00EE79D1">
        <w:t>I</w:t>
      </w:r>
      <w:r w:rsidR="00F10EB9">
        <w:t>bid.</w:t>
      </w:r>
      <w:r w:rsidRPr="006908FD">
        <w:t> </w:t>
      </w:r>
    </w:p>
  </w:footnote>
  <w:footnote w:id="82">
    <w:p w14:paraId="7A6BF95E" w14:textId="7BA3812E" w:rsidR="00186007" w:rsidRPr="00F24869" w:rsidRDefault="00186007">
      <w:pPr>
        <w:pStyle w:val="FootnoteText"/>
      </w:pPr>
      <w:r>
        <w:rPr>
          <w:rStyle w:val="FootnoteReference"/>
        </w:rPr>
        <w:footnoteRef/>
      </w:r>
      <w:r>
        <w:t xml:space="preserve"> </w:t>
      </w:r>
      <w:r w:rsidR="00103004" w:rsidRPr="00103004">
        <w:t>UNEP, 2024. </w:t>
      </w:r>
      <w:r w:rsidR="00103004" w:rsidRPr="00BC19FB">
        <w:rPr>
          <w:i/>
        </w:rPr>
        <w:t>Lifecycle Refrigerant Management Task Force Report.</w:t>
      </w:r>
      <w:r w:rsidR="00103004" w:rsidRPr="00103004">
        <w:t> Technology and Economic Assessment Panel (TEAP). United Nations Environment Programme. </w:t>
      </w:r>
    </w:p>
  </w:footnote>
  <w:footnote w:id="83">
    <w:p w14:paraId="5099A5B8" w14:textId="6208FDD2" w:rsidR="00654FCF" w:rsidRPr="00F24869" w:rsidRDefault="00654FCF">
      <w:pPr>
        <w:pStyle w:val="FootnoteText"/>
      </w:pPr>
      <w:r>
        <w:rPr>
          <w:rStyle w:val="FootnoteReference"/>
        </w:rPr>
        <w:footnoteRef/>
      </w:r>
      <w:r w:rsidRPr="00FF6080">
        <w:t xml:space="preserve"> </w:t>
      </w:r>
      <w:r w:rsidR="00ED2E21" w:rsidRPr="00FF6080">
        <w:t>Theodoridi, C.; Hillbrand, A.; Starr, C.; Mahapatra, A.; Taddonio, K. (2022). </w:t>
      </w:r>
      <w:r w:rsidR="00ED2E21" w:rsidRPr="00BC19FB">
        <w:rPr>
          <w:i/>
        </w:rPr>
        <w:t>The 90-Billion-Ton Opportunity: How Minimizing Leaks and Maximizing Reclaim Can Avoid Up to 91 Billion Tons of CO</w:t>
      </w:r>
      <w:r w:rsidR="00ED2E21" w:rsidRPr="00BC19FB">
        <w:rPr>
          <w:i/>
          <w:vertAlign w:val="subscript"/>
        </w:rPr>
        <w:t>2</w:t>
      </w:r>
      <w:r w:rsidR="00ED2E21" w:rsidRPr="00BC19FB">
        <w:rPr>
          <w:i/>
        </w:rPr>
        <w:t>-equivalent Emissions</w:t>
      </w:r>
      <w:r w:rsidR="00ED2E21" w:rsidRPr="00ED2E21">
        <w:t>; Environmental Investigation Agency (EIA): Washington, DC. </w:t>
      </w:r>
    </w:p>
  </w:footnote>
  <w:footnote w:id="84">
    <w:p w14:paraId="13DA31D7" w14:textId="29BE0714" w:rsidR="00E27007" w:rsidRPr="003318B1" w:rsidRDefault="00E27007">
      <w:pPr>
        <w:pStyle w:val="FootnoteText"/>
      </w:pPr>
      <w:r>
        <w:rPr>
          <w:rStyle w:val="FootnoteReference"/>
        </w:rPr>
        <w:footnoteRef/>
      </w:r>
      <w:r>
        <w:t xml:space="preserve"> </w:t>
      </w:r>
      <w:r w:rsidR="009B13D5" w:rsidRPr="009B13D5">
        <w:t>UNEP, 2024. </w:t>
      </w:r>
      <w:r w:rsidR="009B13D5" w:rsidRPr="00BC19FB">
        <w:rPr>
          <w:i/>
        </w:rPr>
        <w:t>Lifecycle Refrigerant Management Task Force Report.</w:t>
      </w:r>
      <w:r w:rsidR="009B13D5" w:rsidRPr="009B13D5">
        <w:t> Technology and Economic Assessment Panel (TEAP). United Nations Environment Programme. </w:t>
      </w:r>
    </w:p>
  </w:footnote>
  <w:footnote w:id="85">
    <w:p w14:paraId="381517FF" w14:textId="77777777" w:rsidR="00652575" w:rsidRPr="003318B1" w:rsidRDefault="00652575" w:rsidP="00652575">
      <w:pPr>
        <w:pStyle w:val="FootnoteText"/>
      </w:pPr>
      <w:r>
        <w:rPr>
          <w:rStyle w:val="FootnoteReference"/>
        </w:rPr>
        <w:footnoteRef/>
      </w:r>
      <w:r>
        <w:t xml:space="preserve"> </w:t>
      </w:r>
      <w:r w:rsidRPr="00AB7DB4">
        <w:t>Multilateral Fund for the Implementation of the Montreal Protocol. CP Data Center. Available at: https://www.multilateralfund.org/our-work/cp-data-center</w:t>
      </w:r>
    </w:p>
  </w:footnote>
  <w:footnote w:id="86">
    <w:p w14:paraId="1C46517A" w14:textId="77777777" w:rsidR="00652575" w:rsidRPr="003318B1" w:rsidRDefault="00652575" w:rsidP="00652575">
      <w:pPr>
        <w:pStyle w:val="FootnoteText"/>
        <w:rPr>
          <w:lang w:val="en-US"/>
        </w:rPr>
      </w:pPr>
      <w:r>
        <w:rPr>
          <w:rStyle w:val="FootnoteReference"/>
        </w:rPr>
        <w:footnoteRef/>
      </w:r>
      <w:r>
        <w:t xml:space="preserve"> </w:t>
      </w:r>
      <w:r w:rsidRPr="003318B1">
        <w:t xml:space="preserve">International Labour Organization (ILO). </w:t>
      </w:r>
      <w:r w:rsidRPr="003318B1">
        <w:rPr>
          <w:i/>
        </w:rPr>
        <w:t>Digital transformation of apprenticeships: Emerging opportunities and barriers</w:t>
      </w:r>
      <w:r w:rsidRPr="003318B1">
        <w:t xml:space="preserve">. Available at: </w:t>
      </w:r>
      <w:hyperlink r:id="rId10">
        <w:r w:rsidRPr="003318B1">
          <w:rPr>
            <w:rStyle w:val="Hyperlink"/>
            <w:lang w:val="en-US"/>
          </w:rPr>
          <w:t>https://www.ilo.org/publications/digital-transformation-apprenticeships-emerging-opportunities-and-barriers</w:t>
        </w:r>
      </w:hyperlink>
    </w:p>
  </w:footnote>
  <w:footnote w:id="87">
    <w:p w14:paraId="50B085DE" w14:textId="77777777" w:rsidR="00652575" w:rsidRPr="007D44F3" w:rsidRDefault="00652575" w:rsidP="00652575">
      <w:pPr>
        <w:pStyle w:val="FootnoteText"/>
      </w:pPr>
      <w:r>
        <w:rPr>
          <w:rStyle w:val="FootnoteReference"/>
        </w:rPr>
        <w:footnoteRef/>
      </w:r>
      <w:r>
        <w:t xml:space="preserve"> </w:t>
      </w:r>
      <w:r w:rsidRPr="007D44F3">
        <w:t xml:space="preserve">Microsoft Learn. </w:t>
      </w:r>
      <w:r w:rsidRPr="007D44F3">
        <w:rPr>
          <w:i/>
        </w:rPr>
        <w:t>Overview of Dynamics 365 Field Service 2025 release wave 1</w:t>
      </w:r>
      <w:r w:rsidRPr="007D44F3">
        <w:t>. Available at:</w:t>
      </w:r>
      <w:r w:rsidRPr="007D44F3">
        <w:rPr>
          <w:u w:val="single"/>
        </w:rPr>
        <w:t xml:space="preserve">  </w:t>
      </w:r>
      <w:hyperlink r:id="rId11">
        <w:r w:rsidRPr="007D44F3">
          <w:rPr>
            <w:rStyle w:val="Hyperlink"/>
          </w:rPr>
          <w:t>https://learn.microsoft.com/en-us/dynamics365/release-plan/2025wave1/service/dynamics365-field-service/</w:t>
        </w:r>
      </w:hyperlink>
      <w:r w:rsidRPr="007D44F3">
        <w:t xml:space="preserve"> </w:t>
      </w:r>
    </w:p>
    <w:p w14:paraId="1F0C799B" w14:textId="77777777" w:rsidR="00652575" w:rsidRPr="007D44F3" w:rsidRDefault="00652575" w:rsidP="00652575">
      <w:pPr>
        <w:pStyle w:val="FootnoteText"/>
      </w:pPr>
    </w:p>
  </w:footnote>
  <w:footnote w:id="88">
    <w:p w14:paraId="60E5B749" w14:textId="097127DF" w:rsidR="6FA71381" w:rsidRDefault="6FA71381" w:rsidP="6FA71381">
      <w:pPr>
        <w:spacing w:after="160" w:line="276" w:lineRule="auto"/>
        <w:rPr>
          <w:rFonts w:ascii="Aptos" w:eastAsia="Aptos" w:hAnsi="Aptos" w:cs="Aptos"/>
          <w:sz w:val="24"/>
          <w:szCs w:val="24"/>
          <w:lang w:val="en-US"/>
        </w:rPr>
      </w:pPr>
      <w:r w:rsidRPr="01D8761E">
        <w:rPr>
          <w:rFonts w:asciiTheme="minorHAnsi" w:eastAsiaTheme="minorEastAsia" w:hAnsiTheme="minorHAnsi" w:cstheme="minorBidi"/>
          <w:sz w:val="18"/>
          <w:szCs w:val="18"/>
        </w:rPr>
        <w:footnoteRef/>
      </w:r>
      <w:r w:rsidRPr="007D44F3">
        <w:rPr>
          <w:rFonts w:asciiTheme="minorHAnsi" w:eastAsiaTheme="minorEastAsia" w:hAnsiTheme="minorHAnsi" w:cstheme="minorBidi"/>
          <w:sz w:val="18"/>
          <w:szCs w:val="18"/>
        </w:rPr>
        <w:t xml:space="preserve"> </w:t>
      </w:r>
      <w:r w:rsidRPr="007D44F3">
        <w:rPr>
          <w:rFonts w:asciiTheme="minorHAnsi" w:eastAsiaTheme="minorEastAsia" w:hAnsiTheme="minorHAnsi" w:cstheme="minorBidi"/>
          <w:sz w:val="18"/>
          <w:szCs w:val="18"/>
          <w:lang w:val="en-US"/>
        </w:rPr>
        <w:t xml:space="preserve">Copeland. </w:t>
      </w:r>
      <w:hyperlink r:id="rId12" w:history="1">
        <w:r w:rsidRPr="007D44F3">
          <w:rPr>
            <w:rFonts w:asciiTheme="minorHAnsi" w:eastAsiaTheme="minorEastAsia" w:hAnsiTheme="minorHAnsi" w:cstheme="minorBidi"/>
            <w:sz w:val="18"/>
            <w:szCs w:val="18"/>
          </w:rPr>
          <w:t>HVAC Compressor Electronics for Commercial Applications | Copeland US</w:t>
        </w:r>
      </w:hyperlink>
    </w:p>
    <w:p w14:paraId="0156C7FC" w14:textId="081D8D24" w:rsidR="6FA71381" w:rsidRDefault="6FA71381" w:rsidP="6FA71381"/>
  </w:footnote>
  <w:footnote w:id="89">
    <w:p w14:paraId="02DD6431" w14:textId="4F47C851" w:rsidR="6FA71381" w:rsidRPr="003318B1" w:rsidRDefault="6FA71381" w:rsidP="003318B1">
      <w:pPr>
        <w:spacing w:after="160" w:line="276" w:lineRule="auto"/>
        <w:rPr>
          <w:rFonts w:eastAsia="Aptos"/>
          <w:sz w:val="24"/>
          <w:szCs w:val="24"/>
          <w:lang w:val="en-US"/>
        </w:rPr>
      </w:pPr>
      <w:r w:rsidRPr="003318B1">
        <w:rPr>
          <w:rFonts w:eastAsiaTheme="minorEastAsia"/>
          <w:sz w:val="18"/>
          <w:szCs w:val="18"/>
          <w:vertAlign w:val="superscript"/>
        </w:rPr>
        <w:footnoteRef/>
      </w:r>
      <w:r w:rsidRPr="003318B1">
        <w:rPr>
          <w:rFonts w:eastAsiaTheme="minorEastAsia"/>
          <w:sz w:val="18"/>
          <w:szCs w:val="18"/>
          <w:lang w:val="en-US"/>
        </w:rPr>
        <w:t xml:space="preserve">Danfoss. Optimised food safety, unsurpassed energy savings. Available at: </w:t>
      </w:r>
      <w:hyperlink r:id="rId13" w:history="1">
        <w:r w:rsidRPr="003318B1">
          <w:rPr>
            <w:rFonts w:eastAsiaTheme="minorEastAsia"/>
            <w:sz w:val="18"/>
            <w:szCs w:val="18"/>
            <w:lang w:val="en-US"/>
          </w:rPr>
          <w:t>https://assets.danfoss.com/documents/latest/95197/AD138986428387en-020201.pdf</w:t>
        </w:r>
      </w:hyperlink>
    </w:p>
  </w:footnote>
  <w:footnote w:id="90">
    <w:p w14:paraId="136D5E18" w14:textId="48621B32" w:rsidR="6FA71381" w:rsidRPr="003318B1" w:rsidRDefault="6FA71381" w:rsidP="6FA71381">
      <w:pPr>
        <w:spacing w:after="160" w:line="276" w:lineRule="auto"/>
        <w:rPr>
          <w:rFonts w:eastAsiaTheme="minorEastAsia"/>
          <w:sz w:val="18"/>
          <w:szCs w:val="18"/>
          <w:lang w:val="en-US"/>
        </w:rPr>
      </w:pPr>
      <w:r w:rsidRPr="003318B1">
        <w:rPr>
          <w:rFonts w:eastAsiaTheme="minorEastAsia"/>
          <w:sz w:val="18"/>
          <w:szCs w:val="18"/>
          <w:vertAlign w:val="superscript"/>
        </w:rPr>
        <w:footnoteRef/>
      </w:r>
      <w:r w:rsidRPr="003318B1">
        <w:rPr>
          <w:rFonts w:eastAsiaTheme="minorEastAsia"/>
          <w:sz w:val="18"/>
          <w:szCs w:val="18"/>
        </w:rPr>
        <w:t xml:space="preserve"> </w:t>
      </w:r>
      <w:r w:rsidRPr="003318B1">
        <w:rPr>
          <w:rFonts w:eastAsiaTheme="minorEastAsia"/>
          <w:sz w:val="18"/>
          <w:szCs w:val="18"/>
          <w:lang w:val="en-US"/>
        </w:rPr>
        <w:t xml:space="preserve">Copeland.  </w:t>
      </w:r>
      <w:hyperlink r:id="rId14" w:history="1">
        <w:r w:rsidRPr="003318B1">
          <w:rPr>
            <w:rFonts w:eastAsiaTheme="minorEastAsia"/>
            <w:sz w:val="18"/>
            <w:szCs w:val="18"/>
          </w:rPr>
          <w:t>Distribution Center Improves Food Safety and Quality_AFS.CS.Rev1.0418_Digital Copy.pdf</w:t>
        </w:r>
      </w:hyperlink>
    </w:p>
    <w:p w14:paraId="33B173DF" w14:textId="7D6573AA" w:rsidR="6FA71381" w:rsidRDefault="6FA71381" w:rsidP="0F79D5B9">
      <w:pPr>
        <w:spacing w:after="160" w:line="276" w:lineRule="auto"/>
        <w:rPr>
          <w:rFonts w:eastAsiaTheme="minorEastAsia"/>
        </w:rPr>
      </w:pPr>
    </w:p>
  </w:footnote>
  <w:footnote w:id="91">
    <w:p w14:paraId="2A6ADAC2" w14:textId="264EDC29" w:rsidR="00FD42BE" w:rsidRPr="009F1266" w:rsidRDefault="00C36FDE">
      <w:pPr>
        <w:pStyle w:val="FootnoteText"/>
      </w:pPr>
      <w:r>
        <w:rPr>
          <w:rStyle w:val="FootnoteReference"/>
        </w:rPr>
        <w:footnoteRef/>
      </w:r>
      <w:r>
        <w:t xml:space="preserve"> </w:t>
      </w:r>
      <w:hyperlink r:id="rId15" w:history="1">
        <w:r w:rsidR="00FD42BE" w:rsidRPr="001F1892">
          <w:rPr>
            <w:rStyle w:val="Hyperlink"/>
          </w:rPr>
          <w:t>https://sprinto.com/blog/grc-pricing/</w:t>
        </w:r>
      </w:hyperlink>
    </w:p>
  </w:footnote>
  <w:footnote w:id="92">
    <w:p w14:paraId="35781EF4" w14:textId="3B9751CE" w:rsidR="000C63A1" w:rsidRPr="009F1266" w:rsidRDefault="009C3738">
      <w:pPr>
        <w:pStyle w:val="FootnoteText"/>
      </w:pPr>
      <w:r>
        <w:rPr>
          <w:rStyle w:val="FootnoteReference"/>
        </w:rPr>
        <w:footnoteRef/>
      </w:r>
      <w:r>
        <w:t xml:space="preserve"> </w:t>
      </w:r>
      <w:r w:rsidRPr="009C3738">
        <w:t>https://buildops.com/resources/field-service-software-pricing/</w:t>
      </w:r>
    </w:p>
  </w:footnote>
  <w:footnote w:id="93">
    <w:p w14:paraId="3784AC15" w14:textId="1B4885A2" w:rsidR="000C63A1" w:rsidRPr="009F1266" w:rsidRDefault="000C63A1">
      <w:pPr>
        <w:pStyle w:val="FootnoteText"/>
        <w:rPr>
          <w:lang w:val="en-US"/>
        </w:rPr>
      </w:pPr>
      <w:r>
        <w:rPr>
          <w:rStyle w:val="FootnoteReference"/>
        </w:rPr>
        <w:footnoteRef/>
      </w:r>
      <w:r>
        <w:t xml:space="preserve"> </w:t>
      </w:r>
      <w:r w:rsidRPr="000C63A1">
        <w:t>https://fieldservicepro.io/blog/cost-of-field-service-management-software/</w:t>
      </w:r>
    </w:p>
  </w:footnote>
  <w:footnote w:id="94">
    <w:p w14:paraId="1B54FA3F" w14:textId="5A1FA21A" w:rsidR="009F1266" w:rsidRPr="009F1266" w:rsidRDefault="009F1266">
      <w:pPr>
        <w:pStyle w:val="FootnoteText"/>
        <w:rPr>
          <w:lang w:val="en-US"/>
        </w:rPr>
      </w:pPr>
      <w:r>
        <w:rPr>
          <w:rStyle w:val="FootnoteReference"/>
        </w:rPr>
        <w:footnoteRef/>
      </w:r>
      <w:r>
        <w:t xml:space="preserve"> </w:t>
      </w:r>
      <w:r w:rsidRPr="009F1266">
        <w:t>https://www.getmonetizely.com/articles/how-much-does-iot-integration-cost-breaking-down-pricing-for-connected-devices</w:t>
      </w:r>
    </w:p>
  </w:footnote>
  <w:footnote w:id="95">
    <w:p w14:paraId="40EB44F4" w14:textId="77777777" w:rsidR="008F6C27" w:rsidRPr="00496BD6" w:rsidRDefault="008F6C27" w:rsidP="008F6C27">
      <w:pPr>
        <w:pStyle w:val="FootnoteText"/>
      </w:pPr>
      <w:r w:rsidRPr="00496BD6">
        <w:rPr>
          <w:rStyle w:val="FootnoteReference"/>
        </w:rPr>
        <w:footnoteRef/>
      </w:r>
      <w:r w:rsidRPr="00496BD6">
        <w:t xml:space="preserve"> Montzka, S. </w:t>
      </w:r>
      <w:r w:rsidRPr="00BC19FB">
        <w:rPr>
          <w:i/>
        </w:rPr>
        <w:t>et al.,</w:t>
      </w:r>
      <w:r w:rsidRPr="00496BD6">
        <w:t xml:space="preserve"> An unexpected and persistent increase in global emissions of ozone-depleting CFC-11</w:t>
      </w:r>
      <w:r>
        <w:t>,</w:t>
      </w:r>
      <w:r w:rsidRPr="00496BD6">
        <w:t> </w:t>
      </w:r>
      <w:r w:rsidRPr="00BC19FB">
        <w:rPr>
          <w:i/>
        </w:rPr>
        <w:t>Nature</w:t>
      </w:r>
      <w:r w:rsidRPr="00496BD6">
        <w:t xml:space="preserve">, </w:t>
      </w:r>
      <w:r>
        <w:t xml:space="preserve">2018, </w:t>
      </w:r>
      <w:r w:rsidRPr="00BC19FB">
        <w:rPr>
          <w:b/>
        </w:rPr>
        <w:t>557</w:t>
      </w:r>
      <w:r w:rsidRPr="00496BD6">
        <w:t xml:space="preserve">, 413-417. </w:t>
      </w:r>
      <w:hyperlink r:id="rId16" w:history="1">
        <w:r w:rsidRPr="00BA2EF3">
          <w:rPr>
            <w:rStyle w:val="Hyperlink"/>
          </w:rPr>
          <w:t>https://doi.org/10.1038/s41586-018-0106-2</w:t>
        </w:r>
      </w:hyperlink>
    </w:p>
  </w:footnote>
  <w:footnote w:id="96">
    <w:p w14:paraId="2AA96ACC" w14:textId="5B05E384" w:rsidR="00E93558" w:rsidRDefault="00E93558" w:rsidP="00E93558">
      <w:pPr>
        <w:pStyle w:val="FootnoteText"/>
      </w:pPr>
      <w:r>
        <w:rPr>
          <w:rStyle w:val="FootnoteReference"/>
        </w:rPr>
        <w:footnoteRef/>
      </w:r>
      <w:r>
        <w:t xml:space="preserve"> </w:t>
      </w:r>
      <w:r w:rsidRPr="00C62B29">
        <w:t>UNEP/OzL.Pro.WG.1/47/2/Add.1</w:t>
      </w:r>
      <w:r>
        <w:t xml:space="preserve">, paras. 54-64. </w:t>
      </w:r>
      <w:hyperlink r:id="rId17" w:history="1">
        <w:r w:rsidRPr="00BA2EF3">
          <w:rPr>
            <w:rStyle w:val="Hyperlink"/>
          </w:rPr>
          <w:t>https://ozone.unep.org/system/files/documents/OEWG-47-2-Add-1E.pdf</w:t>
        </w:r>
      </w:hyperlink>
    </w:p>
  </w:footnote>
  <w:footnote w:id="97">
    <w:p w14:paraId="4072D11A" w14:textId="2BC0521B" w:rsidR="00E93558" w:rsidRPr="00927DEC" w:rsidRDefault="00E93558" w:rsidP="00E93558">
      <w:pPr>
        <w:pStyle w:val="FootnoteText"/>
        <w:rPr>
          <w:lang w:val="pt-BR"/>
        </w:rPr>
      </w:pPr>
      <w:r>
        <w:rPr>
          <w:rStyle w:val="FootnoteReference"/>
        </w:rPr>
        <w:footnoteRef/>
      </w:r>
      <w:r w:rsidRPr="002135B0">
        <w:rPr>
          <w:lang w:val="pt-BR"/>
        </w:rPr>
        <w:t xml:space="preserve"> UNEP/OzL.Pro.WG.1/47/2, paras. 25-40. </w:t>
      </w:r>
      <w:hyperlink r:id="rId18" w:history="1">
        <w:r w:rsidR="00552BE2" w:rsidRPr="00927DEC">
          <w:rPr>
            <w:rStyle w:val="Hyperlink"/>
            <w:lang w:val="pt-BR"/>
          </w:rPr>
          <w:t>https://ozone.unep.org/system/files/documents/OEWG-47-2E.pdf</w:t>
        </w:r>
      </w:hyperlink>
    </w:p>
  </w:footnote>
  <w:footnote w:id="98">
    <w:p w14:paraId="0FCCA6BE" w14:textId="77777777" w:rsidR="00E93558" w:rsidRPr="002135B0" w:rsidRDefault="00E93558" w:rsidP="00E93558">
      <w:pPr>
        <w:pStyle w:val="FootnoteText"/>
        <w:rPr>
          <w:lang w:val="pt-BR"/>
        </w:rPr>
      </w:pPr>
      <w:r>
        <w:rPr>
          <w:rStyle w:val="FootnoteReference"/>
        </w:rPr>
        <w:footnoteRef/>
      </w:r>
      <w:r w:rsidRPr="002135B0">
        <w:rPr>
          <w:lang w:val="pt-BR"/>
        </w:rPr>
        <w:t xml:space="preserve"> UNEP/OzL.Pro.37/2/Add.1, paras. 20-60. </w:t>
      </w:r>
      <w:hyperlink r:id="rId19" w:history="1">
        <w:r w:rsidRPr="002135B0">
          <w:rPr>
            <w:rStyle w:val="Hyperlink"/>
            <w:lang w:val="pt-BR"/>
          </w:rPr>
          <w:t>https://ozone.unep.org/system/files/documents/MOP-37-2-Add-1E.pdf</w:t>
        </w:r>
      </w:hyperlink>
    </w:p>
  </w:footnote>
  <w:footnote w:id="99">
    <w:p w14:paraId="392587C3" w14:textId="77777777" w:rsidR="00E93558" w:rsidRPr="00F533E0" w:rsidRDefault="00E93558" w:rsidP="00E93558">
      <w:pPr>
        <w:pStyle w:val="FootnoteText"/>
        <w:rPr>
          <w:lang w:val="en-GB"/>
        </w:rPr>
      </w:pPr>
      <w:r>
        <w:rPr>
          <w:rStyle w:val="FootnoteReference"/>
        </w:rPr>
        <w:footnoteRef/>
      </w:r>
      <w:r w:rsidRPr="002135B0">
        <w:rPr>
          <w:lang w:val="pt-BR"/>
        </w:rPr>
        <w:t xml:space="preserve"> UNEP/OzL.Pro.37/INF/6. </w:t>
      </w:r>
      <w:hyperlink r:id="rId20" w:history="1">
        <w:r w:rsidRPr="00F533E0">
          <w:rPr>
            <w:rStyle w:val="Hyperlink"/>
            <w:lang w:val="en-GB"/>
          </w:rPr>
          <w:t>https://ozone.unep.org/system/files/documents/MOP-37-INF-6.pdf</w:t>
        </w:r>
      </w:hyperlink>
    </w:p>
    <w:p w14:paraId="6FD61B47" w14:textId="77777777" w:rsidR="00E93558" w:rsidRPr="00F533E0" w:rsidRDefault="00E93558" w:rsidP="00E93558">
      <w:pPr>
        <w:pStyle w:val="FootnoteText"/>
        <w:rPr>
          <w:lang w:val="en-GB"/>
        </w:rPr>
      </w:pPr>
    </w:p>
  </w:footnote>
  <w:footnote w:id="100">
    <w:p w14:paraId="7AE01423" w14:textId="27FB5522" w:rsidR="00E93558" w:rsidRPr="00F63EB0" w:rsidRDefault="00E93558" w:rsidP="00E93558">
      <w:pPr>
        <w:pStyle w:val="FootnoteText"/>
      </w:pPr>
      <w:r>
        <w:rPr>
          <w:rStyle w:val="FootnoteReference"/>
        </w:rPr>
        <w:footnoteRef/>
      </w:r>
      <w:r w:rsidRPr="00F63EB0">
        <w:t xml:space="preserve"> UNEP/OzL.Pro.37/2/Add.1, paras. 20-60. </w:t>
      </w:r>
      <w:hyperlink r:id="rId21" w:history="1">
        <w:r w:rsidRPr="00F63EB0">
          <w:rPr>
            <w:rStyle w:val="Hyperlink"/>
          </w:rPr>
          <w:t>https://ozone.unep.org/system/files/documents/MOP-37-2-Add-1E.pdf</w:t>
        </w:r>
      </w:hyperlink>
    </w:p>
  </w:footnote>
  <w:footnote w:id="101">
    <w:p w14:paraId="794573DF" w14:textId="3C7E4B79" w:rsidR="00E93558" w:rsidRPr="00F63EB0" w:rsidRDefault="00E93558" w:rsidP="00E93558">
      <w:pPr>
        <w:pStyle w:val="FootnoteText"/>
      </w:pPr>
      <w:r>
        <w:rPr>
          <w:rStyle w:val="FootnoteReference"/>
        </w:rPr>
        <w:footnoteRef/>
      </w:r>
      <w:r w:rsidRPr="00F63EB0">
        <w:t xml:space="preserve"> </w:t>
      </w:r>
      <w:hyperlink r:id="rId22" w:history="1">
        <w:r w:rsidRPr="00F63EB0">
          <w:rPr>
            <w:rStyle w:val="Hyperlink"/>
          </w:rPr>
          <w:t>https://ozone.unep.org/system/files/documents/MOP37-agenda-item6-presentation.pdf</w:t>
        </w:r>
      </w:hyperlink>
    </w:p>
  </w:footnote>
  <w:footnote w:id="102">
    <w:p w14:paraId="787B3A3B" w14:textId="77777777" w:rsidR="00E93558" w:rsidRDefault="00E93558" w:rsidP="00E93558">
      <w:pPr>
        <w:pStyle w:val="FootnoteText"/>
      </w:pPr>
      <w:r>
        <w:rPr>
          <w:rStyle w:val="FootnoteReference"/>
        </w:rPr>
        <w:footnoteRef/>
      </w:r>
      <w:r w:rsidRPr="002135B0">
        <w:rPr>
          <w:lang w:val="pt-BR"/>
        </w:rPr>
        <w:t xml:space="preserve"> UNEP/OzL.Pro/ExCom/95/94, paras. </w:t>
      </w:r>
      <w:r>
        <w:t xml:space="preserve">444 and 445. </w:t>
      </w:r>
      <w:hyperlink r:id="rId23" w:history="1">
        <w:r w:rsidRPr="00BA2EF3">
          <w:rPr>
            <w:rStyle w:val="Hyperlink"/>
          </w:rPr>
          <w:t>https://www.multilateralfund.org/api/drupal-documents/download/file/b2acd4ea-c2d0-4fc2-9311-0602f425ba06?filename=9594.pdf</w:t>
        </w:r>
      </w:hyperlink>
    </w:p>
  </w:footnote>
  <w:footnote w:id="103">
    <w:p w14:paraId="2A75D75B" w14:textId="77777777" w:rsidR="00E93558" w:rsidRPr="00927DEC" w:rsidRDefault="00E93558" w:rsidP="00E93558">
      <w:pPr>
        <w:pStyle w:val="FootnoteText"/>
        <w:rPr>
          <w:lang w:val="pt-BR"/>
        </w:rPr>
      </w:pPr>
      <w:r>
        <w:rPr>
          <w:rStyle w:val="FootnoteReference"/>
        </w:rPr>
        <w:footnoteRef/>
      </w:r>
      <w:r w:rsidRPr="002135B0">
        <w:rPr>
          <w:lang w:val="pt-BR"/>
        </w:rPr>
        <w:t xml:space="preserve"> UNEP/OzL.Pro/ExCom/96/62. </w:t>
      </w:r>
      <w:hyperlink r:id="rId24" w:history="1">
        <w:r w:rsidRPr="00927DEC">
          <w:rPr>
            <w:rStyle w:val="Hyperlink"/>
            <w:lang w:val="pt-BR"/>
          </w:rPr>
          <w:t>https://www.multilateralfund.org/api/drupal-documents/download/file/b745fd1a-eaa4-48f4-bbb2-ccada7b8aa17?filename=9662.pdf</w:t>
        </w:r>
      </w:hyperlink>
    </w:p>
    <w:p w14:paraId="05D38385" w14:textId="77777777" w:rsidR="00E93558" w:rsidRPr="00927DEC" w:rsidRDefault="00E93558" w:rsidP="00E93558">
      <w:pPr>
        <w:pStyle w:val="FootnoteText"/>
        <w:rPr>
          <w:lang w:val="pt-BR"/>
        </w:rPr>
      </w:pPr>
    </w:p>
  </w:footnote>
  <w:footnote w:id="104">
    <w:p w14:paraId="1E694768" w14:textId="77777777" w:rsidR="00E93558" w:rsidRPr="00927DEC" w:rsidRDefault="00E93558" w:rsidP="00E93558">
      <w:pPr>
        <w:pStyle w:val="FootnoteText"/>
        <w:rPr>
          <w:lang w:val="pt-BR"/>
        </w:rPr>
      </w:pPr>
      <w:r>
        <w:rPr>
          <w:rStyle w:val="FootnoteReference"/>
        </w:rPr>
        <w:footnoteRef/>
      </w:r>
      <w:r w:rsidRPr="002135B0">
        <w:rPr>
          <w:lang w:val="pt-BR"/>
        </w:rPr>
        <w:t xml:space="preserve"> UNEP/OzL.Pro/ExCom/96/66, paras. 284-300. </w:t>
      </w:r>
      <w:hyperlink r:id="rId25" w:history="1">
        <w:r w:rsidRPr="00927DEC">
          <w:rPr>
            <w:rStyle w:val="Hyperlink"/>
            <w:lang w:val="pt-BR"/>
          </w:rPr>
          <w:t>https://www.multilateralfund.org/api/drupal-documents/download/file/e68ad11a-f7c4-489c-ad51-cf948c61614e?filename=9666.pdf</w:t>
        </w:r>
      </w:hyperlink>
    </w:p>
    <w:p w14:paraId="47E51C33" w14:textId="77777777" w:rsidR="00E93558" w:rsidRPr="00927DEC" w:rsidRDefault="00E93558" w:rsidP="00E93558">
      <w:pPr>
        <w:pStyle w:val="FootnoteText"/>
        <w:rPr>
          <w:lang w:val="pt-BR"/>
        </w:rPr>
      </w:pPr>
    </w:p>
  </w:footnote>
  <w:footnote w:id="105">
    <w:p w14:paraId="3B77ABF1" w14:textId="77777777" w:rsidR="00E93558" w:rsidRDefault="00E93558" w:rsidP="00E93558">
      <w:pPr>
        <w:pStyle w:val="FootnoteText"/>
      </w:pPr>
      <w:r>
        <w:rPr>
          <w:rStyle w:val="FootnoteReference"/>
        </w:rPr>
        <w:footnoteRef/>
      </w:r>
      <w:r>
        <w:t xml:space="preserve"> </w:t>
      </w:r>
      <w:r w:rsidRPr="00F70B97">
        <w:t>UNEP/OzL.Pro/ExCom/96/62</w:t>
      </w:r>
      <w:r>
        <w:t xml:space="preserve">. </w:t>
      </w:r>
      <w:hyperlink r:id="rId26" w:history="1">
        <w:r w:rsidRPr="00BA2EF3">
          <w:rPr>
            <w:rStyle w:val="Hyperlink"/>
          </w:rPr>
          <w:t>https://www.multilateralfund.org/api/drupal-documents/download/file/b745fd1a-eaa4-48f4-bbb2-ccada7b8aa17?filename=9662.pdf</w:t>
        </w:r>
      </w:hyperlink>
    </w:p>
    <w:p w14:paraId="790C071A" w14:textId="77777777" w:rsidR="00E93558" w:rsidRDefault="00E93558" w:rsidP="00E93558">
      <w:pPr>
        <w:pStyle w:val="FootnoteText"/>
      </w:pPr>
    </w:p>
  </w:footnote>
  <w:footnote w:id="106">
    <w:p w14:paraId="6E988363" w14:textId="5F282B94" w:rsidR="004812BA" w:rsidRPr="00835DC2" w:rsidRDefault="004812BA" w:rsidP="004812BA">
      <w:pPr>
        <w:pStyle w:val="FootnoteText"/>
      </w:pPr>
    </w:p>
  </w:footnote>
  <w:footnote w:id="107">
    <w:p w14:paraId="6BF55257" w14:textId="77777777" w:rsidR="004812BA" w:rsidRPr="004D6C0E" w:rsidRDefault="004812BA" w:rsidP="004812BA">
      <w:pPr>
        <w:rPr>
          <w:sz w:val="18"/>
          <w:szCs w:val="18"/>
        </w:rPr>
      </w:pPr>
      <w:r w:rsidRPr="004D6C0E">
        <w:rPr>
          <w:sz w:val="18"/>
          <w:szCs w:val="18"/>
          <w:vertAlign w:val="superscript"/>
        </w:rPr>
        <w:footnoteRef/>
      </w:r>
      <w:r w:rsidRPr="004D6C0E">
        <w:rPr>
          <w:sz w:val="18"/>
          <w:szCs w:val="18"/>
        </w:rPr>
        <w:t xml:space="preserve"> Real GDP growth (Annual percent change) per the International Monetary Fund (IMF) by nationhttps://www.imf.org/external/datamapper/NGDP_RPCH@WEO/OEMDC/ADVEC/WEOWORLD  </w:t>
      </w:r>
    </w:p>
  </w:footnote>
  <w:footnote w:id="108">
    <w:p w14:paraId="38891F6C" w14:textId="77777777" w:rsidR="005F6209" w:rsidRPr="009A7967" w:rsidRDefault="005F6209" w:rsidP="005F6209">
      <w:pPr>
        <w:pStyle w:val="FootnoteText"/>
      </w:pPr>
      <w:r w:rsidRPr="000152E8">
        <w:rPr>
          <w:rStyle w:val="FootnoteReference"/>
        </w:rPr>
        <w:footnoteRef/>
      </w:r>
      <w:r w:rsidRPr="000152E8">
        <w:t xml:space="preserve"> </w:t>
      </w:r>
      <w:r w:rsidRPr="009A7967">
        <w:t xml:space="preserve">The </w:t>
      </w:r>
      <w:hyperlink r:id="rId27" w:history="1">
        <w:r w:rsidRPr="009A7967">
          <w:rPr>
            <w:rStyle w:val="Hyperlink"/>
          </w:rPr>
          <w:t>International Monetary Fund (IMF)</w:t>
        </w:r>
      </w:hyperlink>
      <w:r w:rsidRPr="009A7967">
        <w:t xml:space="preserve"> 2022 Report provides data to estimate growth rates by country in Gross Domestic Product (GDP) annually. Available at: </w:t>
      </w:r>
      <w:hyperlink r:id="rId28" w:history="1">
        <w:r w:rsidRPr="009A7967">
          <w:rPr>
            <w:rStyle w:val="Hyperlink"/>
          </w:rPr>
          <w:t>https://www.imf.org/external/datamapper/NGDP_RPCH@WEO/OEMDC/ADVEC/WEOWORLD</w:t>
        </w:r>
      </w:hyperlink>
    </w:p>
    <w:p w14:paraId="7F874A33" w14:textId="77777777" w:rsidR="005F6209" w:rsidRPr="009A7967" w:rsidRDefault="005F6209" w:rsidP="005F6209">
      <w:pPr>
        <w:pStyle w:val="FootnoteText"/>
      </w:pPr>
    </w:p>
  </w:footnote>
  <w:footnote w:id="109">
    <w:p w14:paraId="29147E98" w14:textId="77777777" w:rsidR="00AD5185" w:rsidRDefault="00AD5185" w:rsidP="00AD5185">
      <w:pPr>
        <w:pStyle w:val="FootnoteText"/>
      </w:pPr>
      <w:r>
        <w:rPr>
          <w:rStyle w:val="FootnoteReference"/>
        </w:rPr>
        <w:footnoteRef/>
      </w:r>
      <w:r>
        <w:t xml:space="preserve"> UNEP, </w:t>
      </w:r>
      <w:r w:rsidRPr="00BC19FB">
        <w:rPr>
          <w:i/>
        </w:rPr>
        <w:t>Decision XXX/3 TEAP Task Force Report on Unexpected Emissions of CFC-11</w:t>
      </w:r>
      <w:r>
        <w:t xml:space="preserve">, May 2019. </w:t>
      </w:r>
      <w:hyperlink r:id="rId29" w:history="1">
        <w:r w:rsidRPr="00BA2EF3">
          <w:rPr>
            <w:rStyle w:val="Hyperlink"/>
          </w:rPr>
          <w:t>https://ozone.unep.org/sites/default/files/2020-07/TEAP_Task_Force_Dec_XXX-3_on_Unexpected_CFC-11_Emissions_May_2019.pdf</w:t>
        </w:r>
      </w:hyperlink>
    </w:p>
  </w:footnote>
  <w:footnote w:id="110">
    <w:p w14:paraId="2470E2B8" w14:textId="3E72853D" w:rsidR="00AD5185" w:rsidRDefault="00AD5185" w:rsidP="00AD5185">
      <w:pPr>
        <w:pStyle w:val="FootnoteText"/>
      </w:pPr>
      <w:r>
        <w:rPr>
          <w:rStyle w:val="FootnoteReference"/>
        </w:rPr>
        <w:footnoteRef/>
      </w:r>
      <w:r>
        <w:t xml:space="preserve"> UNEP, </w:t>
      </w:r>
      <w:r w:rsidRPr="00BC19FB">
        <w:rPr>
          <w:i/>
        </w:rPr>
        <w:t>Decision XXX/3 TEAP Task Force Report on Unexpected Emissions of CFC-11 – Final Report</w:t>
      </w:r>
      <w:r>
        <w:t xml:space="preserve">, September 2019. </w:t>
      </w:r>
      <w:hyperlink r:id="rId30" w:history="1">
        <w:r w:rsidRPr="00BA2EF3">
          <w:rPr>
            <w:rStyle w:val="Hyperlink"/>
          </w:rPr>
          <w:t>https://ozone.unep.org/system/files/documents/TEAP-TF-DecXXX-3-unexpected_CFC11_emissions-september2019.pdf</w:t>
        </w:r>
      </w:hyperlink>
    </w:p>
  </w:footnote>
  <w:footnote w:id="111">
    <w:p w14:paraId="19B6723B" w14:textId="77777777" w:rsidR="00AD5185" w:rsidRPr="00A82B87" w:rsidRDefault="00AD5185" w:rsidP="00AD5185">
      <w:pPr>
        <w:pStyle w:val="FootnoteText"/>
        <w:rPr>
          <w:lang w:val="de-AT"/>
        </w:rPr>
      </w:pPr>
      <w:r>
        <w:rPr>
          <w:rStyle w:val="FootnoteReference"/>
        </w:rPr>
        <w:footnoteRef/>
      </w:r>
      <w:r>
        <w:t xml:space="preserve"> </w:t>
      </w:r>
      <w:r w:rsidRPr="004F3924">
        <w:t>WMO. (20</w:t>
      </w:r>
      <w:r>
        <w:t>19</w:t>
      </w:r>
      <w:r w:rsidRPr="004F3924">
        <w:t>). </w:t>
      </w:r>
      <w:r w:rsidRPr="00BC19FB">
        <w:rPr>
          <w:i/>
        </w:rPr>
        <w:t xml:space="preserve">Report on the Unexpected Emissions of CFC-11 </w:t>
      </w:r>
      <w:r w:rsidRPr="004F3924">
        <w:t>(</w:t>
      </w:r>
      <w:r>
        <w:t>WMO</w:t>
      </w:r>
      <w:r w:rsidRPr="004F3924">
        <w:t xml:space="preserve"> No. </w:t>
      </w:r>
      <w:r>
        <w:t>1268</w:t>
      </w:r>
      <w:r w:rsidRPr="004F3924">
        <w:t xml:space="preserve">). </w:t>
      </w:r>
      <w:r w:rsidRPr="00835DC2">
        <w:rPr>
          <w:lang w:val="de-DE"/>
        </w:rPr>
        <w:t xml:space="preserve">Geneva, Switzerland. </w:t>
      </w:r>
      <w:hyperlink r:id="rId31" w:history="1">
        <w:r w:rsidRPr="00C05E04">
          <w:rPr>
            <w:rStyle w:val="Hyperlink"/>
            <w:lang w:val="de-AT"/>
          </w:rPr>
          <w:t>https://ozone.unep.org/system/files/documents/SAP-2021-report-on-the-unexpected-emissions-of-CFC-11-1268_en.pdf</w:t>
        </w:r>
      </w:hyperlink>
    </w:p>
  </w:footnote>
  <w:footnote w:id="112">
    <w:p w14:paraId="0748FC8E" w14:textId="77777777" w:rsidR="00AD5185" w:rsidRDefault="00AD5185" w:rsidP="00AD5185">
      <w:pPr>
        <w:pStyle w:val="FootnoteText"/>
      </w:pPr>
      <w:r>
        <w:rPr>
          <w:rStyle w:val="FootnoteReference"/>
        </w:rPr>
        <w:footnoteRef/>
      </w:r>
      <w:r>
        <w:t xml:space="preserve"> UNEP, </w:t>
      </w:r>
      <w:r w:rsidRPr="00BC19FB">
        <w:rPr>
          <w:i/>
        </w:rPr>
        <w:t>Decision XXXI/3 TEAP Task Force Report on Unexpected Emissions of Trichlorofluoromethane (CFC-11)</w:t>
      </w:r>
      <w:r>
        <w:t xml:space="preserve">, May 2021. </w:t>
      </w:r>
      <w:hyperlink r:id="rId32" w:history="1">
        <w:r w:rsidRPr="00BA2EF3">
          <w:rPr>
            <w:rStyle w:val="Hyperlink"/>
          </w:rPr>
          <w:t>https://ozone.unep.org/system/files/documents/Final_TEAP-DecisionXXXI-3-TF-Unexpected-Emissions-of-CFC-11-may2021.pdf</w:t>
        </w:r>
      </w:hyperlink>
    </w:p>
    <w:p w14:paraId="160D9321" w14:textId="77777777" w:rsidR="00AD5185" w:rsidRDefault="00AD5185" w:rsidP="00AD5185">
      <w:pPr>
        <w:pStyle w:val="FootnoteText"/>
      </w:pPr>
    </w:p>
  </w:footnote>
  <w:footnote w:id="113">
    <w:p w14:paraId="21D20DAA" w14:textId="77777777" w:rsidR="00AD5185" w:rsidRDefault="00AD5185" w:rsidP="00AD5185">
      <w:pPr>
        <w:pStyle w:val="FootnoteText"/>
      </w:pPr>
      <w:r>
        <w:rPr>
          <w:rStyle w:val="FootnoteReference"/>
        </w:rPr>
        <w:footnoteRef/>
      </w:r>
      <w:r>
        <w:t xml:space="preserve"> Annex to Note by the Secretariat: </w:t>
      </w:r>
      <w:r w:rsidRPr="001E0BB1">
        <w:t>UNEP/OzL/Conv.ResMgr/11/4/Rev.1</w:t>
      </w:r>
      <w:r>
        <w:t xml:space="preserve">. </w:t>
      </w:r>
      <w:hyperlink r:id="rId33" w:history="1">
        <w:r w:rsidRPr="00BA2EF3">
          <w:rPr>
            <w:rStyle w:val="Hyperlink"/>
          </w:rPr>
          <w:t>https://ozone.unep.org/system/files/documents/ORM11-4-Rev-1E.pdf</w:t>
        </w:r>
      </w:hyperlink>
    </w:p>
  </w:footnote>
  <w:footnote w:id="114">
    <w:p w14:paraId="126300D6" w14:textId="77777777" w:rsidR="00AD5185" w:rsidRDefault="00AD5185" w:rsidP="00AD5185">
      <w:pPr>
        <w:pStyle w:val="FootnoteText"/>
      </w:pPr>
      <w:r>
        <w:rPr>
          <w:rStyle w:val="FootnoteReference"/>
        </w:rPr>
        <w:footnoteRef/>
      </w:r>
      <w:r>
        <w:t xml:space="preserve"> </w:t>
      </w:r>
      <w:r w:rsidRPr="005928D0">
        <w:t>UNEP/OzL.Pro.WG.1/44/2/Add.1, paras. 5–10</w:t>
      </w:r>
      <w:r>
        <w:t>.</w:t>
      </w:r>
    </w:p>
  </w:footnote>
  <w:footnote w:id="115">
    <w:p w14:paraId="7B23CF8E" w14:textId="77777777" w:rsidR="00AD5185" w:rsidRDefault="00AD5185" w:rsidP="00AD5185">
      <w:pPr>
        <w:pStyle w:val="FootnoteText"/>
      </w:pPr>
      <w:r>
        <w:rPr>
          <w:rStyle w:val="FootnoteReference"/>
        </w:rPr>
        <w:footnoteRef/>
      </w:r>
      <w:r>
        <w:t xml:space="preserve"> </w:t>
      </w:r>
      <w:hyperlink r:id="rId34" w:history="1">
        <w:r w:rsidRPr="00BA2EF3">
          <w:rPr>
            <w:rStyle w:val="Hyperlink"/>
          </w:rPr>
          <w:t>https://ozone.unep.org/eu-funded-project-regional-quantification-emissions-substances-controlled-under-montreal-protocol</w:t>
        </w:r>
      </w:hyperlink>
    </w:p>
  </w:footnote>
  <w:footnote w:id="116">
    <w:p w14:paraId="27DE752C" w14:textId="77777777" w:rsidR="00AD5185" w:rsidRDefault="00AD5185" w:rsidP="00AD5185">
      <w:pPr>
        <w:pStyle w:val="FootnoteText"/>
      </w:pPr>
      <w:r>
        <w:rPr>
          <w:rStyle w:val="FootnoteReference"/>
        </w:rPr>
        <w:footnoteRef/>
      </w:r>
      <w:r>
        <w:t xml:space="preserve"> </w:t>
      </w:r>
      <w:r w:rsidRPr="002F19B1">
        <w:t xml:space="preserve">Annex to Note by the Secretariat: UNEP/OzL/Conv.ResMgr/11/4/Rev.1. </w:t>
      </w:r>
      <w:hyperlink r:id="rId35" w:history="1">
        <w:r w:rsidRPr="002F19B1">
          <w:rPr>
            <w:rStyle w:val="Hyperlink"/>
          </w:rPr>
          <w:t>https://ozone.unep.org/system/files/documents/ORM11-4-Rev-1E.pdf</w:t>
        </w:r>
      </w:hyperlink>
    </w:p>
  </w:footnote>
  <w:footnote w:id="117">
    <w:p w14:paraId="1C41D2C2" w14:textId="77777777" w:rsidR="00AD5185" w:rsidRDefault="00AD5185" w:rsidP="00AD5185">
      <w:pPr>
        <w:pStyle w:val="FootnoteText"/>
      </w:pPr>
      <w:r>
        <w:rPr>
          <w:rStyle w:val="FootnoteReference"/>
        </w:rPr>
        <w:footnoteRef/>
      </w:r>
      <w:r>
        <w:t xml:space="preserve"> </w:t>
      </w:r>
      <w:r w:rsidRPr="002F19B1">
        <w:t>UNEP/OzL.Pro.34/2/Add.1.</w:t>
      </w:r>
    </w:p>
  </w:footnote>
  <w:footnote w:id="118">
    <w:p w14:paraId="2295F257" w14:textId="394A5F69" w:rsidR="00AD5185" w:rsidRDefault="00AD5185" w:rsidP="00AD5185">
      <w:pPr>
        <w:pStyle w:val="FootnoteText"/>
      </w:pPr>
      <w:r>
        <w:rPr>
          <w:rStyle w:val="FootnoteReference"/>
        </w:rPr>
        <w:footnoteRef/>
      </w:r>
      <w:r>
        <w:t xml:space="preserve"> </w:t>
      </w:r>
      <w:r w:rsidRPr="00C543A3">
        <w:t>UNEP/OzL.Pro.WG.1/45/2/Add.2</w:t>
      </w:r>
      <w:r>
        <w:t xml:space="preserve">, paras. 24-37. </w:t>
      </w:r>
      <w:hyperlink r:id="rId36" w:history="1">
        <w:r w:rsidRPr="00BA2EF3">
          <w:rPr>
            <w:rStyle w:val="Hyperlink"/>
          </w:rPr>
          <w:t>https://ozone.unep.org/system/files/documents/OEWG-45-2-Add-2E.pdf</w:t>
        </w:r>
      </w:hyperlink>
    </w:p>
  </w:footnote>
  <w:footnote w:id="119">
    <w:p w14:paraId="31D66008" w14:textId="4EA7F8A6" w:rsidR="00AD5185" w:rsidRDefault="00AD5185" w:rsidP="00AD5185">
      <w:pPr>
        <w:pStyle w:val="FootnoteText"/>
      </w:pPr>
      <w:r>
        <w:rPr>
          <w:rStyle w:val="FootnoteReference"/>
        </w:rPr>
        <w:footnoteRef/>
      </w:r>
      <w:r>
        <w:t xml:space="preserve"> </w:t>
      </w:r>
      <w:r w:rsidRPr="00D33993">
        <w:t>UNEP/OzL.Pro.WG.1/46/2/Add.1</w:t>
      </w:r>
      <w:r>
        <w:t xml:space="preserve">, paras. 41-76. </w:t>
      </w:r>
      <w:hyperlink r:id="rId37" w:history="1">
        <w:r w:rsidRPr="00BA2EF3">
          <w:rPr>
            <w:rStyle w:val="Hyperlink"/>
          </w:rPr>
          <w:t>https://ozone.unep.org/system/files/documents/Annex_VI_to_46-2-Add-1.pdf</w:t>
        </w:r>
      </w:hyperlink>
    </w:p>
  </w:footnote>
  <w:footnote w:id="120">
    <w:p w14:paraId="087FCC9E" w14:textId="0FAE70C0" w:rsidR="00AD5185" w:rsidRDefault="00AD5185" w:rsidP="00AD5185">
      <w:pPr>
        <w:pStyle w:val="FootnoteText"/>
      </w:pPr>
      <w:r>
        <w:rPr>
          <w:rStyle w:val="FootnoteReference"/>
        </w:rPr>
        <w:footnoteRef/>
      </w:r>
      <w:r>
        <w:t xml:space="preserve"> </w:t>
      </w:r>
      <w:r w:rsidRPr="00D33993">
        <w:t>UNEP/OzL.Pro.WG.1/46/2/Add.1</w:t>
      </w:r>
      <w:r>
        <w:t xml:space="preserve">, Annex V. </w:t>
      </w:r>
      <w:hyperlink r:id="rId38" w:history="1">
        <w:r w:rsidRPr="00BA2EF3">
          <w:rPr>
            <w:rStyle w:val="Hyperlink"/>
          </w:rPr>
          <w:t>https://ozone.unep.org/system/files/documents/Annex_V_to_the_addendum.pdf</w:t>
        </w:r>
      </w:hyperlink>
    </w:p>
  </w:footnote>
  <w:footnote w:id="121">
    <w:p w14:paraId="18BDA1DC" w14:textId="04ED1383" w:rsidR="00AD5185" w:rsidRDefault="00AD5185" w:rsidP="00AD5185">
      <w:pPr>
        <w:pStyle w:val="FootnoteText"/>
      </w:pPr>
      <w:r>
        <w:rPr>
          <w:rStyle w:val="FootnoteReference"/>
        </w:rPr>
        <w:footnoteRef/>
      </w:r>
      <w:r>
        <w:t xml:space="preserve"> </w:t>
      </w:r>
      <w:r w:rsidRPr="000145C2">
        <w:t>UNEP/OzL.Pro.WG.1/46/2/Add.1</w:t>
      </w:r>
      <w:r>
        <w:t xml:space="preserve">, Annex VI. </w:t>
      </w:r>
      <w:hyperlink r:id="rId39" w:history="1">
        <w:r w:rsidRPr="00BA2EF3">
          <w:rPr>
            <w:rStyle w:val="Hyperlink"/>
          </w:rPr>
          <w:t>https://ozone.unep.org/system/files/documents/Annex_VI_to_46-2-Add-1.pdf</w:t>
        </w:r>
      </w:hyperlink>
    </w:p>
  </w:footnote>
  <w:footnote w:id="122">
    <w:p w14:paraId="3DF72999" w14:textId="77777777" w:rsidR="00AD5185" w:rsidRDefault="00AD5185" w:rsidP="00AD5185">
      <w:pPr>
        <w:pStyle w:val="FootnoteText"/>
      </w:pPr>
      <w:r>
        <w:rPr>
          <w:rStyle w:val="FootnoteReference"/>
        </w:rPr>
        <w:footnoteRef/>
      </w:r>
      <w:r>
        <w:t xml:space="preserve"> “Outcomes of the Workshop on Costs of Atmospheric Monitoring of Gases Controlled under the Montreal Protocol,” 23 February 2024. </w:t>
      </w:r>
      <w:hyperlink r:id="rId40" w:history="1">
        <w:r w:rsidRPr="00BA2EF3">
          <w:rPr>
            <w:rStyle w:val="Hyperlink"/>
          </w:rPr>
          <w:t>https://ozone.unep.org/system/files/documents/Monitoring_Costs_Workshop_Outcomes.pdf</w:t>
        </w:r>
      </w:hyperlink>
    </w:p>
    <w:p w14:paraId="4E03A0A8" w14:textId="77777777" w:rsidR="00AD5185" w:rsidRDefault="00AD5185" w:rsidP="00AD5185">
      <w:pPr>
        <w:pStyle w:val="FootnoteText"/>
      </w:pPr>
    </w:p>
  </w:footnote>
  <w:footnote w:id="123">
    <w:p w14:paraId="71D1B42F" w14:textId="6EB05D61" w:rsidR="40CA9180" w:rsidRDefault="40CA9180">
      <w:r w:rsidRPr="039190DD">
        <w:rPr>
          <w:vertAlign w:val="superscript"/>
        </w:rPr>
        <w:footnoteRef/>
      </w:r>
      <w:r w:rsidR="07F6D084" w:rsidRPr="039190DD">
        <w:rPr>
          <w:vertAlign w:val="superscript"/>
        </w:rPr>
        <w:t xml:space="preserve"> </w:t>
      </w:r>
      <w:r w:rsidR="38EF339A" w:rsidRPr="009C3698">
        <w:rPr>
          <w:sz w:val="18"/>
          <w:szCs w:val="18"/>
        </w:rPr>
        <w:t>UNEP</w:t>
      </w:r>
      <w:r w:rsidR="574F1366" w:rsidRPr="009C3698">
        <w:rPr>
          <w:sz w:val="18"/>
          <w:szCs w:val="18"/>
        </w:rPr>
        <w:t xml:space="preserve">, TEAP </w:t>
      </w:r>
      <w:r w:rsidR="39CDEEE1" w:rsidRPr="009C3698">
        <w:rPr>
          <w:sz w:val="18"/>
          <w:szCs w:val="18"/>
        </w:rPr>
        <w:t xml:space="preserve">Decision XXXV/11 Task Force </w:t>
      </w:r>
      <w:r w:rsidR="029D375C" w:rsidRPr="009C3698">
        <w:rPr>
          <w:sz w:val="18"/>
          <w:szCs w:val="18"/>
        </w:rPr>
        <w:t xml:space="preserve">Report on Lifecycle </w:t>
      </w:r>
      <w:r w:rsidR="68EBD775" w:rsidRPr="009C3698">
        <w:rPr>
          <w:sz w:val="18"/>
          <w:szCs w:val="18"/>
        </w:rPr>
        <w:t>Refrigerant Management</w:t>
      </w:r>
      <w:r w:rsidR="7B0E02D7" w:rsidRPr="009C3698">
        <w:rPr>
          <w:sz w:val="18"/>
          <w:szCs w:val="18"/>
        </w:rPr>
        <w:t>,”</w:t>
      </w:r>
      <w:r w:rsidR="68EBD775" w:rsidRPr="009C3698">
        <w:rPr>
          <w:sz w:val="18"/>
          <w:szCs w:val="18"/>
        </w:rPr>
        <w:t xml:space="preserve"> May</w:t>
      </w:r>
      <w:r w:rsidR="07F6D084" w:rsidRPr="009C3698">
        <w:rPr>
          <w:sz w:val="18"/>
          <w:szCs w:val="18"/>
        </w:rPr>
        <w:t xml:space="preserve"> 2024</w:t>
      </w:r>
      <w:r w:rsidR="68EBD775" w:rsidRPr="009C3698">
        <w:rPr>
          <w:sz w:val="18"/>
          <w:szCs w:val="18"/>
        </w:rPr>
        <w:t>.</w:t>
      </w:r>
    </w:p>
  </w:footnote>
  <w:footnote w:id="124">
    <w:p w14:paraId="09933C03" w14:textId="311DA18E" w:rsidR="21D859E3" w:rsidRDefault="21D859E3">
      <w:pPr>
        <w:rPr>
          <w:sz w:val="20"/>
          <w:szCs w:val="20"/>
        </w:rPr>
      </w:pPr>
      <w:r w:rsidRPr="23C914BB">
        <w:rPr>
          <w:vertAlign w:val="superscript"/>
        </w:rPr>
        <w:footnoteRef/>
      </w:r>
      <w:r w:rsidR="681A5FB2" w:rsidRPr="23C914BB">
        <w:rPr>
          <w:vertAlign w:val="superscript"/>
        </w:rPr>
        <w:t xml:space="preserve"> </w:t>
      </w:r>
      <w:r w:rsidR="681A5FB2" w:rsidRPr="009C3698">
        <w:rPr>
          <w:sz w:val="18"/>
          <w:szCs w:val="18"/>
        </w:rPr>
        <w:t>Prices presented in this table were not obtained from a detailed market survey; they are estimates based on expert information.</w:t>
      </w:r>
    </w:p>
  </w:footnote>
  <w:footnote w:id="125">
    <w:p w14:paraId="1395E3E1" w14:textId="330E1C48" w:rsidR="171E7467" w:rsidRPr="009C3698" w:rsidRDefault="171E7467">
      <w:pPr>
        <w:rPr>
          <w:sz w:val="18"/>
          <w:szCs w:val="18"/>
        </w:rPr>
      </w:pPr>
      <w:r w:rsidRPr="009C3698">
        <w:rPr>
          <w:sz w:val="18"/>
          <w:szCs w:val="18"/>
          <w:vertAlign w:val="superscript"/>
        </w:rPr>
        <w:footnoteRef/>
      </w:r>
      <w:r w:rsidR="409D889C" w:rsidRPr="009C3698">
        <w:rPr>
          <w:sz w:val="18"/>
          <w:szCs w:val="18"/>
          <w:vertAlign w:val="superscript"/>
        </w:rPr>
        <w:t xml:space="preserve"> </w:t>
      </w:r>
      <w:r w:rsidR="409D889C" w:rsidRPr="009C3698">
        <w:rPr>
          <w:sz w:val="18"/>
          <w:szCs w:val="18"/>
        </w:rPr>
        <w:t>Bespoke equipment refers to custom-made equipment that is not commercially available.</w:t>
      </w:r>
    </w:p>
  </w:footnote>
  <w:footnote w:id="126">
    <w:p w14:paraId="2F7733C3" w14:textId="0AB27F34" w:rsidR="235F957B" w:rsidRDefault="235F957B" w:rsidP="307D8266">
      <w:pPr>
        <w:spacing w:before="61"/>
        <w:ind w:left="20"/>
        <w:rPr>
          <w:sz w:val="20"/>
          <w:szCs w:val="20"/>
        </w:rPr>
      </w:pPr>
      <w:r w:rsidRPr="009C3698">
        <w:rPr>
          <w:sz w:val="18"/>
          <w:szCs w:val="18"/>
          <w:vertAlign w:val="superscript"/>
        </w:rPr>
        <w:footnoteRef/>
      </w:r>
      <w:r w:rsidRPr="009C3698">
        <w:rPr>
          <w:sz w:val="18"/>
          <w:szCs w:val="18"/>
        </w:rPr>
        <w:t xml:space="preserve"> Producing larger volumes of recycled refrigerants will need access to moisture and oil removal and testing equipment</w:t>
      </w:r>
      <w:r w:rsidR="307D8266" w:rsidRPr="009C3698">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E7D3" w14:textId="11388FA5" w:rsidR="00EF0F20" w:rsidRDefault="007F5933">
    <w:pPr>
      <w:pStyle w:val="Header"/>
    </w:pPr>
    <w:r>
      <w:rPr>
        <w:noProof/>
      </w:rPr>
      <w:pict w14:anchorId="6323B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13" o:spid="_x0000_s1048" type="#_x0000_t136" alt="" style="position:absolute;margin-left:0;margin-top:0;width:494.95pt;height:141.4pt;rotation:315;z-index:-251658225;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sidR="00FB4FA8">
      <w:rPr>
        <w:noProof/>
      </w:rPr>
      <mc:AlternateContent>
        <mc:Choice Requires="wps">
          <w:drawing>
            <wp:anchor distT="0" distB="0" distL="114300" distR="114300" simplePos="0" relativeHeight="251658244" behindDoc="1" locked="0" layoutInCell="0" allowOverlap="1" wp14:anchorId="744B1039" wp14:editId="1377BE6F">
              <wp:simplePos x="0" y="0"/>
              <wp:positionH relativeFrom="margin">
                <wp:align>center</wp:align>
              </wp:positionH>
              <wp:positionV relativeFrom="margin">
                <wp:align>center</wp:align>
              </wp:positionV>
              <wp:extent cx="6374130" cy="1062355"/>
              <wp:effectExtent l="0" t="0" r="0" b="4445"/>
              <wp:wrapNone/>
              <wp:docPr id="1747277926"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a:off x="0" y="0"/>
                        <a:ext cx="637413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2976" w14:textId="77777777" w:rsidR="00EF0F20" w:rsidRDefault="00EF0F20" w:rsidP="006233FA">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Advance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008E54">
            <v:shapetype id="_x0000_t202" coordsize="21600,21600" o:spt="202" path="m,l,21600r21600,l21600,xe" w14:anchorId="744B1039">
              <v:stroke joinstyle="miter"/>
              <v:path gradientshapeok="t" o:connecttype="rect"/>
            </v:shapetype>
            <v:shape id="Text Box 10" style="position:absolute;margin-left:0;margin-top:0;width:501.9pt;height:83.65pt;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">
              <o:lock v:ext="edit" verticies="t" aspectratio="t" shapetype="t"/>
              <v:textbox>
                <w:txbxContent>
                  <w:p w:rsidR="00EF0F20" w:rsidP="006233FA" w:rsidRDefault="00EF0F20" w14:paraId="6AEFF5C6" w14:textId="77777777">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Advance copy</w:t>
                    </w:r>
                  </w:p>
                </w:txbxContent>
              </v:textbox>
              <w10:wrap anchorx="margin" anchory="margin"/>
            </v:shape>
          </w:pict>
        </mc:Fallback>
      </mc:AlternateContent>
    </w:r>
    <w:r w:rsidR="00EF0F20">
      <w:rPr>
        <w:noProof/>
        <w:lang w:eastAsia="en-GB"/>
      </w:rPr>
      <mc:AlternateContent>
        <mc:Choice Requires="wps">
          <w:drawing>
            <wp:anchor distT="0" distB="0" distL="114300" distR="114300" simplePos="0" relativeHeight="251658243" behindDoc="1" locked="0" layoutInCell="0" allowOverlap="1" wp14:anchorId="38F9B33E" wp14:editId="5E5E2837">
              <wp:simplePos x="0" y="0"/>
              <wp:positionH relativeFrom="margin">
                <wp:align>center</wp:align>
              </wp:positionH>
              <wp:positionV relativeFrom="margin">
                <wp:align>center</wp:align>
              </wp:positionV>
              <wp:extent cx="6631940" cy="1104900"/>
              <wp:effectExtent l="0" t="0" r="0" b="0"/>
              <wp:wrapNone/>
              <wp:docPr id="2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0E5D8B28" w14:textId="77777777" w:rsidR="00EF0F20" w:rsidRPr="007D44F3" w:rsidRDefault="00EF0F20" w:rsidP="006233FA">
                          <w:pPr>
                            <w:pStyle w:val="NormalWeb"/>
                            <w:spacing w:before="0" w:after="0"/>
                            <w:jc w:val="center"/>
                            <w:rPr>
                              <w:lang w:val="en-CA"/>
                            </w:rPr>
                          </w:pPr>
                          <w:r w:rsidRPr="007D44F3">
                            <w:rPr>
                              <w:color w:val="C0C0C0"/>
                              <w:sz w:val="16"/>
                              <w:szCs w:val="16"/>
                              <w:lang w:val="en-CA"/>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A97E9B">
            <v:shape id="WordArt 2" style="position:absolute;margin-left:0;margin-top:0;width:522.2pt;height:87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" w14:anchorId="38F9B33E">
              <v:textbox>
                <w:txbxContent>
                  <w:p w:rsidRPr="007D44F3" w:rsidR="00EF0F20" w:rsidP="006233FA" w:rsidRDefault="00EF0F20" w14:paraId="2CB79634" w14:textId="77777777">
                    <w:pPr>
                      <w:pStyle w:val="NormalWeb"/>
                      <w:spacing w:before="0" w:after="0"/>
                      <w:jc w:val="center"/>
                      <w:rPr>
                        <w:lang w:val="en-CA"/>
                      </w:rPr>
                    </w:pPr>
                    <w:r w:rsidRPr="007D44F3">
                      <w:rPr>
                        <w:color w:val="C0C0C0"/>
                        <w:sz w:val="16"/>
                        <w:szCs w:val="16"/>
                        <w:lang w:val="en-CA"/>
                      </w:rPr>
                      <w:t>ADVANCE COPY</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F147" w14:textId="563B1B3D" w:rsidR="00143EB3" w:rsidRDefault="007F5933">
    <w:pPr>
      <w:pStyle w:val="Header"/>
    </w:pPr>
    <w:r>
      <w:rPr>
        <w:noProof/>
      </w:rPr>
      <w:pict w14:anchorId="6AD15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22" o:spid="_x0000_s1039" type="#_x0000_t136" alt="" style="position:absolute;margin-left:0;margin-top:0;width:494.95pt;height:141.4pt;rotation:315;z-index:-251658216;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902B" w14:textId="42FDB0DD" w:rsidR="00625C2D" w:rsidRDefault="007F5933" w:rsidP="005B30B8">
    <w:r>
      <w:rPr>
        <w:noProof/>
      </w:rPr>
      <w:pict w14:anchorId="563B4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23" o:spid="_x0000_s1038" type="#_x0000_t136" alt="" style="position:absolute;margin-left:0;margin-top:0;width:494.95pt;height:141.4pt;rotation:315;z-index:-251658215;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4E7B" w14:textId="76971072" w:rsidR="00143EB3" w:rsidRDefault="007F5933">
    <w:pPr>
      <w:pStyle w:val="Header"/>
    </w:pPr>
    <w:r>
      <w:rPr>
        <w:noProof/>
      </w:rPr>
      <w:pict w14:anchorId="50F28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21" o:spid="_x0000_s1037" type="#_x0000_t136" alt="" style="position:absolute;margin-left:0;margin-top:0;width:494.95pt;height:141.4pt;rotation:315;z-index:-251658217;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23D5" w14:textId="5C367EBC" w:rsidR="00F91A0D" w:rsidRPr="00F65A24" w:rsidRDefault="007F5933">
    <w:r>
      <w:rPr>
        <w:noProof/>
      </w:rPr>
      <w:pict w14:anchorId="0D514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25" o:spid="_x0000_s1036" type="#_x0000_t136" alt="" style="position:absolute;margin-left:0;margin-top:0;width:494.95pt;height:141.4pt;rotation:315;z-index:-251658213;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sidR="00F91A0D" w:rsidRPr="000B3B18">
      <w:rPr>
        <w:noProof/>
        <w:lang w:eastAsia="en-GB"/>
      </w:rPr>
      <mc:AlternateContent>
        <mc:Choice Requires="wps">
          <w:drawing>
            <wp:anchor distT="0" distB="0" distL="114300" distR="114300" simplePos="0" relativeHeight="251658248" behindDoc="1" locked="0" layoutInCell="0" allowOverlap="1" wp14:anchorId="35724F43" wp14:editId="7D579887">
              <wp:simplePos x="0" y="0"/>
              <wp:positionH relativeFrom="margin">
                <wp:align>center</wp:align>
              </wp:positionH>
              <wp:positionV relativeFrom="margin">
                <wp:align>center</wp:align>
              </wp:positionV>
              <wp:extent cx="6631940" cy="1104900"/>
              <wp:effectExtent l="0" t="0" r="0" b="0"/>
              <wp:wrapNone/>
              <wp:docPr id="1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txbx>
                      <w:txbxContent>
                        <w:p w14:paraId="0B34394E" w14:textId="77777777" w:rsidR="00F91A0D" w:rsidRPr="00A92F4F" w:rsidRDefault="00F91A0D">
                          <w:r w:rsidRPr="00A92F4F">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53237094">
            <v:shapetype id="_x0000_t202" coordsize="21600,21600" o:spt="202" path="m,l,21600r21600,l21600,xe" w14:anchorId="35724F43">
              <v:stroke joinstyle="miter"/>
              <v:path gradientshapeok="t" o:connecttype="rect"/>
            </v:shapetype>
            <v:shape id="_x0000_s1041" style="position:absolute;margin-left:0;margin-top:0;width:522.2pt;height:87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AksK+W&#10;2AEAAJADAAAOAAAAAAAAAAAAAAAAAC4CAABkcnMvZTJvRG9jLnhtbFBLAQItABQABgAIAAAAIQB6&#10;Ti0D3QAAAAYBAAAPAAAAAAAAAAAAAAAAADIEAABkcnMvZG93bnJldi54bWxQSwUGAAAAAAQABADz&#10;AAAAPAUAAAAA&#10;">
              <v:textbox>
                <w:txbxContent>
                  <w:p w:rsidRPr="00A92F4F" w:rsidR="00F91A0D" w:rsidRDefault="00F91A0D" w14:paraId="683AF738" w14:textId="77777777">
                    <w:r w:rsidRPr="00A92F4F">
                      <w:t>ADVANCE COPY</w:t>
                    </w:r>
                  </w:p>
                </w:txbxContent>
              </v:textbox>
              <w10:wrap anchorx="margin" anchory="margin"/>
            </v:shape>
          </w:pict>
        </mc:Fallback>
      </mc:AlternateContent>
    </w:r>
    <w:r w:rsidR="00F91A0D" w:rsidRPr="00F65A24">
      <w:t>Annex II: Major Chemical Formulae and Nomenclature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06E0" w14:textId="48BFA033" w:rsidR="00F91A0D" w:rsidRPr="00A92F4F" w:rsidRDefault="007F5933">
    <w:r>
      <w:rPr>
        <w:noProof/>
      </w:rPr>
      <w:pict w14:anchorId="294FA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26" o:spid="_x0000_s1035" type="#_x0000_t136" alt="" style="position:absolute;margin-left:0;margin-top:0;width:494.95pt;height:141.4pt;rotation:315;z-index:-251658212;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BDB2" w14:textId="39FB1080" w:rsidR="00F91A0D" w:rsidRPr="00A92F4F" w:rsidRDefault="007F5933">
    <w:r>
      <w:rPr>
        <w:noProof/>
      </w:rPr>
      <w:pict w14:anchorId="2BDF8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24" o:spid="_x0000_s1034" type="#_x0000_t136" alt="" style="position:absolute;margin-left:0;margin-top:0;width:494.95pt;height:141.4pt;rotation:315;z-index:-251658214;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sidR="00F91A0D" w:rsidRPr="000B3B18">
      <w:rPr>
        <w:noProof/>
        <w:lang w:eastAsia="en-GB"/>
      </w:rPr>
      <mc:AlternateContent>
        <mc:Choice Requires="wps">
          <w:drawing>
            <wp:anchor distT="0" distB="0" distL="114300" distR="114300" simplePos="0" relativeHeight="251658242" behindDoc="1" locked="0" layoutInCell="0" allowOverlap="1" wp14:anchorId="2483660F" wp14:editId="5FEF2065">
              <wp:simplePos x="0" y="0"/>
              <wp:positionH relativeFrom="margin">
                <wp:align>center</wp:align>
              </wp:positionH>
              <wp:positionV relativeFrom="margin">
                <wp:align>center</wp:align>
              </wp:positionV>
              <wp:extent cx="6631940" cy="1104900"/>
              <wp:effectExtent l="0" t="0" r="0" b="0"/>
              <wp:wrapNone/>
              <wp:docPr id="2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txbx>
                      <w:txbxContent>
                        <w:p w14:paraId="76256ED2" w14:textId="77777777" w:rsidR="00F91A0D" w:rsidRPr="00A92F4F" w:rsidRDefault="00F91A0D">
                          <w:r w:rsidRPr="00A92F4F">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0E02FD4D">
            <v:shapetype id="_x0000_t202" coordsize="21600,21600" o:spt="202" path="m,l,21600r21600,l21600,xe" w14:anchorId="2483660F">
              <v:stroke joinstyle="miter"/>
              <v:path gradientshapeok="t" o:connecttype="rect"/>
            </v:shapetype>
            <v:shape id="WordArt 1" style="position:absolute;margin-left:0;margin-top:0;width:522.2pt;height:87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Cw7G7J&#10;2AEAAJADAAAOAAAAAAAAAAAAAAAAAC4CAABkcnMvZTJvRG9jLnhtbFBLAQItABQABgAIAAAAIQB6&#10;Ti0D3QAAAAYBAAAPAAAAAAAAAAAAAAAAADIEAABkcnMvZG93bnJldi54bWxQSwUGAAAAAAQABADz&#10;AAAAPAUAAAAA&#10;">
              <v:textbox>
                <w:txbxContent>
                  <w:p w:rsidRPr="00A92F4F" w:rsidR="00F91A0D" w:rsidRDefault="00F91A0D" w14:paraId="2B514B6A" w14:textId="77777777">
                    <w:r w:rsidRPr="00A92F4F">
                      <w:t>ADVANCE COPY</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D9CF" w14:textId="20AEFD16" w:rsidR="009F6392" w:rsidRDefault="007F5933">
    <w:pPr>
      <w:pStyle w:val="Header"/>
    </w:pPr>
    <w:r>
      <w:rPr>
        <w:noProof/>
      </w:rPr>
      <w:pict w14:anchorId="2841C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473.15pt;height:112.25pt;rotation:315;z-index:-251658210;mso-wrap-edited:f;mso-width-percent:0;mso-height-percent:0;mso-position-horizontal:center;mso-position-horizontal-relative:margin;mso-position-vertical:center;mso-position-vertical-relative:margin;mso-width-percent:0;mso-height-percent:0" o:allowincell="f" fillcolor="#cfcdcd [2894]" stroked="f">
          <v:textpath style="font-family:&quot;Times New Roman&quot;;font-size:1pt" string="ADVANC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54EA" w14:textId="1C18FC12" w:rsidR="009F6392" w:rsidRDefault="007F5933">
    <w:pPr>
      <w:pStyle w:val="Header"/>
    </w:pPr>
    <w:r>
      <w:rPr>
        <w:noProof/>
      </w:rPr>
      <w:pict w14:anchorId="337BE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margin-left:0;margin-top:0;width:473.15pt;height:112.25pt;rotation:315;z-index:-251658209;mso-wrap-edited:f;mso-width-percent:0;mso-height-percent:0;mso-position-horizontal:center;mso-position-horizontal-relative:margin;mso-position-vertical:center;mso-position-vertical-relative:margin;mso-width-percent:0;mso-height-percent:0" o:allowincell="f" fillcolor="#cfcdcd [2894]" stroked="f">
          <v:textpath style="font-family:&quot;Times New Roman&quot;;font-size:1pt" string="ADVANCE"/>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201B" w14:textId="0D4A05A8" w:rsidR="009F6392" w:rsidRDefault="007F5933">
    <w:pPr>
      <w:pStyle w:val="Header"/>
    </w:pPr>
    <w:r>
      <w:rPr>
        <w:noProof/>
      </w:rPr>
      <w:pict w14:anchorId="16C16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473.15pt;height:112.25pt;rotation:315;z-index:-251658211;mso-wrap-edited:f;mso-width-percent:0;mso-height-percent:0;mso-position-horizontal:center;mso-position-horizontal-relative:margin;mso-position-vertical:center;mso-position-vertical-relative:margin;mso-width-percent:0;mso-height-percent:0" o:allowincell="f" fillcolor="#cfcdcd [2894]" stroked="f">
          <v:textpath style="font-family:&quot;Times New Roman&quot;;font-size:1pt" string="ADVANCE"/>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77EF" w14:textId="1A3CE7F4" w:rsidR="000A6262" w:rsidRDefault="007F5933">
    <w:pPr>
      <w:pStyle w:val="Header"/>
    </w:pPr>
    <w:r>
      <w:rPr>
        <w:noProof/>
      </w:rPr>
      <w:pict w14:anchorId="3E6A9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31" o:spid="_x0000_s1030" type="#_x0000_t136" alt="" style="position:absolute;margin-left:0;margin-top:0;width:494.95pt;height:141.4pt;rotation:315;z-index:-251658207;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Pr>
        <w:noProof/>
      </w:rPr>
      <w:pict w14:anchorId="0BA44DB7">
        <v:shape id="PowerPlusWaterMarkObject239925523" o:spid="_x0000_s1029" type="#_x0000_t136" alt="" style="position:absolute;margin-left:0;margin-top:0;width:473.15pt;height:112.25pt;rotation:315;z-index:-251658228;mso-wrap-edited:f;mso-width-percent:0;mso-height-percent:0;mso-position-horizontal:center;mso-position-horizontal-relative:margin;mso-position-vertical:center;mso-position-vertical-relative:margin;mso-width-percent:0;mso-height-percent:0" o:allowincell="f" fillcolor="#cfcdcd [2894]" stroked="f">
          <v:textpath style="font-family:&quot;Times New Roman&quot;;font-size:1pt" string="ADVANC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27CD" w14:textId="39C9BB37" w:rsidR="00EF0F20" w:rsidRDefault="007F5933">
    <w:pPr>
      <w:pStyle w:val="Header"/>
    </w:pPr>
    <w:r>
      <w:rPr>
        <w:noProof/>
      </w:rPr>
      <w:pict w14:anchorId="2878B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14" o:spid="_x0000_s1047" type="#_x0000_t136" alt="" style="position:absolute;margin-left:0;margin-top:0;width:494.95pt;height:141.4pt;rotation:315;z-index:-251658224;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sidR="00FB4FA8">
      <w:rPr>
        <w:noProof/>
      </w:rPr>
      <mc:AlternateContent>
        <mc:Choice Requires="wps">
          <w:drawing>
            <wp:anchor distT="0" distB="0" distL="114300" distR="114300" simplePos="0" relativeHeight="251658245" behindDoc="1" locked="0" layoutInCell="0" allowOverlap="1" wp14:anchorId="32BE941E" wp14:editId="61C047A3">
              <wp:simplePos x="0" y="0"/>
              <wp:positionH relativeFrom="margin">
                <wp:align>center</wp:align>
              </wp:positionH>
              <wp:positionV relativeFrom="margin">
                <wp:align>center</wp:align>
              </wp:positionV>
              <wp:extent cx="6374130" cy="1062355"/>
              <wp:effectExtent l="0" t="0" r="0" b="0"/>
              <wp:wrapNone/>
              <wp:docPr id="1922633707"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374130" cy="1062355"/>
                      </a:xfrm>
                      <a:prstGeom prst="rect">
                        <a:avLst/>
                      </a:prstGeom>
                    </wps:spPr>
                    <wps:txbx>
                      <w:txbxContent>
                        <w:p w14:paraId="35B0379A" w14:textId="77777777" w:rsidR="00EF0F20" w:rsidRDefault="00EF0F20" w:rsidP="006233FA">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40F61742">
            <v:shapetype id="_x0000_t202" coordsize="21600,21600" o:spt="202" path="m,l,21600r21600,l21600,xe" w14:anchorId="32BE941E">
              <v:stroke joinstyle="miter"/>
              <v:path gradientshapeok="t" o:connecttype="rect"/>
            </v:shapetype>
            <v:shape id="_x0000_s1035" style="position:absolute;margin-left:0;margin-top:0;width:501.9pt;height:83.6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">
              <o:lock v:ext="edit" verticies="t" aspectratio="t" shapetype="t"/>
              <v:textbox>
                <w:txbxContent>
                  <w:p w:rsidR="00EF0F20" w:rsidP="006233FA" w:rsidRDefault="00EF0F20" w14:paraId="2DAAB522" w14:textId="77777777">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Advance copy</w:t>
                    </w: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702D" w14:textId="7FC2D7FE" w:rsidR="000A6262" w:rsidRDefault="007F5933">
    <w:pPr>
      <w:pStyle w:val="Header"/>
    </w:pPr>
    <w:r>
      <w:rPr>
        <w:noProof/>
      </w:rPr>
      <w:pict w14:anchorId="05F93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32" o:spid="_x0000_s1028" type="#_x0000_t136" alt="" style="position:absolute;margin-left:0;margin-top:0;width:494.95pt;height:141.4pt;rotation:315;z-index:-251658206;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Pr>
        <w:noProof/>
      </w:rPr>
      <w:pict w14:anchorId="5B04BCBC">
        <v:shape id="PowerPlusWaterMarkObject239925524" o:spid="_x0000_s1027" type="#_x0000_t136" alt="" style="position:absolute;margin-left:0;margin-top:0;width:473.15pt;height:112.25pt;rotation:315;z-index:-251658227;mso-wrap-edited:f;mso-width-percent:0;mso-height-percent:0;mso-position-horizontal:center;mso-position-horizontal-relative:margin;mso-position-vertical:center;mso-position-vertical-relative:margin;mso-width-percent:0;mso-height-percent:0" o:allowincell="f" fillcolor="#cfcdcd [2894]" stroked="f">
          <v:textpath style="font-family:&quot;Times New Roman&quot;;font-size:1pt" string="ADVANCE"/>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7138" w14:textId="4FB6409C" w:rsidR="000A6262" w:rsidRDefault="007F5933">
    <w:pPr>
      <w:pStyle w:val="Header"/>
    </w:pPr>
    <w:r>
      <w:rPr>
        <w:noProof/>
      </w:rPr>
      <w:pict w14:anchorId="38B9B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30" o:spid="_x0000_s1026" type="#_x0000_t136" alt="" style="position:absolute;margin-left:0;margin-top:0;width:494.95pt;height:141.4pt;rotation:315;z-index:-251658208;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Pr>
        <w:noProof/>
      </w:rPr>
      <w:pict w14:anchorId="66EDA9E4">
        <v:shape id="PowerPlusWaterMarkObject239925522" o:spid="_x0000_s1025" type="#_x0000_t136" alt="" style="position:absolute;margin-left:0;margin-top:0;width:473.15pt;height:112.25pt;rotation:315;z-index:-251658229;mso-wrap-edited:f;mso-width-percent:0;mso-height-percent:0;mso-position-horizontal:center;mso-position-horizontal-relative:margin;mso-position-vertical:center;mso-position-vertical-relative:margin;mso-width-percent:0;mso-height-percent:0" o:allowincell="f" fillcolor="#cfcdcd [2894]" stroked="f">
          <v:textpath style="font-family:&quot;Times New Roman&quot;;font-size:1pt" string="ADVANC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3C8A5" w14:textId="68D5BFE3" w:rsidR="000A6262" w:rsidRDefault="007F5933">
    <w:pPr>
      <w:pStyle w:val="Header"/>
    </w:pPr>
    <w:r>
      <w:rPr>
        <w:noProof/>
      </w:rPr>
      <w:pict w14:anchorId="5F64A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12" o:spid="_x0000_s1046" type="#_x0000_t136" alt="" style="position:absolute;margin-left:0;margin-top:0;width:494.95pt;height:141.4pt;rotation:315;z-index:-251658226;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3D5E" w14:textId="04D2310B" w:rsidR="004812D9" w:rsidRDefault="007F5933" w:rsidP="006233FA">
    <w:pPr>
      <w:pStyle w:val="Header"/>
    </w:pPr>
    <w:r>
      <w:rPr>
        <w:noProof/>
      </w:rPr>
      <w:pict w14:anchorId="2D6DA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16" o:spid="_x0000_s1045" type="#_x0000_t136" alt="" style="position:absolute;margin-left:0;margin-top:0;width:494.95pt;height:141.4pt;rotation:315;z-index:-251658222;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sidR="004812D9">
      <w:rPr>
        <w:noProof/>
      </w:rPr>
      <mc:AlternateContent>
        <mc:Choice Requires="wps">
          <w:drawing>
            <wp:anchor distT="0" distB="0" distL="114300" distR="114300" simplePos="0" relativeHeight="251658250" behindDoc="1" locked="0" layoutInCell="0" allowOverlap="1" wp14:anchorId="78928D5A" wp14:editId="2945BA65">
              <wp:simplePos x="0" y="0"/>
              <wp:positionH relativeFrom="margin">
                <wp:align>center</wp:align>
              </wp:positionH>
              <wp:positionV relativeFrom="margin">
                <wp:align>center</wp:align>
              </wp:positionV>
              <wp:extent cx="6631940" cy="1104900"/>
              <wp:effectExtent l="0" t="0" r="0" b="0"/>
              <wp:wrapNone/>
              <wp:docPr id="174415580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121071FF" w14:textId="77777777" w:rsidR="004812D9" w:rsidRPr="007D44F3" w:rsidRDefault="004812D9" w:rsidP="006233FA">
                          <w:pPr>
                            <w:pStyle w:val="NormalWeb"/>
                            <w:rPr>
                              <w:lang w:val="en-CA"/>
                            </w:rPr>
                          </w:pPr>
                          <w:r w:rsidRPr="007D44F3">
                            <w:rPr>
                              <w:lang w:val="en-CA"/>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58266845">
            <v:shapetype id="_x0000_t202" coordsize="21600,21600" o:spt="202" path="m,l,21600r21600,l21600,xe" w14:anchorId="78928D5A">
              <v:stroke joinstyle="miter"/>
              <v:path gradientshapeok="t" o:connecttype="rect"/>
            </v:shapetype>
            <v:shape id="WordArt 8" style="position:absolute;margin-left:0;margin-top:0;width:522.2pt;height:87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BWKkKh&#10;2AEAAJADAAAOAAAAAAAAAAAAAAAAAC4CAABkcnMvZTJvRG9jLnhtbFBLAQItABQABgAIAAAAIQB6&#10;Ti0D3QAAAAYBAAAPAAAAAAAAAAAAAAAAADIEAABkcnMvZG93bnJldi54bWxQSwUGAAAAAAQABADz&#10;AAAAPAUAAAAA&#10;">
              <v:textbox>
                <w:txbxContent>
                  <w:p w:rsidRPr="007D44F3" w:rsidR="004812D9" w:rsidP="006233FA" w:rsidRDefault="004812D9" w14:paraId="1C62BA7A" w14:textId="77777777">
                    <w:pPr>
                      <w:pStyle w:val="NormalWeb"/>
                      <w:rPr>
                        <w:lang w:val="en-CA"/>
                      </w:rPr>
                    </w:pPr>
                    <w:r w:rsidRPr="007D44F3">
                      <w:rPr>
                        <w:lang w:val="en-CA"/>
                      </w:rPr>
                      <w:t>ADVANCE COPY</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1552" w14:textId="5D6DE3C6" w:rsidR="004812D9" w:rsidRDefault="007F5933" w:rsidP="006233FA">
    <w:pPr>
      <w:pStyle w:val="Header"/>
    </w:pPr>
    <w:r>
      <w:rPr>
        <w:noProof/>
      </w:rPr>
      <w:pict w14:anchorId="21CD9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17" o:spid="_x0000_s1044" type="#_x0000_t136" alt="" style="position:absolute;margin-left:0;margin-top:0;width:494.95pt;height:141.4pt;rotation:315;z-index:-251658221;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FDB59" w14:textId="64E1BEED" w:rsidR="004812D9" w:rsidRDefault="007F5933" w:rsidP="006233FA">
    <w:pPr>
      <w:pStyle w:val="Header"/>
    </w:pPr>
    <w:r>
      <w:rPr>
        <w:noProof/>
      </w:rPr>
      <w:pict w14:anchorId="43FC3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15" o:spid="_x0000_s1043" type="#_x0000_t136" alt="" style="position:absolute;margin-left:0;margin-top:0;width:494.95pt;height:141.4pt;rotation:315;z-index:-251658223;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sidR="004812D9">
      <w:rPr>
        <w:noProof/>
      </w:rPr>
      <mc:AlternateContent>
        <mc:Choice Requires="wps">
          <w:drawing>
            <wp:anchor distT="0" distB="0" distL="114300" distR="114300" simplePos="0" relativeHeight="251658249" behindDoc="1" locked="0" layoutInCell="0" allowOverlap="1" wp14:anchorId="730C828A" wp14:editId="41F8DDC5">
              <wp:simplePos x="0" y="0"/>
              <wp:positionH relativeFrom="margin">
                <wp:align>center</wp:align>
              </wp:positionH>
              <wp:positionV relativeFrom="margin">
                <wp:align>center</wp:align>
              </wp:positionV>
              <wp:extent cx="6631940" cy="1104900"/>
              <wp:effectExtent l="0" t="0" r="0" b="0"/>
              <wp:wrapNone/>
              <wp:docPr id="174415580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2BECCD5B" w14:textId="77777777" w:rsidR="004812D9" w:rsidRPr="007D44F3" w:rsidRDefault="004812D9" w:rsidP="006233FA">
                          <w:pPr>
                            <w:pStyle w:val="NormalWeb"/>
                            <w:rPr>
                              <w:lang w:val="en-CA"/>
                            </w:rPr>
                          </w:pPr>
                          <w:r w:rsidRPr="007D44F3">
                            <w:rPr>
                              <w:lang w:val="en-CA"/>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2A2BCF1D">
            <v:shapetype id="_x0000_t202" coordsize="21600,21600" o:spt="202" path="m,l,21600r21600,l21600,xe" w14:anchorId="730C828A">
              <v:stroke joinstyle="miter"/>
              <v:path gradientshapeok="t" o:connecttype="rect"/>
            </v:shapetype>
            <v:shape id="WordArt 7" style="position:absolute;margin-left:0;margin-top:0;width:522.2pt;height:87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DCdoP+&#10;2AEAAJADAAAOAAAAAAAAAAAAAAAAAC4CAABkcnMvZTJvRG9jLnhtbFBLAQItABQABgAIAAAAIQB6&#10;Ti0D3QAAAAYBAAAPAAAAAAAAAAAAAAAAADIEAABkcnMvZG93bnJldi54bWxQSwUGAAAAAAQABADz&#10;AAAAPAUAAAAA&#10;">
              <v:textbox>
                <w:txbxContent>
                  <w:p w:rsidRPr="007D44F3" w:rsidR="004812D9" w:rsidP="006233FA" w:rsidRDefault="004812D9" w14:paraId="2F037100" w14:textId="77777777">
                    <w:pPr>
                      <w:pStyle w:val="NormalWeb"/>
                      <w:rPr>
                        <w:lang w:val="en-CA"/>
                      </w:rPr>
                    </w:pPr>
                    <w:r w:rsidRPr="007D44F3">
                      <w:rPr>
                        <w:lang w:val="en-CA"/>
                      </w:rPr>
                      <w:t>ADVANCE COPY</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51746" w14:textId="6673BE9C" w:rsidR="003C3196" w:rsidRDefault="007F5933">
    <w:pPr>
      <w:pStyle w:val="Header"/>
    </w:pPr>
    <w:r>
      <w:rPr>
        <w:noProof/>
      </w:rPr>
      <w:pict w14:anchorId="59E48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19" o:spid="_x0000_s1042" type="#_x0000_t136" alt="" style="position:absolute;margin-left:0;margin-top:0;width:494.95pt;height:141.4pt;rotation:315;z-index:-251658219;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sidR="003C3196">
      <w:rPr>
        <w:noProof/>
      </w:rPr>
      <mc:AlternateContent>
        <mc:Choice Requires="wps">
          <w:drawing>
            <wp:anchor distT="0" distB="0" distL="114300" distR="114300" simplePos="0" relativeHeight="251658241" behindDoc="1" locked="0" layoutInCell="0" allowOverlap="1" wp14:anchorId="360CAEF7" wp14:editId="1FA11811">
              <wp:simplePos x="0" y="0"/>
              <wp:positionH relativeFrom="margin">
                <wp:align>center</wp:align>
              </wp:positionH>
              <wp:positionV relativeFrom="margin">
                <wp:align>center</wp:align>
              </wp:positionV>
              <wp:extent cx="6631940" cy="1104900"/>
              <wp:effectExtent l="0" t="0" r="0" b="0"/>
              <wp:wrapNone/>
              <wp:docPr id="2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1B9AFAA1" w14:textId="77777777" w:rsidR="003C3196" w:rsidRPr="007D44F3" w:rsidRDefault="003C3196">
                          <w:pPr>
                            <w:pStyle w:val="NormalWeb"/>
                            <w:rPr>
                              <w:lang w:val="en-CA"/>
                            </w:rPr>
                          </w:pPr>
                          <w:r w:rsidRPr="007D44F3">
                            <w:rPr>
                              <w:lang w:val="en-CA"/>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7187F79B">
            <v:shapetype id="_x0000_t202" coordsize="21600,21600" o:spt="202" path="m,l,21600r21600,l21600,xe" w14:anchorId="360CAEF7">
              <v:stroke joinstyle="miter"/>
              <v:path gradientshapeok="t" o:connecttype="rect"/>
            </v:shapetype>
            <v:shape id="WordArt 11" style="position:absolute;margin-left:0;margin-top:0;width:522.2pt;height:87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">
              <v:textbox>
                <w:txbxContent>
                  <w:p w:rsidRPr="007D44F3" w:rsidR="003C3196" w:rsidRDefault="003C3196" w14:paraId="1DE9E9D3" w14:textId="77777777">
                    <w:pPr>
                      <w:pStyle w:val="NormalWeb"/>
                      <w:rPr>
                        <w:lang w:val="en-CA"/>
                      </w:rPr>
                    </w:pPr>
                    <w:r w:rsidRPr="007D44F3">
                      <w:rPr>
                        <w:lang w:val="en-CA"/>
                      </w:rPr>
                      <w:t>ADVANCE COPY</w:t>
                    </w:r>
                  </w:p>
                </w:txbxContent>
              </v:textbox>
              <w10:wrap anchorx="margin" anchory="margin"/>
            </v:shape>
          </w:pict>
        </mc:Fallback>
      </mc:AlternateContent>
    </w:r>
    <w:r w:rsidR="003C3196">
      <w:t>Annex II: Major Chemical Formulae and Nomenclature</w:t>
    </w:r>
  </w:p>
  <w:p w14:paraId="600A9C03" w14:textId="77777777" w:rsidR="003C3196" w:rsidRDefault="003C319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BCE2" w14:textId="52E4D822" w:rsidR="00143EB3" w:rsidRDefault="007F5933">
    <w:pPr>
      <w:pStyle w:val="Header"/>
    </w:pPr>
    <w:r>
      <w:rPr>
        <w:noProof/>
      </w:rPr>
      <w:pict w14:anchorId="6E1D9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20" o:spid="_x0000_s1041" type="#_x0000_t136" alt="" style="position:absolute;margin-left:0;margin-top:0;width:494.95pt;height:141.4pt;rotation:315;z-index:-251658218;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1F2C" w14:textId="76A319CA" w:rsidR="003C3196" w:rsidRDefault="007F5933">
    <w:pPr>
      <w:pStyle w:val="Header"/>
    </w:pPr>
    <w:r>
      <w:rPr>
        <w:noProof/>
      </w:rPr>
      <w:pict w14:anchorId="6DA58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7898818" o:spid="_x0000_s1040" type="#_x0000_t136" alt="" style="position:absolute;margin-left:0;margin-top:0;width:494.95pt;height:141.4pt;rotation:315;z-index:-251658220;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ADVANCE"/>
          <w10:wrap anchorx="margin" anchory="margin"/>
        </v:shape>
      </w:pict>
    </w:r>
    <w:r w:rsidR="003C3196">
      <w:rPr>
        <w:noProof/>
      </w:rPr>
      <mc:AlternateContent>
        <mc:Choice Requires="wps">
          <w:drawing>
            <wp:anchor distT="0" distB="0" distL="114300" distR="114300" simplePos="0" relativeHeight="251658240" behindDoc="1" locked="0" layoutInCell="0" allowOverlap="1" wp14:anchorId="022511F5" wp14:editId="632E85F2">
              <wp:simplePos x="0" y="0"/>
              <wp:positionH relativeFrom="margin">
                <wp:align>center</wp:align>
              </wp:positionH>
              <wp:positionV relativeFrom="margin">
                <wp:align>center</wp:align>
              </wp:positionV>
              <wp:extent cx="6631940" cy="1104900"/>
              <wp:effectExtent l="0" t="0" r="0" b="0"/>
              <wp:wrapNone/>
              <wp:docPr id="2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238DAEBC" w14:textId="77777777" w:rsidR="003C3196" w:rsidRPr="007D44F3" w:rsidRDefault="003C3196">
                          <w:pPr>
                            <w:pStyle w:val="NormalWeb"/>
                            <w:rPr>
                              <w:lang w:val="en-CA"/>
                            </w:rPr>
                          </w:pPr>
                          <w:r w:rsidRPr="007D44F3">
                            <w:rPr>
                              <w:lang w:val="en-CA"/>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604EA71A">
            <v:shapetype id="_x0000_t202" coordsize="21600,21600" o:spt="202" path="m,l,21600r21600,l21600,xe" w14:anchorId="022511F5">
              <v:stroke joinstyle="miter"/>
              <v:path gradientshapeok="t" o:connecttype="rect"/>
            </v:shapetype>
            <v:shape id="WordArt 10" style="position:absolute;margin-left:0;margin-top:0;width:522.2pt;height:8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DqzwFB&#10;2AEAAJADAAAOAAAAAAAAAAAAAAAAAC4CAABkcnMvZTJvRG9jLnhtbFBLAQItABQABgAIAAAAIQB6&#10;Ti0D3QAAAAYBAAAPAAAAAAAAAAAAAAAAADIEAABkcnMvZG93bnJldi54bWxQSwUGAAAAAAQABADz&#10;AAAAPAUAAAAA&#10;">
              <v:textbox>
                <w:txbxContent>
                  <w:p w:rsidRPr="007D44F3" w:rsidR="003C3196" w:rsidRDefault="003C3196" w14:paraId="105FF7E9" w14:textId="77777777">
                    <w:pPr>
                      <w:pStyle w:val="NormalWeb"/>
                      <w:rPr>
                        <w:lang w:val="en-CA"/>
                      </w:rPr>
                    </w:pPr>
                    <w:r w:rsidRPr="007D44F3">
                      <w:rPr>
                        <w:lang w:val="en-CA"/>
                      </w:rPr>
                      <w:t>ADVANCE COPY</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uorwIe7hZFCUzx" int2:id="O2mXT0fG">
      <int2:state int2:value="Rejected" int2:type="spell"/>
    </int2:textHash>
    <int2:textHash int2:hashCode="DFIWmhaLGPXeqt" int2:id="REBnpkC0">
      <int2:state int2:value="Rejected" int2:type="spell"/>
    </int2:textHash>
    <int2:textHash int2:hashCode="4bwHgDz+Db3p2F" int2:id="bRJbLrfH">
      <int2:state int2:value="Rejected" int2:type="spell"/>
    </int2:textHash>
    <int2:textHash int2:hashCode="lt5VQ9GD195SrF" int2:id="s1WJClg0">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1931512"/>
    <w:multiLevelType w:val="hybridMultilevel"/>
    <w:tmpl w:val="25C4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33521"/>
    <w:multiLevelType w:val="hybridMultilevel"/>
    <w:tmpl w:val="9C12E43E"/>
    <w:lvl w:ilvl="0" w:tplc="60FE7144">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3242768"/>
    <w:multiLevelType w:val="hybridMultilevel"/>
    <w:tmpl w:val="32460C1A"/>
    <w:lvl w:ilvl="0" w:tplc="83780A0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700" w:hanging="360"/>
      </w:pPr>
      <w:rPr>
        <w:rFonts w:ascii="Courier New" w:hAnsi="Courier New" w:cs="Courier New"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33D6A50"/>
    <w:multiLevelType w:val="hybridMultilevel"/>
    <w:tmpl w:val="941201CA"/>
    <w:lvl w:ilvl="0" w:tplc="FFFFFFF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5" w15:restartNumberingAfterBreak="0">
    <w:nsid w:val="042942B2"/>
    <w:multiLevelType w:val="hybridMultilevel"/>
    <w:tmpl w:val="4D9E1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385AC2"/>
    <w:multiLevelType w:val="hybridMultilevel"/>
    <w:tmpl w:val="30B4CEB8"/>
    <w:lvl w:ilvl="0" w:tplc="FFFFFFFF">
      <w:numFmt w:val="bullet"/>
      <w:lvlText w:val="-"/>
      <w:lvlJc w:val="left"/>
      <w:pPr>
        <w:ind w:left="240" w:hanging="142"/>
      </w:pPr>
      <w:rPr>
        <w:rFonts w:ascii="Calibri" w:hAnsi="Calibri" w:hint="default"/>
        <w:b w:val="0"/>
        <w:bCs w:val="0"/>
        <w:i w:val="0"/>
        <w:iCs w:val="0"/>
        <w:spacing w:val="0"/>
        <w:w w:val="99"/>
        <w:sz w:val="20"/>
        <w:szCs w:val="20"/>
        <w:lang w:val="en-US" w:eastAsia="en-US" w:bidi="ar-SA"/>
      </w:rPr>
    </w:lvl>
    <w:lvl w:ilvl="1" w:tplc="7C3EF8EA">
      <w:numFmt w:val="bullet"/>
      <w:lvlText w:val="•"/>
      <w:lvlJc w:val="left"/>
      <w:pPr>
        <w:ind w:left="476" w:hanging="142"/>
      </w:pPr>
      <w:rPr>
        <w:rFonts w:hint="default"/>
        <w:lang w:val="en-US" w:eastAsia="en-US" w:bidi="ar-SA"/>
      </w:rPr>
    </w:lvl>
    <w:lvl w:ilvl="2" w:tplc="BE985550">
      <w:numFmt w:val="bullet"/>
      <w:lvlText w:val="•"/>
      <w:lvlJc w:val="left"/>
      <w:pPr>
        <w:ind w:left="712" w:hanging="142"/>
      </w:pPr>
      <w:rPr>
        <w:rFonts w:hint="default"/>
        <w:lang w:val="en-US" w:eastAsia="en-US" w:bidi="ar-SA"/>
      </w:rPr>
    </w:lvl>
    <w:lvl w:ilvl="3" w:tplc="3326AFBA">
      <w:numFmt w:val="bullet"/>
      <w:lvlText w:val="•"/>
      <w:lvlJc w:val="left"/>
      <w:pPr>
        <w:ind w:left="948" w:hanging="142"/>
      </w:pPr>
      <w:rPr>
        <w:rFonts w:hint="default"/>
        <w:lang w:val="en-US" w:eastAsia="en-US" w:bidi="ar-SA"/>
      </w:rPr>
    </w:lvl>
    <w:lvl w:ilvl="4" w:tplc="E0D62F56">
      <w:numFmt w:val="bullet"/>
      <w:lvlText w:val="•"/>
      <w:lvlJc w:val="left"/>
      <w:pPr>
        <w:ind w:left="1185" w:hanging="142"/>
      </w:pPr>
      <w:rPr>
        <w:rFonts w:hint="default"/>
        <w:lang w:val="en-US" w:eastAsia="en-US" w:bidi="ar-SA"/>
      </w:rPr>
    </w:lvl>
    <w:lvl w:ilvl="5" w:tplc="79CAA4F8">
      <w:numFmt w:val="bullet"/>
      <w:lvlText w:val="•"/>
      <w:lvlJc w:val="left"/>
      <w:pPr>
        <w:ind w:left="1421" w:hanging="142"/>
      </w:pPr>
      <w:rPr>
        <w:rFonts w:hint="default"/>
        <w:lang w:val="en-US" w:eastAsia="en-US" w:bidi="ar-SA"/>
      </w:rPr>
    </w:lvl>
    <w:lvl w:ilvl="6" w:tplc="38848CDC">
      <w:numFmt w:val="bullet"/>
      <w:lvlText w:val="•"/>
      <w:lvlJc w:val="left"/>
      <w:pPr>
        <w:ind w:left="1657" w:hanging="142"/>
      </w:pPr>
      <w:rPr>
        <w:rFonts w:hint="default"/>
        <w:lang w:val="en-US" w:eastAsia="en-US" w:bidi="ar-SA"/>
      </w:rPr>
    </w:lvl>
    <w:lvl w:ilvl="7" w:tplc="344A51F6">
      <w:numFmt w:val="bullet"/>
      <w:lvlText w:val="•"/>
      <w:lvlJc w:val="left"/>
      <w:pPr>
        <w:ind w:left="1894" w:hanging="142"/>
      </w:pPr>
      <w:rPr>
        <w:rFonts w:hint="default"/>
        <w:lang w:val="en-US" w:eastAsia="en-US" w:bidi="ar-SA"/>
      </w:rPr>
    </w:lvl>
    <w:lvl w:ilvl="8" w:tplc="CC22AC62">
      <w:numFmt w:val="bullet"/>
      <w:lvlText w:val="•"/>
      <w:lvlJc w:val="left"/>
      <w:pPr>
        <w:ind w:left="2130" w:hanging="142"/>
      </w:pPr>
      <w:rPr>
        <w:rFonts w:hint="default"/>
        <w:lang w:val="en-US" w:eastAsia="en-US" w:bidi="ar-SA"/>
      </w:rPr>
    </w:lvl>
  </w:abstractNum>
  <w:abstractNum w:abstractNumId="7" w15:restartNumberingAfterBreak="0">
    <w:nsid w:val="05E606E6"/>
    <w:multiLevelType w:val="hybridMultilevel"/>
    <w:tmpl w:val="2F58B8B6"/>
    <w:lvl w:ilvl="0" w:tplc="E82C6C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6953437"/>
    <w:multiLevelType w:val="hybridMultilevel"/>
    <w:tmpl w:val="DC1CB150"/>
    <w:lvl w:ilvl="0" w:tplc="C57CA324">
      <w:numFmt w:val="bullet"/>
      <w:lvlText w:val="-"/>
      <w:lvlJc w:val="left"/>
      <w:pPr>
        <w:ind w:left="242" w:hanging="142"/>
      </w:pPr>
      <w:rPr>
        <w:rFonts w:ascii="Calibri" w:eastAsia="Calibri" w:hAnsi="Calibri" w:cs="Calibri" w:hint="default"/>
        <w:b w:val="0"/>
        <w:bCs w:val="0"/>
        <w:i w:val="0"/>
        <w:iCs w:val="0"/>
        <w:spacing w:val="0"/>
        <w:w w:val="99"/>
        <w:sz w:val="20"/>
        <w:szCs w:val="20"/>
        <w:lang w:val="en-US" w:eastAsia="en-US" w:bidi="ar-SA"/>
      </w:rPr>
    </w:lvl>
    <w:lvl w:ilvl="1" w:tplc="45F8ABC6">
      <w:numFmt w:val="bullet"/>
      <w:lvlText w:val="•"/>
      <w:lvlJc w:val="left"/>
      <w:pPr>
        <w:ind w:left="512" w:hanging="142"/>
      </w:pPr>
      <w:rPr>
        <w:rFonts w:hint="default"/>
        <w:lang w:val="en-US" w:eastAsia="en-US" w:bidi="ar-SA"/>
      </w:rPr>
    </w:lvl>
    <w:lvl w:ilvl="2" w:tplc="662E4B4C">
      <w:numFmt w:val="bullet"/>
      <w:lvlText w:val="•"/>
      <w:lvlJc w:val="left"/>
      <w:pPr>
        <w:ind w:left="784" w:hanging="142"/>
      </w:pPr>
      <w:rPr>
        <w:rFonts w:hint="default"/>
        <w:lang w:val="en-US" w:eastAsia="en-US" w:bidi="ar-SA"/>
      </w:rPr>
    </w:lvl>
    <w:lvl w:ilvl="3" w:tplc="2F122222">
      <w:numFmt w:val="bullet"/>
      <w:lvlText w:val="•"/>
      <w:lvlJc w:val="left"/>
      <w:pPr>
        <w:ind w:left="1056" w:hanging="142"/>
      </w:pPr>
      <w:rPr>
        <w:rFonts w:hint="default"/>
        <w:lang w:val="en-US" w:eastAsia="en-US" w:bidi="ar-SA"/>
      </w:rPr>
    </w:lvl>
    <w:lvl w:ilvl="4" w:tplc="FC6C80CA">
      <w:numFmt w:val="bullet"/>
      <w:lvlText w:val="•"/>
      <w:lvlJc w:val="left"/>
      <w:pPr>
        <w:ind w:left="1328" w:hanging="142"/>
      </w:pPr>
      <w:rPr>
        <w:rFonts w:hint="default"/>
        <w:lang w:val="en-US" w:eastAsia="en-US" w:bidi="ar-SA"/>
      </w:rPr>
    </w:lvl>
    <w:lvl w:ilvl="5" w:tplc="2C702D78">
      <w:numFmt w:val="bullet"/>
      <w:lvlText w:val="•"/>
      <w:lvlJc w:val="left"/>
      <w:pPr>
        <w:ind w:left="1600" w:hanging="142"/>
      </w:pPr>
      <w:rPr>
        <w:rFonts w:hint="default"/>
        <w:lang w:val="en-US" w:eastAsia="en-US" w:bidi="ar-SA"/>
      </w:rPr>
    </w:lvl>
    <w:lvl w:ilvl="6" w:tplc="A8508AF0">
      <w:numFmt w:val="bullet"/>
      <w:lvlText w:val="•"/>
      <w:lvlJc w:val="left"/>
      <w:pPr>
        <w:ind w:left="1872" w:hanging="142"/>
      </w:pPr>
      <w:rPr>
        <w:rFonts w:hint="default"/>
        <w:lang w:val="en-US" w:eastAsia="en-US" w:bidi="ar-SA"/>
      </w:rPr>
    </w:lvl>
    <w:lvl w:ilvl="7" w:tplc="B48C0D8A">
      <w:numFmt w:val="bullet"/>
      <w:lvlText w:val="•"/>
      <w:lvlJc w:val="left"/>
      <w:pPr>
        <w:ind w:left="2144" w:hanging="142"/>
      </w:pPr>
      <w:rPr>
        <w:rFonts w:hint="default"/>
        <w:lang w:val="en-US" w:eastAsia="en-US" w:bidi="ar-SA"/>
      </w:rPr>
    </w:lvl>
    <w:lvl w:ilvl="8" w:tplc="D8B07892">
      <w:numFmt w:val="bullet"/>
      <w:lvlText w:val="•"/>
      <w:lvlJc w:val="left"/>
      <w:pPr>
        <w:ind w:left="2416" w:hanging="142"/>
      </w:pPr>
      <w:rPr>
        <w:rFonts w:hint="default"/>
        <w:lang w:val="en-US" w:eastAsia="en-US" w:bidi="ar-SA"/>
      </w:rPr>
    </w:lvl>
  </w:abstractNum>
  <w:abstractNum w:abstractNumId="9" w15:restartNumberingAfterBreak="0">
    <w:nsid w:val="07086A4C"/>
    <w:multiLevelType w:val="hybridMultilevel"/>
    <w:tmpl w:val="45D2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D1DFB6"/>
    <w:multiLevelType w:val="hybridMultilevel"/>
    <w:tmpl w:val="FFFFFFFF"/>
    <w:lvl w:ilvl="0" w:tplc="AF8E7EDA">
      <w:start w:val="1"/>
      <w:numFmt w:val="bullet"/>
      <w:lvlText w:val="·"/>
      <w:lvlJc w:val="left"/>
      <w:pPr>
        <w:ind w:left="720" w:hanging="360"/>
      </w:pPr>
      <w:rPr>
        <w:rFonts w:ascii="Symbol" w:hAnsi="Symbol" w:hint="default"/>
      </w:rPr>
    </w:lvl>
    <w:lvl w:ilvl="1" w:tplc="0AFCB74A">
      <w:start w:val="1"/>
      <w:numFmt w:val="bullet"/>
      <w:lvlText w:val="o"/>
      <w:lvlJc w:val="left"/>
      <w:pPr>
        <w:ind w:left="1440" w:hanging="360"/>
      </w:pPr>
      <w:rPr>
        <w:rFonts w:ascii="Courier New" w:hAnsi="Courier New" w:hint="default"/>
      </w:rPr>
    </w:lvl>
    <w:lvl w:ilvl="2" w:tplc="216A6498">
      <w:start w:val="1"/>
      <w:numFmt w:val="bullet"/>
      <w:lvlText w:val=""/>
      <w:lvlJc w:val="left"/>
      <w:pPr>
        <w:ind w:left="2160" w:hanging="360"/>
      </w:pPr>
      <w:rPr>
        <w:rFonts w:ascii="Wingdings" w:hAnsi="Wingdings" w:hint="default"/>
      </w:rPr>
    </w:lvl>
    <w:lvl w:ilvl="3" w:tplc="9D787AEA">
      <w:start w:val="1"/>
      <w:numFmt w:val="bullet"/>
      <w:lvlText w:val=""/>
      <w:lvlJc w:val="left"/>
      <w:pPr>
        <w:ind w:left="2880" w:hanging="360"/>
      </w:pPr>
      <w:rPr>
        <w:rFonts w:ascii="Symbol" w:hAnsi="Symbol" w:hint="default"/>
      </w:rPr>
    </w:lvl>
    <w:lvl w:ilvl="4" w:tplc="FA4A7E82">
      <w:start w:val="1"/>
      <w:numFmt w:val="bullet"/>
      <w:lvlText w:val="o"/>
      <w:lvlJc w:val="left"/>
      <w:pPr>
        <w:ind w:left="3600" w:hanging="360"/>
      </w:pPr>
      <w:rPr>
        <w:rFonts w:ascii="Courier New" w:hAnsi="Courier New" w:hint="default"/>
      </w:rPr>
    </w:lvl>
    <w:lvl w:ilvl="5" w:tplc="BEEAC0CA">
      <w:start w:val="1"/>
      <w:numFmt w:val="bullet"/>
      <w:lvlText w:val=""/>
      <w:lvlJc w:val="left"/>
      <w:pPr>
        <w:ind w:left="4320" w:hanging="360"/>
      </w:pPr>
      <w:rPr>
        <w:rFonts w:ascii="Wingdings" w:hAnsi="Wingdings" w:hint="default"/>
      </w:rPr>
    </w:lvl>
    <w:lvl w:ilvl="6" w:tplc="ABE64AF4">
      <w:start w:val="1"/>
      <w:numFmt w:val="bullet"/>
      <w:lvlText w:val=""/>
      <w:lvlJc w:val="left"/>
      <w:pPr>
        <w:ind w:left="5040" w:hanging="360"/>
      </w:pPr>
      <w:rPr>
        <w:rFonts w:ascii="Symbol" w:hAnsi="Symbol" w:hint="default"/>
      </w:rPr>
    </w:lvl>
    <w:lvl w:ilvl="7" w:tplc="EFB48500">
      <w:start w:val="1"/>
      <w:numFmt w:val="bullet"/>
      <w:lvlText w:val="o"/>
      <w:lvlJc w:val="left"/>
      <w:pPr>
        <w:ind w:left="5760" w:hanging="360"/>
      </w:pPr>
      <w:rPr>
        <w:rFonts w:ascii="Courier New" w:hAnsi="Courier New" w:hint="default"/>
      </w:rPr>
    </w:lvl>
    <w:lvl w:ilvl="8" w:tplc="BDAE6604">
      <w:start w:val="1"/>
      <w:numFmt w:val="bullet"/>
      <w:lvlText w:val=""/>
      <w:lvlJc w:val="left"/>
      <w:pPr>
        <w:ind w:left="6480" w:hanging="360"/>
      </w:pPr>
      <w:rPr>
        <w:rFonts w:ascii="Wingdings" w:hAnsi="Wingdings" w:hint="default"/>
      </w:rPr>
    </w:lvl>
  </w:abstractNum>
  <w:abstractNum w:abstractNumId="11" w15:restartNumberingAfterBreak="0">
    <w:nsid w:val="0A202996"/>
    <w:multiLevelType w:val="hybridMultilevel"/>
    <w:tmpl w:val="9FE0DD90"/>
    <w:lvl w:ilvl="0" w:tplc="99DAE9A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074135"/>
    <w:multiLevelType w:val="hybridMultilevel"/>
    <w:tmpl w:val="94C0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AD5760"/>
    <w:multiLevelType w:val="hybridMultilevel"/>
    <w:tmpl w:val="7B2E351C"/>
    <w:lvl w:ilvl="0" w:tplc="04E889C2">
      <w:numFmt w:val="bullet"/>
      <w:lvlText w:val="-"/>
      <w:lvlJc w:val="left"/>
      <w:pPr>
        <w:ind w:left="203" w:hanging="142"/>
      </w:pPr>
      <w:rPr>
        <w:rFonts w:ascii="Calibri" w:eastAsia="Calibri" w:hAnsi="Calibri" w:cs="Calibri" w:hint="default"/>
        <w:b w:val="0"/>
        <w:bCs w:val="0"/>
        <w:i w:val="0"/>
        <w:iCs w:val="0"/>
        <w:spacing w:val="0"/>
        <w:w w:val="99"/>
        <w:sz w:val="20"/>
        <w:szCs w:val="20"/>
        <w:lang w:val="en-US" w:eastAsia="en-US" w:bidi="ar-SA"/>
      </w:rPr>
    </w:lvl>
    <w:lvl w:ilvl="1" w:tplc="379CEA5A">
      <w:numFmt w:val="bullet"/>
      <w:lvlText w:val="•"/>
      <w:lvlJc w:val="left"/>
      <w:pPr>
        <w:ind w:left="413" w:hanging="142"/>
      </w:pPr>
      <w:rPr>
        <w:rFonts w:hint="default"/>
        <w:lang w:val="en-US" w:eastAsia="en-US" w:bidi="ar-SA"/>
      </w:rPr>
    </w:lvl>
    <w:lvl w:ilvl="2" w:tplc="1CC4F62A">
      <w:numFmt w:val="bullet"/>
      <w:lvlText w:val="•"/>
      <w:lvlJc w:val="left"/>
      <w:pPr>
        <w:ind w:left="626" w:hanging="142"/>
      </w:pPr>
      <w:rPr>
        <w:rFonts w:hint="default"/>
        <w:lang w:val="en-US" w:eastAsia="en-US" w:bidi="ar-SA"/>
      </w:rPr>
    </w:lvl>
    <w:lvl w:ilvl="3" w:tplc="3F7CF096">
      <w:numFmt w:val="bullet"/>
      <w:lvlText w:val="•"/>
      <w:lvlJc w:val="left"/>
      <w:pPr>
        <w:ind w:left="839" w:hanging="142"/>
      </w:pPr>
      <w:rPr>
        <w:rFonts w:hint="default"/>
        <w:lang w:val="en-US" w:eastAsia="en-US" w:bidi="ar-SA"/>
      </w:rPr>
    </w:lvl>
    <w:lvl w:ilvl="4" w:tplc="5B24F644">
      <w:numFmt w:val="bullet"/>
      <w:lvlText w:val="•"/>
      <w:lvlJc w:val="left"/>
      <w:pPr>
        <w:ind w:left="1052" w:hanging="142"/>
      </w:pPr>
      <w:rPr>
        <w:rFonts w:hint="default"/>
        <w:lang w:val="en-US" w:eastAsia="en-US" w:bidi="ar-SA"/>
      </w:rPr>
    </w:lvl>
    <w:lvl w:ilvl="5" w:tplc="3CCE296E">
      <w:numFmt w:val="bullet"/>
      <w:lvlText w:val="•"/>
      <w:lvlJc w:val="left"/>
      <w:pPr>
        <w:ind w:left="1265" w:hanging="142"/>
      </w:pPr>
      <w:rPr>
        <w:rFonts w:hint="default"/>
        <w:lang w:val="en-US" w:eastAsia="en-US" w:bidi="ar-SA"/>
      </w:rPr>
    </w:lvl>
    <w:lvl w:ilvl="6" w:tplc="D5EEC30E">
      <w:numFmt w:val="bullet"/>
      <w:lvlText w:val="•"/>
      <w:lvlJc w:val="left"/>
      <w:pPr>
        <w:ind w:left="1478" w:hanging="142"/>
      </w:pPr>
      <w:rPr>
        <w:rFonts w:hint="default"/>
        <w:lang w:val="en-US" w:eastAsia="en-US" w:bidi="ar-SA"/>
      </w:rPr>
    </w:lvl>
    <w:lvl w:ilvl="7" w:tplc="855A4500">
      <w:numFmt w:val="bullet"/>
      <w:lvlText w:val="•"/>
      <w:lvlJc w:val="left"/>
      <w:pPr>
        <w:ind w:left="1691" w:hanging="142"/>
      </w:pPr>
      <w:rPr>
        <w:rFonts w:hint="default"/>
        <w:lang w:val="en-US" w:eastAsia="en-US" w:bidi="ar-SA"/>
      </w:rPr>
    </w:lvl>
    <w:lvl w:ilvl="8" w:tplc="976CB540">
      <w:numFmt w:val="bullet"/>
      <w:lvlText w:val="•"/>
      <w:lvlJc w:val="left"/>
      <w:pPr>
        <w:ind w:left="1904" w:hanging="142"/>
      </w:pPr>
      <w:rPr>
        <w:rFonts w:hint="default"/>
        <w:lang w:val="en-US" w:eastAsia="en-US" w:bidi="ar-SA"/>
      </w:rPr>
    </w:lvl>
  </w:abstractNum>
  <w:abstractNum w:abstractNumId="14" w15:restartNumberingAfterBreak="0">
    <w:nsid w:val="0FAD1B61"/>
    <w:multiLevelType w:val="hybridMultilevel"/>
    <w:tmpl w:val="978AF06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1341C11"/>
    <w:multiLevelType w:val="hybridMultilevel"/>
    <w:tmpl w:val="0048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5545AB"/>
    <w:multiLevelType w:val="multilevel"/>
    <w:tmpl w:val="0AE44B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3FF51FF"/>
    <w:multiLevelType w:val="hybridMultilevel"/>
    <w:tmpl w:val="64B03174"/>
    <w:styleLink w:val="Normallist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E11EFF"/>
    <w:multiLevelType w:val="hybridMultilevel"/>
    <w:tmpl w:val="AD8EC1EC"/>
    <w:styleLink w:val="111111"/>
    <w:lvl w:ilvl="0" w:tplc="076E8258">
      <w:start w:val="1"/>
      <w:numFmt w:val="decimal"/>
      <w:lvlText w:val="%1."/>
      <w:lvlJc w:val="left"/>
      <w:pPr>
        <w:ind w:left="1440" w:hanging="360"/>
      </w:pPr>
    </w:lvl>
    <w:lvl w:ilvl="1" w:tplc="EC900DDC">
      <w:start w:val="1"/>
      <w:numFmt w:val="decimal"/>
      <w:lvlText w:val="%2."/>
      <w:lvlJc w:val="left"/>
      <w:pPr>
        <w:ind w:left="1440" w:hanging="360"/>
      </w:pPr>
    </w:lvl>
    <w:lvl w:ilvl="2" w:tplc="317E39CE">
      <w:start w:val="1"/>
      <w:numFmt w:val="decimal"/>
      <w:lvlText w:val="%3."/>
      <w:lvlJc w:val="left"/>
      <w:pPr>
        <w:ind w:left="1440" w:hanging="360"/>
      </w:pPr>
    </w:lvl>
    <w:lvl w:ilvl="3" w:tplc="049E9A72">
      <w:start w:val="1"/>
      <w:numFmt w:val="decimal"/>
      <w:lvlText w:val="%4."/>
      <w:lvlJc w:val="left"/>
      <w:pPr>
        <w:ind w:left="1440" w:hanging="360"/>
      </w:pPr>
    </w:lvl>
    <w:lvl w:ilvl="4" w:tplc="96328D7C">
      <w:start w:val="1"/>
      <w:numFmt w:val="decimal"/>
      <w:lvlText w:val="%5."/>
      <w:lvlJc w:val="left"/>
      <w:pPr>
        <w:ind w:left="1440" w:hanging="360"/>
      </w:pPr>
    </w:lvl>
    <w:lvl w:ilvl="5" w:tplc="34505526">
      <w:start w:val="1"/>
      <w:numFmt w:val="decimal"/>
      <w:lvlText w:val="%6."/>
      <w:lvlJc w:val="left"/>
      <w:pPr>
        <w:ind w:left="1440" w:hanging="360"/>
      </w:pPr>
    </w:lvl>
    <w:lvl w:ilvl="6" w:tplc="1BF01EAC">
      <w:start w:val="1"/>
      <w:numFmt w:val="decimal"/>
      <w:lvlText w:val="%7."/>
      <w:lvlJc w:val="left"/>
      <w:pPr>
        <w:ind w:left="1440" w:hanging="360"/>
      </w:pPr>
    </w:lvl>
    <w:lvl w:ilvl="7" w:tplc="FC5E45C2">
      <w:start w:val="1"/>
      <w:numFmt w:val="decimal"/>
      <w:lvlText w:val="%8."/>
      <w:lvlJc w:val="left"/>
      <w:pPr>
        <w:ind w:left="1440" w:hanging="360"/>
      </w:pPr>
    </w:lvl>
    <w:lvl w:ilvl="8" w:tplc="7F289082">
      <w:start w:val="1"/>
      <w:numFmt w:val="decimal"/>
      <w:lvlText w:val="%9."/>
      <w:lvlJc w:val="left"/>
      <w:pPr>
        <w:ind w:left="1440" w:hanging="360"/>
      </w:pPr>
    </w:lvl>
  </w:abstractNum>
  <w:abstractNum w:abstractNumId="19" w15:restartNumberingAfterBreak="0">
    <w:nsid w:val="153846C0"/>
    <w:multiLevelType w:val="multilevel"/>
    <w:tmpl w:val="E6BA2D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8257DC"/>
    <w:multiLevelType w:val="hybridMultilevel"/>
    <w:tmpl w:val="BA0298C4"/>
    <w:lvl w:ilvl="0" w:tplc="1CCC2B1E">
      <w:numFmt w:val="bullet"/>
      <w:lvlText w:val="-"/>
      <w:lvlJc w:val="left"/>
      <w:pPr>
        <w:ind w:left="240" w:hanging="142"/>
      </w:pPr>
      <w:rPr>
        <w:rFonts w:ascii="Calibri" w:eastAsia="Calibri" w:hAnsi="Calibri" w:cs="Calibri" w:hint="default"/>
        <w:spacing w:val="0"/>
        <w:w w:val="99"/>
        <w:lang w:val="en-US" w:eastAsia="en-US" w:bidi="ar-SA"/>
      </w:rPr>
    </w:lvl>
    <w:lvl w:ilvl="1" w:tplc="7A626DBC">
      <w:numFmt w:val="bullet"/>
      <w:lvlText w:val="•"/>
      <w:lvlJc w:val="left"/>
      <w:pPr>
        <w:ind w:left="476" w:hanging="142"/>
      </w:pPr>
      <w:rPr>
        <w:rFonts w:hint="default"/>
        <w:lang w:val="en-US" w:eastAsia="en-US" w:bidi="ar-SA"/>
      </w:rPr>
    </w:lvl>
    <w:lvl w:ilvl="2" w:tplc="1E7CF194">
      <w:numFmt w:val="bullet"/>
      <w:lvlText w:val="•"/>
      <w:lvlJc w:val="left"/>
      <w:pPr>
        <w:ind w:left="712" w:hanging="142"/>
      </w:pPr>
      <w:rPr>
        <w:rFonts w:hint="default"/>
        <w:lang w:val="en-US" w:eastAsia="en-US" w:bidi="ar-SA"/>
      </w:rPr>
    </w:lvl>
    <w:lvl w:ilvl="3" w:tplc="57EEB5F0">
      <w:numFmt w:val="bullet"/>
      <w:lvlText w:val="•"/>
      <w:lvlJc w:val="left"/>
      <w:pPr>
        <w:ind w:left="948" w:hanging="142"/>
      </w:pPr>
      <w:rPr>
        <w:rFonts w:hint="default"/>
        <w:lang w:val="en-US" w:eastAsia="en-US" w:bidi="ar-SA"/>
      </w:rPr>
    </w:lvl>
    <w:lvl w:ilvl="4" w:tplc="556C9F00">
      <w:numFmt w:val="bullet"/>
      <w:lvlText w:val="•"/>
      <w:lvlJc w:val="left"/>
      <w:pPr>
        <w:ind w:left="1185" w:hanging="142"/>
      </w:pPr>
      <w:rPr>
        <w:rFonts w:hint="default"/>
        <w:lang w:val="en-US" w:eastAsia="en-US" w:bidi="ar-SA"/>
      </w:rPr>
    </w:lvl>
    <w:lvl w:ilvl="5" w:tplc="3C8AFEDA">
      <w:numFmt w:val="bullet"/>
      <w:lvlText w:val="•"/>
      <w:lvlJc w:val="left"/>
      <w:pPr>
        <w:ind w:left="1421" w:hanging="142"/>
      </w:pPr>
      <w:rPr>
        <w:rFonts w:hint="default"/>
        <w:lang w:val="en-US" w:eastAsia="en-US" w:bidi="ar-SA"/>
      </w:rPr>
    </w:lvl>
    <w:lvl w:ilvl="6" w:tplc="BB2C377A">
      <w:numFmt w:val="bullet"/>
      <w:lvlText w:val="•"/>
      <w:lvlJc w:val="left"/>
      <w:pPr>
        <w:ind w:left="1657" w:hanging="142"/>
      </w:pPr>
      <w:rPr>
        <w:rFonts w:hint="default"/>
        <w:lang w:val="en-US" w:eastAsia="en-US" w:bidi="ar-SA"/>
      </w:rPr>
    </w:lvl>
    <w:lvl w:ilvl="7" w:tplc="BA4ED54E">
      <w:numFmt w:val="bullet"/>
      <w:lvlText w:val="•"/>
      <w:lvlJc w:val="left"/>
      <w:pPr>
        <w:ind w:left="1894" w:hanging="142"/>
      </w:pPr>
      <w:rPr>
        <w:rFonts w:hint="default"/>
        <w:lang w:val="en-US" w:eastAsia="en-US" w:bidi="ar-SA"/>
      </w:rPr>
    </w:lvl>
    <w:lvl w:ilvl="8" w:tplc="A7EA2E6C">
      <w:numFmt w:val="bullet"/>
      <w:lvlText w:val="•"/>
      <w:lvlJc w:val="left"/>
      <w:pPr>
        <w:ind w:left="2130" w:hanging="142"/>
      </w:pPr>
      <w:rPr>
        <w:rFonts w:hint="default"/>
        <w:lang w:val="en-US" w:eastAsia="en-US" w:bidi="ar-SA"/>
      </w:rPr>
    </w:lvl>
  </w:abstractNum>
  <w:abstractNum w:abstractNumId="21" w15:restartNumberingAfterBreak="0">
    <w:nsid w:val="182E2473"/>
    <w:multiLevelType w:val="hybridMultilevel"/>
    <w:tmpl w:val="FFFFFFFF"/>
    <w:lvl w:ilvl="0" w:tplc="E29890FA">
      <w:start w:val="1"/>
      <w:numFmt w:val="bullet"/>
      <w:lvlText w:val=""/>
      <w:lvlJc w:val="left"/>
      <w:pPr>
        <w:ind w:left="720" w:hanging="360"/>
      </w:pPr>
      <w:rPr>
        <w:rFonts w:ascii="Symbol" w:hAnsi="Symbol" w:hint="default"/>
      </w:rPr>
    </w:lvl>
    <w:lvl w:ilvl="1" w:tplc="67FEEB52">
      <w:start w:val="1"/>
      <w:numFmt w:val="bullet"/>
      <w:lvlText w:val="o"/>
      <w:lvlJc w:val="left"/>
      <w:pPr>
        <w:ind w:left="1440" w:hanging="360"/>
      </w:pPr>
      <w:rPr>
        <w:rFonts w:ascii="Courier New" w:hAnsi="Courier New" w:hint="default"/>
      </w:rPr>
    </w:lvl>
    <w:lvl w:ilvl="2" w:tplc="687A7B02">
      <w:start w:val="1"/>
      <w:numFmt w:val="bullet"/>
      <w:lvlText w:val=""/>
      <w:lvlJc w:val="left"/>
      <w:pPr>
        <w:ind w:left="2160" w:hanging="360"/>
      </w:pPr>
      <w:rPr>
        <w:rFonts w:ascii="Wingdings" w:hAnsi="Wingdings" w:hint="default"/>
      </w:rPr>
    </w:lvl>
    <w:lvl w:ilvl="3" w:tplc="78EA1F7E">
      <w:start w:val="1"/>
      <w:numFmt w:val="bullet"/>
      <w:lvlText w:val=""/>
      <w:lvlJc w:val="left"/>
      <w:pPr>
        <w:ind w:left="2880" w:hanging="360"/>
      </w:pPr>
      <w:rPr>
        <w:rFonts w:ascii="Symbol" w:hAnsi="Symbol" w:hint="default"/>
      </w:rPr>
    </w:lvl>
    <w:lvl w:ilvl="4" w:tplc="7E04ED62">
      <w:start w:val="1"/>
      <w:numFmt w:val="bullet"/>
      <w:lvlText w:val="o"/>
      <w:lvlJc w:val="left"/>
      <w:pPr>
        <w:ind w:left="3600" w:hanging="360"/>
      </w:pPr>
      <w:rPr>
        <w:rFonts w:ascii="Courier New" w:hAnsi="Courier New" w:hint="default"/>
      </w:rPr>
    </w:lvl>
    <w:lvl w:ilvl="5" w:tplc="4A46F738">
      <w:start w:val="1"/>
      <w:numFmt w:val="bullet"/>
      <w:lvlText w:val=""/>
      <w:lvlJc w:val="left"/>
      <w:pPr>
        <w:ind w:left="4320" w:hanging="360"/>
      </w:pPr>
      <w:rPr>
        <w:rFonts w:ascii="Wingdings" w:hAnsi="Wingdings" w:hint="default"/>
      </w:rPr>
    </w:lvl>
    <w:lvl w:ilvl="6" w:tplc="C79A176A">
      <w:start w:val="1"/>
      <w:numFmt w:val="bullet"/>
      <w:lvlText w:val=""/>
      <w:lvlJc w:val="left"/>
      <w:pPr>
        <w:ind w:left="5040" w:hanging="360"/>
      </w:pPr>
      <w:rPr>
        <w:rFonts w:ascii="Symbol" w:hAnsi="Symbol" w:hint="default"/>
      </w:rPr>
    </w:lvl>
    <w:lvl w:ilvl="7" w:tplc="9EBC11F6">
      <w:start w:val="1"/>
      <w:numFmt w:val="bullet"/>
      <w:lvlText w:val="o"/>
      <w:lvlJc w:val="left"/>
      <w:pPr>
        <w:ind w:left="5760" w:hanging="360"/>
      </w:pPr>
      <w:rPr>
        <w:rFonts w:ascii="Courier New" w:hAnsi="Courier New" w:hint="default"/>
      </w:rPr>
    </w:lvl>
    <w:lvl w:ilvl="8" w:tplc="47482A34">
      <w:start w:val="1"/>
      <w:numFmt w:val="bullet"/>
      <w:lvlText w:val=""/>
      <w:lvlJc w:val="left"/>
      <w:pPr>
        <w:ind w:left="6480" w:hanging="360"/>
      </w:pPr>
      <w:rPr>
        <w:rFonts w:ascii="Wingdings" w:hAnsi="Wingdings" w:hint="default"/>
      </w:rPr>
    </w:lvl>
  </w:abstractNum>
  <w:abstractNum w:abstractNumId="22" w15:restartNumberingAfterBreak="0">
    <w:nsid w:val="18AC22FF"/>
    <w:multiLevelType w:val="hybridMultilevel"/>
    <w:tmpl w:val="BF90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2E3E9A"/>
    <w:multiLevelType w:val="hybridMultilevel"/>
    <w:tmpl w:val="1BDC36A6"/>
    <w:lvl w:ilvl="0" w:tplc="04090017">
      <w:start w:val="1"/>
      <w:numFmt w:val="lowerLetter"/>
      <w:lvlText w:val="%1)"/>
      <w:lvlJc w:val="left"/>
      <w:pPr>
        <w:ind w:left="720" w:hanging="360"/>
      </w:pPr>
    </w:lvl>
    <w:lvl w:ilvl="1" w:tplc="04090001">
      <w:start w:val="1"/>
      <w:numFmt w:val="bullet"/>
      <w:lvlText w:val=""/>
      <w:lvlJc w:val="left"/>
      <w:pPr>
        <w:ind w:left="77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476A1C"/>
    <w:multiLevelType w:val="hybridMultilevel"/>
    <w:tmpl w:val="FFFFFFFF"/>
    <w:lvl w:ilvl="0" w:tplc="744AA7C8">
      <w:start w:val="1"/>
      <w:numFmt w:val="bullet"/>
      <w:lvlText w:val=""/>
      <w:lvlJc w:val="left"/>
      <w:pPr>
        <w:ind w:left="720" w:hanging="360"/>
      </w:pPr>
      <w:rPr>
        <w:rFonts w:ascii="Symbol" w:hAnsi="Symbol" w:hint="default"/>
      </w:rPr>
    </w:lvl>
    <w:lvl w:ilvl="1" w:tplc="2B444AB4">
      <w:start w:val="1"/>
      <w:numFmt w:val="bullet"/>
      <w:lvlText w:val="o"/>
      <w:lvlJc w:val="left"/>
      <w:pPr>
        <w:ind w:left="1440" w:hanging="360"/>
      </w:pPr>
      <w:rPr>
        <w:rFonts w:ascii="Courier New" w:hAnsi="Courier New" w:hint="default"/>
      </w:rPr>
    </w:lvl>
    <w:lvl w:ilvl="2" w:tplc="41BAFD78">
      <w:start w:val="1"/>
      <w:numFmt w:val="bullet"/>
      <w:lvlText w:val=""/>
      <w:lvlJc w:val="left"/>
      <w:pPr>
        <w:ind w:left="2160" w:hanging="360"/>
      </w:pPr>
      <w:rPr>
        <w:rFonts w:ascii="Wingdings" w:hAnsi="Wingdings" w:hint="default"/>
      </w:rPr>
    </w:lvl>
    <w:lvl w:ilvl="3" w:tplc="7B5E224C">
      <w:start w:val="1"/>
      <w:numFmt w:val="bullet"/>
      <w:lvlText w:val=""/>
      <w:lvlJc w:val="left"/>
      <w:pPr>
        <w:ind w:left="2880" w:hanging="360"/>
      </w:pPr>
      <w:rPr>
        <w:rFonts w:ascii="Symbol" w:hAnsi="Symbol" w:hint="default"/>
      </w:rPr>
    </w:lvl>
    <w:lvl w:ilvl="4" w:tplc="25127E4C">
      <w:start w:val="1"/>
      <w:numFmt w:val="bullet"/>
      <w:lvlText w:val="o"/>
      <w:lvlJc w:val="left"/>
      <w:pPr>
        <w:ind w:left="3600" w:hanging="360"/>
      </w:pPr>
      <w:rPr>
        <w:rFonts w:ascii="Courier New" w:hAnsi="Courier New" w:hint="default"/>
      </w:rPr>
    </w:lvl>
    <w:lvl w:ilvl="5" w:tplc="B2285C4C">
      <w:start w:val="1"/>
      <w:numFmt w:val="bullet"/>
      <w:lvlText w:val=""/>
      <w:lvlJc w:val="left"/>
      <w:pPr>
        <w:ind w:left="4320" w:hanging="360"/>
      </w:pPr>
      <w:rPr>
        <w:rFonts w:ascii="Wingdings" w:hAnsi="Wingdings" w:hint="default"/>
      </w:rPr>
    </w:lvl>
    <w:lvl w:ilvl="6" w:tplc="644062AC">
      <w:start w:val="1"/>
      <w:numFmt w:val="bullet"/>
      <w:lvlText w:val=""/>
      <w:lvlJc w:val="left"/>
      <w:pPr>
        <w:ind w:left="5040" w:hanging="360"/>
      </w:pPr>
      <w:rPr>
        <w:rFonts w:ascii="Symbol" w:hAnsi="Symbol" w:hint="default"/>
      </w:rPr>
    </w:lvl>
    <w:lvl w:ilvl="7" w:tplc="BCDE365A">
      <w:start w:val="1"/>
      <w:numFmt w:val="bullet"/>
      <w:lvlText w:val="o"/>
      <w:lvlJc w:val="left"/>
      <w:pPr>
        <w:ind w:left="5760" w:hanging="360"/>
      </w:pPr>
      <w:rPr>
        <w:rFonts w:ascii="Courier New" w:hAnsi="Courier New" w:hint="default"/>
      </w:rPr>
    </w:lvl>
    <w:lvl w:ilvl="8" w:tplc="A5320E74">
      <w:start w:val="1"/>
      <w:numFmt w:val="bullet"/>
      <w:lvlText w:val=""/>
      <w:lvlJc w:val="left"/>
      <w:pPr>
        <w:ind w:left="6480" w:hanging="360"/>
      </w:pPr>
      <w:rPr>
        <w:rFonts w:ascii="Wingdings" w:hAnsi="Wingdings" w:hint="default"/>
      </w:rPr>
    </w:lvl>
  </w:abstractNum>
  <w:abstractNum w:abstractNumId="25" w15:restartNumberingAfterBreak="0">
    <w:nsid w:val="1BF834F5"/>
    <w:multiLevelType w:val="hybridMultilevel"/>
    <w:tmpl w:val="CBF066C2"/>
    <w:lvl w:ilvl="0" w:tplc="9D7AFF80">
      <w:numFmt w:val="bullet"/>
      <w:lvlText w:val="-"/>
      <w:lvlJc w:val="left"/>
      <w:pPr>
        <w:ind w:left="242" w:hanging="142"/>
      </w:pPr>
      <w:rPr>
        <w:rFonts w:ascii="Calibri" w:eastAsia="Calibri" w:hAnsi="Calibri" w:cs="Calibri" w:hint="default"/>
        <w:b w:val="0"/>
        <w:bCs w:val="0"/>
        <w:i w:val="0"/>
        <w:iCs w:val="0"/>
        <w:spacing w:val="0"/>
        <w:w w:val="99"/>
        <w:sz w:val="20"/>
        <w:szCs w:val="20"/>
        <w:lang w:val="en-US" w:eastAsia="en-US" w:bidi="ar-SA"/>
      </w:rPr>
    </w:lvl>
    <w:lvl w:ilvl="1" w:tplc="7166C0B0">
      <w:numFmt w:val="bullet"/>
      <w:lvlText w:val="•"/>
      <w:lvlJc w:val="left"/>
      <w:pPr>
        <w:ind w:left="512" w:hanging="142"/>
      </w:pPr>
      <w:rPr>
        <w:rFonts w:hint="default"/>
        <w:lang w:val="en-US" w:eastAsia="en-US" w:bidi="ar-SA"/>
      </w:rPr>
    </w:lvl>
    <w:lvl w:ilvl="2" w:tplc="D2EEADCE">
      <w:numFmt w:val="bullet"/>
      <w:lvlText w:val="•"/>
      <w:lvlJc w:val="left"/>
      <w:pPr>
        <w:ind w:left="784" w:hanging="142"/>
      </w:pPr>
      <w:rPr>
        <w:rFonts w:hint="default"/>
        <w:lang w:val="en-US" w:eastAsia="en-US" w:bidi="ar-SA"/>
      </w:rPr>
    </w:lvl>
    <w:lvl w:ilvl="3" w:tplc="3C841E6E">
      <w:numFmt w:val="bullet"/>
      <w:lvlText w:val="•"/>
      <w:lvlJc w:val="left"/>
      <w:pPr>
        <w:ind w:left="1056" w:hanging="142"/>
      </w:pPr>
      <w:rPr>
        <w:rFonts w:hint="default"/>
        <w:lang w:val="en-US" w:eastAsia="en-US" w:bidi="ar-SA"/>
      </w:rPr>
    </w:lvl>
    <w:lvl w:ilvl="4" w:tplc="C0A285E2">
      <w:numFmt w:val="bullet"/>
      <w:lvlText w:val="•"/>
      <w:lvlJc w:val="left"/>
      <w:pPr>
        <w:ind w:left="1328" w:hanging="142"/>
      </w:pPr>
      <w:rPr>
        <w:rFonts w:hint="default"/>
        <w:lang w:val="en-US" w:eastAsia="en-US" w:bidi="ar-SA"/>
      </w:rPr>
    </w:lvl>
    <w:lvl w:ilvl="5" w:tplc="D88AD720">
      <w:numFmt w:val="bullet"/>
      <w:lvlText w:val="•"/>
      <w:lvlJc w:val="left"/>
      <w:pPr>
        <w:ind w:left="1600" w:hanging="142"/>
      </w:pPr>
      <w:rPr>
        <w:rFonts w:hint="default"/>
        <w:lang w:val="en-US" w:eastAsia="en-US" w:bidi="ar-SA"/>
      </w:rPr>
    </w:lvl>
    <w:lvl w:ilvl="6" w:tplc="84A2B3A4">
      <w:numFmt w:val="bullet"/>
      <w:lvlText w:val="•"/>
      <w:lvlJc w:val="left"/>
      <w:pPr>
        <w:ind w:left="1872" w:hanging="142"/>
      </w:pPr>
      <w:rPr>
        <w:rFonts w:hint="default"/>
        <w:lang w:val="en-US" w:eastAsia="en-US" w:bidi="ar-SA"/>
      </w:rPr>
    </w:lvl>
    <w:lvl w:ilvl="7" w:tplc="3A2E5E2E">
      <w:numFmt w:val="bullet"/>
      <w:lvlText w:val="•"/>
      <w:lvlJc w:val="left"/>
      <w:pPr>
        <w:ind w:left="2144" w:hanging="142"/>
      </w:pPr>
      <w:rPr>
        <w:rFonts w:hint="default"/>
        <w:lang w:val="en-US" w:eastAsia="en-US" w:bidi="ar-SA"/>
      </w:rPr>
    </w:lvl>
    <w:lvl w:ilvl="8" w:tplc="7D26991A">
      <w:numFmt w:val="bullet"/>
      <w:lvlText w:val="•"/>
      <w:lvlJc w:val="left"/>
      <w:pPr>
        <w:ind w:left="2416" w:hanging="142"/>
      </w:pPr>
      <w:rPr>
        <w:rFonts w:hint="default"/>
        <w:lang w:val="en-US" w:eastAsia="en-US" w:bidi="ar-SA"/>
      </w:rPr>
    </w:lvl>
  </w:abstractNum>
  <w:abstractNum w:abstractNumId="26" w15:restartNumberingAfterBreak="0">
    <w:nsid w:val="1DD94F9F"/>
    <w:multiLevelType w:val="hybridMultilevel"/>
    <w:tmpl w:val="A5985E96"/>
    <w:lvl w:ilvl="0" w:tplc="FB7ECB98">
      <w:numFmt w:val="bullet"/>
      <w:lvlText w:val="-"/>
      <w:lvlJc w:val="left"/>
      <w:pPr>
        <w:ind w:left="242" w:hanging="142"/>
      </w:pPr>
      <w:rPr>
        <w:rFonts w:ascii="Calibri" w:eastAsia="Calibri" w:hAnsi="Calibri" w:cs="Calibri" w:hint="default"/>
        <w:b w:val="0"/>
        <w:bCs w:val="0"/>
        <w:i w:val="0"/>
        <w:iCs w:val="0"/>
        <w:spacing w:val="0"/>
        <w:w w:val="99"/>
        <w:sz w:val="20"/>
        <w:szCs w:val="20"/>
        <w:lang w:val="en-US" w:eastAsia="en-US" w:bidi="ar-SA"/>
      </w:rPr>
    </w:lvl>
    <w:lvl w:ilvl="1" w:tplc="FF8C2B9A">
      <w:numFmt w:val="bullet"/>
      <w:lvlText w:val="•"/>
      <w:lvlJc w:val="left"/>
      <w:pPr>
        <w:ind w:left="512" w:hanging="142"/>
      </w:pPr>
      <w:rPr>
        <w:rFonts w:hint="default"/>
        <w:lang w:val="en-US" w:eastAsia="en-US" w:bidi="ar-SA"/>
      </w:rPr>
    </w:lvl>
    <w:lvl w:ilvl="2" w:tplc="F882369C">
      <w:numFmt w:val="bullet"/>
      <w:lvlText w:val="•"/>
      <w:lvlJc w:val="left"/>
      <w:pPr>
        <w:ind w:left="784" w:hanging="142"/>
      </w:pPr>
      <w:rPr>
        <w:rFonts w:hint="default"/>
        <w:lang w:val="en-US" w:eastAsia="en-US" w:bidi="ar-SA"/>
      </w:rPr>
    </w:lvl>
    <w:lvl w:ilvl="3" w:tplc="7A9064FC">
      <w:numFmt w:val="bullet"/>
      <w:lvlText w:val="•"/>
      <w:lvlJc w:val="left"/>
      <w:pPr>
        <w:ind w:left="1056" w:hanging="142"/>
      </w:pPr>
      <w:rPr>
        <w:rFonts w:hint="default"/>
        <w:lang w:val="en-US" w:eastAsia="en-US" w:bidi="ar-SA"/>
      </w:rPr>
    </w:lvl>
    <w:lvl w:ilvl="4" w:tplc="8098E2AC">
      <w:numFmt w:val="bullet"/>
      <w:lvlText w:val="•"/>
      <w:lvlJc w:val="left"/>
      <w:pPr>
        <w:ind w:left="1328" w:hanging="142"/>
      </w:pPr>
      <w:rPr>
        <w:rFonts w:hint="default"/>
        <w:lang w:val="en-US" w:eastAsia="en-US" w:bidi="ar-SA"/>
      </w:rPr>
    </w:lvl>
    <w:lvl w:ilvl="5" w:tplc="A5D6A666">
      <w:numFmt w:val="bullet"/>
      <w:lvlText w:val="•"/>
      <w:lvlJc w:val="left"/>
      <w:pPr>
        <w:ind w:left="1600" w:hanging="142"/>
      </w:pPr>
      <w:rPr>
        <w:rFonts w:hint="default"/>
        <w:lang w:val="en-US" w:eastAsia="en-US" w:bidi="ar-SA"/>
      </w:rPr>
    </w:lvl>
    <w:lvl w:ilvl="6" w:tplc="0A6AE8D2">
      <w:numFmt w:val="bullet"/>
      <w:lvlText w:val="•"/>
      <w:lvlJc w:val="left"/>
      <w:pPr>
        <w:ind w:left="1872" w:hanging="142"/>
      </w:pPr>
      <w:rPr>
        <w:rFonts w:hint="default"/>
        <w:lang w:val="en-US" w:eastAsia="en-US" w:bidi="ar-SA"/>
      </w:rPr>
    </w:lvl>
    <w:lvl w:ilvl="7" w:tplc="766CA0F4">
      <w:numFmt w:val="bullet"/>
      <w:lvlText w:val="•"/>
      <w:lvlJc w:val="left"/>
      <w:pPr>
        <w:ind w:left="2144" w:hanging="142"/>
      </w:pPr>
      <w:rPr>
        <w:rFonts w:hint="default"/>
        <w:lang w:val="en-US" w:eastAsia="en-US" w:bidi="ar-SA"/>
      </w:rPr>
    </w:lvl>
    <w:lvl w:ilvl="8" w:tplc="4838DADA">
      <w:numFmt w:val="bullet"/>
      <w:lvlText w:val="•"/>
      <w:lvlJc w:val="left"/>
      <w:pPr>
        <w:ind w:left="2416" w:hanging="142"/>
      </w:pPr>
      <w:rPr>
        <w:rFonts w:hint="default"/>
        <w:lang w:val="en-US" w:eastAsia="en-US" w:bidi="ar-SA"/>
      </w:rPr>
    </w:lvl>
  </w:abstractNum>
  <w:abstractNum w:abstractNumId="27" w15:restartNumberingAfterBreak="0">
    <w:nsid w:val="1FE006E3"/>
    <w:multiLevelType w:val="multilevel"/>
    <w:tmpl w:val="EB18B1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576A9E"/>
    <w:multiLevelType w:val="hybridMultilevel"/>
    <w:tmpl w:val="AE0CA2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3BE5D98"/>
    <w:multiLevelType w:val="hybridMultilevel"/>
    <w:tmpl w:val="A51EF4B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91377CC"/>
    <w:multiLevelType w:val="hybridMultilevel"/>
    <w:tmpl w:val="18A84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BB29EB"/>
    <w:multiLevelType w:val="hybridMultilevel"/>
    <w:tmpl w:val="A60491B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A7A5207"/>
    <w:multiLevelType w:val="hybridMultilevel"/>
    <w:tmpl w:val="2B76ACE6"/>
    <w:lvl w:ilvl="0" w:tplc="63EA72E0">
      <w:numFmt w:val="bullet"/>
      <w:lvlText w:val="-"/>
      <w:lvlJc w:val="left"/>
      <w:pPr>
        <w:ind w:left="313" w:hanging="284"/>
      </w:pPr>
      <w:rPr>
        <w:rFonts w:ascii="Calibri" w:eastAsia="Calibri" w:hAnsi="Calibri" w:cs="Calibri" w:hint="default"/>
        <w:b w:val="0"/>
        <w:bCs w:val="0"/>
        <w:i w:val="0"/>
        <w:iCs w:val="0"/>
        <w:spacing w:val="0"/>
        <w:w w:val="99"/>
        <w:sz w:val="20"/>
        <w:szCs w:val="20"/>
        <w:lang w:val="en-US" w:eastAsia="en-US" w:bidi="ar-SA"/>
      </w:rPr>
    </w:lvl>
    <w:lvl w:ilvl="1" w:tplc="658C1736">
      <w:numFmt w:val="bullet"/>
      <w:lvlText w:val="•"/>
      <w:lvlJc w:val="left"/>
      <w:pPr>
        <w:ind w:left="521" w:hanging="284"/>
      </w:pPr>
      <w:rPr>
        <w:rFonts w:hint="default"/>
        <w:lang w:val="en-US" w:eastAsia="en-US" w:bidi="ar-SA"/>
      </w:rPr>
    </w:lvl>
    <w:lvl w:ilvl="2" w:tplc="C7E057BC">
      <w:numFmt w:val="bullet"/>
      <w:lvlText w:val="•"/>
      <w:lvlJc w:val="left"/>
      <w:pPr>
        <w:ind w:left="722" w:hanging="284"/>
      </w:pPr>
      <w:rPr>
        <w:rFonts w:hint="default"/>
        <w:lang w:val="en-US" w:eastAsia="en-US" w:bidi="ar-SA"/>
      </w:rPr>
    </w:lvl>
    <w:lvl w:ilvl="3" w:tplc="6004DB58">
      <w:numFmt w:val="bullet"/>
      <w:lvlText w:val="•"/>
      <w:lvlJc w:val="left"/>
      <w:pPr>
        <w:ind w:left="923" w:hanging="284"/>
      </w:pPr>
      <w:rPr>
        <w:rFonts w:hint="default"/>
        <w:lang w:val="en-US" w:eastAsia="en-US" w:bidi="ar-SA"/>
      </w:rPr>
    </w:lvl>
    <w:lvl w:ilvl="4" w:tplc="72CC552E">
      <w:numFmt w:val="bullet"/>
      <w:lvlText w:val="•"/>
      <w:lvlJc w:val="left"/>
      <w:pPr>
        <w:ind w:left="1124" w:hanging="284"/>
      </w:pPr>
      <w:rPr>
        <w:rFonts w:hint="default"/>
        <w:lang w:val="en-US" w:eastAsia="en-US" w:bidi="ar-SA"/>
      </w:rPr>
    </w:lvl>
    <w:lvl w:ilvl="5" w:tplc="194273C4">
      <w:numFmt w:val="bullet"/>
      <w:lvlText w:val="•"/>
      <w:lvlJc w:val="left"/>
      <w:pPr>
        <w:ind w:left="1325" w:hanging="284"/>
      </w:pPr>
      <w:rPr>
        <w:rFonts w:hint="default"/>
        <w:lang w:val="en-US" w:eastAsia="en-US" w:bidi="ar-SA"/>
      </w:rPr>
    </w:lvl>
    <w:lvl w:ilvl="6" w:tplc="A2983D6A">
      <w:numFmt w:val="bullet"/>
      <w:lvlText w:val="•"/>
      <w:lvlJc w:val="left"/>
      <w:pPr>
        <w:ind w:left="1526" w:hanging="284"/>
      </w:pPr>
      <w:rPr>
        <w:rFonts w:hint="default"/>
        <w:lang w:val="en-US" w:eastAsia="en-US" w:bidi="ar-SA"/>
      </w:rPr>
    </w:lvl>
    <w:lvl w:ilvl="7" w:tplc="612AEC16">
      <w:numFmt w:val="bullet"/>
      <w:lvlText w:val="•"/>
      <w:lvlJc w:val="left"/>
      <w:pPr>
        <w:ind w:left="1727" w:hanging="284"/>
      </w:pPr>
      <w:rPr>
        <w:rFonts w:hint="default"/>
        <w:lang w:val="en-US" w:eastAsia="en-US" w:bidi="ar-SA"/>
      </w:rPr>
    </w:lvl>
    <w:lvl w:ilvl="8" w:tplc="D0ECAEA0">
      <w:numFmt w:val="bullet"/>
      <w:lvlText w:val="•"/>
      <w:lvlJc w:val="left"/>
      <w:pPr>
        <w:ind w:left="1928" w:hanging="284"/>
      </w:pPr>
      <w:rPr>
        <w:rFonts w:hint="default"/>
        <w:lang w:val="en-US" w:eastAsia="en-US" w:bidi="ar-SA"/>
      </w:rPr>
    </w:lvl>
  </w:abstractNum>
  <w:abstractNum w:abstractNumId="33" w15:restartNumberingAfterBreak="0">
    <w:nsid w:val="2E3A2A0E"/>
    <w:multiLevelType w:val="hybridMultilevel"/>
    <w:tmpl w:val="0A52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C0115A"/>
    <w:multiLevelType w:val="hybridMultilevel"/>
    <w:tmpl w:val="D5581D86"/>
    <w:lvl w:ilvl="0" w:tplc="F89032AC">
      <w:numFmt w:val="bullet"/>
      <w:lvlText w:val="-"/>
      <w:lvlJc w:val="left"/>
      <w:pPr>
        <w:ind w:left="264" w:hanging="180"/>
      </w:pPr>
      <w:rPr>
        <w:rFonts w:ascii="Calibri" w:eastAsia="Calibri" w:hAnsi="Calibri" w:cs="Calibri" w:hint="default"/>
        <w:b w:val="0"/>
        <w:bCs w:val="0"/>
        <w:i w:val="0"/>
        <w:iCs w:val="0"/>
        <w:spacing w:val="0"/>
        <w:w w:val="99"/>
        <w:sz w:val="20"/>
        <w:szCs w:val="20"/>
        <w:lang w:val="en-US" w:eastAsia="en-US" w:bidi="ar-SA"/>
      </w:rPr>
    </w:lvl>
    <w:lvl w:ilvl="1" w:tplc="78C8EC42">
      <w:numFmt w:val="bullet"/>
      <w:lvlText w:val="•"/>
      <w:lvlJc w:val="left"/>
      <w:pPr>
        <w:ind w:left="518" w:hanging="180"/>
      </w:pPr>
      <w:rPr>
        <w:rFonts w:hint="default"/>
        <w:lang w:val="en-US" w:eastAsia="en-US" w:bidi="ar-SA"/>
      </w:rPr>
    </w:lvl>
    <w:lvl w:ilvl="2" w:tplc="4EB60B7E">
      <w:numFmt w:val="bullet"/>
      <w:lvlText w:val="•"/>
      <w:lvlJc w:val="left"/>
      <w:pPr>
        <w:ind w:left="776" w:hanging="180"/>
      </w:pPr>
      <w:rPr>
        <w:rFonts w:hint="default"/>
        <w:lang w:val="en-US" w:eastAsia="en-US" w:bidi="ar-SA"/>
      </w:rPr>
    </w:lvl>
    <w:lvl w:ilvl="3" w:tplc="62222D5C">
      <w:numFmt w:val="bullet"/>
      <w:lvlText w:val="•"/>
      <w:lvlJc w:val="left"/>
      <w:pPr>
        <w:ind w:left="1034" w:hanging="180"/>
      </w:pPr>
      <w:rPr>
        <w:rFonts w:hint="default"/>
        <w:lang w:val="en-US" w:eastAsia="en-US" w:bidi="ar-SA"/>
      </w:rPr>
    </w:lvl>
    <w:lvl w:ilvl="4" w:tplc="791ED818">
      <w:numFmt w:val="bullet"/>
      <w:lvlText w:val="•"/>
      <w:lvlJc w:val="left"/>
      <w:pPr>
        <w:ind w:left="1293" w:hanging="180"/>
      </w:pPr>
      <w:rPr>
        <w:rFonts w:hint="default"/>
        <w:lang w:val="en-US" w:eastAsia="en-US" w:bidi="ar-SA"/>
      </w:rPr>
    </w:lvl>
    <w:lvl w:ilvl="5" w:tplc="AE42CFB2">
      <w:numFmt w:val="bullet"/>
      <w:lvlText w:val="•"/>
      <w:lvlJc w:val="left"/>
      <w:pPr>
        <w:ind w:left="1551" w:hanging="180"/>
      </w:pPr>
      <w:rPr>
        <w:rFonts w:hint="default"/>
        <w:lang w:val="en-US" w:eastAsia="en-US" w:bidi="ar-SA"/>
      </w:rPr>
    </w:lvl>
    <w:lvl w:ilvl="6" w:tplc="5DCCF974">
      <w:numFmt w:val="bullet"/>
      <w:lvlText w:val="•"/>
      <w:lvlJc w:val="left"/>
      <w:pPr>
        <w:ind w:left="1809" w:hanging="180"/>
      </w:pPr>
      <w:rPr>
        <w:rFonts w:hint="default"/>
        <w:lang w:val="en-US" w:eastAsia="en-US" w:bidi="ar-SA"/>
      </w:rPr>
    </w:lvl>
    <w:lvl w:ilvl="7" w:tplc="90E2ACC6">
      <w:numFmt w:val="bullet"/>
      <w:lvlText w:val="•"/>
      <w:lvlJc w:val="left"/>
      <w:pPr>
        <w:ind w:left="2068" w:hanging="180"/>
      </w:pPr>
      <w:rPr>
        <w:rFonts w:hint="default"/>
        <w:lang w:val="en-US" w:eastAsia="en-US" w:bidi="ar-SA"/>
      </w:rPr>
    </w:lvl>
    <w:lvl w:ilvl="8" w:tplc="9E06EDE4">
      <w:numFmt w:val="bullet"/>
      <w:lvlText w:val="•"/>
      <w:lvlJc w:val="left"/>
      <w:pPr>
        <w:ind w:left="2326" w:hanging="180"/>
      </w:pPr>
      <w:rPr>
        <w:rFonts w:hint="default"/>
        <w:lang w:val="en-US" w:eastAsia="en-US" w:bidi="ar-SA"/>
      </w:rPr>
    </w:lvl>
  </w:abstractNum>
  <w:abstractNum w:abstractNumId="35" w15:restartNumberingAfterBreak="0">
    <w:nsid w:val="2FE824C4"/>
    <w:multiLevelType w:val="hybridMultilevel"/>
    <w:tmpl w:val="FFFFFFFF"/>
    <w:lvl w:ilvl="0" w:tplc="567EBA84">
      <w:numFmt w:val="bullet"/>
      <w:lvlText w:val="-"/>
      <w:lvlJc w:val="left"/>
      <w:pPr>
        <w:ind w:left="421" w:hanging="360"/>
      </w:pPr>
      <w:rPr>
        <w:rFonts w:ascii="Calibri" w:hAnsi="Calibri" w:hint="default"/>
      </w:rPr>
    </w:lvl>
    <w:lvl w:ilvl="1" w:tplc="EB54B4C6">
      <w:start w:val="1"/>
      <w:numFmt w:val="bullet"/>
      <w:lvlText w:val="o"/>
      <w:lvlJc w:val="left"/>
      <w:pPr>
        <w:ind w:left="1141" w:hanging="360"/>
      </w:pPr>
      <w:rPr>
        <w:rFonts w:ascii="Courier New" w:hAnsi="Courier New" w:hint="default"/>
      </w:rPr>
    </w:lvl>
    <w:lvl w:ilvl="2" w:tplc="872C184C">
      <w:start w:val="1"/>
      <w:numFmt w:val="bullet"/>
      <w:lvlText w:val=""/>
      <w:lvlJc w:val="left"/>
      <w:pPr>
        <w:ind w:left="1861" w:hanging="360"/>
      </w:pPr>
      <w:rPr>
        <w:rFonts w:ascii="Wingdings" w:hAnsi="Wingdings" w:hint="default"/>
      </w:rPr>
    </w:lvl>
    <w:lvl w:ilvl="3" w:tplc="7F1E1FFA">
      <w:start w:val="1"/>
      <w:numFmt w:val="bullet"/>
      <w:lvlText w:val=""/>
      <w:lvlJc w:val="left"/>
      <w:pPr>
        <w:ind w:left="2581" w:hanging="360"/>
      </w:pPr>
      <w:rPr>
        <w:rFonts w:ascii="Symbol" w:hAnsi="Symbol" w:hint="default"/>
      </w:rPr>
    </w:lvl>
    <w:lvl w:ilvl="4" w:tplc="3D52C7B6">
      <w:start w:val="1"/>
      <w:numFmt w:val="bullet"/>
      <w:lvlText w:val="o"/>
      <w:lvlJc w:val="left"/>
      <w:pPr>
        <w:ind w:left="3301" w:hanging="360"/>
      </w:pPr>
      <w:rPr>
        <w:rFonts w:ascii="Courier New" w:hAnsi="Courier New" w:hint="default"/>
      </w:rPr>
    </w:lvl>
    <w:lvl w:ilvl="5" w:tplc="4C3CF1F6">
      <w:start w:val="1"/>
      <w:numFmt w:val="bullet"/>
      <w:lvlText w:val=""/>
      <w:lvlJc w:val="left"/>
      <w:pPr>
        <w:ind w:left="4021" w:hanging="360"/>
      </w:pPr>
      <w:rPr>
        <w:rFonts w:ascii="Wingdings" w:hAnsi="Wingdings" w:hint="default"/>
      </w:rPr>
    </w:lvl>
    <w:lvl w:ilvl="6" w:tplc="F10A9606">
      <w:start w:val="1"/>
      <w:numFmt w:val="bullet"/>
      <w:lvlText w:val=""/>
      <w:lvlJc w:val="left"/>
      <w:pPr>
        <w:ind w:left="4741" w:hanging="360"/>
      </w:pPr>
      <w:rPr>
        <w:rFonts w:ascii="Symbol" w:hAnsi="Symbol" w:hint="default"/>
      </w:rPr>
    </w:lvl>
    <w:lvl w:ilvl="7" w:tplc="FDFC6B84">
      <w:start w:val="1"/>
      <w:numFmt w:val="bullet"/>
      <w:lvlText w:val="o"/>
      <w:lvlJc w:val="left"/>
      <w:pPr>
        <w:ind w:left="5461" w:hanging="360"/>
      </w:pPr>
      <w:rPr>
        <w:rFonts w:ascii="Courier New" w:hAnsi="Courier New" w:hint="default"/>
      </w:rPr>
    </w:lvl>
    <w:lvl w:ilvl="8" w:tplc="33E0673E">
      <w:start w:val="1"/>
      <w:numFmt w:val="bullet"/>
      <w:lvlText w:val=""/>
      <w:lvlJc w:val="left"/>
      <w:pPr>
        <w:ind w:left="6181" w:hanging="360"/>
      </w:pPr>
      <w:rPr>
        <w:rFonts w:ascii="Wingdings" w:hAnsi="Wingdings" w:hint="default"/>
      </w:rPr>
    </w:lvl>
  </w:abstractNum>
  <w:abstractNum w:abstractNumId="36" w15:restartNumberingAfterBreak="0">
    <w:nsid w:val="300A1D72"/>
    <w:multiLevelType w:val="hybridMultilevel"/>
    <w:tmpl w:val="FFFFFFFF"/>
    <w:lvl w:ilvl="0" w:tplc="8A2E75C4">
      <w:start w:val="1"/>
      <w:numFmt w:val="decimal"/>
      <w:lvlText w:val="%1."/>
      <w:lvlJc w:val="left"/>
      <w:pPr>
        <w:ind w:left="720" w:hanging="360"/>
      </w:pPr>
    </w:lvl>
    <w:lvl w:ilvl="1" w:tplc="48008D34">
      <w:start w:val="1"/>
      <w:numFmt w:val="lowerLetter"/>
      <w:lvlText w:val="%2."/>
      <w:lvlJc w:val="left"/>
      <w:pPr>
        <w:ind w:left="1440" w:hanging="360"/>
      </w:pPr>
    </w:lvl>
    <w:lvl w:ilvl="2" w:tplc="99A83646">
      <w:start w:val="1"/>
      <w:numFmt w:val="lowerRoman"/>
      <w:lvlText w:val="%3."/>
      <w:lvlJc w:val="right"/>
      <w:pPr>
        <w:ind w:left="2160" w:hanging="180"/>
      </w:pPr>
    </w:lvl>
    <w:lvl w:ilvl="3" w:tplc="96C0A8F2">
      <w:start w:val="1"/>
      <w:numFmt w:val="decimal"/>
      <w:lvlText w:val="%4."/>
      <w:lvlJc w:val="left"/>
      <w:pPr>
        <w:ind w:left="2880" w:hanging="360"/>
      </w:pPr>
    </w:lvl>
    <w:lvl w:ilvl="4" w:tplc="F3EC578C">
      <w:start w:val="1"/>
      <w:numFmt w:val="lowerLetter"/>
      <w:lvlText w:val="%5."/>
      <w:lvlJc w:val="left"/>
      <w:pPr>
        <w:ind w:left="3600" w:hanging="360"/>
      </w:pPr>
    </w:lvl>
    <w:lvl w:ilvl="5" w:tplc="0900B8A0">
      <w:start w:val="1"/>
      <w:numFmt w:val="lowerRoman"/>
      <w:lvlText w:val="%6."/>
      <w:lvlJc w:val="right"/>
      <w:pPr>
        <w:ind w:left="4320" w:hanging="180"/>
      </w:pPr>
    </w:lvl>
    <w:lvl w:ilvl="6" w:tplc="7D662C58">
      <w:start w:val="1"/>
      <w:numFmt w:val="decimal"/>
      <w:lvlText w:val="%7."/>
      <w:lvlJc w:val="left"/>
      <w:pPr>
        <w:ind w:left="5040" w:hanging="360"/>
      </w:pPr>
    </w:lvl>
    <w:lvl w:ilvl="7" w:tplc="A35CAC0C">
      <w:start w:val="1"/>
      <w:numFmt w:val="lowerLetter"/>
      <w:lvlText w:val="%8."/>
      <w:lvlJc w:val="left"/>
      <w:pPr>
        <w:ind w:left="5760" w:hanging="360"/>
      </w:pPr>
    </w:lvl>
    <w:lvl w:ilvl="8" w:tplc="BDD6708A">
      <w:start w:val="1"/>
      <w:numFmt w:val="lowerRoman"/>
      <w:lvlText w:val="%9."/>
      <w:lvlJc w:val="right"/>
      <w:pPr>
        <w:ind w:left="6480" w:hanging="180"/>
      </w:pPr>
    </w:lvl>
  </w:abstractNum>
  <w:abstractNum w:abstractNumId="37" w15:restartNumberingAfterBreak="0">
    <w:nsid w:val="31734CA5"/>
    <w:multiLevelType w:val="hybridMultilevel"/>
    <w:tmpl w:val="5BB6D628"/>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A6F0CCFA">
      <w:start w:val="1"/>
      <w:numFmt w:val="decimal"/>
      <w:lvlText w:val="%3."/>
      <w:lvlJc w:val="left"/>
      <w:pPr>
        <w:ind w:left="3770" w:hanging="710"/>
      </w:pPr>
      <w:rPr>
        <w:rFonts w:hint="default"/>
      </w:rPr>
    </w:lvl>
    <w:lvl w:ilvl="3" w:tplc="D4A429F6">
      <w:start w:val="1"/>
      <w:numFmt w:val="decimal"/>
      <w:lvlText w:val="(%4)"/>
      <w:lvlJc w:val="left"/>
      <w:pPr>
        <w:ind w:left="3960" w:hanging="360"/>
      </w:pPr>
      <w:rPr>
        <w:rFonts w:hint="default"/>
      </w:rPr>
    </w:lvl>
    <w:lvl w:ilvl="4" w:tplc="5C00C81C">
      <w:start w:val="1"/>
      <w:numFmt w:val="decimal"/>
      <w:lvlText w:val="%5)"/>
      <w:lvlJc w:val="left"/>
      <w:pPr>
        <w:ind w:left="5040" w:hanging="72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320212B"/>
    <w:multiLevelType w:val="hybridMultilevel"/>
    <w:tmpl w:val="B2B44EFE"/>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5192E8B"/>
    <w:multiLevelType w:val="hybridMultilevel"/>
    <w:tmpl w:val="953A661A"/>
    <w:lvl w:ilvl="0" w:tplc="6EFE821A">
      <w:numFmt w:val="bullet"/>
      <w:lvlText w:val="-"/>
      <w:lvlJc w:val="left"/>
      <w:pPr>
        <w:ind w:left="240" w:hanging="142"/>
      </w:pPr>
      <w:rPr>
        <w:rFonts w:ascii="Calibri" w:eastAsia="Calibri" w:hAnsi="Calibri" w:cs="Calibri" w:hint="default"/>
        <w:b w:val="0"/>
        <w:bCs w:val="0"/>
        <w:i w:val="0"/>
        <w:iCs w:val="0"/>
        <w:spacing w:val="0"/>
        <w:w w:val="99"/>
        <w:sz w:val="20"/>
        <w:szCs w:val="20"/>
        <w:lang w:val="en-US" w:eastAsia="en-US" w:bidi="ar-SA"/>
      </w:rPr>
    </w:lvl>
    <w:lvl w:ilvl="1" w:tplc="92AE9E72">
      <w:numFmt w:val="bullet"/>
      <w:lvlText w:val="•"/>
      <w:lvlJc w:val="left"/>
      <w:pPr>
        <w:ind w:left="512" w:hanging="142"/>
      </w:pPr>
      <w:rPr>
        <w:rFonts w:hint="default"/>
        <w:lang w:val="en-US" w:eastAsia="en-US" w:bidi="ar-SA"/>
      </w:rPr>
    </w:lvl>
    <w:lvl w:ilvl="2" w:tplc="F55A0F14">
      <w:numFmt w:val="bullet"/>
      <w:lvlText w:val="•"/>
      <w:lvlJc w:val="left"/>
      <w:pPr>
        <w:ind w:left="784" w:hanging="142"/>
      </w:pPr>
      <w:rPr>
        <w:rFonts w:hint="default"/>
        <w:lang w:val="en-US" w:eastAsia="en-US" w:bidi="ar-SA"/>
      </w:rPr>
    </w:lvl>
    <w:lvl w:ilvl="3" w:tplc="C486DADE">
      <w:numFmt w:val="bullet"/>
      <w:lvlText w:val="•"/>
      <w:lvlJc w:val="left"/>
      <w:pPr>
        <w:ind w:left="1056" w:hanging="142"/>
      </w:pPr>
      <w:rPr>
        <w:rFonts w:hint="default"/>
        <w:lang w:val="en-US" w:eastAsia="en-US" w:bidi="ar-SA"/>
      </w:rPr>
    </w:lvl>
    <w:lvl w:ilvl="4" w:tplc="10CCDF96">
      <w:numFmt w:val="bullet"/>
      <w:lvlText w:val="•"/>
      <w:lvlJc w:val="left"/>
      <w:pPr>
        <w:ind w:left="1328" w:hanging="142"/>
      </w:pPr>
      <w:rPr>
        <w:rFonts w:hint="default"/>
        <w:lang w:val="en-US" w:eastAsia="en-US" w:bidi="ar-SA"/>
      </w:rPr>
    </w:lvl>
    <w:lvl w:ilvl="5" w:tplc="F982B400">
      <w:numFmt w:val="bullet"/>
      <w:lvlText w:val="•"/>
      <w:lvlJc w:val="left"/>
      <w:pPr>
        <w:ind w:left="1600" w:hanging="142"/>
      </w:pPr>
      <w:rPr>
        <w:rFonts w:hint="default"/>
        <w:lang w:val="en-US" w:eastAsia="en-US" w:bidi="ar-SA"/>
      </w:rPr>
    </w:lvl>
    <w:lvl w:ilvl="6" w:tplc="1654FA24">
      <w:numFmt w:val="bullet"/>
      <w:lvlText w:val="•"/>
      <w:lvlJc w:val="left"/>
      <w:pPr>
        <w:ind w:left="1872" w:hanging="142"/>
      </w:pPr>
      <w:rPr>
        <w:rFonts w:hint="default"/>
        <w:lang w:val="en-US" w:eastAsia="en-US" w:bidi="ar-SA"/>
      </w:rPr>
    </w:lvl>
    <w:lvl w:ilvl="7" w:tplc="B94C0BC8">
      <w:numFmt w:val="bullet"/>
      <w:lvlText w:val="•"/>
      <w:lvlJc w:val="left"/>
      <w:pPr>
        <w:ind w:left="2144" w:hanging="142"/>
      </w:pPr>
      <w:rPr>
        <w:rFonts w:hint="default"/>
        <w:lang w:val="en-US" w:eastAsia="en-US" w:bidi="ar-SA"/>
      </w:rPr>
    </w:lvl>
    <w:lvl w:ilvl="8" w:tplc="36BA04A8">
      <w:numFmt w:val="bullet"/>
      <w:lvlText w:val="•"/>
      <w:lvlJc w:val="left"/>
      <w:pPr>
        <w:ind w:left="2416" w:hanging="142"/>
      </w:pPr>
      <w:rPr>
        <w:rFonts w:hint="default"/>
        <w:lang w:val="en-US" w:eastAsia="en-US" w:bidi="ar-SA"/>
      </w:rPr>
    </w:lvl>
  </w:abstractNum>
  <w:abstractNum w:abstractNumId="40" w15:restartNumberingAfterBreak="0">
    <w:nsid w:val="354F4FDA"/>
    <w:multiLevelType w:val="hybridMultilevel"/>
    <w:tmpl w:val="3B44048E"/>
    <w:lvl w:ilvl="0" w:tplc="DDE8BEFA">
      <w:start w:val="3"/>
      <w:numFmt w:val="decimal"/>
      <w:lvlText w:val="%1."/>
      <w:lvlJc w:val="left"/>
      <w:pPr>
        <w:ind w:left="360" w:hanging="360"/>
      </w:pPr>
      <w:rPr>
        <w:rFonts w:hint="default"/>
      </w:rPr>
    </w:lvl>
    <w:lvl w:ilvl="1" w:tplc="A03CC4D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56406F6"/>
    <w:multiLevelType w:val="hybridMultilevel"/>
    <w:tmpl w:val="625A7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0A5CB4"/>
    <w:multiLevelType w:val="hybridMultilevel"/>
    <w:tmpl w:val="661CB4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3793432F"/>
    <w:multiLevelType w:val="hybridMultilevel"/>
    <w:tmpl w:val="4E48B66E"/>
    <w:styleLink w:val="ArticleSection1"/>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81B306B"/>
    <w:multiLevelType w:val="multilevel"/>
    <w:tmpl w:val="2E04D6D0"/>
    <w:lvl w:ilvl="0">
      <w:start w:val="1"/>
      <w:numFmt w:val="decimal"/>
      <w:pStyle w:val="List1"/>
      <w:lvlText w:val="%1."/>
      <w:lvlJc w:val="left"/>
      <w:pPr>
        <w:tabs>
          <w:tab w:val="num" w:pos="810"/>
        </w:tabs>
        <w:ind w:left="81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5" w15:restartNumberingAfterBreak="0">
    <w:nsid w:val="382A64CB"/>
    <w:multiLevelType w:val="hybridMultilevel"/>
    <w:tmpl w:val="0AA25DC8"/>
    <w:lvl w:ilvl="0" w:tplc="1D62A368">
      <w:numFmt w:val="bullet"/>
      <w:lvlText w:val="-"/>
      <w:lvlJc w:val="left"/>
      <w:pPr>
        <w:ind w:left="243" w:hanging="142"/>
      </w:pPr>
      <w:rPr>
        <w:rFonts w:ascii="Calibri" w:eastAsia="Calibri" w:hAnsi="Calibri" w:cs="Calibri" w:hint="default"/>
        <w:spacing w:val="0"/>
        <w:w w:val="99"/>
        <w:lang w:val="en-US" w:eastAsia="en-US" w:bidi="ar-SA"/>
      </w:rPr>
    </w:lvl>
    <w:lvl w:ilvl="1" w:tplc="788CF158">
      <w:numFmt w:val="bullet"/>
      <w:lvlText w:val="•"/>
      <w:lvlJc w:val="left"/>
      <w:pPr>
        <w:ind w:left="500" w:hanging="142"/>
      </w:pPr>
      <w:rPr>
        <w:rFonts w:hint="default"/>
        <w:lang w:val="en-US" w:eastAsia="en-US" w:bidi="ar-SA"/>
      </w:rPr>
    </w:lvl>
    <w:lvl w:ilvl="2" w:tplc="78780862">
      <w:numFmt w:val="bullet"/>
      <w:lvlText w:val="•"/>
      <w:lvlJc w:val="left"/>
      <w:pPr>
        <w:ind w:left="760" w:hanging="142"/>
      </w:pPr>
      <w:rPr>
        <w:rFonts w:hint="default"/>
        <w:lang w:val="en-US" w:eastAsia="en-US" w:bidi="ar-SA"/>
      </w:rPr>
    </w:lvl>
    <w:lvl w:ilvl="3" w:tplc="0D9A1938">
      <w:numFmt w:val="bullet"/>
      <w:lvlText w:val="•"/>
      <w:lvlJc w:val="left"/>
      <w:pPr>
        <w:ind w:left="1020" w:hanging="142"/>
      </w:pPr>
      <w:rPr>
        <w:rFonts w:hint="default"/>
        <w:lang w:val="en-US" w:eastAsia="en-US" w:bidi="ar-SA"/>
      </w:rPr>
    </w:lvl>
    <w:lvl w:ilvl="4" w:tplc="C840BCB4">
      <w:numFmt w:val="bullet"/>
      <w:lvlText w:val="•"/>
      <w:lvlJc w:val="left"/>
      <w:pPr>
        <w:ind w:left="1281" w:hanging="142"/>
      </w:pPr>
      <w:rPr>
        <w:rFonts w:hint="default"/>
        <w:lang w:val="en-US" w:eastAsia="en-US" w:bidi="ar-SA"/>
      </w:rPr>
    </w:lvl>
    <w:lvl w:ilvl="5" w:tplc="BC827AC2">
      <w:numFmt w:val="bullet"/>
      <w:lvlText w:val="•"/>
      <w:lvlJc w:val="left"/>
      <w:pPr>
        <w:ind w:left="1541" w:hanging="142"/>
      </w:pPr>
      <w:rPr>
        <w:rFonts w:hint="default"/>
        <w:lang w:val="en-US" w:eastAsia="en-US" w:bidi="ar-SA"/>
      </w:rPr>
    </w:lvl>
    <w:lvl w:ilvl="6" w:tplc="CEFC359C">
      <w:numFmt w:val="bullet"/>
      <w:lvlText w:val="•"/>
      <w:lvlJc w:val="left"/>
      <w:pPr>
        <w:ind w:left="1801" w:hanging="142"/>
      </w:pPr>
      <w:rPr>
        <w:rFonts w:hint="default"/>
        <w:lang w:val="en-US" w:eastAsia="en-US" w:bidi="ar-SA"/>
      </w:rPr>
    </w:lvl>
    <w:lvl w:ilvl="7" w:tplc="0ED20A2C">
      <w:numFmt w:val="bullet"/>
      <w:lvlText w:val="•"/>
      <w:lvlJc w:val="left"/>
      <w:pPr>
        <w:ind w:left="2062" w:hanging="142"/>
      </w:pPr>
      <w:rPr>
        <w:rFonts w:hint="default"/>
        <w:lang w:val="en-US" w:eastAsia="en-US" w:bidi="ar-SA"/>
      </w:rPr>
    </w:lvl>
    <w:lvl w:ilvl="8" w:tplc="ADD8B156">
      <w:numFmt w:val="bullet"/>
      <w:lvlText w:val="•"/>
      <w:lvlJc w:val="left"/>
      <w:pPr>
        <w:ind w:left="2322" w:hanging="142"/>
      </w:pPr>
      <w:rPr>
        <w:rFonts w:hint="default"/>
        <w:lang w:val="en-US" w:eastAsia="en-US" w:bidi="ar-SA"/>
      </w:rPr>
    </w:lvl>
  </w:abstractNum>
  <w:abstractNum w:abstractNumId="46" w15:restartNumberingAfterBreak="0">
    <w:nsid w:val="38955E23"/>
    <w:multiLevelType w:val="hybridMultilevel"/>
    <w:tmpl w:val="FDFC3636"/>
    <w:lvl w:ilvl="0" w:tplc="13EC94BA">
      <w:start w:val="1"/>
      <w:numFmt w:val="bullet"/>
      <w:lvlText w:val=""/>
      <w:lvlJc w:val="left"/>
      <w:pPr>
        <w:ind w:left="720" w:hanging="360"/>
      </w:pPr>
      <w:rPr>
        <w:rFonts w:ascii="Symbol" w:hAnsi="Symbol" w:hint="default"/>
      </w:rPr>
    </w:lvl>
    <w:lvl w:ilvl="1" w:tplc="2AE02CF8">
      <w:start w:val="1"/>
      <w:numFmt w:val="bullet"/>
      <w:lvlText w:val="o"/>
      <w:lvlJc w:val="left"/>
      <w:pPr>
        <w:ind w:left="1440" w:hanging="360"/>
      </w:pPr>
      <w:rPr>
        <w:rFonts w:ascii="Courier New" w:hAnsi="Courier New" w:hint="default"/>
      </w:rPr>
    </w:lvl>
    <w:lvl w:ilvl="2" w:tplc="87DA2A5C">
      <w:start w:val="1"/>
      <w:numFmt w:val="bullet"/>
      <w:lvlText w:val=""/>
      <w:lvlJc w:val="left"/>
      <w:pPr>
        <w:ind w:left="2160" w:hanging="360"/>
      </w:pPr>
      <w:rPr>
        <w:rFonts w:ascii="Wingdings" w:hAnsi="Wingdings" w:hint="default"/>
      </w:rPr>
    </w:lvl>
    <w:lvl w:ilvl="3" w:tplc="831AFBDE">
      <w:start w:val="1"/>
      <w:numFmt w:val="bullet"/>
      <w:lvlText w:val=""/>
      <w:lvlJc w:val="left"/>
      <w:pPr>
        <w:ind w:left="2880" w:hanging="360"/>
      </w:pPr>
      <w:rPr>
        <w:rFonts w:ascii="Symbol" w:hAnsi="Symbol" w:hint="default"/>
      </w:rPr>
    </w:lvl>
    <w:lvl w:ilvl="4" w:tplc="067AF436">
      <w:start w:val="1"/>
      <w:numFmt w:val="bullet"/>
      <w:lvlText w:val="o"/>
      <w:lvlJc w:val="left"/>
      <w:pPr>
        <w:ind w:left="3600" w:hanging="360"/>
      </w:pPr>
      <w:rPr>
        <w:rFonts w:ascii="Courier New" w:hAnsi="Courier New" w:hint="default"/>
      </w:rPr>
    </w:lvl>
    <w:lvl w:ilvl="5" w:tplc="4AB0C02E">
      <w:start w:val="1"/>
      <w:numFmt w:val="bullet"/>
      <w:lvlText w:val=""/>
      <w:lvlJc w:val="left"/>
      <w:pPr>
        <w:ind w:left="4320" w:hanging="360"/>
      </w:pPr>
      <w:rPr>
        <w:rFonts w:ascii="Wingdings" w:hAnsi="Wingdings" w:hint="default"/>
      </w:rPr>
    </w:lvl>
    <w:lvl w:ilvl="6" w:tplc="534AB244">
      <w:start w:val="1"/>
      <w:numFmt w:val="bullet"/>
      <w:lvlText w:val=""/>
      <w:lvlJc w:val="left"/>
      <w:pPr>
        <w:ind w:left="5040" w:hanging="360"/>
      </w:pPr>
      <w:rPr>
        <w:rFonts w:ascii="Symbol" w:hAnsi="Symbol" w:hint="default"/>
      </w:rPr>
    </w:lvl>
    <w:lvl w:ilvl="7" w:tplc="5E845C0E">
      <w:start w:val="1"/>
      <w:numFmt w:val="bullet"/>
      <w:lvlText w:val="o"/>
      <w:lvlJc w:val="left"/>
      <w:pPr>
        <w:ind w:left="5760" w:hanging="360"/>
      </w:pPr>
      <w:rPr>
        <w:rFonts w:ascii="Courier New" w:hAnsi="Courier New" w:hint="default"/>
      </w:rPr>
    </w:lvl>
    <w:lvl w:ilvl="8" w:tplc="081C5F76">
      <w:start w:val="1"/>
      <w:numFmt w:val="bullet"/>
      <w:lvlText w:val=""/>
      <w:lvlJc w:val="left"/>
      <w:pPr>
        <w:ind w:left="6480" w:hanging="360"/>
      </w:pPr>
      <w:rPr>
        <w:rFonts w:ascii="Wingdings" w:hAnsi="Wingdings" w:hint="default"/>
      </w:rPr>
    </w:lvl>
  </w:abstractNum>
  <w:abstractNum w:abstractNumId="47" w15:restartNumberingAfterBreak="0">
    <w:nsid w:val="38F430A1"/>
    <w:multiLevelType w:val="hybridMultilevel"/>
    <w:tmpl w:val="90D6E1BE"/>
    <w:lvl w:ilvl="0" w:tplc="4BB85BA2">
      <w:start w:val="1"/>
      <w:numFmt w:val="bullet"/>
      <w:lvlText w:val=""/>
      <w:lvlJc w:val="left"/>
      <w:pPr>
        <w:tabs>
          <w:tab w:val="num" w:pos="720"/>
        </w:tabs>
        <w:ind w:left="720" w:hanging="360"/>
      </w:pPr>
      <w:rPr>
        <w:rFonts w:ascii="Symbol" w:hAnsi="Symbol" w:hint="default"/>
        <w:sz w:val="20"/>
      </w:rPr>
    </w:lvl>
    <w:lvl w:ilvl="1" w:tplc="B0E24136" w:tentative="1">
      <w:start w:val="1"/>
      <w:numFmt w:val="bullet"/>
      <w:lvlText w:val="o"/>
      <w:lvlJc w:val="left"/>
      <w:pPr>
        <w:tabs>
          <w:tab w:val="num" w:pos="1440"/>
        </w:tabs>
        <w:ind w:left="1440" w:hanging="360"/>
      </w:pPr>
      <w:rPr>
        <w:rFonts w:ascii="Courier New" w:hAnsi="Courier New" w:hint="default"/>
        <w:sz w:val="20"/>
      </w:rPr>
    </w:lvl>
    <w:lvl w:ilvl="2" w:tplc="0E0E7058" w:tentative="1">
      <w:start w:val="1"/>
      <w:numFmt w:val="bullet"/>
      <w:lvlText w:val=""/>
      <w:lvlJc w:val="left"/>
      <w:pPr>
        <w:tabs>
          <w:tab w:val="num" w:pos="2160"/>
        </w:tabs>
        <w:ind w:left="2160" w:hanging="360"/>
      </w:pPr>
      <w:rPr>
        <w:rFonts w:ascii="Wingdings" w:hAnsi="Wingdings" w:hint="default"/>
        <w:sz w:val="20"/>
      </w:rPr>
    </w:lvl>
    <w:lvl w:ilvl="3" w:tplc="8428653E" w:tentative="1">
      <w:start w:val="1"/>
      <w:numFmt w:val="bullet"/>
      <w:lvlText w:val=""/>
      <w:lvlJc w:val="left"/>
      <w:pPr>
        <w:tabs>
          <w:tab w:val="num" w:pos="2880"/>
        </w:tabs>
        <w:ind w:left="2880" w:hanging="360"/>
      </w:pPr>
      <w:rPr>
        <w:rFonts w:ascii="Wingdings" w:hAnsi="Wingdings" w:hint="default"/>
        <w:sz w:val="20"/>
      </w:rPr>
    </w:lvl>
    <w:lvl w:ilvl="4" w:tplc="6B1CA142" w:tentative="1">
      <w:start w:val="1"/>
      <w:numFmt w:val="bullet"/>
      <w:lvlText w:val=""/>
      <w:lvlJc w:val="left"/>
      <w:pPr>
        <w:tabs>
          <w:tab w:val="num" w:pos="3600"/>
        </w:tabs>
        <w:ind w:left="3600" w:hanging="360"/>
      </w:pPr>
      <w:rPr>
        <w:rFonts w:ascii="Wingdings" w:hAnsi="Wingdings" w:hint="default"/>
        <w:sz w:val="20"/>
      </w:rPr>
    </w:lvl>
    <w:lvl w:ilvl="5" w:tplc="E11A634A" w:tentative="1">
      <w:start w:val="1"/>
      <w:numFmt w:val="bullet"/>
      <w:lvlText w:val=""/>
      <w:lvlJc w:val="left"/>
      <w:pPr>
        <w:tabs>
          <w:tab w:val="num" w:pos="4320"/>
        </w:tabs>
        <w:ind w:left="4320" w:hanging="360"/>
      </w:pPr>
      <w:rPr>
        <w:rFonts w:ascii="Wingdings" w:hAnsi="Wingdings" w:hint="default"/>
        <w:sz w:val="20"/>
      </w:rPr>
    </w:lvl>
    <w:lvl w:ilvl="6" w:tplc="789ED028" w:tentative="1">
      <w:start w:val="1"/>
      <w:numFmt w:val="bullet"/>
      <w:lvlText w:val=""/>
      <w:lvlJc w:val="left"/>
      <w:pPr>
        <w:tabs>
          <w:tab w:val="num" w:pos="5040"/>
        </w:tabs>
        <w:ind w:left="5040" w:hanging="360"/>
      </w:pPr>
      <w:rPr>
        <w:rFonts w:ascii="Wingdings" w:hAnsi="Wingdings" w:hint="default"/>
        <w:sz w:val="20"/>
      </w:rPr>
    </w:lvl>
    <w:lvl w:ilvl="7" w:tplc="1F00B7FC" w:tentative="1">
      <w:start w:val="1"/>
      <w:numFmt w:val="bullet"/>
      <w:lvlText w:val=""/>
      <w:lvlJc w:val="left"/>
      <w:pPr>
        <w:tabs>
          <w:tab w:val="num" w:pos="5760"/>
        </w:tabs>
        <w:ind w:left="5760" w:hanging="360"/>
      </w:pPr>
      <w:rPr>
        <w:rFonts w:ascii="Wingdings" w:hAnsi="Wingdings" w:hint="default"/>
        <w:sz w:val="20"/>
      </w:rPr>
    </w:lvl>
    <w:lvl w:ilvl="8" w:tplc="B6A6A4EE"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C4305B1"/>
    <w:multiLevelType w:val="multilevel"/>
    <w:tmpl w:val="1D2C718A"/>
    <w:styleLink w:val="11111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C496D98"/>
    <w:multiLevelType w:val="hybridMultilevel"/>
    <w:tmpl w:val="5E8CBF68"/>
    <w:lvl w:ilvl="0" w:tplc="78BA039E">
      <w:numFmt w:val="bullet"/>
      <w:lvlText w:val="-"/>
      <w:lvlJc w:val="left"/>
      <w:pPr>
        <w:ind w:left="261" w:hanging="180"/>
      </w:pPr>
      <w:rPr>
        <w:rFonts w:ascii="Calibri" w:eastAsia="Calibri" w:hAnsi="Calibri" w:cs="Calibri" w:hint="default"/>
        <w:b w:val="0"/>
        <w:bCs w:val="0"/>
        <w:i w:val="0"/>
        <w:iCs w:val="0"/>
        <w:spacing w:val="0"/>
        <w:w w:val="99"/>
        <w:sz w:val="20"/>
        <w:szCs w:val="20"/>
        <w:lang w:val="en-US" w:eastAsia="en-US" w:bidi="ar-SA"/>
      </w:rPr>
    </w:lvl>
    <w:lvl w:ilvl="1" w:tplc="09985D14">
      <w:numFmt w:val="bullet"/>
      <w:lvlText w:val="•"/>
      <w:lvlJc w:val="left"/>
      <w:pPr>
        <w:ind w:left="494" w:hanging="180"/>
      </w:pPr>
      <w:rPr>
        <w:rFonts w:hint="default"/>
        <w:lang w:val="en-US" w:eastAsia="en-US" w:bidi="ar-SA"/>
      </w:rPr>
    </w:lvl>
    <w:lvl w:ilvl="2" w:tplc="38E620AA">
      <w:numFmt w:val="bullet"/>
      <w:lvlText w:val="•"/>
      <w:lvlJc w:val="left"/>
      <w:pPr>
        <w:ind w:left="728" w:hanging="180"/>
      </w:pPr>
      <w:rPr>
        <w:rFonts w:hint="default"/>
        <w:lang w:val="en-US" w:eastAsia="en-US" w:bidi="ar-SA"/>
      </w:rPr>
    </w:lvl>
    <w:lvl w:ilvl="3" w:tplc="62328792">
      <w:numFmt w:val="bullet"/>
      <w:lvlText w:val="•"/>
      <w:lvlJc w:val="left"/>
      <w:pPr>
        <w:ind w:left="962" w:hanging="180"/>
      </w:pPr>
      <w:rPr>
        <w:rFonts w:hint="default"/>
        <w:lang w:val="en-US" w:eastAsia="en-US" w:bidi="ar-SA"/>
      </w:rPr>
    </w:lvl>
    <w:lvl w:ilvl="4" w:tplc="768A16B4">
      <w:numFmt w:val="bullet"/>
      <w:lvlText w:val="•"/>
      <w:lvlJc w:val="left"/>
      <w:pPr>
        <w:ind w:left="1197" w:hanging="180"/>
      </w:pPr>
      <w:rPr>
        <w:rFonts w:hint="default"/>
        <w:lang w:val="en-US" w:eastAsia="en-US" w:bidi="ar-SA"/>
      </w:rPr>
    </w:lvl>
    <w:lvl w:ilvl="5" w:tplc="64EC49FE">
      <w:numFmt w:val="bullet"/>
      <w:lvlText w:val="•"/>
      <w:lvlJc w:val="left"/>
      <w:pPr>
        <w:ind w:left="1431" w:hanging="180"/>
      </w:pPr>
      <w:rPr>
        <w:rFonts w:hint="default"/>
        <w:lang w:val="en-US" w:eastAsia="en-US" w:bidi="ar-SA"/>
      </w:rPr>
    </w:lvl>
    <w:lvl w:ilvl="6" w:tplc="15A250C0">
      <w:numFmt w:val="bullet"/>
      <w:lvlText w:val="•"/>
      <w:lvlJc w:val="left"/>
      <w:pPr>
        <w:ind w:left="1665" w:hanging="180"/>
      </w:pPr>
      <w:rPr>
        <w:rFonts w:hint="default"/>
        <w:lang w:val="en-US" w:eastAsia="en-US" w:bidi="ar-SA"/>
      </w:rPr>
    </w:lvl>
    <w:lvl w:ilvl="7" w:tplc="62E44FF4">
      <w:numFmt w:val="bullet"/>
      <w:lvlText w:val="•"/>
      <w:lvlJc w:val="left"/>
      <w:pPr>
        <w:ind w:left="1900" w:hanging="180"/>
      </w:pPr>
      <w:rPr>
        <w:rFonts w:hint="default"/>
        <w:lang w:val="en-US" w:eastAsia="en-US" w:bidi="ar-SA"/>
      </w:rPr>
    </w:lvl>
    <w:lvl w:ilvl="8" w:tplc="9760EBF8">
      <w:numFmt w:val="bullet"/>
      <w:lvlText w:val="•"/>
      <w:lvlJc w:val="left"/>
      <w:pPr>
        <w:ind w:left="2134" w:hanging="180"/>
      </w:pPr>
      <w:rPr>
        <w:rFonts w:hint="default"/>
        <w:lang w:val="en-US" w:eastAsia="en-US" w:bidi="ar-SA"/>
      </w:rPr>
    </w:lvl>
  </w:abstractNum>
  <w:abstractNum w:abstractNumId="50" w15:restartNumberingAfterBreak="0">
    <w:nsid w:val="3C8F72AA"/>
    <w:multiLevelType w:val="hybridMultilevel"/>
    <w:tmpl w:val="7D4A185C"/>
    <w:lvl w:ilvl="0" w:tplc="E26E3894">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en-US" w:eastAsia="en-US" w:bidi="ar-SA"/>
      </w:rPr>
    </w:lvl>
    <w:lvl w:ilvl="1" w:tplc="12967AD4">
      <w:numFmt w:val="bullet"/>
      <w:lvlText w:val="•"/>
      <w:lvlJc w:val="left"/>
      <w:pPr>
        <w:ind w:left="323" w:hanging="118"/>
      </w:pPr>
      <w:rPr>
        <w:rFonts w:hint="default"/>
        <w:lang w:val="en-US" w:eastAsia="en-US" w:bidi="ar-SA"/>
      </w:rPr>
    </w:lvl>
    <w:lvl w:ilvl="2" w:tplc="B632449C">
      <w:numFmt w:val="bullet"/>
      <w:lvlText w:val="•"/>
      <w:lvlJc w:val="left"/>
      <w:pPr>
        <w:ind w:left="546" w:hanging="118"/>
      </w:pPr>
      <w:rPr>
        <w:rFonts w:hint="default"/>
        <w:lang w:val="en-US" w:eastAsia="en-US" w:bidi="ar-SA"/>
      </w:rPr>
    </w:lvl>
    <w:lvl w:ilvl="3" w:tplc="90164604">
      <w:numFmt w:val="bullet"/>
      <w:lvlText w:val="•"/>
      <w:lvlJc w:val="left"/>
      <w:pPr>
        <w:ind w:left="769" w:hanging="118"/>
      </w:pPr>
      <w:rPr>
        <w:rFonts w:hint="default"/>
        <w:lang w:val="en-US" w:eastAsia="en-US" w:bidi="ar-SA"/>
      </w:rPr>
    </w:lvl>
    <w:lvl w:ilvl="4" w:tplc="9B80049C">
      <w:numFmt w:val="bullet"/>
      <w:lvlText w:val="•"/>
      <w:lvlJc w:val="left"/>
      <w:pPr>
        <w:ind w:left="992" w:hanging="118"/>
      </w:pPr>
      <w:rPr>
        <w:rFonts w:hint="default"/>
        <w:lang w:val="en-US" w:eastAsia="en-US" w:bidi="ar-SA"/>
      </w:rPr>
    </w:lvl>
    <w:lvl w:ilvl="5" w:tplc="403A8274">
      <w:numFmt w:val="bullet"/>
      <w:lvlText w:val="•"/>
      <w:lvlJc w:val="left"/>
      <w:pPr>
        <w:ind w:left="1215" w:hanging="118"/>
      </w:pPr>
      <w:rPr>
        <w:rFonts w:hint="default"/>
        <w:lang w:val="en-US" w:eastAsia="en-US" w:bidi="ar-SA"/>
      </w:rPr>
    </w:lvl>
    <w:lvl w:ilvl="6" w:tplc="22C08E6A">
      <w:numFmt w:val="bullet"/>
      <w:lvlText w:val="•"/>
      <w:lvlJc w:val="left"/>
      <w:pPr>
        <w:ind w:left="1438" w:hanging="118"/>
      </w:pPr>
      <w:rPr>
        <w:rFonts w:hint="default"/>
        <w:lang w:val="en-US" w:eastAsia="en-US" w:bidi="ar-SA"/>
      </w:rPr>
    </w:lvl>
    <w:lvl w:ilvl="7" w:tplc="01BE4878">
      <w:numFmt w:val="bullet"/>
      <w:lvlText w:val="•"/>
      <w:lvlJc w:val="left"/>
      <w:pPr>
        <w:ind w:left="1661" w:hanging="118"/>
      </w:pPr>
      <w:rPr>
        <w:rFonts w:hint="default"/>
        <w:lang w:val="en-US" w:eastAsia="en-US" w:bidi="ar-SA"/>
      </w:rPr>
    </w:lvl>
    <w:lvl w:ilvl="8" w:tplc="98289C30">
      <w:numFmt w:val="bullet"/>
      <w:lvlText w:val="•"/>
      <w:lvlJc w:val="left"/>
      <w:pPr>
        <w:ind w:left="1884" w:hanging="118"/>
      </w:pPr>
      <w:rPr>
        <w:rFonts w:hint="default"/>
        <w:lang w:val="en-US" w:eastAsia="en-US" w:bidi="ar-SA"/>
      </w:rPr>
    </w:lvl>
  </w:abstractNum>
  <w:abstractNum w:abstractNumId="51" w15:restartNumberingAfterBreak="0">
    <w:nsid w:val="3ECB2126"/>
    <w:multiLevelType w:val="multilevel"/>
    <w:tmpl w:val="C9928C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FB078A8"/>
    <w:multiLevelType w:val="hybridMultilevel"/>
    <w:tmpl w:val="14C88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3FEB6D44"/>
    <w:multiLevelType w:val="hybridMultilevel"/>
    <w:tmpl w:val="2D1AA7D2"/>
    <w:lvl w:ilvl="0" w:tplc="8E04B3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DE347C"/>
    <w:multiLevelType w:val="hybridMultilevel"/>
    <w:tmpl w:val="59B6FC28"/>
    <w:lvl w:ilvl="0" w:tplc="536E2508">
      <w:numFmt w:val="bullet"/>
      <w:lvlText w:val="-"/>
      <w:lvlJc w:val="left"/>
      <w:pPr>
        <w:ind w:left="264" w:hanging="180"/>
      </w:pPr>
      <w:rPr>
        <w:rFonts w:ascii="Calibri" w:eastAsia="Calibri" w:hAnsi="Calibri" w:cs="Calibri" w:hint="default"/>
        <w:b w:val="0"/>
        <w:bCs w:val="0"/>
        <w:i w:val="0"/>
        <w:iCs w:val="0"/>
        <w:spacing w:val="0"/>
        <w:w w:val="99"/>
        <w:sz w:val="20"/>
        <w:szCs w:val="20"/>
        <w:lang w:val="en-US" w:eastAsia="en-US" w:bidi="ar-SA"/>
      </w:rPr>
    </w:lvl>
    <w:lvl w:ilvl="1" w:tplc="197268C0">
      <w:numFmt w:val="bullet"/>
      <w:lvlText w:val="•"/>
      <w:lvlJc w:val="left"/>
      <w:pPr>
        <w:ind w:left="518" w:hanging="180"/>
      </w:pPr>
      <w:rPr>
        <w:rFonts w:hint="default"/>
        <w:lang w:val="en-US" w:eastAsia="en-US" w:bidi="ar-SA"/>
      </w:rPr>
    </w:lvl>
    <w:lvl w:ilvl="2" w:tplc="E7F2F312">
      <w:numFmt w:val="bullet"/>
      <w:lvlText w:val="•"/>
      <w:lvlJc w:val="left"/>
      <w:pPr>
        <w:ind w:left="776" w:hanging="180"/>
      </w:pPr>
      <w:rPr>
        <w:rFonts w:hint="default"/>
        <w:lang w:val="en-US" w:eastAsia="en-US" w:bidi="ar-SA"/>
      </w:rPr>
    </w:lvl>
    <w:lvl w:ilvl="3" w:tplc="8B3AA202">
      <w:numFmt w:val="bullet"/>
      <w:lvlText w:val="•"/>
      <w:lvlJc w:val="left"/>
      <w:pPr>
        <w:ind w:left="1034" w:hanging="180"/>
      </w:pPr>
      <w:rPr>
        <w:rFonts w:hint="default"/>
        <w:lang w:val="en-US" w:eastAsia="en-US" w:bidi="ar-SA"/>
      </w:rPr>
    </w:lvl>
    <w:lvl w:ilvl="4" w:tplc="A3B4E2CA">
      <w:numFmt w:val="bullet"/>
      <w:lvlText w:val="•"/>
      <w:lvlJc w:val="left"/>
      <w:pPr>
        <w:ind w:left="1293" w:hanging="180"/>
      </w:pPr>
      <w:rPr>
        <w:rFonts w:hint="default"/>
        <w:lang w:val="en-US" w:eastAsia="en-US" w:bidi="ar-SA"/>
      </w:rPr>
    </w:lvl>
    <w:lvl w:ilvl="5" w:tplc="F2789D00">
      <w:numFmt w:val="bullet"/>
      <w:lvlText w:val="•"/>
      <w:lvlJc w:val="left"/>
      <w:pPr>
        <w:ind w:left="1551" w:hanging="180"/>
      </w:pPr>
      <w:rPr>
        <w:rFonts w:hint="default"/>
        <w:lang w:val="en-US" w:eastAsia="en-US" w:bidi="ar-SA"/>
      </w:rPr>
    </w:lvl>
    <w:lvl w:ilvl="6" w:tplc="A1827746">
      <w:numFmt w:val="bullet"/>
      <w:lvlText w:val="•"/>
      <w:lvlJc w:val="left"/>
      <w:pPr>
        <w:ind w:left="1809" w:hanging="180"/>
      </w:pPr>
      <w:rPr>
        <w:rFonts w:hint="default"/>
        <w:lang w:val="en-US" w:eastAsia="en-US" w:bidi="ar-SA"/>
      </w:rPr>
    </w:lvl>
    <w:lvl w:ilvl="7" w:tplc="54EEC984">
      <w:numFmt w:val="bullet"/>
      <w:lvlText w:val="•"/>
      <w:lvlJc w:val="left"/>
      <w:pPr>
        <w:ind w:left="2068" w:hanging="180"/>
      </w:pPr>
      <w:rPr>
        <w:rFonts w:hint="default"/>
        <w:lang w:val="en-US" w:eastAsia="en-US" w:bidi="ar-SA"/>
      </w:rPr>
    </w:lvl>
    <w:lvl w:ilvl="8" w:tplc="73EA6560">
      <w:numFmt w:val="bullet"/>
      <w:lvlText w:val="•"/>
      <w:lvlJc w:val="left"/>
      <w:pPr>
        <w:ind w:left="2326" w:hanging="180"/>
      </w:pPr>
      <w:rPr>
        <w:rFonts w:hint="default"/>
        <w:lang w:val="en-US" w:eastAsia="en-US" w:bidi="ar-SA"/>
      </w:rPr>
    </w:lvl>
  </w:abstractNum>
  <w:abstractNum w:abstractNumId="55" w15:restartNumberingAfterBreak="0">
    <w:nsid w:val="42AAD199"/>
    <w:multiLevelType w:val="hybridMultilevel"/>
    <w:tmpl w:val="FFFFFFFF"/>
    <w:lvl w:ilvl="0" w:tplc="1DB65182">
      <w:start w:val="1"/>
      <w:numFmt w:val="bullet"/>
      <w:lvlText w:val=""/>
      <w:lvlJc w:val="left"/>
      <w:pPr>
        <w:ind w:left="720" w:hanging="360"/>
      </w:pPr>
      <w:rPr>
        <w:rFonts w:ascii="Symbol" w:hAnsi="Symbol" w:hint="default"/>
      </w:rPr>
    </w:lvl>
    <w:lvl w:ilvl="1" w:tplc="797ADA74">
      <w:start w:val="1"/>
      <w:numFmt w:val="bullet"/>
      <w:lvlText w:val="o"/>
      <w:lvlJc w:val="left"/>
      <w:pPr>
        <w:ind w:left="1440" w:hanging="360"/>
      </w:pPr>
      <w:rPr>
        <w:rFonts w:ascii="Courier New" w:hAnsi="Courier New" w:hint="default"/>
      </w:rPr>
    </w:lvl>
    <w:lvl w:ilvl="2" w:tplc="3266E046">
      <w:start w:val="1"/>
      <w:numFmt w:val="bullet"/>
      <w:lvlText w:val=""/>
      <w:lvlJc w:val="left"/>
      <w:pPr>
        <w:ind w:left="2160" w:hanging="360"/>
      </w:pPr>
      <w:rPr>
        <w:rFonts w:ascii="Wingdings" w:hAnsi="Wingdings" w:hint="default"/>
      </w:rPr>
    </w:lvl>
    <w:lvl w:ilvl="3" w:tplc="7F36AD98">
      <w:start w:val="1"/>
      <w:numFmt w:val="bullet"/>
      <w:lvlText w:val=""/>
      <w:lvlJc w:val="left"/>
      <w:pPr>
        <w:ind w:left="2880" w:hanging="360"/>
      </w:pPr>
      <w:rPr>
        <w:rFonts w:ascii="Symbol" w:hAnsi="Symbol" w:hint="default"/>
      </w:rPr>
    </w:lvl>
    <w:lvl w:ilvl="4" w:tplc="21287C56">
      <w:start w:val="1"/>
      <w:numFmt w:val="bullet"/>
      <w:lvlText w:val="o"/>
      <w:lvlJc w:val="left"/>
      <w:pPr>
        <w:ind w:left="3600" w:hanging="360"/>
      </w:pPr>
      <w:rPr>
        <w:rFonts w:ascii="Courier New" w:hAnsi="Courier New" w:hint="default"/>
      </w:rPr>
    </w:lvl>
    <w:lvl w:ilvl="5" w:tplc="85187F12">
      <w:start w:val="1"/>
      <w:numFmt w:val="bullet"/>
      <w:lvlText w:val=""/>
      <w:lvlJc w:val="left"/>
      <w:pPr>
        <w:ind w:left="4320" w:hanging="360"/>
      </w:pPr>
      <w:rPr>
        <w:rFonts w:ascii="Wingdings" w:hAnsi="Wingdings" w:hint="default"/>
      </w:rPr>
    </w:lvl>
    <w:lvl w:ilvl="6" w:tplc="5BECED64">
      <w:start w:val="1"/>
      <w:numFmt w:val="bullet"/>
      <w:lvlText w:val=""/>
      <w:lvlJc w:val="left"/>
      <w:pPr>
        <w:ind w:left="5040" w:hanging="360"/>
      </w:pPr>
      <w:rPr>
        <w:rFonts w:ascii="Symbol" w:hAnsi="Symbol" w:hint="default"/>
      </w:rPr>
    </w:lvl>
    <w:lvl w:ilvl="7" w:tplc="D05AC528">
      <w:start w:val="1"/>
      <w:numFmt w:val="bullet"/>
      <w:lvlText w:val="o"/>
      <w:lvlJc w:val="left"/>
      <w:pPr>
        <w:ind w:left="5760" w:hanging="360"/>
      </w:pPr>
      <w:rPr>
        <w:rFonts w:ascii="Courier New" w:hAnsi="Courier New" w:hint="default"/>
      </w:rPr>
    </w:lvl>
    <w:lvl w:ilvl="8" w:tplc="367A7212">
      <w:start w:val="1"/>
      <w:numFmt w:val="bullet"/>
      <w:lvlText w:val=""/>
      <w:lvlJc w:val="left"/>
      <w:pPr>
        <w:ind w:left="6480" w:hanging="360"/>
      </w:pPr>
      <w:rPr>
        <w:rFonts w:ascii="Wingdings" w:hAnsi="Wingdings" w:hint="default"/>
      </w:rPr>
    </w:lvl>
  </w:abstractNum>
  <w:abstractNum w:abstractNumId="56" w15:restartNumberingAfterBreak="0">
    <w:nsid w:val="42FE5941"/>
    <w:multiLevelType w:val="multilevel"/>
    <w:tmpl w:val="74C2B842"/>
    <w:lvl w:ilvl="0">
      <w:start w:val="1"/>
      <w:numFmt w:val="decimal"/>
      <w:lvlText w:val="%1."/>
      <w:lvlJc w:val="left"/>
      <w:pPr>
        <w:tabs>
          <w:tab w:val="num" w:pos="1068"/>
        </w:tabs>
        <w:ind w:left="1068" w:hanging="360"/>
      </w:pPr>
    </w:lvl>
    <w:lvl w:ilvl="1">
      <w:numFmt w:val="bullet"/>
      <w:lvlText w:val="-"/>
      <w:lvlJc w:val="left"/>
      <w:pPr>
        <w:ind w:left="1788" w:hanging="360"/>
      </w:pPr>
      <w:rPr>
        <w:rFonts w:ascii="Times New Roman" w:eastAsia="Helvetica" w:hAnsi="Times New Roman" w:cs="Times New Roman" w:hint="default"/>
        <w:sz w:val="22"/>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7" w15:restartNumberingAfterBreak="0">
    <w:nsid w:val="43781D3C"/>
    <w:multiLevelType w:val="hybridMultilevel"/>
    <w:tmpl w:val="F790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C8779A"/>
    <w:multiLevelType w:val="hybridMultilevel"/>
    <w:tmpl w:val="FFFFFFFF"/>
    <w:lvl w:ilvl="0" w:tplc="6E624268">
      <w:start w:val="1"/>
      <w:numFmt w:val="bullet"/>
      <w:lvlText w:val=""/>
      <w:lvlJc w:val="left"/>
      <w:pPr>
        <w:ind w:left="720" w:hanging="360"/>
      </w:pPr>
      <w:rPr>
        <w:rFonts w:ascii="Symbol" w:hAnsi="Symbol" w:hint="default"/>
      </w:rPr>
    </w:lvl>
    <w:lvl w:ilvl="1" w:tplc="E7BA63CA">
      <w:start w:val="1"/>
      <w:numFmt w:val="bullet"/>
      <w:lvlText w:val="o"/>
      <w:lvlJc w:val="left"/>
      <w:pPr>
        <w:ind w:left="1440" w:hanging="360"/>
      </w:pPr>
      <w:rPr>
        <w:rFonts w:ascii="Courier New" w:hAnsi="Courier New" w:hint="default"/>
      </w:rPr>
    </w:lvl>
    <w:lvl w:ilvl="2" w:tplc="B5540328">
      <w:start w:val="1"/>
      <w:numFmt w:val="bullet"/>
      <w:lvlText w:val=""/>
      <w:lvlJc w:val="left"/>
      <w:pPr>
        <w:ind w:left="2160" w:hanging="360"/>
      </w:pPr>
      <w:rPr>
        <w:rFonts w:ascii="Wingdings" w:hAnsi="Wingdings" w:hint="default"/>
      </w:rPr>
    </w:lvl>
    <w:lvl w:ilvl="3" w:tplc="66B23FBE">
      <w:start w:val="1"/>
      <w:numFmt w:val="bullet"/>
      <w:lvlText w:val=""/>
      <w:lvlJc w:val="left"/>
      <w:pPr>
        <w:ind w:left="2880" w:hanging="360"/>
      </w:pPr>
      <w:rPr>
        <w:rFonts w:ascii="Symbol" w:hAnsi="Symbol" w:hint="default"/>
      </w:rPr>
    </w:lvl>
    <w:lvl w:ilvl="4" w:tplc="CAC47790">
      <w:start w:val="1"/>
      <w:numFmt w:val="bullet"/>
      <w:lvlText w:val="o"/>
      <w:lvlJc w:val="left"/>
      <w:pPr>
        <w:ind w:left="3600" w:hanging="360"/>
      </w:pPr>
      <w:rPr>
        <w:rFonts w:ascii="Courier New" w:hAnsi="Courier New" w:hint="default"/>
      </w:rPr>
    </w:lvl>
    <w:lvl w:ilvl="5" w:tplc="57CE1242">
      <w:start w:val="1"/>
      <w:numFmt w:val="bullet"/>
      <w:lvlText w:val=""/>
      <w:lvlJc w:val="left"/>
      <w:pPr>
        <w:ind w:left="4320" w:hanging="360"/>
      </w:pPr>
      <w:rPr>
        <w:rFonts w:ascii="Wingdings" w:hAnsi="Wingdings" w:hint="default"/>
      </w:rPr>
    </w:lvl>
    <w:lvl w:ilvl="6" w:tplc="D832A25A">
      <w:start w:val="1"/>
      <w:numFmt w:val="bullet"/>
      <w:lvlText w:val=""/>
      <w:lvlJc w:val="left"/>
      <w:pPr>
        <w:ind w:left="5040" w:hanging="360"/>
      </w:pPr>
      <w:rPr>
        <w:rFonts w:ascii="Symbol" w:hAnsi="Symbol" w:hint="default"/>
      </w:rPr>
    </w:lvl>
    <w:lvl w:ilvl="7" w:tplc="EA207E0A">
      <w:start w:val="1"/>
      <w:numFmt w:val="bullet"/>
      <w:lvlText w:val="o"/>
      <w:lvlJc w:val="left"/>
      <w:pPr>
        <w:ind w:left="5760" w:hanging="360"/>
      </w:pPr>
      <w:rPr>
        <w:rFonts w:ascii="Courier New" w:hAnsi="Courier New" w:hint="default"/>
      </w:rPr>
    </w:lvl>
    <w:lvl w:ilvl="8" w:tplc="D1C03ED4">
      <w:start w:val="1"/>
      <w:numFmt w:val="bullet"/>
      <w:lvlText w:val=""/>
      <w:lvlJc w:val="left"/>
      <w:pPr>
        <w:ind w:left="6480" w:hanging="360"/>
      </w:pPr>
      <w:rPr>
        <w:rFonts w:ascii="Wingdings" w:hAnsi="Wingdings" w:hint="default"/>
      </w:rPr>
    </w:lvl>
  </w:abstractNum>
  <w:abstractNum w:abstractNumId="59" w15:restartNumberingAfterBreak="0">
    <w:nsid w:val="465F7AA2"/>
    <w:multiLevelType w:val="hybridMultilevel"/>
    <w:tmpl w:val="CD54C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C0A667D"/>
    <w:multiLevelType w:val="hybridMultilevel"/>
    <w:tmpl w:val="20388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B87902"/>
    <w:multiLevelType w:val="hybridMultilevel"/>
    <w:tmpl w:val="0E86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485B33"/>
    <w:multiLevelType w:val="hybridMultilevel"/>
    <w:tmpl w:val="0040FBEA"/>
    <w:lvl w:ilvl="0" w:tplc="D9203CA0">
      <w:numFmt w:val="bullet"/>
      <w:lvlText w:val="-"/>
      <w:lvlJc w:val="left"/>
      <w:pPr>
        <w:ind w:left="203" w:hanging="142"/>
      </w:pPr>
      <w:rPr>
        <w:rFonts w:ascii="Calibri" w:eastAsia="Calibri" w:hAnsi="Calibri" w:cs="Calibri" w:hint="default"/>
        <w:b w:val="0"/>
        <w:bCs w:val="0"/>
        <w:i w:val="0"/>
        <w:iCs w:val="0"/>
        <w:spacing w:val="0"/>
        <w:w w:val="99"/>
        <w:sz w:val="20"/>
        <w:szCs w:val="20"/>
        <w:lang w:val="en-US" w:eastAsia="en-US" w:bidi="ar-SA"/>
      </w:rPr>
    </w:lvl>
    <w:lvl w:ilvl="1" w:tplc="519086EE">
      <w:numFmt w:val="bullet"/>
      <w:lvlText w:val="•"/>
      <w:lvlJc w:val="left"/>
      <w:pPr>
        <w:ind w:left="413" w:hanging="142"/>
      </w:pPr>
      <w:rPr>
        <w:rFonts w:hint="default"/>
        <w:lang w:val="en-US" w:eastAsia="en-US" w:bidi="ar-SA"/>
      </w:rPr>
    </w:lvl>
    <w:lvl w:ilvl="2" w:tplc="CA2E007C">
      <w:numFmt w:val="bullet"/>
      <w:lvlText w:val="•"/>
      <w:lvlJc w:val="left"/>
      <w:pPr>
        <w:ind w:left="626" w:hanging="142"/>
      </w:pPr>
      <w:rPr>
        <w:rFonts w:hint="default"/>
        <w:lang w:val="en-US" w:eastAsia="en-US" w:bidi="ar-SA"/>
      </w:rPr>
    </w:lvl>
    <w:lvl w:ilvl="3" w:tplc="E480AB18">
      <w:numFmt w:val="bullet"/>
      <w:lvlText w:val="•"/>
      <w:lvlJc w:val="left"/>
      <w:pPr>
        <w:ind w:left="839" w:hanging="142"/>
      </w:pPr>
      <w:rPr>
        <w:rFonts w:hint="default"/>
        <w:lang w:val="en-US" w:eastAsia="en-US" w:bidi="ar-SA"/>
      </w:rPr>
    </w:lvl>
    <w:lvl w:ilvl="4" w:tplc="222E80B0">
      <w:numFmt w:val="bullet"/>
      <w:lvlText w:val="•"/>
      <w:lvlJc w:val="left"/>
      <w:pPr>
        <w:ind w:left="1052" w:hanging="142"/>
      </w:pPr>
      <w:rPr>
        <w:rFonts w:hint="default"/>
        <w:lang w:val="en-US" w:eastAsia="en-US" w:bidi="ar-SA"/>
      </w:rPr>
    </w:lvl>
    <w:lvl w:ilvl="5" w:tplc="60D68AFC">
      <w:numFmt w:val="bullet"/>
      <w:lvlText w:val="•"/>
      <w:lvlJc w:val="left"/>
      <w:pPr>
        <w:ind w:left="1265" w:hanging="142"/>
      </w:pPr>
      <w:rPr>
        <w:rFonts w:hint="default"/>
        <w:lang w:val="en-US" w:eastAsia="en-US" w:bidi="ar-SA"/>
      </w:rPr>
    </w:lvl>
    <w:lvl w:ilvl="6" w:tplc="519C5B7C">
      <w:numFmt w:val="bullet"/>
      <w:lvlText w:val="•"/>
      <w:lvlJc w:val="left"/>
      <w:pPr>
        <w:ind w:left="1478" w:hanging="142"/>
      </w:pPr>
      <w:rPr>
        <w:rFonts w:hint="default"/>
        <w:lang w:val="en-US" w:eastAsia="en-US" w:bidi="ar-SA"/>
      </w:rPr>
    </w:lvl>
    <w:lvl w:ilvl="7" w:tplc="2244F010">
      <w:numFmt w:val="bullet"/>
      <w:lvlText w:val="•"/>
      <w:lvlJc w:val="left"/>
      <w:pPr>
        <w:ind w:left="1691" w:hanging="142"/>
      </w:pPr>
      <w:rPr>
        <w:rFonts w:hint="default"/>
        <w:lang w:val="en-US" w:eastAsia="en-US" w:bidi="ar-SA"/>
      </w:rPr>
    </w:lvl>
    <w:lvl w:ilvl="8" w:tplc="36500E70">
      <w:numFmt w:val="bullet"/>
      <w:lvlText w:val="•"/>
      <w:lvlJc w:val="left"/>
      <w:pPr>
        <w:ind w:left="1904" w:hanging="142"/>
      </w:pPr>
      <w:rPr>
        <w:rFonts w:hint="default"/>
        <w:lang w:val="en-US" w:eastAsia="en-US" w:bidi="ar-SA"/>
      </w:rPr>
    </w:lvl>
  </w:abstractNum>
  <w:abstractNum w:abstractNumId="63" w15:restartNumberingAfterBreak="0">
    <w:nsid w:val="4F8E3AA5"/>
    <w:multiLevelType w:val="hybridMultilevel"/>
    <w:tmpl w:val="2D5A4FE8"/>
    <w:lvl w:ilvl="0" w:tplc="F89E9092">
      <w:numFmt w:val="bullet"/>
      <w:lvlText w:val="-"/>
      <w:lvlJc w:val="left"/>
      <w:pPr>
        <w:ind w:left="203" w:hanging="142"/>
      </w:pPr>
      <w:rPr>
        <w:rFonts w:ascii="Calibri" w:eastAsia="Calibri" w:hAnsi="Calibri" w:cs="Calibri" w:hint="default"/>
        <w:b w:val="0"/>
        <w:bCs w:val="0"/>
        <w:i w:val="0"/>
        <w:iCs w:val="0"/>
        <w:spacing w:val="0"/>
        <w:w w:val="99"/>
        <w:sz w:val="20"/>
        <w:szCs w:val="20"/>
        <w:lang w:val="en-US" w:eastAsia="en-US" w:bidi="ar-SA"/>
      </w:rPr>
    </w:lvl>
    <w:lvl w:ilvl="1" w:tplc="A4783A10">
      <w:numFmt w:val="bullet"/>
      <w:lvlText w:val="•"/>
      <w:lvlJc w:val="left"/>
      <w:pPr>
        <w:ind w:left="413" w:hanging="142"/>
      </w:pPr>
      <w:rPr>
        <w:rFonts w:hint="default"/>
        <w:lang w:val="en-US" w:eastAsia="en-US" w:bidi="ar-SA"/>
      </w:rPr>
    </w:lvl>
    <w:lvl w:ilvl="2" w:tplc="CF0A4BE2">
      <w:numFmt w:val="bullet"/>
      <w:lvlText w:val="•"/>
      <w:lvlJc w:val="left"/>
      <w:pPr>
        <w:ind w:left="626" w:hanging="142"/>
      </w:pPr>
      <w:rPr>
        <w:rFonts w:hint="default"/>
        <w:lang w:val="en-US" w:eastAsia="en-US" w:bidi="ar-SA"/>
      </w:rPr>
    </w:lvl>
    <w:lvl w:ilvl="3" w:tplc="72D4BEDC">
      <w:numFmt w:val="bullet"/>
      <w:lvlText w:val="•"/>
      <w:lvlJc w:val="left"/>
      <w:pPr>
        <w:ind w:left="839" w:hanging="142"/>
      </w:pPr>
      <w:rPr>
        <w:rFonts w:hint="default"/>
        <w:lang w:val="en-US" w:eastAsia="en-US" w:bidi="ar-SA"/>
      </w:rPr>
    </w:lvl>
    <w:lvl w:ilvl="4" w:tplc="6EB491A0">
      <w:numFmt w:val="bullet"/>
      <w:lvlText w:val="•"/>
      <w:lvlJc w:val="left"/>
      <w:pPr>
        <w:ind w:left="1052" w:hanging="142"/>
      </w:pPr>
      <w:rPr>
        <w:rFonts w:hint="default"/>
        <w:lang w:val="en-US" w:eastAsia="en-US" w:bidi="ar-SA"/>
      </w:rPr>
    </w:lvl>
    <w:lvl w:ilvl="5" w:tplc="285E1158">
      <w:numFmt w:val="bullet"/>
      <w:lvlText w:val="•"/>
      <w:lvlJc w:val="left"/>
      <w:pPr>
        <w:ind w:left="1265" w:hanging="142"/>
      </w:pPr>
      <w:rPr>
        <w:rFonts w:hint="default"/>
        <w:lang w:val="en-US" w:eastAsia="en-US" w:bidi="ar-SA"/>
      </w:rPr>
    </w:lvl>
    <w:lvl w:ilvl="6" w:tplc="9BEE8FD8">
      <w:numFmt w:val="bullet"/>
      <w:lvlText w:val="•"/>
      <w:lvlJc w:val="left"/>
      <w:pPr>
        <w:ind w:left="1478" w:hanging="142"/>
      </w:pPr>
      <w:rPr>
        <w:rFonts w:hint="default"/>
        <w:lang w:val="en-US" w:eastAsia="en-US" w:bidi="ar-SA"/>
      </w:rPr>
    </w:lvl>
    <w:lvl w:ilvl="7" w:tplc="F45C334E">
      <w:numFmt w:val="bullet"/>
      <w:lvlText w:val="•"/>
      <w:lvlJc w:val="left"/>
      <w:pPr>
        <w:ind w:left="1691" w:hanging="142"/>
      </w:pPr>
      <w:rPr>
        <w:rFonts w:hint="default"/>
        <w:lang w:val="en-US" w:eastAsia="en-US" w:bidi="ar-SA"/>
      </w:rPr>
    </w:lvl>
    <w:lvl w:ilvl="8" w:tplc="B1FCB812">
      <w:numFmt w:val="bullet"/>
      <w:lvlText w:val="•"/>
      <w:lvlJc w:val="left"/>
      <w:pPr>
        <w:ind w:left="1904" w:hanging="142"/>
      </w:pPr>
      <w:rPr>
        <w:rFonts w:hint="default"/>
        <w:lang w:val="en-US" w:eastAsia="en-US" w:bidi="ar-SA"/>
      </w:rPr>
    </w:lvl>
  </w:abstractNum>
  <w:abstractNum w:abstractNumId="64" w15:restartNumberingAfterBreak="0">
    <w:nsid w:val="5223F366"/>
    <w:multiLevelType w:val="hybridMultilevel"/>
    <w:tmpl w:val="FFFFFFFF"/>
    <w:lvl w:ilvl="0" w:tplc="4702715C">
      <w:start w:val="1"/>
      <w:numFmt w:val="bullet"/>
      <w:lvlText w:val="-"/>
      <w:lvlJc w:val="left"/>
      <w:pPr>
        <w:ind w:left="360" w:hanging="360"/>
      </w:pPr>
      <w:rPr>
        <w:rFonts w:ascii="Aptos" w:hAnsi="Aptos" w:hint="default"/>
      </w:rPr>
    </w:lvl>
    <w:lvl w:ilvl="1" w:tplc="5D643C06">
      <w:start w:val="1"/>
      <w:numFmt w:val="bullet"/>
      <w:lvlText w:val="o"/>
      <w:lvlJc w:val="left"/>
      <w:pPr>
        <w:ind w:left="1080" w:hanging="360"/>
      </w:pPr>
      <w:rPr>
        <w:rFonts w:ascii="Courier New" w:hAnsi="Courier New" w:hint="default"/>
      </w:rPr>
    </w:lvl>
    <w:lvl w:ilvl="2" w:tplc="059C6B84">
      <w:start w:val="1"/>
      <w:numFmt w:val="bullet"/>
      <w:lvlText w:val=""/>
      <w:lvlJc w:val="left"/>
      <w:pPr>
        <w:ind w:left="1800" w:hanging="360"/>
      </w:pPr>
      <w:rPr>
        <w:rFonts w:ascii="Wingdings" w:hAnsi="Wingdings" w:hint="default"/>
      </w:rPr>
    </w:lvl>
    <w:lvl w:ilvl="3" w:tplc="21809704">
      <w:start w:val="1"/>
      <w:numFmt w:val="bullet"/>
      <w:lvlText w:val=""/>
      <w:lvlJc w:val="left"/>
      <w:pPr>
        <w:ind w:left="2520" w:hanging="360"/>
      </w:pPr>
      <w:rPr>
        <w:rFonts w:ascii="Symbol" w:hAnsi="Symbol" w:hint="default"/>
      </w:rPr>
    </w:lvl>
    <w:lvl w:ilvl="4" w:tplc="21EE2DEA">
      <w:start w:val="1"/>
      <w:numFmt w:val="bullet"/>
      <w:lvlText w:val="o"/>
      <w:lvlJc w:val="left"/>
      <w:pPr>
        <w:ind w:left="3240" w:hanging="360"/>
      </w:pPr>
      <w:rPr>
        <w:rFonts w:ascii="Courier New" w:hAnsi="Courier New" w:hint="default"/>
      </w:rPr>
    </w:lvl>
    <w:lvl w:ilvl="5" w:tplc="EAA8DDE0">
      <w:start w:val="1"/>
      <w:numFmt w:val="bullet"/>
      <w:lvlText w:val=""/>
      <w:lvlJc w:val="left"/>
      <w:pPr>
        <w:ind w:left="3960" w:hanging="360"/>
      </w:pPr>
      <w:rPr>
        <w:rFonts w:ascii="Wingdings" w:hAnsi="Wingdings" w:hint="default"/>
      </w:rPr>
    </w:lvl>
    <w:lvl w:ilvl="6" w:tplc="8940D684">
      <w:start w:val="1"/>
      <w:numFmt w:val="bullet"/>
      <w:lvlText w:val=""/>
      <w:lvlJc w:val="left"/>
      <w:pPr>
        <w:ind w:left="4680" w:hanging="360"/>
      </w:pPr>
      <w:rPr>
        <w:rFonts w:ascii="Symbol" w:hAnsi="Symbol" w:hint="default"/>
      </w:rPr>
    </w:lvl>
    <w:lvl w:ilvl="7" w:tplc="3C061C10">
      <w:start w:val="1"/>
      <w:numFmt w:val="bullet"/>
      <w:lvlText w:val="o"/>
      <w:lvlJc w:val="left"/>
      <w:pPr>
        <w:ind w:left="5400" w:hanging="360"/>
      </w:pPr>
      <w:rPr>
        <w:rFonts w:ascii="Courier New" w:hAnsi="Courier New" w:hint="default"/>
      </w:rPr>
    </w:lvl>
    <w:lvl w:ilvl="8" w:tplc="EFC64096">
      <w:start w:val="1"/>
      <w:numFmt w:val="bullet"/>
      <w:lvlText w:val=""/>
      <w:lvlJc w:val="left"/>
      <w:pPr>
        <w:ind w:left="6120" w:hanging="360"/>
      </w:pPr>
      <w:rPr>
        <w:rFonts w:ascii="Wingdings" w:hAnsi="Wingdings" w:hint="default"/>
      </w:rPr>
    </w:lvl>
  </w:abstractNum>
  <w:abstractNum w:abstractNumId="65" w15:restartNumberingAfterBreak="0">
    <w:nsid w:val="55770C15"/>
    <w:multiLevelType w:val="multilevel"/>
    <w:tmpl w:val="C9928C92"/>
    <w:styleLink w:val="1ai"/>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590784A"/>
    <w:multiLevelType w:val="hybridMultilevel"/>
    <w:tmpl w:val="AC5A640C"/>
    <w:lvl w:ilvl="0" w:tplc="BA8E8A96">
      <w:start w:val="1"/>
      <w:numFmt w:val="bullet"/>
      <w:lvlText w:val=""/>
      <w:lvlJc w:val="left"/>
      <w:pPr>
        <w:ind w:left="720" w:hanging="360"/>
      </w:pPr>
      <w:rPr>
        <w:rFonts w:ascii="Symbol" w:hAnsi="Symbol" w:hint="default"/>
      </w:rPr>
    </w:lvl>
    <w:lvl w:ilvl="1" w:tplc="2A86A9BC">
      <w:start w:val="1"/>
      <w:numFmt w:val="bullet"/>
      <w:lvlText w:val="o"/>
      <w:lvlJc w:val="left"/>
      <w:pPr>
        <w:ind w:left="1440" w:hanging="360"/>
      </w:pPr>
      <w:rPr>
        <w:rFonts w:ascii="Courier New" w:hAnsi="Courier New" w:hint="default"/>
      </w:rPr>
    </w:lvl>
    <w:lvl w:ilvl="2" w:tplc="3196BBC4">
      <w:start w:val="1"/>
      <w:numFmt w:val="bullet"/>
      <w:lvlText w:val=""/>
      <w:lvlJc w:val="left"/>
      <w:pPr>
        <w:ind w:left="2160" w:hanging="360"/>
      </w:pPr>
      <w:rPr>
        <w:rFonts w:ascii="Wingdings" w:hAnsi="Wingdings" w:hint="default"/>
      </w:rPr>
    </w:lvl>
    <w:lvl w:ilvl="3" w:tplc="BCC2CDE4">
      <w:start w:val="1"/>
      <w:numFmt w:val="bullet"/>
      <w:lvlText w:val=""/>
      <w:lvlJc w:val="left"/>
      <w:pPr>
        <w:ind w:left="2880" w:hanging="360"/>
      </w:pPr>
      <w:rPr>
        <w:rFonts w:ascii="Symbol" w:hAnsi="Symbol" w:hint="default"/>
      </w:rPr>
    </w:lvl>
    <w:lvl w:ilvl="4" w:tplc="3C3A0978">
      <w:start w:val="1"/>
      <w:numFmt w:val="bullet"/>
      <w:lvlText w:val="o"/>
      <w:lvlJc w:val="left"/>
      <w:pPr>
        <w:ind w:left="3600" w:hanging="360"/>
      </w:pPr>
      <w:rPr>
        <w:rFonts w:ascii="Courier New" w:hAnsi="Courier New" w:hint="default"/>
      </w:rPr>
    </w:lvl>
    <w:lvl w:ilvl="5" w:tplc="BF74487A">
      <w:start w:val="1"/>
      <w:numFmt w:val="bullet"/>
      <w:lvlText w:val=""/>
      <w:lvlJc w:val="left"/>
      <w:pPr>
        <w:ind w:left="4320" w:hanging="360"/>
      </w:pPr>
      <w:rPr>
        <w:rFonts w:ascii="Wingdings" w:hAnsi="Wingdings" w:hint="default"/>
      </w:rPr>
    </w:lvl>
    <w:lvl w:ilvl="6" w:tplc="0106A066">
      <w:start w:val="1"/>
      <w:numFmt w:val="bullet"/>
      <w:lvlText w:val=""/>
      <w:lvlJc w:val="left"/>
      <w:pPr>
        <w:ind w:left="5040" w:hanging="360"/>
      </w:pPr>
      <w:rPr>
        <w:rFonts w:ascii="Symbol" w:hAnsi="Symbol" w:hint="default"/>
      </w:rPr>
    </w:lvl>
    <w:lvl w:ilvl="7" w:tplc="1B109C28">
      <w:start w:val="1"/>
      <w:numFmt w:val="bullet"/>
      <w:lvlText w:val="o"/>
      <w:lvlJc w:val="left"/>
      <w:pPr>
        <w:ind w:left="5760" w:hanging="360"/>
      </w:pPr>
      <w:rPr>
        <w:rFonts w:ascii="Courier New" w:hAnsi="Courier New" w:hint="default"/>
      </w:rPr>
    </w:lvl>
    <w:lvl w:ilvl="8" w:tplc="419C7F2A">
      <w:start w:val="1"/>
      <w:numFmt w:val="bullet"/>
      <w:lvlText w:val=""/>
      <w:lvlJc w:val="left"/>
      <w:pPr>
        <w:ind w:left="6480" w:hanging="360"/>
      </w:pPr>
      <w:rPr>
        <w:rFonts w:ascii="Wingdings" w:hAnsi="Wingdings" w:hint="default"/>
      </w:rPr>
    </w:lvl>
  </w:abstractNum>
  <w:abstractNum w:abstractNumId="67" w15:restartNumberingAfterBreak="0">
    <w:nsid w:val="56053C24"/>
    <w:multiLevelType w:val="hybridMultilevel"/>
    <w:tmpl w:val="CD363E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6EC6892"/>
    <w:multiLevelType w:val="hybridMultilevel"/>
    <w:tmpl w:val="5382F776"/>
    <w:lvl w:ilvl="0" w:tplc="FFFFFFFF">
      <w:start w:val="1"/>
      <w:numFmt w:val="bullet"/>
      <w:lvlText w:val=""/>
      <w:lvlJc w:val="left"/>
      <w:pPr>
        <w:ind w:left="1440" w:hanging="360"/>
      </w:pPr>
      <w:rPr>
        <w:rFonts w:ascii="Symbol" w:hAnsi="Symbol" w:hint="default"/>
      </w:rPr>
    </w:lvl>
    <w:lvl w:ilvl="1" w:tplc="04090019">
      <w:start w:val="1"/>
      <w:numFmt w:val="lowerLetter"/>
      <w:lvlText w:val="%2."/>
      <w:lvlJc w:val="left"/>
      <w:pPr>
        <w:ind w:left="2520" w:hanging="360"/>
      </w:pPr>
    </w:lvl>
    <w:lvl w:ilvl="2" w:tplc="FFFFFFFF">
      <w:start w:val="1"/>
      <w:numFmt w:val="bullet"/>
      <w:lvlText w:val="o"/>
      <w:lvlJc w:val="left"/>
      <w:pPr>
        <w:ind w:left="3420" w:hanging="360"/>
      </w:pPr>
      <w:rPr>
        <w:rFonts w:ascii="Courier New" w:hAnsi="Courier New" w:cs="Courier New"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9" w15:restartNumberingAfterBreak="0">
    <w:nsid w:val="5858024D"/>
    <w:multiLevelType w:val="hybridMultilevel"/>
    <w:tmpl w:val="E13A1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90471E"/>
    <w:multiLevelType w:val="hybridMultilevel"/>
    <w:tmpl w:val="0F30DF62"/>
    <w:lvl w:ilvl="0" w:tplc="5436F468">
      <w:numFmt w:val="bullet"/>
      <w:lvlText w:val="-"/>
      <w:lvlJc w:val="left"/>
      <w:pPr>
        <w:ind w:left="243" w:hanging="142"/>
      </w:pPr>
      <w:rPr>
        <w:rFonts w:ascii="Calibri" w:eastAsia="Calibri" w:hAnsi="Calibri" w:cs="Calibri" w:hint="default"/>
        <w:b w:val="0"/>
        <w:bCs w:val="0"/>
        <w:i w:val="0"/>
        <w:iCs w:val="0"/>
        <w:spacing w:val="0"/>
        <w:w w:val="99"/>
        <w:sz w:val="20"/>
        <w:szCs w:val="20"/>
        <w:lang w:val="en-US" w:eastAsia="en-US" w:bidi="ar-SA"/>
      </w:rPr>
    </w:lvl>
    <w:lvl w:ilvl="1" w:tplc="0280634A">
      <w:numFmt w:val="bullet"/>
      <w:lvlText w:val="•"/>
      <w:lvlJc w:val="left"/>
      <w:pPr>
        <w:ind w:left="500" w:hanging="142"/>
      </w:pPr>
      <w:rPr>
        <w:rFonts w:hint="default"/>
        <w:lang w:val="en-US" w:eastAsia="en-US" w:bidi="ar-SA"/>
      </w:rPr>
    </w:lvl>
    <w:lvl w:ilvl="2" w:tplc="8C066E88">
      <w:numFmt w:val="bullet"/>
      <w:lvlText w:val="•"/>
      <w:lvlJc w:val="left"/>
      <w:pPr>
        <w:ind w:left="760" w:hanging="142"/>
      </w:pPr>
      <w:rPr>
        <w:rFonts w:hint="default"/>
        <w:lang w:val="en-US" w:eastAsia="en-US" w:bidi="ar-SA"/>
      </w:rPr>
    </w:lvl>
    <w:lvl w:ilvl="3" w:tplc="C4BAAAF4">
      <w:numFmt w:val="bullet"/>
      <w:lvlText w:val="•"/>
      <w:lvlJc w:val="left"/>
      <w:pPr>
        <w:ind w:left="1020" w:hanging="142"/>
      </w:pPr>
      <w:rPr>
        <w:rFonts w:hint="default"/>
        <w:lang w:val="en-US" w:eastAsia="en-US" w:bidi="ar-SA"/>
      </w:rPr>
    </w:lvl>
    <w:lvl w:ilvl="4" w:tplc="F916698A">
      <w:numFmt w:val="bullet"/>
      <w:lvlText w:val="•"/>
      <w:lvlJc w:val="left"/>
      <w:pPr>
        <w:ind w:left="1281" w:hanging="142"/>
      </w:pPr>
      <w:rPr>
        <w:rFonts w:hint="default"/>
        <w:lang w:val="en-US" w:eastAsia="en-US" w:bidi="ar-SA"/>
      </w:rPr>
    </w:lvl>
    <w:lvl w:ilvl="5" w:tplc="70D8B20A">
      <w:numFmt w:val="bullet"/>
      <w:lvlText w:val="•"/>
      <w:lvlJc w:val="left"/>
      <w:pPr>
        <w:ind w:left="1541" w:hanging="142"/>
      </w:pPr>
      <w:rPr>
        <w:rFonts w:hint="default"/>
        <w:lang w:val="en-US" w:eastAsia="en-US" w:bidi="ar-SA"/>
      </w:rPr>
    </w:lvl>
    <w:lvl w:ilvl="6" w:tplc="994C7EFE">
      <w:numFmt w:val="bullet"/>
      <w:lvlText w:val="•"/>
      <w:lvlJc w:val="left"/>
      <w:pPr>
        <w:ind w:left="1801" w:hanging="142"/>
      </w:pPr>
      <w:rPr>
        <w:rFonts w:hint="default"/>
        <w:lang w:val="en-US" w:eastAsia="en-US" w:bidi="ar-SA"/>
      </w:rPr>
    </w:lvl>
    <w:lvl w:ilvl="7" w:tplc="66625DF6">
      <w:numFmt w:val="bullet"/>
      <w:lvlText w:val="•"/>
      <w:lvlJc w:val="left"/>
      <w:pPr>
        <w:ind w:left="2062" w:hanging="142"/>
      </w:pPr>
      <w:rPr>
        <w:rFonts w:hint="default"/>
        <w:lang w:val="en-US" w:eastAsia="en-US" w:bidi="ar-SA"/>
      </w:rPr>
    </w:lvl>
    <w:lvl w:ilvl="8" w:tplc="3EB2B6B2">
      <w:numFmt w:val="bullet"/>
      <w:lvlText w:val="•"/>
      <w:lvlJc w:val="left"/>
      <w:pPr>
        <w:ind w:left="2322" w:hanging="142"/>
      </w:pPr>
      <w:rPr>
        <w:rFonts w:hint="default"/>
        <w:lang w:val="en-US" w:eastAsia="en-US" w:bidi="ar-SA"/>
      </w:rPr>
    </w:lvl>
  </w:abstractNum>
  <w:abstractNum w:abstractNumId="71" w15:restartNumberingAfterBreak="0">
    <w:nsid w:val="5B7016F4"/>
    <w:multiLevelType w:val="hybridMultilevel"/>
    <w:tmpl w:val="90A8024A"/>
    <w:lvl w:ilvl="0" w:tplc="51DA6C88">
      <w:numFmt w:val="bullet"/>
      <w:lvlText w:val="-"/>
      <w:lvlJc w:val="left"/>
      <w:pPr>
        <w:ind w:left="264" w:hanging="180"/>
      </w:pPr>
      <w:rPr>
        <w:rFonts w:ascii="Calibri" w:eastAsia="Calibri" w:hAnsi="Calibri" w:cs="Calibri" w:hint="default"/>
        <w:b w:val="0"/>
        <w:bCs w:val="0"/>
        <w:i w:val="0"/>
        <w:iCs w:val="0"/>
        <w:spacing w:val="0"/>
        <w:w w:val="99"/>
        <w:sz w:val="20"/>
        <w:szCs w:val="20"/>
        <w:lang w:val="en-US" w:eastAsia="en-US" w:bidi="ar-SA"/>
      </w:rPr>
    </w:lvl>
    <w:lvl w:ilvl="1" w:tplc="01206102">
      <w:numFmt w:val="bullet"/>
      <w:lvlText w:val="•"/>
      <w:lvlJc w:val="left"/>
      <w:pPr>
        <w:ind w:left="530" w:hanging="180"/>
      </w:pPr>
      <w:rPr>
        <w:rFonts w:hint="default"/>
        <w:lang w:val="en-US" w:eastAsia="en-US" w:bidi="ar-SA"/>
      </w:rPr>
    </w:lvl>
    <w:lvl w:ilvl="2" w:tplc="DF72B12A">
      <w:numFmt w:val="bullet"/>
      <w:lvlText w:val="•"/>
      <w:lvlJc w:val="left"/>
      <w:pPr>
        <w:ind w:left="800" w:hanging="180"/>
      </w:pPr>
      <w:rPr>
        <w:rFonts w:hint="default"/>
        <w:lang w:val="en-US" w:eastAsia="en-US" w:bidi="ar-SA"/>
      </w:rPr>
    </w:lvl>
    <w:lvl w:ilvl="3" w:tplc="0E761EB0">
      <w:numFmt w:val="bullet"/>
      <w:lvlText w:val="•"/>
      <w:lvlJc w:val="left"/>
      <w:pPr>
        <w:ind w:left="1070" w:hanging="180"/>
      </w:pPr>
      <w:rPr>
        <w:rFonts w:hint="default"/>
        <w:lang w:val="en-US" w:eastAsia="en-US" w:bidi="ar-SA"/>
      </w:rPr>
    </w:lvl>
    <w:lvl w:ilvl="4" w:tplc="B6EE6AEA">
      <w:numFmt w:val="bullet"/>
      <w:lvlText w:val="•"/>
      <w:lvlJc w:val="left"/>
      <w:pPr>
        <w:ind w:left="1340" w:hanging="180"/>
      </w:pPr>
      <w:rPr>
        <w:rFonts w:hint="default"/>
        <w:lang w:val="en-US" w:eastAsia="en-US" w:bidi="ar-SA"/>
      </w:rPr>
    </w:lvl>
    <w:lvl w:ilvl="5" w:tplc="1F3CC16A">
      <w:numFmt w:val="bullet"/>
      <w:lvlText w:val="•"/>
      <w:lvlJc w:val="left"/>
      <w:pPr>
        <w:ind w:left="1610" w:hanging="180"/>
      </w:pPr>
      <w:rPr>
        <w:rFonts w:hint="default"/>
        <w:lang w:val="en-US" w:eastAsia="en-US" w:bidi="ar-SA"/>
      </w:rPr>
    </w:lvl>
    <w:lvl w:ilvl="6" w:tplc="74123606">
      <w:numFmt w:val="bullet"/>
      <w:lvlText w:val="•"/>
      <w:lvlJc w:val="left"/>
      <w:pPr>
        <w:ind w:left="1880" w:hanging="180"/>
      </w:pPr>
      <w:rPr>
        <w:rFonts w:hint="default"/>
        <w:lang w:val="en-US" w:eastAsia="en-US" w:bidi="ar-SA"/>
      </w:rPr>
    </w:lvl>
    <w:lvl w:ilvl="7" w:tplc="D514E5FA">
      <w:numFmt w:val="bullet"/>
      <w:lvlText w:val="•"/>
      <w:lvlJc w:val="left"/>
      <w:pPr>
        <w:ind w:left="2150" w:hanging="180"/>
      </w:pPr>
      <w:rPr>
        <w:rFonts w:hint="default"/>
        <w:lang w:val="en-US" w:eastAsia="en-US" w:bidi="ar-SA"/>
      </w:rPr>
    </w:lvl>
    <w:lvl w:ilvl="8" w:tplc="49F0E55A">
      <w:numFmt w:val="bullet"/>
      <w:lvlText w:val="•"/>
      <w:lvlJc w:val="left"/>
      <w:pPr>
        <w:ind w:left="2420" w:hanging="180"/>
      </w:pPr>
      <w:rPr>
        <w:rFonts w:hint="default"/>
        <w:lang w:val="en-US" w:eastAsia="en-US" w:bidi="ar-SA"/>
      </w:rPr>
    </w:lvl>
  </w:abstractNum>
  <w:abstractNum w:abstractNumId="72" w15:restartNumberingAfterBreak="0">
    <w:nsid w:val="5D1F3BCE"/>
    <w:multiLevelType w:val="hybridMultilevel"/>
    <w:tmpl w:val="F992EC30"/>
    <w:lvl w:ilvl="0" w:tplc="9ED25D88">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en-US" w:eastAsia="en-US" w:bidi="ar-SA"/>
      </w:rPr>
    </w:lvl>
    <w:lvl w:ilvl="1" w:tplc="9AF06E52">
      <w:numFmt w:val="bullet"/>
      <w:lvlText w:val="•"/>
      <w:lvlJc w:val="left"/>
      <w:pPr>
        <w:ind w:left="307" w:hanging="118"/>
      </w:pPr>
      <w:rPr>
        <w:rFonts w:hint="default"/>
        <w:lang w:val="en-US" w:eastAsia="en-US" w:bidi="ar-SA"/>
      </w:rPr>
    </w:lvl>
    <w:lvl w:ilvl="2" w:tplc="D5165A36">
      <w:numFmt w:val="bullet"/>
      <w:lvlText w:val="•"/>
      <w:lvlJc w:val="left"/>
      <w:pPr>
        <w:ind w:left="515" w:hanging="118"/>
      </w:pPr>
      <w:rPr>
        <w:rFonts w:hint="default"/>
        <w:lang w:val="en-US" w:eastAsia="en-US" w:bidi="ar-SA"/>
      </w:rPr>
    </w:lvl>
    <w:lvl w:ilvl="3" w:tplc="2A52E0DE">
      <w:numFmt w:val="bullet"/>
      <w:lvlText w:val="•"/>
      <w:lvlJc w:val="left"/>
      <w:pPr>
        <w:ind w:left="722" w:hanging="118"/>
      </w:pPr>
      <w:rPr>
        <w:rFonts w:hint="default"/>
        <w:lang w:val="en-US" w:eastAsia="en-US" w:bidi="ar-SA"/>
      </w:rPr>
    </w:lvl>
    <w:lvl w:ilvl="4" w:tplc="5C48AF92">
      <w:numFmt w:val="bullet"/>
      <w:lvlText w:val="•"/>
      <w:lvlJc w:val="left"/>
      <w:pPr>
        <w:ind w:left="930" w:hanging="118"/>
      </w:pPr>
      <w:rPr>
        <w:rFonts w:hint="default"/>
        <w:lang w:val="en-US" w:eastAsia="en-US" w:bidi="ar-SA"/>
      </w:rPr>
    </w:lvl>
    <w:lvl w:ilvl="5" w:tplc="1B027060">
      <w:numFmt w:val="bullet"/>
      <w:lvlText w:val="•"/>
      <w:lvlJc w:val="left"/>
      <w:pPr>
        <w:ind w:left="1138" w:hanging="118"/>
      </w:pPr>
      <w:rPr>
        <w:rFonts w:hint="default"/>
        <w:lang w:val="en-US" w:eastAsia="en-US" w:bidi="ar-SA"/>
      </w:rPr>
    </w:lvl>
    <w:lvl w:ilvl="6" w:tplc="76B80266">
      <w:numFmt w:val="bullet"/>
      <w:lvlText w:val="•"/>
      <w:lvlJc w:val="left"/>
      <w:pPr>
        <w:ind w:left="1345" w:hanging="118"/>
      </w:pPr>
      <w:rPr>
        <w:rFonts w:hint="default"/>
        <w:lang w:val="en-US" w:eastAsia="en-US" w:bidi="ar-SA"/>
      </w:rPr>
    </w:lvl>
    <w:lvl w:ilvl="7" w:tplc="710084B8">
      <w:numFmt w:val="bullet"/>
      <w:lvlText w:val="•"/>
      <w:lvlJc w:val="left"/>
      <w:pPr>
        <w:ind w:left="1553" w:hanging="118"/>
      </w:pPr>
      <w:rPr>
        <w:rFonts w:hint="default"/>
        <w:lang w:val="en-US" w:eastAsia="en-US" w:bidi="ar-SA"/>
      </w:rPr>
    </w:lvl>
    <w:lvl w:ilvl="8" w:tplc="244CD014">
      <w:numFmt w:val="bullet"/>
      <w:lvlText w:val="•"/>
      <w:lvlJc w:val="left"/>
      <w:pPr>
        <w:ind w:left="1760" w:hanging="118"/>
      </w:pPr>
      <w:rPr>
        <w:rFonts w:hint="default"/>
        <w:lang w:val="en-US" w:eastAsia="en-US" w:bidi="ar-SA"/>
      </w:rPr>
    </w:lvl>
  </w:abstractNum>
  <w:abstractNum w:abstractNumId="73" w15:restartNumberingAfterBreak="0">
    <w:nsid w:val="5D570B71"/>
    <w:multiLevelType w:val="multilevel"/>
    <w:tmpl w:val="3A0AE4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E89699E"/>
    <w:multiLevelType w:val="hybridMultilevel"/>
    <w:tmpl w:val="4774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D2AE88"/>
    <w:multiLevelType w:val="hybridMultilevel"/>
    <w:tmpl w:val="FFFFFFFF"/>
    <w:lvl w:ilvl="0" w:tplc="A9DCFA20">
      <w:start w:val="1"/>
      <w:numFmt w:val="bullet"/>
      <w:lvlText w:val=""/>
      <w:lvlJc w:val="left"/>
      <w:pPr>
        <w:ind w:left="720" w:hanging="360"/>
      </w:pPr>
      <w:rPr>
        <w:rFonts w:ascii="Symbol" w:hAnsi="Symbol" w:hint="default"/>
      </w:rPr>
    </w:lvl>
    <w:lvl w:ilvl="1" w:tplc="6A7EE770">
      <w:start w:val="1"/>
      <w:numFmt w:val="bullet"/>
      <w:lvlText w:val="o"/>
      <w:lvlJc w:val="left"/>
      <w:pPr>
        <w:ind w:left="1440" w:hanging="360"/>
      </w:pPr>
      <w:rPr>
        <w:rFonts w:ascii="Courier New" w:hAnsi="Courier New" w:hint="default"/>
      </w:rPr>
    </w:lvl>
    <w:lvl w:ilvl="2" w:tplc="35625EC4">
      <w:start w:val="1"/>
      <w:numFmt w:val="bullet"/>
      <w:lvlText w:val=""/>
      <w:lvlJc w:val="left"/>
      <w:pPr>
        <w:ind w:left="2160" w:hanging="360"/>
      </w:pPr>
      <w:rPr>
        <w:rFonts w:ascii="Wingdings" w:hAnsi="Wingdings" w:hint="default"/>
      </w:rPr>
    </w:lvl>
    <w:lvl w:ilvl="3" w:tplc="F4923484">
      <w:start w:val="1"/>
      <w:numFmt w:val="bullet"/>
      <w:lvlText w:val=""/>
      <w:lvlJc w:val="left"/>
      <w:pPr>
        <w:ind w:left="2880" w:hanging="360"/>
      </w:pPr>
      <w:rPr>
        <w:rFonts w:ascii="Symbol" w:hAnsi="Symbol" w:hint="default"/>
      </w:rPr>
    </w:lvl>
    <w:lvl w:ilvl="4" w:tplc="2BD617F4">
      <w:start w:val="1"/>
      <w:numFmt w:val="bullet"/>
      <w:lvlText w:val="o"/>
      <w:lvlJc w:val="left"/>
      <w:pPr>
        <w:ind w:left="3600" w:hanging="360"/>
      </w:pPr>
      <w:rPr>
        <w:rFonts w:ascii="Courier New" w:hAnsi="Courier New" w:hint="default"/>
      </w:rPr>
    </w:lvl>
    <w:lvl w:ilvl="5" w:tplc="44E6B54E">
      <w:start w:val="1"/>
      <w:numFmt w:val="bullet"/>
      <w:lvlText w:val=""/>
      <w:lvlJc w:val="left"/>
      <w:pPr>
        <w:ind w:left="4320" w:hanging="360"/>
      </w:pPr>
      <w:rPr>
        <w:rFonts w:ascii="Wingdings" w:hAnsi="Wingdings" w:hint="default"/>
      </w:rPr>
    </w:lvl>
    <w:lvl w:ilvl="6" w:tplc="E1228E7C">
      <w:start w:val="1"/>
      <w:numFmt w:val="bullet"/>
      <w:lvlText w:val=""/>
      <w:lvlJc w:val="left"/>
      <w:pPr>
        <w:ind w:left="5040" w:hanging="360"/>
      </w:pPr>
      <w:rPr>
        <w:rFonts w:ascii="Symbol" w:hAnsi="Symbol" w:hint="default"/>
      </w:rPr>
    </w:lvl>
    <w:lvl w:ilvl="7" w:tplc="A93E303C">
      <w:start w:val="1"/>
      <w:numFmt w:val="bullet"/>
      <w:lvlText w:val="o"/>
      <w:lvlJc w:val="left"/>
      <w:pPr>
        <w:ind w:left="5760" w:hanging="360"/>
      </w:pPr>
      <w:rPr>
        <w:rFonts w:ascii="Courier New" w:hAnsi="Courier New" w:hint="default"/>
      </w:rPr>
    </w:lvl>
    <w:lvl w:ilvl="8" w:tplc="ECBEF892">
      <w:start w:val="1"/>
      <w:numFmt w:val="bullet"/>
      <w:lvlText w:val=""/>
      <w:lvlJc w:val="left"/>
      <w:pPr>
        <w:ind w:left="6480" w:hanging="360"/>
      </w:pPr>
      <w:rPr>
        <w:rFonts w:ascii="Wingdings" w:hAnsi="Wingdings" w:hint="default"/>
      </w:rPr>
    </w:lvl>
  </w:abstractNum>
  <w:abstractNum w:abstractNumId="76" w15:restartNumberingAfterBreak="0">
    <w:nsid w:val="637E2E71"/>
    <w:multiLevelType w:val="hybridMultilevel"/>
    <w:tmpl w:val="ADDEB77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7" w15:restartNumberingAfterBreak="0">
    <w:nsid w:val="64260CFD"/>
    <w:multiLevelType w:val="hybridMultilevel"/>
    <w:tmpl w:val="FFFFFFFF"/>
    <w:lvl w:ilvl="0" w:tplc="5A38941A">
      <w:start w:val="1"/>
      <w:numFmt w:val="bullet"/>
      <w:lvlText w:val=""/>
      <w:lvlJc w:val="left"/>
      <w:pPr>
        <w:ind w:left="720" w:hanging="360"/>
      </w:pPr>
      <w:rPr>
        <w:rFonts w:ascii="Symbol" w:hAnsi="Symbol" w:hint="default"/>
      </w:rPr>
    </w:lvl>
    <w:lvl w:ilvl="1" w:tplc="313AD044">
      <w:start w:val="1"/>
      <w:numFmt w:val="bullet"/>
      <w:lvlText w:val="o"/>
      <w:lvlJc w:val="left"/>
      <w:pPr>
        <w:ind w:left="1440" w:hanging="360"/>
      </w:pPr>
      <w:rPr>
        <w:rFonts w:ascii="Courier New" w:hAnsi="Courier New" w:hint="default"/>
      </w:rPr>
    </w:lvl>
    <w:lvl w:ilvl="2" w:tplc="6AD4C5E4">
      <w:start w:val="1"/>
      <w:numFmt w:val="bullet"/>
      <w:lvlText w:val=""/>
      <w:lvlJc w:val="left"/>
      <w:pPr>
        <w:ind w:left="2160" w:hanging="360"/>
      </w:pPr>
      <w:rPr>
        <w:rFonts w:ascii="Wingdings" w:hAnsi="Wingdings" w:hint="default"/>
      </w:rPr>
    </w:lvl>
    <w:lvl w:ilvl="3" w:tplc="3C4A4C48">
      <w:start w:val="1"/>
      <w:numFmt w:val="bullet"/>
      <w:lvlText w:val=""/>
      <w:lvlJc w:val="left"/>
      <w:pPr>
        <w:ind w:left="2880" w:hanging="360"/>
      </w:pPr>
      <w:rPr>
        <w:rFonts w:ascii="Symbol" w:hAnsi="Symbol" w:hint="default"/>
      </w:rPr>
    </w:lvl>
    <w:lvl w:ilvl="4" w:tplc="E404028E">
      <w:start w:val="1"/>
      <w:numFmt w:val="bullet"/>
      <w:lvlText w:val="o"/>
      <w:lvlJc w:val="left"/>
      <w:pPr>
        <w:ind w:left="3600" w:hanging="360"/>
      </w:pPr>
      <w:rPr>
        <w:rFonts w:ascii="Courier New" w:hAnsi="Courier New" w:hint="default"/>
      </w:rPr>
    </w:lvl>
    <w:lvl w:ilvl="5" w:tplc="5AE2F3B2">
      <w:start w:val="1"/>
      <w:numFmt w:val="bullet"/>
      <w:lvlText w:val=""/>
      <w:lvlJc w:val="left"/>
      <w:pPr>
        <w:ind w:left="4320" w:hanging="360"/>
      </w:pPr>
      <w:rPr>
        <w:rFonts w:ascii="Wingdings" w:hAnsi="Wingdings" w:hint="default"/>
      </w:rPr>
    </w:lvl>
    <w:lvl w:ilvl="6" w:tplc="74FC7390">
      <w:start w:val="1"/>
      <w:numFmt w:val="bullet"/>
      <w:lvlText w:val=""/>
      <w:lvlJc w:val="left"/>
      <w:pPr>
        <w:ind w:left="5040" w:hanging="360"/>
      </w:pPr>
      <w:rPr>
        <w:rFonts w:ascii="Symbol" w:hAnsi="Symbol" w:hint="default"/>
      </w:rPr>
    </w:lvl>
    <w:lvl w:ilvl="7" w:tplc="D3667B26">
      <w:start w:val="1"/>
      <w:numFmt w:val="bullet"/>
      <w:lvlText w:val="o"/>
      <w:lvlJc w:val="left"/>
      <w:pPr>
        <w:ind w:left="5760" w:hanging="360"/>
      </w:pPr>
      <w:rPr>
        <w:rFonts w:ascii="Courier New" w:hAnsi="Courier New" w:hint="default"/>
      </w:rPr>
    </w:lvl>
    <w:lvl w:ilvl="8" w:tplc="FC1EC5F0">
      <w:start w:val="1"/>
      <w:numFmt w:val="bullet"/>
      <w:lvlText w:val=""/>
      <w:lvlJc w:val="left"/>
      <w:pPr>
        <w:ind w:left="6480" w:hanging="360"/>
      </w:pPr>
      <w:rPr>
        <w:rFonts w:ascii="Wingdings" w:hAnsi="Wingdings" w:hint="default"/>
      </w:rPr>
    </w:lvl>
  </w:abstractNum>
  <w:abstractNum w:abstractNumId="78" w15:restartNumberingAfterBreak="0">
    <w:nsid w:val="696067F2"/>
    <w:multiLevelType w:val="multilevel"/>
    <w:tmpl w:val="568E1CB4"/>
    <w:lvl w:ilvl="0">
      <w:start w:val="1"/>
      <w:numFmt w:val="decimal"/>
      <w:lvlText w:val="%1."/>
      <w:lvlJc w:val="left"/>
      <w:pPr>
        <w:ind w:left="880" w:hanging="440"/>
      </w:pPr>
    </w:lvl>
    <w:lvl w:ilvl="1">
      <w:start w:val="2"/>
      <w:numFmt w:val="decimal"/>
      <w:isLgl/>
      <w:lvlText w:val="%1.%2"/>
      <w:lvlJc w:val="left"/>
      <w:pPr>
        <w:ind w:left="1150" w:hanging="71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1880" w:hanging="1440"/>
      </w:pPr>
      <w:rPr>
        <w:rFonts w:hint="default"/>
      </w:rPr>
    </w:lvl>
    <w:lvl w:ilvl="8">
      <w:start w:val="1"/>
      <w:numFmt w:val="decimal"/>
      <w:isLgl/>
      <w:lvlText w:val="%1.%2.%3.%4.%5.%6.%7.%8.%9"/>
      <w:lvlJc w:val="left"/>
      <w:pPr>
        <w:ind w:left="1880" w:hanging="1440"/>
      </w:pPr>
      <w:rPr>
        <w:rFonts w:hint="default"/>
      </w:rPr>
    </w:lvl>
  </w:abstractNum>
  <w:abstractNum w:abstractNumId="79" w15:restartNumberingAfterBreak="0">
    <w:nsid w:val="69EDAFCA"/>
    <w:multiLevelType w:val="hybridMultilevel"/>
    <w:tmpl w:val="B002DE34"/>
    <w:lvl w:ilvl="0" w:tplc="F348991C">
      <w:start w:val="1"/>
      <w:numFmt w:val="bullet"/>
      <w:lvlText w:val=""/>
      <w:lvlJc w:val="left"/>
      <w:pPr>
        <w:ind w:left="1080" w:hanging="360"/>
      </w:pPr>
      <w:rPr>
        <w:rFonts w:ascii="Symbol" w:hAnsi="Symbol" w:hint="default"/>
      </w:rPr>
    </w:lvl>
    <w:lvl w:ilvl="1" w:tplc="612C6076">
      <w:start w:val="1"/>
      <w:numFmt w:val="bullet"/>
      <w:lvlText w:val="o"/>
      <w:lvlJc w:val="left"/>
      <w:pPr>
        <w:ind w:left="1800" w:hanging="360"/>
      </w:pPr>
      <w:rPr>
        <w:rFonts w:ascii="Courier New" w:hAnsi="Courier New" w:hint="default"/>
      </w:rPr>
    </w:lvl>
    <w:lvl w:ilvl="2" w:tplc="09428756">
      <w:start w:val="1"/>
      <w:numFmt w:val="bullet"/>
      <w:lvlText w:val=""/>
      <w:lvlJc w:val="left"/>
      <w:pPr>
        <w:ind w:left="2520" w:hanging="360"/>
      </w:pPr>
      <w:rPr>
        <w:rFonts w:ascii="Wingdings" w:hAnsi="Wingdings" w:hint="default"/>
      </w:rPr>
    </w:lvl>
    <w:lvl w:ilvl="3" w:tplc="738643DC">
      <w:start w:val="1"/>
      <w:numFmt w:val="bullet"/>
      <w:lvlText w:val=""/>
      <w:lvlJc w:val="left"/>
      <w:pPr>
        <w:ind w:left="3240" w:hanging="360"/>
      </w:pPr>
      <w:rPr>
        <w:rFonts w:ascii="Symbol" w:hAnsi="Symbol" w:hint="default"/>
      </w:rPr>
    </w:lvl>
    <w:lvl w:ilvl="4" w:tplc="AD341000">
      <w:start w:val="1"/>
      <w:numFmt w:val="bullet"/>
      <w:lvlText w:val="o"/>
      <w:lvlJc w:val="left"/>
      <w:pPr>
        <w:ind w:left="3960" w:hanging="360"/>
      </w:pPr>
      <w:rPr>
        <w:rFonts w:ascii="Courier New" w:hAnsi="Courier New" w:hint="default"/>
      </w:rPr>
    </w:lvl>
    <w:lvl w:ilvl="5" w:tplc="214242E8">
      <w:start w:val="1"/>
      <w:numFmt w:val="bullet"/>
      <w:lvlText w:val=""/>
      <w:lvlJc w:val="left"/>
      <w:pPr>
        <w:ind w:left="4680" w:hanging="360"/>
      </w:pPr>
      <w:rPr>
        <w:rFonts w:ascii="Wingdings" w:hAnsi="Wingdings" w:hint="default"/>
      </w:rPr>
    </w:lvl>
    <w:lvl w:ilvl="6" w:tplc="1FE4EAEA">
      <w:start w:val="1"/>
      <w:numFmt w:val="bullet"/>
      <w:lvlText w:val=""/>
      <w:lvlJc w:val="left"/>
      <w:pPr>
        <w:ind w:left="5400" w:hanging="360"/>
      </w:pPr>
      <w:rPr>
        <w:rFonts w:ascii="Symbol" w:hAnsi="Symbol" w:hint="default"/>
      </w:rPr>
    </w:lvl>
    <w:lvl w:ilvl="7" w:tplc="A5040F56">
      <w:start w:val="1"/>
      <w:numFmt w:val="bullet"/>
      <w:lvlText w:val="o"/>
      <w:lvlJc w:val="left"/>
      <w:pPr>
        <w:ind w:left="6120" w:hanging="360"/>
      </w:pPr>
      <w:rPr>
        <w:rFonts w:ascii="Courier New" w:hAnsi="Courier New" w:hint="default"/>
      </w:rPr>
    </w:lvl>
    <w:lvl w:ilvl="8" w:tplc="9E243CB0">
      <w:start w:val="1"/>
      <w:numFmt w:val="bullet"/>
      <w:lvlText w:val=""/>
      <w:lvlJc w:val="left"/>
      <w:pPr>
        <w:ind w:left="6840" w:hanging="360"/>
      </w:pPr>
      <w:rPr>
        <w:rFonts w:ascii="Wingdings" w:hAnsi="Wingdings" w:hint="default"/>
      </w:rPr>
    </w:lvl>
  </w:abstractNum>
  <w:abstractNum w:abstractNumId="80" w15:restartNumberingAfterBreak="0">
    <w:nsid w:val="6A354581"/>
    <w:multiLevelType w:val="hybridMultilevel"/>
    <w:tmpl w:val="0BE4969E"/>
    <w:lvl w:ilvl="0" w:tplc="04090019">
      <w:start w:val="1"/>
      <w:numFmt w:val="lowerLetter"/>
      <w:lvlText w:val="%1."/>
      <w:lvlJc w:val="left"/>
      <w:pPr>
        <w:ind w:left="1440" w:hanging="360"/>
      </w:pPr>
      <w:rPr>
        <w:rFonts w:hint="default"/>
      </w:rPr>
    </w:lvl>
    <w:lvl w:ilvl="1" w:tplc="FFFFFFFF">
      <w:start w:val="1"/>
      <w:numFmt w:val="lowerLetter"/>
      <w:lvlText w:val="%2."/>
      <w:lvlJc w:val="left"/>
      <w:pPr>
        <w:ind w:left="2520" w:hanging="360"/>
      </w:pPr>
    </w:lvl>
    <w:lvl w:ilvl="2" w:tplc="FFFFFFFF">
      <w:start w:val="1"/>
      <w:numFmt w:val="bullet"/>
      <w:lvlText w:val="o"/>
      <w:lvlJc w:val="left"/>
      <w:pPr>
        <w:ind w:left="3420" w:hanging="360"/>
      </w:pPr>
      <w:rPr>
        <w:rFonts w:ascii="Courier New" w:hAnsi="Courier New" w:cs="Courier New"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1" w15:restartNumberingAfterBreak="0">
    <w:nsid w:val="6C097289"/>
    <w:multiLevelType w:val="hybridMultilevel"/>
    <w:tmpl w:val="9372EE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6C2F2648"/>
    <w:multiLevelType w:val="hybridMultilevel"/>
    <w:tmpl w:val="98C08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CBF1E73"/>
    <w:multiLevelType w:val="hybridMultilevel"/>
    <w:tmpl w:val="BCDE2532"/>
    <w:lvl w:ilvl="0" w:tplc="5ED8D81E">
      <w:numFmt w:val="bullet"/>
      <w:lvlText w:val="-"/>
      <w:lvlJc w:val="left"/>
      <w:pPr>
        <w:ind w:left="264" w:hanging="180"/>
      </w:pPr>
      <w:rPr>
        <w:rFonts w:ascii="Calibri" w:eastAsia="Calibri" w:hAnsi="Calibri" w:cs="Calibri" w:hint="default"/>
        <w:b w:val="0"/>
        <w:bCs w:val="0"/>
        <w:i w:val="0"/>
        <w:iCs w:val="0"/>
        <w:spacing w:val="0"/>
        <w:w w:val="99"/>
        <w:sz w:val="20"/>
        <w:szCs w:val="20"/>
        <w:lang w:val="en-US" w:eastAsia="en-US" w:bidi="ar-SA"/>
      </w:rPr>
    </w:lvl>
    <w:lvl w:ilvl="1" w:tplc="825A54A0">
      <w:numFmt w:val="bullet"/>
      <w:lvlText w:val="•"/>
      <w:lvlJc w:val="left"/>
      <w:pPr>
        <w:ind w:left="530" w:hanging="180"/>
      </w:pPr>
      <w:rPr>
        <w:rFonts w:hint="default"/>
        <w:lang w:val="en-US" w:eastAsia="en-US" w:bidi="ar-SA"/>
      </w:rPr>
    </w:lvl>
    <w:lvl w:ilvl="2" w:tplc="16507866">
      <w:numFmt w:val="bullet"/>
      <w:lvlText w:val="•"/>
      <w:lvlJc w:val="left"/>
      <w:pPr>
        <w:ind w:left="800" w:hanging="180"/>
      </w:pPr>
      <w:rPr>
        <w:rFonts w:hint="default"/>
        <w:lang w:val="en-US" w:eastAsia="en-US" w:bidi="ar-SA"/>
      </w:rPr>
    </w:lvl>
    <w:lvl w:ilvl="3" w:tplc="51C8BBE0">
      <w:numFmt w:val="bullet"/>
      <w:lvlText w:val="•"/>
      <w:lvlJc w:val="left"/>
      <w:pPr>
        <w:ind w:left="1070" w:hanging="180"/>
      </w:pPr>
      <w:rPr>
        <w:rFonts w:hint="default"/>
        <w:lang w:val="en-US" w:eastAsia="en-US" w:bidi="ar-SA"/>
      </w:rPr>
    </w:lvl>
    <w:lvl w:ilvl="4" w:tplc="219C9E36">
      <w:numFmt w:val="bullet"/>
      <w:lvlText w:val="•"/>
      <w:lvlJc w:val="left"/>
      <w:pPr>
        <w:ind w:left="1340" w:hanging="180"/>
      </w:pPr>
      <w:rPr>
        <w:rFonts w:hint="default"/>
        <w:lang w:val="en-US" w:eastAsia="en-US" w:bidi="ar-SA"/>
      </w:rPr>
    </w:lvl>
    <w:lvl w:ilvl="5" w:tplc="FB00CB18">
      <w:numFmt w:val="bullet"/>
      <w:lvlText w:val="•"/>
      <w:lvlJc w:val="left"/>
      <w:pPr>
        <w:ind w:left="1610" w:hanging="180"/>
      </w:pPr>
      <w:rPr>
        <w:rFonts w:hint="default"/>
        <w:lang w:val="en-US" w:eastAsia="en-US" w:bidi="ar-SA"/>
      </w:rPr>
    </w:lvl>
    <w:lvl w:ilvl="6" w:tplc="EACE95B4">
      <w:numFmt w:val="bullet"/>
      <w:lvlText w:val="•"/>
      <w:lvlJc w:val="left"/>
      <w:pPr>
        <w:ind w:left="1880" w:hanging="180"/>
      </w:pPr>
      <w:rPr>
        <w:rFonts w:hint="default"/>
        <w:lang w:val="en-US" w:eastAsia="en-US" w:bidi="ar-SA"/>
      </w:rPr>
    </w:lvl>
    <w:lvl w:ilvl="7" w:tplc="C0DE979C">
      <w:numFmt w:val="bullet"/>
      <w:lvlText w:val="•"/>
      <w:lvlJc w:val="left"/>
      <w:pPr>
        <w:ind w:left="2150" w:hanging="180"/>
      </w:pPr>
      <w:rPr>
        <w:rFonts w:hint="default"/>
        <w:lang w:val="en-US" w:eastAsia="en-US" w:bidi="ar-SA"/>
      </w:rPr>
    </w:lvl>
    <w:lvl w:ilvl="8" w:tplc="AFB2F574">
      <w:numFmt w:val="bullet"/>
      <w:lvlText w:val="•"/>
      <w:lvlJc w:val="left"/>
      <w:pPr>
        <w:ind w:left="2420" w:hanging="180"/>
      </w:pPr>
      <w:rPr>
        <w:rFonts w:hint="default"/>
        <w:lang w:val="en-US" w:eastAsia="en-US" w:bidi="ar-SA"/>
      </w:rPr>
    </w:lvl>
  </w:abstractNum>
  <w:abstractNum w:abstractNumId="84" w15:restartNumberingAfterBreak="0">
    <w:nsid w:val="6CDF6AD5"/>
    <w:multiLevelType w:val="hybridMultilevel"/>
    <w:tmpl w:val="8456583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5" w15:restartNumberingAfterBreak="0">
    <w:nsid w:val="6D65EC81"/>
    <w:multiLevelType w:val="hybridMultilevel"/>
    <w:tmpl w:val="FFFFFFFF"/>
    <w:lvl w:ilvl="0" w:tplc="0D46B1E8">
      <w:start w:val="1"/>
      <w:numFmt w:val="bullet"/>
      <w:lvlText w:val=""/>
      <w:lvlJc w:val="left"/>
      <w:pPr>
        <w:ind w:left="720" w:hanging="360"/>
      </w:pPr>
      <w:rPr>
        <w:rFonts w:ascii="Symbol" w:hAnsi="Symbol" w:hint="default"/>
      </w:rPr>
    </w:lvl>
    <w:lvl w:ilvl="1" w:tplc="C63EEEC8">
      <w:start w:val="1"/>
      <w:numFmt w:val="bullet"/>
      <w:lvlText w:val="o"/>
      <w:lvlJc w:val="left"/>
      <w:pPr>
        <w:ind w:left="1440" w:hanging="360"/>
      </w:pPr>
      <w:rPr>
        <w:rFonts w:ascii="Courier New" w:hAnsi="Courier New" w:hint="default"/>
      </w:rPr>
    </w:lvl>
    <w:lvl w:ilvl="2" w:tplc="0F9E7B76">
      <w:start w:val="1"/>
      <w:numFmt w:val="bullet"/>
      <w:lvlText w:val=""/>
      <w:lvlJc w:val="left"/>
      <w:pPr>
        <w:ind w:left="2160" w:hanging="360"/>
      </w:pPr>
      <w:rPr>
        <w:rFonts w:ascii="Wingdings" w:hAnsi="Wingdings" w:hint="default"/>
      </w:rPr>
    </w:lvl>
    <w:lvl w:ilvl="3" w:tplc="CCF6ADCE">
      <w:start w:val="1"/>
      <w:numFmt w:val="bullet"/>
      <w:lvlText w:val=""/>
      <w:lvlJc w:val="left"/>
      <w:pPr>
        <w:ind w:left="2880" w:hanging="360"/>
      </w:pPr>
      <w:rPr>
        <w:rFonts w:ascii="Symbol" w:hAnsi="Symbol" w:hint="default"/>
      </w:rPr>
    </w:lvl>
    <w:lvl w:ilvl="4" w:tplc="4E98A91A">
      <w:start w:val="1"/>
      <w:numFmt w:val="bullet"/>
      <w:lvlText w:val="o"/>
      <w:lvlJc w:val="left"/>
      <w:pPr>
        <w:ind w:left="3600" w:hanging="360"/>
      </w:pPr>
      <w:rPr>
        <w:rFonts w:ascii="Courier New" w:hAnsi="Courier New" w:hint="default"/>
      </w:rPr>
    </w:lvl>
    <w:lvl w:ilvl="5" w:tplc="D0A49D60">
      <w:start w:val="1"/>
      <w:numFmt w:val="bullet"/>
      <w:lvlText w:val=""/>
      <w:lvlJc w:val="left"/>
      <w:pPr>
        <w:ind w:left="4320" w:hanging="360"/>
      </w:pPr>
      <w:rPr>
        <w:rFonts w:ascii="Wingdings" w:hAnsi="Wingdings" w:hint="default"/>
      </w:rPr>
    </w:lvl>
    <w:lvl w:ilvl="6" w:tplc="068CA03E">
      <w:start w:val="1"/>
      <w:numFmt w:val="bullet"/>
      <w:lvlText w:val=""/>
      <w:lvlJc w:val="left"/>
      <w:pPr>
        <w:ind w:left="5040" w:hanging="360"/>
      </w:pPr>
      <w:rPr>
        <w:rFonts w:ascii="Symbol" w:hAnsi="Symbol" w:hint="default"/>
      </w:rPr>
    </w:lvl>
    <w:lvl w:ilvl="7" w:tplc="02F032CE">
      <w:start w:val="1"/>
      <w:numFmt w:val="bullet"/>
      <w:lvlText w:val="o"/>
      <w:lvlJc w:val="left"/>
      <w:pPr>
        <w:ind w:left="5760" w:hanging="360"/>
      </w:pPr>
      <w:rPr>
        <w:rFonts w:ascii="Courier New" w:hAnsi="Courier New" w:hint="default"/>
      </w:rPr>
    </w:lvl>
    <w:lvl w:ilvl="8" w:tplc="74EE687C">
      <w:start w:val="1"/>
      <w:numFmt w:val="bullet"/>
      <w:lvlText w:val=""/>
      <w:lvlJc w:val="left"/>
      <w:pPr>
        <w:ind w:left="6480" w:hanging="360"/>
      </w:pPr>
      <w:rPr>
        <w:rFonts w:ascii="Wingdings" w:hAnsi="Wingdings" w:hint="default"/>
      </w:rPr>
    </w:lvl>
  </w:abstractNum>
  <w:abstractNum w:abstractNumId="86" w15:restartNumberingAfterBreak="0">
    <w:nsid w:val="6E0E5FBE"/>
    <w:multiLevelType w:val="hybridMultilevel"/>
    <w:tmpl w:val="A62C8B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E4630DB"/>
    <w:multiLevelType w:val="hybridMultilevel"/>
    <w:tmpl w:val="1CCE534E"/>
    <w:lvl w:ilvl="0" w:tplc="2EFC0944">
      <w:start w:val="1"/>
      <w:numFmt w:val="decimal"/>
      <w:lvlText w:val="%1."/>
      <w:lvlJc w:val="left"/>
      <w:pPr>
        <w:ind w:left="1020" w:hanging="360"/>
      </w:pPr>
    </w:lvl>
    <w:lvl w:ilvl="1" w:tplc="CC402BC2">
      <w:start w:val="1"/>
      <w:numFmt w:val="decimal"/>
      <w:lvlText w:val="%2."/>
      <w:lvlJc w:val="left"/>
      <w:pPr>
        <w:ind w:left="1020" w:hanging="360"/>
      </w:pPr>
    </w:lvl>
    <w:lvl w:ilvl="2" w:tplc="38EE5AE6">
      <w:start w:val="1"/>
      <w:numFmt w:val="decimal"/>
      <w:lvlText w:val="%3."/>
      <w:lvlJc w:val="left"/>
      <w:pPr>
        <w:ind w:left="1020" w:hanging="360"/>
      </w:pPr>
    </w:lvl>
    <w:lvl w:ilvl="3" w:tplc="9D1EFFA6">
      <w:start w:val="1"/>
      <w:numFmt w:val="decimal"/>
      <w:lvlText w:val="%4."/>
      <w:lvlJc w:val="left"/>
      <w:pPr>
        <w:ind w:left="1020" w:hanging="360"/>
      </w:pPr>
    </w:lvl>
    <w:lvl w:ilvl="4" w:tplc="17D4A896">
      <w:start w:val="1"/>
      <w:numFmt w:val="decimal"/>
      <w:lvlText w:val="%5."/>
      <w:lvlJc w:val="left"/>
      <w:pPr>
        <w:ind w:left="1020" w:hanging="360"/>
      </w:pPr>
    </w:lvl>
    <w:lvl w:ilvl="5" w:tplc="3586D458">
      <w:start w:val="1"/>
      <w:numFmt w:val="decimal"/>
      <w:lvlText w:val="%6."/>
      <w:lvlJc w:val="left"/>
      <w:pPr>
        <w:ind w:left="1020" w:hanging="360"/>
      </w:pPr>
    </w:lvl>
    <w:lvl w:ilvl="6" w:tplc="B40CD22E">
      <w:start w:val="1"/>
      <w:numFmt w:val="decimal"/>
      <w:lvlText w:val="%7."/>
      <w:lvlJc w:val="left"/>
      <w:pPr>
        <w:ind w:left="1020" w:hanging="360"/>
      </w:pPr>
    </w:lvl>
    <w:lvl w:ilvl="7" w:tplc="A72A93AC">
      <w:start w:val="1"/>
      <w:numFmt w:val="decimal"/>
      <w:lvlText w:val="%8."/>
      <w:lvlJc w:val="left"/>
      <w:pPr>
        <w:ind w:left="1020" w:hanging="360"/>
      </w:pPr>
    </w:lvl>
    <w:lvl w:ilvl="8" w:tplc="C6342ED8">
      <w:start w:val="1"/>
      <w:numFmt w:val="decimal"/>
      <w:lvlText w:val="%9."/>
      <w:lvlJc w:val="left"/>
      <w:pPr>
        <w:ind w:left="1020" w:hanging="360"/>
      </w:pPr>
    </w:lvl>
  </w:abstractNum>
  <w:abstractNum w:abstractNumId="88" w15:restartNumberingAfterBreak="0">
    <w:nsid w:val="6E4C3ACD"/>
    <w:multiLevelType w:val="hybridMultilevel"/>
    <w:tmpl w:val="898AE44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0931910"/>
    <w:multiLevelType w:val="hybridMultilevel"/>
    <w:tmpl w:val="604A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16170D7"/>
    <w:multiLevelType w:val="multilevel"/>
    <w:tmpl w:val="AD8EC1EC"/>
    <w:styleLink w:val="1ai1"/>
    <w:lvl w:ilvl="0">
      <w:start w:val="1"/>
      <w:numFmt w:val="decimal"/>
      <w:lvlText w:val="%1."/>
      <w:lvlJc w:val="left"/>
      <w:pPr>
        <w:ind w:left="1080" w:hanging="360"/>
      </w:pPr>
    </w:lvl>
    <w:lvl w:ilvl="1">
      <w:start w:val="1"/>
      <w:numFmt w:val="decimal"/>
      <w:lvlText w:val="%2."/>
      <w:lvlJc w:val="left"/>
      <w:pPr>
        <w:ind w:left="1080" w:hanging="360"/>
      </w:pPr>
    </w:lvl>
    <w:lvl w:ilvl="2">
      <w:start w:val="1"/>
      <w:numFmt w:val="decimal"/>
      <w:lvlText w:val="%3."/>
      <w:lvlJc w:val="left"/>
      <w:pPr>
        <w:ind w:left="1080" w:hanging="360"/>
      </w:pPr>
    </w:lvl>
    <w:lvl w:ilvl="3">
      <w:start w:val="1"/>
      <w:numFmt w:val="decimal"/>
      <w:lvlText w:val="%4."/>
      <w:lvlJc w:val="left"/>
      <w:pPr>
        <w:ind w:left="1080" w:hanging="360"/>
      </w:pPr>
    </w:lvl>
    <w:lvl w:ilvl="4">
      <w:start w:val="1"/>
      <w:numFmt w:val="decimal"/>
      <w:lvlText w:val="%5."/>
      <w:lvlJc w:val="left"/>
      <w:pPr>
        <w:ind w:left="1080" w:hanging="360"/>
      </w:pPr>
    </w:lvl>
    <w:lvl w:ilvl="5">
      <w:start w:val="1"/>
      <w:numFmt w:val="decimal"/>
      <w:lvlText w:val="%6."/>
      <w:lvlJc w:val="left"/>
      <w:pPr>
        <w:ind w:left="1080" w:hanging="360"/>
      </w:pPr>
    </w:lvl>
    <w:lvl w:ilvl="6">
      <w:start w:val="1"/>
      <w:numFmt w:val="decimal"/>
      <w:lvlText w:val="%7."/>
      <w:lvlJc w:val="left"/>
      <w:pPr>
        <w:ind w:left="1080" w:hanging="360"/>
      </w:pPr>
    </w:lvl>
    <w:lvl w:ilvl="7">
      <w:start w:val="1"/>
      <w:numFmt w:val="decimal"/>
      <w:lvlText w:val="%8."/>
      <w:lvlJc w:val="left"/>
      <w:pPr>
        <w:ind w:left="1080" w:hanging="360"/>
      </w:pPr>
    </w:lvl>
    <w:lvl w:ilvl="8">
      <w:start w:val="1"/>
      <w:numFmt w:val="decimal"/>
      <w:lvlText w:val="%9."/>
      <w:lvlJc w:val="left"/>
      <w:pPr>
        <w:ind w:left="1080" w:hanging="360"/>
      </w:pPr>
    </w:lvl>
  </w:abstractNum>
  <w:abstractNum w:abstractNumId="91" w15:restartNumberingAfterBreak="0">
    <w:nsid w:val="71F93D71"/>
    <w:multiLevelType w:val="hybridMultilevel"/>
    <w:tmpl w:val="625A7EA2"/>
    <w:styleLink w:val="Normallist24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4507BB9"/>
    <w:multiLevelType w:val="hybridMultilevel"/>
    <w:tmpl w:val="855C95B6"/>
    <w:lvl w:ilvl="0" w:tplc="13E0EA3C">
      <w:numFmt w:val="bullet"/>
      <w:lvlText w:val="-"/>
      <w:lvlJc w:val="left"/>
      <w:pPr>
        <w:ind w:left="243" w:hanging="142"/>
      </w:pPr>
      <w:rPr>
        <w:rFonts w:ascii="Calibri" w:eastAsia="Calibri" w:hAnsi="Calibri" w:cs="Calibri" w:hint="default"/>
        <w:b w:val="0"/>
        <w:bCs w:val="0"/>
        <w:i w:val="0"/>
        <w:iCs w:val="0"/>
        <w:spacing w:val="0"/>
        <w:w w:val="99"/>
        <w:sz w:val="20"/>
        <w:szCs w:val="20"/>
        <w:lang w:val="en-US" w:eastAsia="en-US" w:bidi="ar-SA"/>
      </w:rPr>
    </w:lvl>
    <w:lvl w:ilvl="1" w:tplc="BA5AB77C">
      <w:numFmt w:val="bullet"/>
      <w:lvlText w:val="•"/>
      <w:lvlJc w:val="left"/>
      <w:pPr>
        <w:ind w:left="500" w:hanging="142"/>
      </w:pPr>
      <w:rPr>
        <w:rFonts w:hint="default"/>
        <w:lang w:val="en-US" w:eastAsia="en-US" w:bidi="ar-SA"/>
      </w:rPr>
    </w:lvl>
    <w:lvl w:ilvl="2" w:tplc="9D208140">
      <w:numFmt w:val="bullet"/>
      <w:lvlText w:val="•"/>
      <w:lvlJc w:val="left"/>
      <w:pPr>
        <w:ind w:left="760" w:hanging="142"/>
      </w:pPr>
      <w:rPr>
        <w:rFonts w:hint="default"/>
        <w:lang w:val="en-US" w:eastAsia="en-US" w:bidi="ar-SA"/>
      </w:rPr>
    </w:lvl>
    <w:lvl w:ilvl="3" w:tplc="D5BE9B1C">
      <w:numFmt w:val="bullet"/>
      <w:lvlText w:val="•"/>
      <w:lvlJc w:val="left"/>
      <w:pPr>
        <w:ind w:left="1020" w:hanging="142"/>
      </w:pPr>
      <w:rPr>
        <w:rFonts w:hint="default"/>
        <w:lang w:val="en-US" w:eastAsia="en-US" w:bidi="ar-SA"/>
      </w:rPr>
    </w:lvl>
    <w:lvl w:ilvl="4" w:tplc="120EE1F2">
      <w:numFmt w:val="bullet"/>
      <w:lvlText w:val="•"/>
      <w:lvlJc w:val="left"/>
      <w:pPr>
        <w:ind w:left="1281" w:hanging="142"/>
      </w:pPr>
      <w:rPr>
        <w:rFonts w:hint="default"/>
        <w:lang w:val="en-US" w:eastAsia="en-US" w:bidi="ar-SA"/>
      </w:rPr>
    </w:lvl>
    <w:lvl w:ilvl="5" w:tplc="C4F230C2">
      <w:numFmt w:val="bullet"/>
      <w:lvlText w:val="•"/>
      <w:lvlJc w:val="left"/>
      <w:pPr>
        <w:ind w:left="1541" w:hanging="142"/>
      </w:pPr>
      <w:rPr>
        <w:rFonts w:hint="default"/>
        <w:lang w:val="en-US" w:eastAsia="en-US" w:bidi="ar-SA"/>
      </w:rPr>
    </w:lvl>
    <w:lvl w:ilvl="6" w:tplc="F34421B8">
      <w:numFmt w:val="bullet"/>
      <w:lvlText w:val="•"/>
      <w:lvlJc w:val="left"/>
      <w:pPr>
        <w:ind w:left="1801" w:hanging="142"/>
      </w:pPr>
      <w:rPr>
        <w:rFonts w:hint="default"/>
        <w:lang w:val="en-US" w:eastAsia="en-US" w:bidi="ar-SA"/>
      </w:rPr>
    </w:lvl>
    <w:lvl w:ilvl="7" w:tplc="FBE88DA0">
      <w:numFmt w:val="bullet"/>
      <w:lvlText w:val="•"/>
      <w:lvlJc w:val="left"/>
      <w:pPr>
        <w:ind w:left="2062" w:hanging="142"/>
      </w:pPr>
      <w:rPr>
        <w:rFonts w:hint="default"/>
        <w:lang w:val="en-US" w:eastAsia="en-US" w:bidi="ar-SA"/>
      </w:rPr>
    </w:lvl>
    <w:lvl w:ilvl="8" w:tplc="AEE40446">
      <w:numFmt w:val="bullet"/>
      <w:lvlText w:val="•"/>
      <w:lvlJc w:val="left"/>
      <w:pPr>
        <w:ind w:left="2322" w:hanging="142"/>
      </w:pPr>
      <w:rPr>
        <w:rFonts w:hint="default"/>
        <w:lang w:val="en-US" w:eastAsia="en-US" w:bidi="ar-SA"/>
      </w:rPr>
    </w:lvl>
  </w:abstractNum>
  <w:abstractNum w:abstractNumId="93" w15:restartNumberingAfterBreak="0">
    <w:nsid w:val="74681525"/>
    <w:multiLevelType w:val="hybridMultilevel"/>
    <w:tmpl w:val="A030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73C609E"/>
    <w:multiLevelType w:val="hybridMultilevel"/>
    <w:tmpl w:val="FFFFFFFF"/>
    <w:styleLink w:val="Normallist"/>
    <w:lvl w:ilvl="0" w:tplc="53ECF46C">
      <w:start w:val="1"/>
      <w:numFmt w:val="bullet"/>
      <w:lvlText w:val=""/>
      <w:lvlJc w:val="left"/>
      <w:pPr>
        <w:ind w:left="720" w:hanging="360"/>
      </w:pPr>
      <w:rPr>
        <w:rFonts w:ascii="Wingdings" w:hAnsi="Wingdings" w:hint="default"/>
      </w:rPr>
    </w:lvl>
    <w:lvl w:ilvl="1" w:tplc="7794043C">
      <w:start w:val="1"/>
      <w:numFmt w:val="bullet"/>
      <w:lvlText w:val="o"/>
      <w:lvlJc w:val="left"/>
      <w:pPr>
        <w:ind w:left="1440" w:hanging="360"/>
      </w:pPr>
      <w:rPr>
        <w:rFonts w:ascii="Courier New" w:hAnsi="Courier New" w:hint="default"/>
      </w:rPr>
    </w:lvl>
    <w:lvl w:ilvl="2" w:tplc="EFDEAA28">
      <w:start w:val="1"/>
      <w:numFmt w:val="bullet"/>
      <w:lvlText w:val=""/>
      <w:lvlJc w:val="left"/>
      <w:pPr>
        <w:ind w:left="2160" w:hanging="360"/>
      </w:pPr>
      <w:rPr>
        <w:rFonts w:ascii="Wingdings" w:hAnsi="Wingdings" w:hint="default"/>
      </w:rPr>
    </w:lvl>
    <w:lvl w:ilvl="3" w:tplc="599C4444">
      <w:start w:val="1"/>
      <w:numFmt w:val="bullet"/>
      <w:lvlText w:val=""/>
      <w:lvlJc w:val="left"/>
      <w:pPr>
        <w:ind w:left="2880" w:hanging="360"/>
      </w:pPr>
      <w:rPr>
        <w:rFonts w:ascii="Symbol" w:hAnsi="Symbol" w:hint="default"/>
      </w:rPr>
    </w:lvl>
    <w:lvl w:ilvl="4" w:tplc="668EE694">
      <w:start w:val="1"/>
      <w:numFmt w:val="bullet"/>
      <w:lvlText w:val="o"/>
      <w:lvlJc w:val="left"/>
      <w:pPr>
        <w:ind w:left="3600" w:hanging="360"/>
      </w:pPr>
      <w:rPr>
        <w:rFonts w:ascii="Courier New" w:hAnsi="Courier New" w:hint="default"/>
      </w:rPr>
    </w:lvl>
    <w:lvl w:ilvl="5" w:tplc="43C43292">
      <w:start w:val="1"/>
      <w:numFmt w:val="bullet"/>
      <w:lvlText w:val=""/>
      <w:lvlJc w:val="left"/>
      <w:pPr>
        <w:ind w:left="4320" w:hanging="360"/>
      </w:pPr>
      <w:rPr>
        <w:rFonts w:ascii="Wingdings" w:hAnsi="Wingdings" w:hint="default"/>
      </w:rPr>
    </w:lvl>
    <w:lvl w:ilvl="6" w:tplc="87FC7160">
      <w:start w:val="1"/>
      <w:numFmt w:val="bullet"/>
      <w:lvlText w:val=""/>
      <w:lvlJc w:val="left"/>
      <w:pPr>
        <w:ind w:left="5040" w:hanging="360"/>
      </w:pPr>
      <w:rPr>
        <w:rFonts w:ascii="Symbol" w:hAnsi="Symbol" w:hint="default"/>
      </w:rPr>
    </w:lvl>
    <w:lvl w:ilvl="7" w:tplc="C9C2912A">
      <w:start w:val="1"/>
      <w:numFmt w:val="bullet"/>
      <w:lvlText w:val="o"/>
      <w:lvlJc w:val="left"/>
      <w:pPr>
        <w:ind w:left="5760" w:hanging="360"/>
      </w:pPr>
      <w:rPr>
        <w:rFonts w:ascii="Courier New" w:hAnsi="Courier New" w:hint="default"/>
      </w:rPr>
    </w:lvl>
    <w:lvl w:ilvl="8" w:tplc="9A7044E0">
      <w:start w:val="1"/>
      <w:numFmt w:val="bullet"/>
      <w:lvlText w:val=""/>
      <w:lvlJc w:val="left"/>
      <w:pPr>
        <w:ind w:left="6480" w:hanging="360"/>
      </w:pPr>
      <w:rPr>
        <w:rFonts w:ascii="Wingdings" w:hAnsi="Wingdings" w:hint="default"/>
      </w:rPr>
    </w:lvl>
  </w:abstractNum>
  <w:abstractNum w:abstractNumId="95" w15:restartNumberingAfterBreak="0">
    <w:nsid w:val="774482F4"/>
    <w:multiLevelType w:val="hybridMultilevel"/>
    <w:tmpl w:val="03FEA850"/>
    <w:lvl w:ilvl="0" w:tplc="824E5B28">
      <w:start w:val="1"/>
      <w:numFmt w:val="bullet"/>
      <w:lvlText w:val=""/>
      <w:lvlJc w:val="left"/>
      <w:pPr>
        <w:ind w:left="720" w:hanging="360"/>
      </w:pPr>
      <w:rPr>
        <w:rFonts w:ascii="Symbol" w:hAnsi="Symbol" w:hint="default"/>
      </w:rPr>
    </w:lvl>
    <w:lvl w:ilvl="1" w:tplc="7128855E">
      <w:start w:val="1"/>
      <w:numFmt w:val="bullet"/>
      <w:lvlText w:val="o"/>
      <w:lvlJc w:val="left"/>
      <w:pPr>
        <w:ind w:left="1440" w:hanging="360"/>
      </w:pPr>
      <w:rPr>
        <w:rFonts w:ascii="Courier New" w:hAnsi="Courier New" w:hint="default"/>
      </w:rPr>
    </w:lvl>
    <w:lvl w:ilvl="2" w:tplc="D40C832C">
      <w:start w:val="1"/>
      <w:numFmt w:val="bullet"/>
      <w:lvlText w:val=""/>
      <w:lvlJc w:val="left"/>
      <w:pPr>
        <w:ind w:left="2160" w:hanging="360"/>
      </w:pPr>
      <w:rPr>
        <w:rFonts w:ascii="Wingdings" w:hAnsi="Wingdings" w:hint="default"/>
      </w:rPr>
    </w:lvl>
    <w:lvl w:ilvl="3" w:tplc="D27ED222">
      <w:start w:val="1"/>
      <w:numFmt w:val="bullet"/>
      <w:lvlText w:val=""/>
      <w:lvlJc w:val="left"/>
      <w:pPr>
        <w:ind w:left="2880" w:hanging="360"/>
      </w:pPr>
      <w:rPr>
        <w:rFonts w:ascii="Symbol" w:hAnsi="Symbol" w:hint="default"/>
      </w:rPr>
    </w:lvl>
    <w:lvl w:ilvl="4" w:tplc="1EA2A76E">
      <w:start w:val="1"/>
      <w:numFmt w:val="bullet"/>
      <w:lvlText w:val="o"/>
      <w:lvlJc w:val="left"/>
      <w:pPr>
        <w:ind w:left="3600" w:hanging="360"/>
      </w:pPr>
      <w:rPr>
        <w:rFonts w:ascii="Courier New" w:hAnsi="Courier New" w:hint="default"/>
      </w:rPr>
    </w:lvl>
    <w:lvl w:ilvl="5" w:tplc="C4D80646">
      <w:start w:val="1"/>
      <w:numFmt w:val="bullet"/>
      <w:lvlText w:val=""/>
      <w:lvlJc w:val="left"/>
      <w:pPr>
        <w:ind w:left="4320" w:hanging="360"/>
      </w:pPr>
      <w:rPr>
        <w:rFonts w:ascii="Wingdings" w:hAnsi="Wingdings" w:hint="default"/>
      </w:rPr>
    </w:lvl>
    <w:lvl w:ilvl="6" w:tplc="E96EAF36">
      <w:start w:val="1"/>
      <w:numFmt w:val="bullet"/>
      <w:lvlText w:val=""/>
      <w:lvlJc w:val="left"/>
      <w:pPr>
        <w:ind w:left="5040" w:hanging="360"/>
      </w:pPr>
      <w:rPr>
        <w:rFonts w:ascii="Symbol" w:hAnsi="Symbol" w:hint="default"/>
      </w:rPr>
    </w:lvl>
    <w:lvl w:ilvl="7" w:tplc="4C027F6E">
      <w:start w:val="1"/>
      <w:numFmt w:val="bullet"/>
      <w:lvlText w:val="o"/>
      <w:lvlJc w:val="left"/>
      <w:pPr>
        <w:ind w:left="5760" w:hanging="360"/>
      </w:pPr>
      <w:rPr>
        <w:rFonts w:ascii="Courier New" w:hAnsi="Courier New" w:hint="default"/>
      </w:rPr>
    </w:lvl>
    <w:lvl w:ilvl="8" w:tplc="3C52974A">
      <w:start w:val="1"/>
      <w:numFmt w:val="bullet"/>
      <w:lvlText w:val=""/>
      <w:lvlJc w:val="left"/>
      <w:pPr>
        <w:ind w:left="6480" w:hanging="360"/>
      </w:pPr>
      <w:rPr>
        <w:rFonts w:ascii="Wingdings" w:hAnsi="Wingdings" w:hint="default"/>
      </w:rPr>
    </w:lvl>
  </w:abstractNum>
  <w:abstractNum w:abstractNumId="96" w15:restartNumberingAfterBreak="0">
    <w:nsid w:val="7926777C"/>
    <w:multiLevelType w:val="hybridMultilevel"/>
    <w:tmpl w:val="DE90EA9C"/>
    <w:lvl w:ilvl="0" w:tplc="04090001">
      <w:start w:val="1"/>
      <w:numFmt w:val="bullet"/>
      <w:lvlText w:val=""/>
      <w:lvlJc w:val="left"/>
      <w:pPr>
        <w:ind w:left="420" w:hanging="420"/>
      </w:pPr>
      <w:rPr>
        <w:rFonts w:ascii="Symbol" w:hAnsi="Symbol" w:hint="default"/>
      </w:rPr>
    </w:lvl>
    <w:lvl w:ilvl="1" w:tplc="04090005">
      <w:start w:val="1"/>
      <w:numFmt w:val="bullet"/>
      <w:lvlText w:val=""/>
      <w:lvlJc w:val="left"/>
      <w:pPr>
        <w:ind w:left="780" w:hanging="36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79D523C4"/>
    <w:multiLevelType w:val="multilevel"/>
    <w:tmpl w:val="9BE2DC72"/>
    <w:lvl w:ilvl="0">
      <w:start w:val="1"/>
      <w:numFmt w:val="decimal"/>
      <w:pStyle w:val="ToDoList"/>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8" w15:restartNumberingAfterBreak="0">
    <w:nsid w:val="7A555D17"/>
    <w:multiLevelType w:val="hybridMultilevel"/>
    <w:tmpl w:val="2230FA1A"/>
    <w:lvl w:ilvl="0" w:tplc="39409B92">
      <w:numFmt w:val="bullet"/>
      <w:lvlText w:val="-"/>
      <w:lvlJc w:val="left"/>
      <w:pPr>
        <w:ind w:left="264" w:hanging="180"/>
      </w:pPr>
      <w:rPr>
        <w:rFonts w:ascii="Calibri" w:eastAsia="Calibri" w:hAnsi="Calibri" w:cs="Calibri" w:hint="default"/>
        <w:b w:val="0"/>
        <w:bCs w:val="0"/>
        <w:i w:val="0"/>
        <w:iCs w:val="0"/>
        <w:spacing w:val="0"/>
        <w:w w:val="99"/>
        <w:sz w:val="20"/>
        <w:szCs w:val="20"/>
        <w:lang w:val="en-US" w:eastAsia="en-US" w:bidi="ar-SA"/>
      </w:rPr>
    </w:lvl>
    <w:lvl w:ilvl="1" w:tplc="AB460F80">
      <w:numFmt w:val="bullet"/>
      <w:lvlText w:val="•"/>
      <w:lvlJc w:val="left"/>
      <w:pPr>
        <w:ind w:left="518" w:hanging="180"/>
      </w:pPr>
      <w:rPr>
        <w:rFonts w:hint="default"/>
        <w:lang w:val="en-US" w:eastAsia="en-US" w:bidi="ar-SA"/>
      </w:rPr>
    </w:lvl>
    <w:lvl w:ilvl="2" w:tplc="13BA2A26">
      <w:numFmt w:val="bullet"/>
      <w:lvlText w:val="•"/>
      <w:lvlJc w:val="left"/>
      <w:pPr>
        <w:ind w:left="776" w:hanging="180"/>
      </w:pPr>
      <w:rPr>
        <w:rFonts w:hint="default"/>
        <w:lang w:val="en-US" w:eastAsia="en-US" w:bidi="ar-SA"/>
      </w:rPr>
    </w:lvl>
    <w:lvl w:ilvl="3" w:tplc="7328310C">
      <w:numFmt w:val="bullet"/>
      <w:lvlText w:val="•"/>
      <w:lvlJc w:val="left"/>
      <w:pPr>
        <w:ind w:left="1034" w:hanging="180"/>
      </w:pPr>
      <w:rPr>
        <w:rFonts w:hint="default"/>
        <w:lang w:val="en-US" w:eastAsia="en-US" w:bidi="ar-SA"/>
      </w:rPr>
    </w:lvl>
    <w:lvl w:ilvl="4" w:tplc="10FC170A">
      <w:numFmt w:val="bullet"/>
      <w:lvlText w:val="•"/>
      <w:lvlJc w:val="left"/>
      <w:pPr>
        <w:ind w:left="1293" w:hanging="180"/>
      </w:pPr>
      <w:rPr>
        <w:rFonts w:hint="default"/>
        <w:lang w:val="en-US" w:eastAsia="en-US" w:bidi="ar-SA"/>
      </w:rPr>
    </w:lvl>
    <w:lvl w:ilvl="5" w:tplc="6322A926">
      <w:numFmt w:val="bullet"/>
      <w:lvlText w:val="•"/>
      <w:lvlJc w:val="left"/>
      <w:pPr>
        <w:ind w:left="1551" w:hanging="180"/>
      </w:pPr>
      <w:rPr>
        <w:rFonts w:hint="default"/>
        <w:lang w:val="en-US" w:eastAsia="en-US" w:bidi="ar-SA"/>
      </w:rPr>
    </w:lvl>
    <w:lvl w:ilvl="6" w:tplc="A6DA8888">
      <w:numFmt w:val="bullet"/>
      <w:lvlText w:val="•"/>
      <w:lvlJc w:val="left"/>
      <w:pPr>
        <w:ind w:left="1809" w:hanging="180"/>
      </w:pPr>
      <w:rPr>
        <w:rFonts w:hint="default"/>
        <w:lang w:val="en-US" w:eastAsia="en-US" w:bidi="ar-SA"/>
      </w:rPr>
    </w:lvl>
    <w:lvl w:ilvl="7" w:tplc="40706B90">
      <w:numFmt w:val="bullet"/>
      <w:lvlText w:val="•"/>
      <w:lvlJc w:val="left"/>
      <w:pPr>
        <w:ind w:left="2068" w:hanging="180"/>
      </w:pPr>
      <w:rPr>
        <w:rFonts w:hint="default"/>
        <w:lang w:val="en-US" w:eastAsia="en-US" w:bidi="ar-SA"/>
      </w:rPr>
    </w:lvl>
    <w:lvl w:ilvl="8" w:tplc="080C01DA">
      <w:numFmt w:val="bullet"/>
      <w:lvlText w:val="•"/>
      <w:lvlJc w:val="left"/>
      <w:pPr>
        <w:ind w:left="2326" w:hanging="180"/>
      </w:pPr>
      <w:rPr>
        <w:rFonts w:hint="default"/>
        <w:lang w:val="en-US" w:eastAsia="en-US" w:bidi="ar-SA"/>
      </w:rPr>
    </w:lvl>
  </w:abstractNum>
  <w:abstractNum w:abstractNumId="99" w15:restartNumberingAfterBreak="0">
    <w:nsid w:val="7B04DB63"/>
    <w:multiLevelType w:val="hybridMultilevel"/>
    <w:tmpl w:val="FFFFFFFF"/>
    <w:styleLink w:val="Normallist24"/>
    <w:lvl w:ilvl="0" w:tplc="53ECF46C">
      <w:start w:val="1"/>
      <w:numFmt w:val="bullet"/>
      <w:lvlText w:val=""/>
      <w:lvlJc w:val="left"/>
      <w:pPr>
        <w:ind w:left="720" w:hanging="360"/>
      </w:pPr>
      <w:rPr>
        <w:rFonts w:ascii="Wingdings" w:hAnsi="Wingdings" w:hint="default"/>
      </w:rPr>
    </w:lvl>
    <w:lvl w:ilvl="1" w:tplc="7794043C">
      <w:start w:val="1"/>
      <w:numFmt w:val="bullet"/>
      <w:lvlText w:val="o"/>
      <w:lvlJc w:val="left"/>
      <w:pPr>
        <w:ind w:left="1440" w:hanging="360"/>
      </w:pPr>
      <w:rPr>
        <w:rFonts w:ascii="Courier New" w:hAnsi="Courier New" w:hint="default"/>
      </w:rPr>
    </w:lvl>
    <w:lvl w:ilvl="2" w:tplc="EFDEAA28">
      <w:start w:val="1"/>
      <w:numFmt w:val="bullet"/>
      <w:lvlText w:val=""/>
      <w:lvlJc w:val="left"/>
      <w:pPr>
        <w:ind w:left="2160" w:hanging="360"/>
      </w:pPr>
      <w:rPr>
        <w:rFonts w:ascii="Wingdings" w:hAnsi="Wingdings" w:hint="default"/>
      </w:rPr>
    </w:lvl>
    <w:lvl w:ilvl="3" w:tplc="599C4444">
      <w:start w:val="1"/>
      <w:numFmt w:val="bullet"/>
      <w:lvlText w:val=""/>
      <w:lvlJc w:val="left"/>
      <w:pPr>
        <w:ind w:left="2880" w:hanging="360"/>
      </w:pPr>
      <w:rPr>
        <w:rFonts w:ascii="Symbol" w:hAnsi="Symbol" w:hint="default"/>
      </w:rPr>
    </w:lvl>
    <w:lvl w:ilvl="4" w:tplc="668EE694">
      <w:start w:val="1"/>
      <w:numFmt w:val="bullet"/>
      <w:lvlText w:val="o"/>
      <w:lvlJc w:val="left"/>
      <w:pPr>
        <w:ind w:left="3600" w:hanging="360"/>
      </w:pPr>
      <w:rPr>
        <w:rFonts w:ascii="Courier New" w:hAnsi="Courier New" w:hint="default"/>
      </w:rPr>
    </w:lvl>
    <w:lvl w:ilvl="5" w:tplc="43C43292">
      <w:start w:val="1"/>
      <w:numFmt w:val="bullet"/>
      <w:lvlText w:val=""/>
      <w:lvlJc w:val="left"/>
      <w:pPr>
        <w:ind w:left="4320" w:hanging="360"/>
      </w:pPr>
      <w:rPr>
        <w:rFonts w:ascii="Wingdings" w:hAnsi="Wingdings" w:hint="default"/>
      </w:rPr>
    </w:lvl>
    <w:lvl w:ilvl="6" w:tplc="87FC7160">
      <w:start w:val="1"/>
      <w:numFmt w:val="bullet"/>
      <w:lvlText w:val=""/>
      <w:lvlJc w:val="left"/>
      <w:pPr>
        <w:ind w:left="5040" w:hanging="360"/>
      </w:pPr>
      <w:rPr>
        <w:rFonts w:ascii="Symbol" w:hAnsi="Symbol" w:hint="default"/>
      </w:rPr>
    </w:lvl>
    <w:lvl w:ilvl="7" w:tplc="C9C2912A">
      <w:start w:val="1"/>
      <w:numFmt w:val="bullet"/>
      <w:lvlText w:val="o"/>
      <w:lvlJc w:val="left"/>
      <w:pPr>
        <w:ind w:left="5760" w:hanging="360"/>
      </w:pPr>
      <w:rPr>
        <w:rFonts w:ascii="Courier New" w:hAnsi="Courier New" w:hint="default"/>
      </w:rPr>
    </w:lvl>
    <w:lvl w:ilvl="8" w:tplc="9A7044E0">
      <w:start w:val="1"/>
      <w:numFmt w:val="bullet"/>
      <w:lvlText w:val=""/>
      <w:lvlJc w:val="left"/>
      <w:pPr>
        <w:ind w:left="6480" w:hanging="360"/>
      </w:pPr>
      <w:rPr>
        <w:rFonts w:ascii="Wingdings" w:hAnsi="Wingdings" w:hint="default"/>
      </w:rPr>
    </w:lvl>
  </w:abstractNum>
  <w:abstractNum w:abstractNumId="100" w15:restartNumberingAfterBreak="0">
    <w:nsid w:val="7C4C862A"/>
    <w:multiLevelType w:val="hybridMultilevel"/>
    <w:tmpl w:val="FFFFFFFF"/>
    <w:lvl w:ilvl="0" w:tplc="E0A0EC02">
      <w:start w:val="1"/>
      <w:numFmt w:val="bullet"/>
      <w:lvlText w:val=""/>
      <w:lvlJc w:val="left"/>
      <w:pPr>
        <w:ind w:left="720" w:hanging="360"/>
      </w:pPr>
      <w:rPr>
        <w:rFonts w:ascii="Symbol" w:hAnsi="Symbol" w:hint="default"/>
      </w:rPr>
    </w:lvl>
    <w:lvl w:ilvl="1" w:tplc="CBC03D44">
      <w:start w:val="1"/>
      <w:numFmt w:val="bullet"/>
      <w:lvlText w:val="o"/>
      <w:lvlJc w:val="left"/>
      <w:pPr>
        <w:ind w:left="1440" w:hanging="360"/>
      </w:pPr>
      <w:rPr>
        <w:rFonts w:ascii="Courier New" w:hAnsi="Courier New" w:hint="default"/>
      </w:rPr>
    </w:lvl>
    <w:lvl w:ilvl="2" w:tplc="D6D4171E">
      <w:start w:val="1"/>
      <w:numFmt w:val="bullet"/>
      <w:lvlText w:val=""/>
      <w:lvlJc w:val="left"/>
      <w:pPr>
        <w:ind w:left="2160" w:hanging="360"/>
      </w:pPr>
      <w:rPr>
        <w:rFonts w:ascii="Wingdings" w:hAnsi="Wingdings" w:hint="default"/>
      </w:rPr>
    </w:lvl>
    <w:lvl w:ilvl="3" w:tplc="2AD6C9CE">
      <w:start w:val="1"/>
      <w:numFmt w:val="bullet"/>
      <w:lvlText w:val=""/>
      <w:lvlJc w:val="left"/>
      <w:pPr>
        <w:ind w:left="2880" w:hanging="360"/>
      </w:pPr>
      <w:rPr>
        <w:rFonts w:ascii="Symbol" w:hAnsi="Symbol" w:hint="default"/>
      </w:rPr>
    </w:lvl>
    <w:lvl w:ilvl="4" w:tplc="5D74873E">
      <w:start w:val="1"/>
      <w:numFmt w:val="bullet"/>
      <w:lvlText w:val="o"/>
      <w:lvlJc w:val="left"/>
      <w:pPr>
        <w:ind w:left="3600" w:hanging="360"/>
      </w:pPr>
      <w:rPr>
        <w:rFonts w:ascii="Courier New" w:hAnsi="Courier New" w:hint="default"/>
      </w:rPr>
    </w:lvl>
    <w:lvl w:ilvl="5" w:tplc="D4FEC4D2">
      <w:start w:val="1"/>
      <w:numFmt w:val="bullet"/>
      <w:lvlText w:val=""/>
      <w:lvlJc w:val="left"/>
      <w:pPr>
        <w:ind w:left="4320" w:hanging="360"/>
      </w:pPr>
      <w:rPr>
        <w:rFonts w:ascii="Wingdings" w:hAnsi="Wingdings" w:hint="default"/>
      </w:rPr>
    </w:lvl>
    <w:lvl w:ilvl="6" w:tplc="31E474E0">
      <w:start w:val="1"/>
      <w:numFmt w:val="bullet"/>
      <w:lvlText w:val=""/>
      <w:lvlJc w:val="left"/>
      <w:pPr>
        <w:ind w:left="5040" w:hanging="360"/>
      </w:pPr>
      <w:rPr>
        <w:rFonts w:ascii="Symbol" w:hAnsi="Symbol" w:hint="default"/>
      </w:rPr>
    </w:lvl>
    <w:lvl w:ilvl="7" w:tplc="3B26780E">
      <w:start w:val="1"/>
      <w:numFmt w:val="bullet"/>
      <w:lvlText w:val="o"/>
      <w:lvlJc w:val="left"/>
      <w:pPr>
        <w:ind w:left="5760" w:hanging="360"/>
      </w:pPr>
      <w:rPr>
        <w:rFonts w:ascii="Courier New" w:hAnsi="Courier New" w:hint="default"/>
      </w:rPr>
    </w:lvl>
    <w:lvl w:ilvl="8" w:tplc="1A5A3346">
      <w:start w:val="1"/>
      <w:numFmt w:val="bullet"/>
      <w:lvlText w:val=""/>
      <w:lvlJc w:val="left"/>
      <w:pPr>
        <w:ind w:left="6480" w:hanging="360"/>
      </w:pPr>
      <w:rPr>
        <w:rFonts w:ascii="Wingdings" w:hAnsi="Wingdings" w:hint="default"/>
      </w:rPr>
    </w:lvl>
  </w:abstractNum>
  <w:abstractNum w:abstractNumId="101" w15:restartNumberingAfterBreak="0">
    <w:nsid w:val="7CD83DB1"/>
    <w:multiLevelType w:val="hybridMultilevel"/>
    <w:tmpl w:val="DDDCFE84"/>
    <w:lvl w:ilvl="0" w:tplc="0409000F">
      <w:start w:val="1"/>
      <w:numFmt w:val="decimal"/>
      <w:lvlText w:val="%1."/>
      <w:lvlJc w:val="left"/>
      <w:pPr>
        <w:ind w:left="108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7E100F2A"/>
    <w:multiLevelType w:val="hybridMultilevel"/>
    <w:tmpl w:val="949EFCB4"/>
    <w:styleLink w:val="ArticleSection"/>
    <w:lvl w:ilvl="0" w:tplc="11484858">
      <w:start w:val="1"/>
      <w:numFmt w:val="decimal"/>
      <w:lvlText w:val="%1."/>
      <w:lvlJc w:val="left"/>
      <w:pPr>
        <w:ind w:left="1530" w:hanging="360"/>
      </w:pPr>
      <w:rPr>
        <w:rFonts w:hint="default"/>
      </w:rPr>
    </w:lvl>
    <w:lvl w:ilvl="1" w:tplc="04090019" w:tentative="1">
      <w:start w:val="1"/>
      <w:numFmt w:val="lowerLetter"/>
      <w:lvlText w:val="%2."/>
      <w:lvlJc w:val="left"/>
      <w:pPr>
        <w:ind w:left="3461" w:hanging="360"/>
      </w:pPr>
    </w:lvl>
    <w:lvl w:ilvl="2" w:tplc="0409001B" w:tentative="1">
      <w:start w:val="1"/>
      <w:numFmt w:val="lowerRoman"/>
      <w:lvlText w:val="%3."/>
      <w:lvlJc w:val="right"/>
      <w:pPr>
        <w:ind w:left="4181" w:hanging="180"/>
      </w:pPr>
    </w:lvl>
    <w:lvl w:ilvl="3" w:tplc="0409000F" w:tentative="1">
      <w:start w:val="1"/>
      <w:numFmt w:val="decimal"/>
      <w:lvlText w:val="%4."/>
      <w:lvlJc w:val="left"/>
      <w:pPr>
        <w:ind w:left="4901" w:hanging="360"/>
      </w:pPr>
    </w:lvl>
    <w:lvl w:ilvl="4" w:tplc="04090019" w:tentative="1">
      <w:start w:val="1"/>
      <w:numFmt w:val="lowerLetter"/>
      <w:lvlText w:val="%5."/>
      <w:lvlJc w:val="left"/>
      <w:pPr>
        <w:ind w:left="5621" w:hanging="360"/>
      </w:pPr>
    </w:lvl>
    <w:lvl w:ilvl="5" w:tplc="0409001B" w:tentative="1">
      <w:start w:val="1"/>
      <w:numFmt w:val="lowerRoman"/>
      <w:lvlText w:val="%6."/>
      <w:lvlJc w:val="right"/>
      <w:pPr>
        <w:ind w:left="6341" w:hanging="180"/>
      </w:pPr>
    </w:lvl>
    <w:lvl w:ilvl="6" w:tplc="0409000F" w:tentative="1">
      <w:start w:val="1"/>
      <w:numFmt w:val="decimal"/>
      <w:lvlText w:val="%7."/>
      <w:lvlJc w:val="left"/>
      <w:pPr>
        <w:ind w:left="7061" w:hanging="360"/>
      </w:pPr>
    </w:lvl>
    <w:lvl w:ilvl="7" w:tplc="04090019" w:tentative="1">
      <w:start w:val="1"/>
      <w:numFmt w:val="lowerLetter"/>
      <w:lvlText w:val="%8."/>
      <w:lvlJc w:val="left"/>
      <w:pPr>
        <w:ind w:left="7781" w:hanging="360"/>
      </w:pPr>
    </w:lvl>
    <w:lvl w:ilvl="8" w:tplc="0409001B" w:tentative="1">
      <w:start w:val="1"/>
      <w:numFmt w:val="lowerRoman"/>
      <w:lvlText w:val="%9."/>
      <w:lvlJc w:val="right"/>
      <w:pPr>
        <w:ind w:left="8501" w:hanging="180"/>
      </w:pPr>
    </w:lvl>
  </w:abstractNum>
  <w:abstractNum w:abstractNumId="103" w15:restartNumberingAfterBreak="0">
    <w:nsid w:val="7F510923"/>
    <w:multiLevelType w:val="hybridMultilevel"/>
    <w:tmpl w:val="7938F82C"/>
    <w:lvl w:ilvl="0" w:tplc="64E03B94">
      <w:numFmt w:val="bullet"/>
      <w:lvlText w:val="-"/>
      <w:lvlJc w:val="left"/>
      <w:pPr>
        <w:ind w:left="240" w:hanging="142"/>
      </w:pPr>
      <w:rPr>
        <w:rFonts w:ascii="Calibri" w:eastAsia="Calibri" w:hAnsi="Calibri" w:cs="Calibri" w:hint="default"/>
        <w:b w:val="0"/>
        <w:bCs w:val="0"/>
        <w:i w:val="0"/>
        <w:iCs w:val="0"/>
        <w:spacing w:val="0"/>
        <w:w w:val="99"/>
        <w:sz w:val="20"/>
        <w:szCs w:val="20"/>
        <w:lang w:val="en-US" w:eastAsia="en-US" w:bidi="ar-SA"/>
      </w:rPr>
    </w:lvl>
    <w:lvl w:ilvl="1" w:tplc="F6608C82">
      <w:numFmt w:val="bullet"/>
      <w:lvlText w:val="•"/>
      <w:lvlJc w:val="left"/>
      <w:pPr>
        <w:ind w:left="476" w:hanging="142"/>
      </w:pPr>
      <w:rPr>
        <w:rFonts w:hint="default"/>
        <w:lang w:val="en-US" w:eastAsia="en-US" w:bidi="ar-SA"/>
      </w:rPr>
    </w:lvl>
    <w:lvl w:ilvl="2" w:tplc="FE801EF8">
      <w:numFmt w:val="bullet"/>
      <w:lvlText w:val="•"/>
      <w:lvlJc w:val="left"/>
      <w:pPr>
        <w:ind w:left="712" w:hanging="142"/>
      </w:pPr>
      <w:rPr>
        <w:rFonts w:hint="default"/>
        <w:lang w:val="en-US" w:eastAsia="en-US" w:bidi="ar-SA"/>
      </w:rPr>
    </w:lvl>
    <w:lvl w:ilvl="3" w:tplc="7DF6B896">
      <w:numFmt w:val="bullet"/>
      <w:lvlText w:val="•"/>
      <w:lvlJc w:val="left"/>
      <w:pPr>
        <w:ind w:left="948" w:hanging="142"/>
      </w:pPr>
      <w:rPr>
        <w:rFonts w:hint="default"/>
        <w:lang w:val="en-US" w:eastAsia="en-US" w:bidi="ar-SA"/>
      </w:rPr>
    </w:lvl>
    <w:lvl w:ilvl="4" w:tplc="DD6C3816">
      <w:numFmt w:val="bullet"/>
      <w:lvlText w:val="•"/>
      <w:lvlJc w:val="left"/>
      <w:pPr>
        <w:ind w:left="1185" w:hanging="142"/>
      </w:pPr>
      <w:rPr>
        <w:rFonts w:hint="default"/>
        <w:lang w:val="en-US" w:eastAsia="en-US" w:bidi="ar-SA"/>
      </w:rPr>
    </w:lvl>
    <w:lvl w:ilvl="5" w:tplc="F94ED14A">
      <w:numFmt w:val="bullet"/>
      <w:lvlText w:val="•"/>
      <w:lvlJc w:val="left"/>
      <w:pPr>
        <w:ind w:left="1421" w:hanging="142"/>
      </w:pPr>
      <w:rPr>
        <w:rFonts w:hint="default"/>
        <w:lang w:val="en-US" w:eastAsia="en-US" w:bidi="ar-SA"/>
      </w:rPr>
    </w:lvl>
    <w:lvl w:ilvl="6" w:tplc="8F2ACF1A">
      <w:numFmt w:val="bullet"/>
      <w:lvlText w:val="•"/>
      <w:lvlJc w:val="left"/>
      <w:pPr>
        <w:ind w:left="1657" w:hanging="142"/>
      </w:pPr>
      <w:rPr>
        <w:rFonts w:hint="default"/>
        <w:lang w:val="en-US" w:eastAsia="en-US" w:bidi="ar-SA"/>
      </w:rPr>
    </w:lvl>
    <w:lvl w:ilvl="7" w:tplc="9EAEFBFE">
      <w:numFmt w:val="bullet"/>
      <w:lvlText w:val="•"/>
      <w:lvlJc w:val="left"/>
      <w:pPr>
        <w:ind w:left="1894" w:hanging="142"/>
      </w:pPr>
      <w:rPr>
        <w:rFonts w:hint="default"/>
        <w:lang w:val="en-US" w:eastAsia="en-US" w:bidi="ar-SA"/>
      </w:rPr>
    </w:lvl>
    <w:lvl w:ilvl="8" w:tplc="CA0E1F92">
      <w:numFmt w:val="bullet"/>
      <w:lvlText w:val="•"/>
      <w:lvlJc w:val="left"/>
      <w:pPr>
        <w:ind w:left="2130" w:hanging="142"/>
      </w:pPr>
      <w:rPr>
        <w:rFonts w:hint="default"/>
        <w:lang w:val="en-US" w:eastAsia="en-US" w:bidi="ar-SA"/>
      </w:rPr>
    </w:lvl>
  </w:abstractNum>
  <w:num w:numId="1" w16cid:durableId="1629821645">
    <w:abstractNumId w:val="66"/>
  </w:num>
  <w:num w:numId="2" w16cid:durableId="291905493">
    <w:abstractNumId w:val="79"/>
  </w:num>
  <w:num w:numId="3" w16cid:durableId="608004708">
    <w:abstractNumId w:val="95"/>
  </w:num>
  <w:num w:numId="4" w16cid:durableId="263264741">
    <w:abstractNumId w:val="46"/>
  </w:num>
  <w:num w:numId="5" w16cid:durableId="1891763896">
    <w:abstractNumId w:val="3"/>
  </w:num>
  <w:num w:numId="6" w16cid:durableId="2069183442">
    <w:abstractNumId w:val="41"/>
  </w:num>
  <w:num w:numId="7" w16cid:durableId="622273211">
    <w:abstractNumId w:val="22"/>
  </w:num>
  <w:num w:numId="8" w16cid:durableId="269162181">
    <w:abstractNumId w:val="40"/>
  </w:num>
  <w:num w:numId="9" w16cid:durableId="1900747938">
    <w:abstractNumId w:val="37"/>
  </w:num>
  <w:num w:numId="10" w16cid:durableId="2037386538">
    <w:abstractNumId w:val="56"/>
  </w:num>
  <w:num w:numId="11" w16cid:durableId="637956309">
    <w:abstractNumId w:val="91"/>
  </w:num>
  <w:num w:numId="12" w16cid:durableId="649135117">
    <w:abstractNumId w:val="9"/>
  </w:num>
  <w:num w:numId="13" w16cid:durableId="888347599">
    <w:abstractNumId w:val="5"/>
  </w:num>
  <w:num w:numId="14" w16cid:durableId="1842231860">
    <w:abstractNumId w:val="96"/>
  </w:num>
  <w:num w:numId="15" w16cid:durableId="2060205002">
    <w:abstractNumId w:val="47"/>
  </w:num>
  <w:num w:numId="16" w16cid:durableId="160050068">
    <w:abstractNumId w:val="78"/>
  </w:num>
  <w:num w:numId="17" w16cid:durableId="148063751">
    <w:abstractNumId w:val="82"/>
  </w:num>
  <w:num w:numId="18" w16cid:durableId="16473294">
    <w:abstractNumId w:val="4"/>
  </w:num>
  <w:num w:numId="19" w16cid:durableId="1270969228">
    <w:abstractNumId w:val="27"/>
  </w:num>
  <w:num w:numId="20" w16cid:durableId="727336140">
    <w:abstractNumId w:val="16"/>
  </w:num>
  <w:num w:numId="21" w16cid:durableId="1501969752">
    <w:abstractNumId w:val="23"/>
  </w:num>
  <w:num w:numId="22" w16cid:durableId="1274629493">
    <w:abstractNumId w:val="60"/>
  </w:num>
  <w:num w:numId="23" w16cid:durableId="1739014460">
    <w:abstractNumId w:val="76"/>
  </w:num>
  <w:num w:numId="24" w16cid:durableId="2087264028">
    <w:abstractNumId w:val="30"/>
  </w:num>
  <w:num w:numId="25" w16cid:durableId="792866694">
    <w:abstractNumId w:val="69"/>
  </w:num>
  <w:num w:numId="26" w16cid:durableId="940600881">
    <w:abstractNumId w:val="15"/>
  </w:num>
  <w:num w:numId="27" w16cid:durableId="353918247">
    <w:abstractNumId w:val="84"/>
  </w:num>
  <w:num w:numId="28" w16cid:durableId="688683669">
    <w:abstractNumId w:val="89"/>
  </w:num>
  <w:num w:numId="29" w16cid:durableId="1429689725">
    <w:abstractNumId w:val="81"/>
  </w:num>
  <w:num w:numId="30" w16cid:durableId="1830100055">
    <w:abstractNumId w:val="101"/>
  </w:num>
  <w:num w:numId="31" w16cid:durableId="752625846">
    <w:abstractNumId w:val="0"/>
  </w:num>
  <w:num w:numId="32" w16cid:durableId="917783733">
    <w:abstractNumId w:val="97"/>
  </w:num>
  <w:num w:numId="33" w16cid:durableId="2072926321">
    <w:abstractNumId w:val="44"/>
  </w:num>
  <w:num w:numId="34" w16cid:durableId="1488010068">
    <w:abstractNumId w:val="102"/>
  </w:num>
  <w:num w:numId="35" w16cid:durableId="615260685">
    <w:abstractNumId w:val="48"/>
  </w:num>
  <w:num w:numId="36" w16cid:durableId="618102084">
    <w:abstractNumId w:val="7"/>
  </w:num>
  <w:num w:numId="37" w16cid:durableId="235407127">
    <w:abstractNumId w:val="43"/>
  </w:num>
  <w:num w:numId="38" w16cid:durableId="120419426">
    <w:abstractNumId w:val="17"/>
  </w:num>
  <w:num w:numId="39" w16cid:durableId="684212134">
    <w:abstractNumId w:val="18"/>
  </w:num>
  <w:num w:numId="40" w16cid:durableId="1456407984">
    <w:abstractNumId w:val="90"/>
  </w:num>
  <w:num w:numId="41" w16cid:durableId="1192642733">
    <w:abstractNumId w:val="19"/>
  </w:num>
  <w:num w:numId="42" w16cid:durableId="1282956936">
    <w:abstractNumId w:val="73"/>
  </w:num>
  <w:num w:numId="43" w16cid:durableId="662395658">
    <w:abstractNumId w:val="51"/>
  </w:num>
  <w:num w:numId="44" w16cid:durableId="1138181691">
    <w:abstractNumId w:val="65"/>
  </w:num>
  <w:num w:numId="45" w16cid:durableId="1894199010">
    <w:abstractNumId w:val="99"/>
  </w:num>
  <w:num w:numId="46" w16cid:durableId="812526928">
    <w:abstractNumId w:val="94"/>
  </w:num>
  <w:num w:numId="47" w16cid:durableId="433593738">
    <w:abstractNumId w:val="74"/>
  </w:num>
  <w:num w:numId="48" w16cid:durableId="2125925102">
    <w:abstractNumId w:val="32"/>
  </w:num>
  <w:num w:numId="49" w16cid:durableId="97140761">
    <w:abstractNumId w:val="34"/>
  </w:num>
  <w:num w:numId="50" w16cid:durableId="110903052">
    <w:abstractNumId w:val="49"/>
  </w:num>
  <w:num w:numId="51" w16cid:durableId="2000232638">
    <w:abstractNumId w:val="39"/>
  </w:num>
  <w:num w:numId="52" w16cid:durableId="2046902092">
    <w:abstractNumId w:val="45"/>
  </w:num>
  <w:num w:numId="53" w16cid:durableId="111293494">
    <w:abstractNumId w:val="83"/>
  </w:num>
  <w:num w:numId="54" w16cid:durableId="1794399095">
    <w:abstractNumId w:val="62"/>
  </w:num>
  <w:num w:numId="55" w16cid:durableId="1345280730">
    <w:abstractNumId w:val="92"/>
  </w:num>
  <w:num w:numId="56" w16cid:durableId="438109662">
    <w:abstractNumId w:val="20"/>
  </w:num>
  <w:num w:numId="57" w16cid:durableId="51463389">
    <w:abstractNumId w:val="63"/>
  </w:num>
  <w:num w:numId="58" w16cid:durableId="1297221239">
    <w:abstractNumId w:val="70"/>
  </w:num>
  <w:num w:numId="59" w16cid:durableId="1246260067">
    <w:abstractNumId w:val="103"/>
  </w:num>
  <w:num w:numId="60" w16cid:durableId="94601140">
    <w:abstractNumId w:val="71"/>
  </w:num>
  <w:num w:numId="61" w16cid:durableId="841044606">
    <w:abstractNumId w:val="8"/>
  </w:num>
  <w:num w:numId="62" w16cid:durableId="73477389">
    <w:abstractNumId w:val="98"/>
  </w:num>
  <w:num w:numId="63" w16cid:durableId="591209831">
    <w:abstractNumId w:val="13"/>
  </w:num>
  <w:num w:numId="64" w16cid:durableId="1112820144">
    <w:abstractNumId w:val="54"/>
  </w:num>
  <w:num w:numId="65" w16cid:durableId="890269847">
    <w:abstractNumId w:val="6"/>
  </w:num>
  <w:num w:numId="66" w16cid:durableId="1701586258">
    <w:abstractNumId w:val="25"/>
  </w:num>
  <w:num w:numId="67" w16cid:durableId="54938969">
    <w:abstractNumId w:val="26"/>
  </w:num>
  <w:num w:numId="68" w16cid:durableId="362100401">
    <w:abstractNumId w:val="50"/>
  </w:num>
  <w:num w:numId="69" w16cid:durableId="219052060">
    <w:abstractNumId w:val="72"/>
  </w:num>
  <w:num w:numId="70" w16cid:durableId="25101944">
    <w:abstractNumId w:val="28"/>
  </w:num>
  <w:num w:numId="71" w16cid:durableId="1602033243">
    <w:abstractNumId w:val="57"/>
  </w:num>
  <w:num w:numId="72" w16cid:durableId="1290164004">
    <w:abstractNumId w:val="61"/>
  </w:num>
  <w:num w:numId="73" w16cid:durableId="1054278481">
    <w:abstractNumId w:val="88"/>
  </w:num>
  <w:num w:numId="74" w16cid:durableId="1834493015">
    <w:abstractNumId w:val="2"/>
  </w:num>
  <w:num w:numId="75" w16cid:durableId="761729653">
    <w:abstractNumId w:val="67"/>
  </w:num>
  <w:num w:numId="76" w16cid:durableId="2093698150">
    <w:abstractNumId w:val="29"/>
  </w:num>
  <w:num w:numId="77" w16cid:durableId="983895592">
    <w:abstractNumId w:val="14"/>
  </w:num>
  <w:num w:numId="78" w16cid:durableId="1977372776">
    <w:abstractNumId w:val="35"/>
  </w:num>
  <w:num w:numId="79" w16cid:durableId="2031639561">
    <w:abstractNumId w:val="64"/>
  </w:num>
  <w:num w:numId="80" w16cid:durableId="1083138204">
    <w:abstractNumId w:val="12"/>
  </w:num>
  <w:num w:numId="81" w16cid:durableId="388846955">
    <w:abstractNumId w:val="33"/>
  </w:num>
  <w:num w:numId="82" w16cid:durableId="1468625023">
    <w:abstractNumId w:val="1"/>
  </w:num>
  <w:num w:numId="83" w16cid:durableId="1537502378">
    <w:abstractNumId w:val="93"/>
  </w:num>
  <w:num w:numId="84" w16cid:durableId="1652247195">
    <w:abstractNumId w:val="86"/>
  </w:num>
  <w:num w:numId="85" w16cid:durableId="1425801817">
    <w:abstractNumId w:val="59"/>
  </w:num>
  <w:num w:numId="86" w16cid:durableId="1981224707">
    <w:abstractNumId w:val="10"/>
  </w:num>
  <w:num w:numId="87" w16cid:durableId="87045820">
    <w:abstractNumId w:val="55"/>
  </w:num>
  <w:num w:numId="88" w16cid:durableId="747460617">
    <w:abstractNumId w:val="100"/>
  </w:num>
  <w:num w:numId="89" w16cid:durableId="987828242">
    <w:abstractNumId w:val="58"/>
  </w:num>
  <w:num w:numId="90" w16cid:durableId="1505509801">
    <w:abstractNumId w:val="36"/>
  </w:num>
  <w:num w:numId="91" w16cid:durableId="104614722">
    <w:abstractNumId w:val="21"/>
  </w:num>
  <w:num w:numId="92" w16cid:durableId="987589442">
    <w:abstractNumId w:val="87"/>
  </w:num>
  <w:num w:numId="93" w16cid:durableId="985277460">
    <w:abstractNumId w:val="24"/>
  </w:num>
  <w:num w:numId="94" w16cid:durableId="1655329302">
    <w:abstractNumId w:val="85"/>
  </w:num>
  <w:num w:numId="95" w16cid:durableId="558788022">
    <w:abstractNumId w:val="75"/>
  </w:num>
  <w:num w:numId="96" w16cid:durableId="1853105679">
    <w:abstractNumId w:val="77"/>
  </w:num>
  <w:num w:numId="97" w16cid:durableId="1094933408">
    <w:abstractNumId w:val="52"/>
  </w:num>
  <w:num w:numId="98" w16cid:durableId="702898991">
    <w:abstractNumId w:val="38"/>
  </w:num>
  <w:num w:numId="99" w16cid:durableId="964774073">
    <w:abstractNumId w:val="42"/>
  </w:num>
  <w:num w:numId="100" w16cid:durableId="1687710124">
    <w:abstractNumId w:val="68"/>
  </w:num>
  <w:num w:numId="101" w16cid:durableId="999970034">
    <w:abstractNumId w:val="80"/>
  </w:num>
  <w:num w:numId="102" w16cid:durableId="167641407">
    <w:abstractNumId w:val="11"/>
  </w:num>
  <w:num w:numId="103" w16cid:durableId="1662196139">
    <w:abstractNumId w:val="31"/>
  </w:num>
  <w:num w:numId="104" w16cid:durableId="2076851732">
    <w:abstractNumId w:val="5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mirrorMargin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YwMTewsDQ2Mrc0MTNT0lEKTi0uzszPAykwqQUAWCWbgSwAAAA="/>
  </w:docVars>
  <w:rsids>
    <w:rsidRoot w:val="00FC3B44"/>
    <w:rsid w:val="00000009"/>
    <w:rsid w:val="00000035"/>
    <w:rsid w:val="000003F7"/>
    <w:rsid w:val="000007DD"/>
    <w:rsid w:val="00000A08"/>
    <w:rsid w:val="00000BF1"/>
    <w:rsid w:val="00000DD4"/>
    <w:rsid w:val="00000DF0"/>
    <w:rsid w:val="00000EAC"/>
    <w:rsid w:val="00000F0E"/>
    <w:rsid w:val="00000FB2"/>
    <w:rsid w:val="0000166C"/>
    <w:rsid w:val="000016F5"/>
    <w:rsid w:val="0000184E"/>
    <w:rsid w:val="00001888"/>
    <w:rsid w:val="00001A9A"/>
    <w:rsid w:val="00001DC6"/>
    <w:rsid w:val="00002041"/>
    <w:rsid w:val="00002359"/>
    <w:rsid w:val="000023A1"/>
    <w:rsid w:val="0000246E"/>
    <w:rsid w:val="00002590"/>
    <w:rsid w:val="0000282D"/>
    <w:rsid w:val="0000290C"/>
    <w:rsid w:val="00002BB7"/>
    <w:rsid w:val="00002C15"/>
    <w:rsid w:val="00002C33"/>
    <w:rsid w:val="00002D94"/>
    <w:rsid w:val="00002E63"/>
    <w:rsid w:val="00002E78"/>
    <w:rsid w:val="00002EC9"/>
    <w:rsid w:val="0000346E"/>
    <w:rsid w:val="00003519"/>
    <w:rsid w:val="000035F5"/>
    <w:rsid w:val="00003627"/>
    <w:rsid w:val="000036F0"/>
    <w:rsid w:val="0000377B"/>
    <w:rsid w:val="0000377D"/>
    <w:rsid w:val="000037AF"/>
    <w:rsid w:val="0000380C"/>
    <w:rsid w:val="00003A0E"/>
    <w:rsid w:val="00003B3F"/>
    <w:rsid w:val="00003D98"/>
    <w:rsid w:val="00003F22"/>
    <w:rsid w:val="00003F2B"/>
    <w:rsid w:val="00003FED"/>
    <w:rsid w:val="0000404A"/>
    <w:rsid w:val="0000420F"/>
    <w:rsid w:val="00004217"/>
    <w:rsid w:val="0000422B"/>
    <w:rsid w:val="000047CB"/>
    <w:rsid w:val="00004A0E"/>
    <w:rsid w:val="00004A5F"/>
    <w:rsid w:val="00004B8D"/>
    <w:rsid w:val="00004C75"/>
    <w:rsid w:val="00004C9A"/>
    <w:rsid w:val="00004E36"/>
    <w:rsid w:val="00004E72"/>
    <w:rsid w:val="00004FA2"/>
    <w:rsid w:val="0000513B"/>
    <w:rsid w:val="000057E8"/>
    <w:rsid w:val="00005CA6"/>
    <w:rsid w:val="000060F0"/>
    <w:rsid w:val="0000613C"/>
    <w:rsid w:val="000064ED"/>
    <w:rsid w:val="0000659E"/>
    <w:rsid w:val="000065F8"/>
    <w:rsid w:val="00006904"/>
    <w:rsid w:val="00006963"/>
    <w:rsid w:val="000069B4"/>
    <w:rsid w:val="000069CE"/>
    <w:rsid w:val="00006C38"/>
    <w:rsid w:val="00006C53"/>
    <w:rsid w:val="00006CCA"/>
    <w:rsid w:val="00006F36"/>
    <w:rsid w:val="000070F5"/>
    <w:rsid w:val="0000711C"/>
    <w:rsid w:val="00007210"/>
    <w:rsid w:val="0000722F"/>
    <w:rsid w:val="00007381"/>
    <w:rsid w:val="00007459"/>
    <w:rsid w:val="00007770"/>
    <w:rsid w:val="00007A92"/>
    <w:rsid w:val="00007ABB"/>
    <w:rsid w:val="00007B6B"/>
    <w:rsid w:val="00007C7D"/>
    <w:rsid w:val="00007C9C"/>
    <w:rsid w:val="00007CDC"/>
    <w:rsid w:val="00010062"/>
    <w:rsid w:val="00010162"/>
    <w:rsid w:val="000101D3"/>
    <w:rsid w:val="000102B1"/>
    <w:rsid w:val="000103BA"/>
    <w:rsid w:val="0001055B"/>
    <w:rsid w:val="000105C5"/>
    <w:rsid w:val="000106D5"/>
    <w:rsid w:val="000107CC"/>
    <w:rsid w:val="00010A31"/>
    <w:rsid w:val="00010CEA"/>
    <w:rsid w:val="00010E78"/>
    <w:rsid w:val="00010E8D"/>
    <w:rsid w:val="00010EDD"/>
    <w:rsid w:val="000114C6"/>
    <w:rsid w:val="000115F9"/>
    <w:rsid w:val="00011615"/>
    <w:rsid w:val="00011847"/>
    <w:rsid w:val="00011C3A"/>
    <w:rsid w:val="00011CA6"/>
    <w:rsid w:val="00011EB0"/>
    <w:rsid w:val="00011FEF"/>
    <w:rsid w:val="000124BF"/>
    <w:rsid w:val="000124F8"/>
    <w:rsid w:val="00012628"/>
    <w:rsid w:val="0001265E"/>
    <w:rsid w:val="0001267E"/>
    <w:rsid w:val="00012726"/>
    <w:rsid w:val="00012789"/>
    <w:rsid w:val="000128D3"/>
    <w:rsid w:val="00012ABB"/>
    <w:rsid w:val="00012B05"/>
    <w:rsid w:val="00012FD1"/>
    <w:rsid w:val="000130D1"/>
    <w:rsid w:val="000131DA"/>
    <w:rsid w:val="0001337B"/>
    <w:rsid w:val="000133B5"/>
    <w:rsid w:val="00013417"/>
    <w:rsid w:val="00013629"/>
    <w:rsid w:val="00013A1A"/>
    <w:rsid w:val="00013AB1"/>
    <w:rsid w:val="00013D76"/>
    <w:rsid w:val="00013F5C"/>
    <w:rsid w:val="000140E3"/>
    <w:rsid w:val="000141A4"/>
    <w:rsid w:val="0001432F"/>
    <w:rsid w:val="0001444D"/>
    <w:rsid w:val="000144CC"/>
    <w:rsid w:val="00014527"/>
    <w:rsid w:val="00014707"/>
    <w:rsid w:val="0001495B"/>
    <w:rsid w:val="00014B3C"/>
    <w:rsid w:val="00014C98"/>
    <w:rsid w:val="00014E23"/>
    <w:rsid w:val="00014E96"/>
    <w:rsid w:val="00014FEF"/>
    <w:rsid w:val="00015014"/>
    <w:rsid w:val="000150DE"/>
    <w:rsid w:val="00015411"/>
    <w:rsid w:val="0001566F"/>
    <w:rsid w:val="00015898"/>
    <w:rsid w:val="00015994"/>
    <w:rsid w:val="00015AC3"/>
    <w:rsid w:val="00015D93"/>
    <w:rsid w:val="00015EDC"/>
    <w:rsid w:val="00015F4E"/>
    <w:rsid w:val="0001642C"/>
    <w:rsid w:val="00016688"/>
    <w:rsid w:val="000166E2"/>
    <w:rsid w:val="0001687F"/>
    <w:rsid w:val="00016AD1"/>
    <w:rsid w:val="00016C4F"/>
    <w:rsid w:val="00017055"/>
    <w:rsid w:val="0001707B"/>
    <w:rsid w:val="000171BE"/>
    <w:rsid w:val="000171DB"/>
    <w:rsid w:val="00017248"/>
    <w:rsid w:val="000172D2"/>
    <w:rsid w:val="00017316"/>
    <w:rsid w:val="00017401"/>
    <w:rsid w:val="0001741F"/>
    <w:rsid w:val="000174E0"/>
    <w:rsid w:val="00017552"/>
    <w:rsid w:val="0001759D"/>
    <w:rsid w:val="000179E9"/>
    <w:rsid w:val="00017B9E"/>
    <w:rsid w:val="00017BEC"/>
    <w:rsid w:val="00017EA7"/>
    <w:rsid w:val="00017F66"/>
    <w:rsid w:val="00020008"/>
    <w:rsid w:val="00020172"/>
    <w:rsid w:val="0002042D"/>
    <w:rsid w:val="000205E3"/>
    <w:rsid w:val="000205F9"/>
    <w:rsid w:val="000206CB"/>
    <w:rsid w:val="0002087C"/>
    <w:rsid w:val="00020900"/>
    <w:rsid w:val="00020B2C"/>
    <w:rsid w:val="00020E3D"/>
    <w:rsid w:val="00020ED5"/>
    <w:rsid w:val="00020ED6"/>
    <w:rsid w:val="00020F08"/>
    <w:rsid w:val="000213B5"/>
    <w:rsid w:val="000213CC"/>
    <w:rsid w:val="00021751"/>
    <w:rsid w:val="00021811"/>
    <w:rsid w:val="00021B17"/>
    <w:rsid w:val="00021C46"/>
    <w:rsid w:val="00022025"/>
    <w:rsid w:val="000221CA"/>
    <w:rsid w:val="000221F6"/>
    <w:rsid w:val="0002220B"/>
    <w:rsid w:val="0002258B"/>
    <w:rsid w:val="00022768"/>
    <w:rsid w:val="000227E9"/>
    <w:rsid w:val="00022818"/>
    <w:rsid w:val="00022A9F"/>
    <w:rsid w:val="00022C77"/>
    <w:rsid w:val="00023254"/>
    <w:rsid w:val="000233C6"/>
    <w:rsid w:val="00023400"/>
    <w:rsid w:val="00023465"/>
    <w:rsid w:val="00023698"/>
    <w:rsid w:val="00023A71"/>
    <w:rsid w:val="00023A91"/>
    <w:rsid w:val="00023A99"/>
    <w:rsid w:val="00023AD4"/>
    <w:rsid w:val="00023B49"/>
    <w:rsid w:val="00023B75"/>
    <w:rsid w:val="000241E3"/>
    <w:rsid w:val="00024298"/>
    <w:rsid w:val="00024587"/>
    <w:rsid w:val="0002475D"/>
    <w:rsid w:val="000249C1"/>
    <w:rsid w:val="000249DA"/>
    <w:rsid w:val="00024A99"/>
    <w:rsid w:val="00024ACA"/>
    <w:rsid w:val="00024B97"/>
    <w:rsid w:val="00025007"/>
    <w:rsid w:val="0002504C"/>
    <w:rsid w:val="0002519B"/>
    <w:rsid w:val="0002523C"/>
    <w:rsid w:val="00025328"/>
    <w:rsid w:val="00025570"/>
    <w:rsid w:val="000255E9"/>
    <w:rsid w:val="000256E4"/>
    <w:rsid w:val="00025731"/>
    <w:rsid w:val="0002580E"/>
    <w:rsid w:val="00025859"/>
    <w:rsid w:val="00025912"/>
    <w:rsid w:val="00025A30"/>
    <w:rsid w:val="00025B10"/>
    <w:rsid w:val="00025E1B"/>
    <w:rsid w:val="00025FCA"/>
    <w:rsid w:val="00025FCD"/>
    <w:rsid w:val="00025FE8"/>
    <w:rsid w:val="00025FEB"/>
    <w:rsid w:val="0002608F"/>
    <w:rsid w:val="000261D7"/>
    <w:rsid w:val="000264B7"/>
    <w:rsid w:val="000264C7"/>
    <w:rsid w:val="000266D7"/>
    <w:rsid w:val="00026CA5"/>
    <w:rsid w:val="00026CDA"/>
    <w:rsid w:val="00026F68"/>
    <w:rsid w:val="000270B2"/>
    <w:rsid w:val="0002712B"/>
    <w:rsid w:val="000272B2"/>
    <w:rsid w:val="00027397"/>
    <w:rsid w:val="000279AD"/>
    <w:rsid w:val="000279E9"/>
    <w:rsid w:val="00027D87"/>
    <w:rsid w:val="00027F01"/>
    <w:rsid w:val="00027F11"/>
    <w:rsid w:val="000300C0"/>
    <w:rsid w:val="000300E5"/>
    <w:rsid w:val="00030120"/>
    <w:rsid w:val="000303D4"/>
    <w:rsid w:val="000304FC"/>
    <w:rsid w:val="0003054A"/>
    <w:rsid w:val="000305E0"/>
    <w:rsid w:val="00030D70"/>
    <w:rsid w:val="00031070"/>
    <w:rsid w:val="00031356"/>
    <w:rsid w:val="000314F3"/>
    <w:rsid w:val="00031721"/>
    <w:rsid w:val="000318E6"/>
    <w:rsid w:val="00031949"/>
    <w:rsid w:val="000319B6"/>
    <w:rsid w:val="00031B82"/>
    <w:rsid w:val="00031E83"/>
    <w:rsid w:val="00031ED1"/>
    <w:rsid w:val="00032223"/>
    <w:rsid w:val="0003229F"/>
    <w:rsid w:val="0003232F"/>
    <w:rsid w:val="000324AB"/>
    <w:rsid w:val="000325B9"/>
    <w:rsid w:val="000329FB"/>
    <w:rsid w:val="00032A70"/>
    <w:rsid w:val="00032C2D"/>
    <w:rsid w:val="00032D12"/>
    <w:rsid w:val="0003307A"/>
    <w:rsid w:val="0003328C"/>
    <w:rsid w:val="00033375"/>
    <w:rsid w:val="00033475"/>
    <w:rsid w:val="000335DA"/>
    <w:rsid w:val="0003360F"/>
    <w:rsid w:val="00033758"/>
    <w:rsid w:val="00033903"/>
    <w:rsid w:val="00033941"/>
    <w:rsid w:val="00033974"/>
    <w:rsid w:val="000339ED"/>
    <w:rsid w:val="00033B87"/>
    <w:rsid w:val="00033D07"/>
    <w:rsid w:val="000341B4"/>
    <w:rsid w:val="0003428E"/>
    <w:rsid w:val="00034543"/>
    <w:rsid w:val="0003462D"/>
    <w:rsid w:val="000346F3"/>
    <w:rsid w:val="00034825"/>
    <w:rsid w:val="0003498C"/>
    <w:rsid w:val="00034A06"/>
    <w:rsid w:val="00034B13"/>
    <w:rsid w:val="00034C57"/>
    <w:rsid w:val="00034EA7"/>
    <w:rsid w:val="00034FFA"/>
    <w:rsid w:val="000352F1"/>
    <w:rsid w:val="00035390"/>
    <w:rsid w:val="000354A9"/>
    <w:rsid w:val="000354FC"/>
    <w:rsid w:val="000359A6"/>
    <w:rsid w:val="00035A5D"/>
    <w:rsid w:val="00035C65"/>
    <w:rsid w:val="00035E0A"/>
    <w:rsid w:val="00035E79"/>
    <w:rsid w:val="00035F4A"/>
    <w:rsid w:val="00035F75"/>
    <w:rsid w:val="000360CF"/>
    <w:rsid w:val="000361B4"/>
    <w:rsid w:val="0003623D"/>
    <w:rsid w:val="00036298"/>
    <w:rsid w:val="000362C6"/>
    <w:rsid w:val="0003637E"/>
    <w:rsid w:val="00036AD9"/>
    <w:rsid w:val="00036ADE"/>
    <w:rsid w:val="00036E9B"/>
    <w:rsid w:val="00036FEC"/>
    <w:rsid w:val="00036FFD"/>
    <w:rsid w:val="00037035"/>
    <w:rsid w:val="000372BC"/>
    <w:rsid w:val="0003753B"/>
    <w:rsid w:val="00037CF3"/>
    <w:rsid w:val="00037F73"/>
    <w:rsid w:val="0003F0D3"/>
    <w:rsid w:val="000402CE"/>
    <w:rsid w:val="0004047F"/>
    <w:rsid w:val="000404F3"/>
    <w:rsid w:val="0004052B"/>
    <w:rsid w:val="000405F6"/>
    <w:rsid w:val="0004098A"/>
    <w:rsid w:val="000409DC"/>
    <w:rsid w:val="00040D06"/>
    <w:rsid w:val="00040D57"/>
    <w:rsid w:val="00040FB7"/>
    <w:rsid w:val="00041099"/>
    <w:rsid w:val="0004113D"/>
    <w:rsid w:val="0004136C"/>
    <w:rsid w:val="00041460"/>
    <w:rsid w:val="0004153F"/>
    <w:rsid w:val="000415FD"/>
    <w:rsid w:val="00041AB6"/>
    <w:rsid w:val="00041D04"/>
    <w:rsid w:val="00041EB7"/>
    <w:rsid w:val="00041ED0"/>
    <w:rsid w:val="00042022"/>
    <w:rsid w:val="00042079"/>
    <w:rsid w:val="00042155"/>
    <w:rsid w:val="00042237"/>
    <w:rsid w:val="00042292"/>
    <w:rsid w:val="00042509"/>
    <w:rsid w:val="000425BF"/>
    <w:rsid w:val="000426E8"/>
    <w:rsid w:val="0004282C"/>
    <w:rsid w:val="0004289A"/>
    <w:rsid w:val="000428A7"/>
    <w:rsid w:val="0004293C"/>
    <w:rsid w:val="00042CC2"/>
    <w:rsid w:val="00042D08"/>
    <w:rsid w:val="00042E0B"/>
    <w:rsid w:val="00042E9B"/>
    <w:rsid w:val="00042F73"/>
    <w:rsid w:val="00043396"/>
    <w:rsid w:val="00043A12"/>
    <w:rsid w:val="00043C8E"/>
    <w:rsid w:val="00043D1A"/>
    <w:rsid w:val="00043D80"/>
    <w:rsid w:val="000442BD"/>
    <w:rsid w:val="00044338"/>
    <w:rsid w:val="00044716"/>
    <w:rsid w:val="000447C3"/>
    <w:rsid w:val="0004488B"/>
    <w:rsid w:val="000448FB"/>
    <w:rsid w:val="00044930"/>
    <w:rsid w:val="00044939"/>
    <w:rsid w:val="00044E3A"/>
    <w:rsid w:val="00044EE9"/>
    <w:rsid w:val="00044F48"/>
    <w:rsid w:val="00044FF3"/>
    <w:rsid w:val="000450A7"/>
    <w:rsid w:val="00045A08"/>
    <w:rsid w:val="00045A6D"/>
    <w:rsid w:val="00045C46"/>
    <w:rsid w:val="00045F69"/>
    <w:rsid w:val="00046044"/>
    <w:rsid w:val="000460FB"/>
    <w:rsid w:val="00046221"/>
    <w:rsid w:val="0004664B"/>
    <w:rsid w:val="00046879"/>
    <w:rsid w:val="00046928"/>
    <w:rsid w:val="000469AB"/>
    <w:rsid w:val="00046A5E"/>
    <w:rsid w:val="00046B84"/>
    <w:rsid w:val="00046F31"/>
    <w:rsid w:val="00047014"/>
    <w:rsid w:val="00047044"/>
    <w:rsid w:val="000470B3"/>
    <w:rsid w:val="000474B5"/>
    <w:rsid w:val="000475BF"/>
    <w:rsid w:val="00047689"/>
    <w:rsid w:val="000476BC"/>
    <w:rsid w:val="00047C2A"/>
    <w:rsid w:val="00047D61"/>
    <w:rsid w:val="0004B493"/>
    <w:rsid w:val="0005000C"/>
    <w:rsid w:val="00050041"/>
    <w:rsid w:val="00050101"/>
    <w:rsid w:val="00050134"/>
    <w:rsid w:val="0005019B"/>
    <w:rsid w:val="000502C1"/>
    <w:rsid w:val="00050501"/>
    <w:rsid w:val="0005057C"/>
    <w:rsid w:val="000505C3"/>
    <w:rsid w:val="000508A6"/>
    <w:rsid w:val="00050BD9"/>
    <w:rsid w:val="00050D15"/>
    <w:rsid w:val="00050E7E"/>
    <w:rsid w:val="000510B4"/>
    <w:rsid w:val="00051495"/>
    <w:rsid w:val="000517C5"/>
    <w:rsid w:val="00051968"/>
    <w:rsid w:val="00051A20"/>
    <w:rsid w:val="00051AE8"/>
    <w:rsid w:val="00051BF5"/>
    <w:rsid w:val="00051C8F"/>
    <w:rsid w:val="00051F17"/>
    <w:rsid w:val="00051FC1"/>
    <w:rsid w:val="00051FC6"/>
    <w:rsid w:val="000521A0"/>
    <w:rsid w:val="0005231E"/>
    <w:rsid w:val="000523EA"/>
    <w:rsid w:val="00052539"/>
    <w:rsid w:val="00052B31"/>
    <w:rsid w:val="00052C15"/>
    <w:rsid w:val="00052C33"/>
    <w:rsid w:val="00052DFF"/>
    <w:rsid w:val="00052F31"/>
    <w:rsid w:val="00052FD9"/>
    <w:rsid w:val="000531B0"/>
    <w:rsid w:val="00053302"/>
    <w:rsid w:val="000534A3"/>
    <w:rsid w:val="00053501"/>
    <w:rsid w:val="000538EF"/>
    <w:rsid w:val="00053904"/>
    <w:rsid w:val="00053D6C"/>
    <w:rsid w:val="00053DC0"/>
    <w:rsid w:val="000541D7"/>
    <w:rsid w:val="00054358"/>
    <w:rsid w:val="00054500"/>
    <w:rsid w:val="000546F9"/>
    <w:rsid w:val="00054945"/>
    <w:rsid w:val="00054B33"/>
    <w:rsid w:val="00054C30"/>
    <w:rsid w:val="00054E93"/>
    <w:rsid w:val="00054FC5"/>
    <w:rsid w:val="0005542A"/>
    <w:rsid w:val="0005549F"/>
    <w:rsid w:val="0005563A"/>
    <w:rsid w:val="00055714"/>
    <w:rsid w:val="0005573A"/>
    <w:rsid w:val="000559AC"/>
    <w:rsid w:val="00055A8E"/>
    <w:rsid w:val="00055D88"/>
    <w:rsid w:val="00055E55"/>
    <w:rsid w:val="00055F02"/>
    <w:rsid w:val="000564FF"/>
    <w:rsid w:val="0005652A"/>
    <w:rsid w:val="000566BD"/>
    <w:rsid w:val="0005687C"/>
    <w:rsid w:val="0005690D"/>
    <w:rsid w:val="00056912"/>
    <w:rsid w:val="00056A7E"/>
    <w:rsid w:val="00056B95"/>
    <w:rsid w:val="00056BF0"/>
    <w:rsid w:val="00056CE7"/>
    <w:rsid w:val="00056D74"/>
    <w:rsid w:val="00056D7B"/>
    <w:rsid w:val="00057051"/>
    <w:rsid w:val="00057089"/>
    <w:rsid w:val="00057510"/>
    <w:rsid w:val="00057631"/>
    <w:rsid w:val="00057646"/>
    <w:rsid w:val="000576B0"/>
    <w:rsid w:val="000578E4"/>
    <w:rsid w:val="00057C02"/>
    <w:rsid w:val="00057E44"/>
    <w:rsid w:val="0006015A"/>
    <w:rsid w:val="000601F4"/>
    <w:rsid w:val="00060376"/>
    <w:rsid w:val="00060622"/>
    <w:rsid w:val="00060650"/>
    <w:rsid w:val="00060763"/>
    <w:rsid w:val="0006077A"/>
    <w:rsid w:val="0006079E"/>
    <w:rsid w:val="00060C35"/>
    <w:rsid w:val="00060C54"/>
    <w:rsid w:val="00060D2C"/>
    <w:rsid w:val="000610BD"/>
    <w:rsid w:val="000610CE"/>
    <w:rsid w:val="000611B8"/>
    <w:rsid w:val="000616BA"/>
    <w:rsid w:val="0006171A"/>
    <w:rsid w:val="00061872"/>
    <w:rsid w:val="000618AA"/>
    <w:rsid w:val="00061977"/>
    <w:rsid w:val="00061C73"/>
    <w:rsid w:val="00061C8F"/>
    <w:rsid w:val="00061D46"/>
    <w:rsid w:val="00061E77"/>
    <w:rsid w:val="00062618"/>
    <w:rsid w:val="0006272C"/>
    <w:rsid w:val="0006277E"/>
    <w:rsid w:val="000627B2"/>
    <w:rsid w:val="0006283B"/>
    <w:rsid w:val="00062850"/>
    <w:rsid w:val="00062993"/>
    <w:rsid w:val="00062A77"/>
    <w:rsid w:val="00062B69"/>
    <w:rsid w:val="00062DCF"/>
    <w:rsid w:val="00062E44"/>
    <w:rsid w:val="00062F64"/>
    <w:rsid w:val="00062FDB"/>
    <w:rsid w:val="00063244"/>
    <w:rsid w:val="000632EC"/>
    <w:rsid w:val="000634E2"/>
    <w:rsid w:val="0006351C"/>
    <w:rsid w:val="000635D1"/>
    <w:rsid w:val="000635D2"/>
    <w:rsid w:val="0006360F"/>
    <w:rsid w:val="00063913"/>
    <w:rsid w:val="00063A5D"/>
    <w:rsid w:val="00063DFD"/>
    <w:rsid w:val="00063E99"/>
    <w:rsid w:val="00063FD5"/>
    <w:rsid w:val="00064028"/>
    <w:rsid w:val="0006403F"/>
    <w:rsid w:val="00064044"/>
    <w:rsid w:val="00064328"/>
    <w:rsid w:val="000643E9"/>
    <w:rsid w:val="00064410"/>
    <w:rsid w:val="00064769"/>
    <w:rsid w:val="0006499D"/>
    <w:rsid w:val="00064DA6"/>
    <w:rsid w:val="00064E8C"/>
    <w:rsid w:val="00064FDF"/>
    <w:rsid w:val="00064FFC"/>
    <w:rsid w:val="00065036"/>
    <w:rsid w:val="00065419"/>
    <w:rsid w:val="000654B9"/>
    <w:rsid w:val="000654D4"/>
    <w:rsid w:val="000654F6"/>
    <w:rsid w:val="00065621"/>
    <w:rsid w:val="00065670"/>
    <w:rsid w:val="000656E9"/>
    <w:rsid w:val="000657C4"/>
    <w:rsid w:val="0006580D"/>
    <w:rsid w:val="00065912"/>
    <w:rsid w:val="00065C1F"/>
    <w:rsid w:val="00065E88"/>
    <w:rsid w:val="000660DA"/>
    <w:rsid w:val="000662D3"/>
    <w:rsid w:val="00066319"/>
    <w:rsid w:val="0006665A"/>
    <w:rsid w:val="00066733"/>
    <w:rsid w:val="000667F7"/>
    <w:rsid w:val="0006692F"/>
    <w:rsid w:val="000669C6"/>
    <w:rsid w:val="000669C7"/>
    <w:rsid w:val="00066BEE"/>
    <w:rsid w:val="00066C09"/>
    <w:rsid w:val="00066D56"/>
    <w:rsid w:val="00066E0E"/>
    <w:rsid w:val="00066E56"/>
    <w:rsid w:val="00066EC5"/>
    <w:rsid w:val="00066FEF"/>
    <w:rsid w:val="000672B7"/>
    <w:rsid w:val="000673BE"/>
    <w:rsid w:val="00067505"/>
    <w:rsid w:val="00067579"/>
    <w:rsid w:val="00067685"/>
    <w:rsid w:val="000676E1"/>
    <w:rsid w:val="000676F5"/>
    <w:rsid w:val="00067884"/>
    <w:rsid w:val="0006790A"/>
    <w:rsid w:val="00067A9E"/>
    <w:rsid w:val="00067B14"/>
    <w:rsid w:val="00067BD6"/>
    <w:rsid w:val="00067D1B"/>
    <w:rsid w:val="00067D32"/>
    <w:rsid w:val="000701A3"/>
    <w:rsid w:val="0007057C"/>
    <w:rsid w:val="00070A20"/>
    <w:rsid w:val="00070B09"/>
    <w:rsid w:val="00070BF6"/>
    <w:rsid w:val="00070C1B"/>
    <w:rsid w:val="00070F61"/>
    <w:rsid w:val="00070FB0"/>
    <w:rsid w:val="00071184"/>
    <w:rsid w:val="000711C0"/>
    <w:rsid w:val="0007123D"/>
    <w:rsid w:val="0007131A"/>
    <w:rsid w:val="00071572"/>
    <w:rsid w:val="00071943"/>
    <w:rsid w:val="00071A9C"/>
    <w:rsid w:val="00071C8E"/>
    <w:rsid w:val="000721E4"/>
    <w:rsid w:val="000722B8"/>
    <w:rsid w:val="0007236F"/>
    <w:rsid w:val="00072500"/>
    <w:rsid w:val="000725BE"/>
    <w:rsid w:val="000725EE"/>
    <w:rsid w:val="0007272D"/>
    <w:rsid w:val="00072867"/>
    <w:rsid w:val="00072902"/>
    <w:rsid w:val="00072957"/>
    <w:rsid w:val="00072A47"/>
    <w:rsid w:val="00072B5C"/>
    <w:rsid w:val="00072BE8"/>
    <w:rsid w:val="00072D51"/>
    <w:rsid w:val="00072DEA"/>
    <w:rsid w:val="00072DF4"/>
    <w:rsid w:val="000730DD"/>
    <w:rsid w:val="00073216"/>
    <w:rsid w:val="00073235"/>
    <w:rsid w:val="00073308"/>
    <w:rsid w:val="000735C6"/>
    <w:rsid w:val="00073705"/>
    <w:rsid w:val="00073A0F"/>
    <w:rsid w:val="00073A55"/>
    <w:rsid w:val="00073B31"/>
    <w:rsid w:val="00074010"/>
    <w:rsid w:val="000742B7"/>
    <w:rsid w:val="000748FD"/>
    <w:rsid w:val="00074FAC"/>
    <w:rsid w:val="00075377"/>
    <w:rsid w:val="00075461"/>
    <w:rsid w:val="0007548A"/>
    <w:rsid w:val="000754AC"/>
    <w:rsid w:val="000754E1"/>
    <w:rsid w:val="000754E5"/>
    <w:rsid w:val="0007551D"/>
    <w:rsid w:val="00075635"/>
    <w:rsid w:val="000757EA"/>
    <w:rsid w:val="000758F2"/>
    <w:rsid w:val="00075B1E"/>
    <w:rsid w:val="00075B6D"/>
    <w:rsid w:val="00075B8A"/>
    <w:rsid w:val="00075C0B"/>
    <w:rsid w:val="00075DE5"/>
    <w:rsid w:val="00075E36"/>
    <w:rsid w:val="00076107"/>
    <w:rsid w:val="000761FC"/>
    <w:rsid w:val="000764D5"/>
    <w:rsid w:val="000765B1"/>
    <w:rsid w:val="000766BF"/>
    <w:rsid w:val="000767C1"/>
    <w:rsid w:val="00076879"/>
    <w:rsid w:val="000768B9"/>
    <w:rsid w:val="00076AC2"/>
    <w:rsid w:val="00076B3C"/>
    <w:rsid w:val="00076D24"/>
    <w:rsid w:val="00076DE2"/>
    <w:rsid w:val="00076F08"/>
    <w:rsid w:val="00077073"/>
    <w:rsid w:val="0007709B"/>
    <w:rsid w:val="000770FE"/>
    <w:rsid w:val="00077174"/>
    <w:rsid w:val="0007736A"/>
    <w:rsid w:val="00077451"/>
    <w:rsid w:val="000774EC"/>
    <w:rsid w:val="00077902"/>
    <w:rsid w:val="00077AB2"/>
    <w:rsid w:val="00077C33"/>
    <w:rsid w:val="0008003A"/>
    <w:rsid w:val="0008005C"/>
    <w:rsid w:val="00080155"/>
    <w:rsid w:val="00080406"/>
    <w:rsid w:val="00080411"/>
    <w:rsid w:val="00080500"/>
    <w:rsid w:val="000806D6"/>
    <w:rsid w:val="0008070F"/>
    <w:rsid w:val="00080731"/>
    <w:rsid w:val="00080760"/>
    <w:rsid w:val="00080768"/>
    <w:rsid w:val="000807AB"/>
    <w:rsid w:val="000808D3"/>
    <w:rsid w:val="0008094A"/>
    <w:rsid w:val="00080A0A"/>
    <w:rsid w:val="00080A8B"/>
    <w:rsid w:val="00080DC8"/>
    <w:rsid w:val="00081068"/>
    <w:rsid w:val="00081102"/>
    <w:rsid w:val="000815D1"/>
    <w:rsid w:val="000819CF"/>
    <w:rsid w:val="00081B01"/>
    <w:rsid w:val="00081B45"/>
    <w:rsid w:val="00081D55"/>
    <w:rsid w:val="00081D94"/>
    <w:rsid w:val="00082358"/>
    <w:rsid w:val="00082778"/>
    <w:rsid w:val="000827B5"/>
    <w:rsid w:val="00082AB6"/>
    <w:rsid w:val="00082B57"/>
    <w:rsid w:val="00082C8F"/>
    <w:rsid w:val="00082F85"/>
    <w:rsid w:val="00083262"/>
    <w:rsid w:val="00083333"/>
    <w:rsid w:val="0008333B"/>
    <w:rsid w:val="0008336A"/>
    <w:rsid w:val="0008349F"/>
    <w:rsid w:val="00083548"/>
    <w:rsid w:val="000835EC"/>
    <w:rsid w:val="00083716"/>
    <w:rsid w:val="0008372C"/>
    <w:rsid w:val="00083961"/>
    <w:rsid w:val="00083BF4"/>
    <w:rsid w:val="00083D21"/>
    <w:rsid w:val="00083D25"/>
    <w:rsid w:val="00083D98"/>
    <w:rsid w:val="00083DBD"/>
    <w:rsid w:val="00083F46"/>
    <w:rsid w:val="00084216"/>
    <w:rsid w:val="00084296"/>
    <w:rsid w:val="000844C9"/>
    <w:rsid w:val="000846D3"/>
    <w:rsid w:val="000846EC"/>
    <w:rsid w:val="00084BD9"/>
    <w:rsid w:val="00084CE0"/>
    <w:rsid w:val="00084D4A"/>
    <w:rsid w:val="00084D8C"/>
    <w:rsid w:val="00084FD4"/>
    <w:rsid w:val="000851E8"/>
    <w:rsid w:val="00085433"/>
    <w:rsid w:val="000854F5"/>
    <w:rsid w:val="0008562F"/>
    <w:rsid w:val="000856A1"/>
    <w:rsid w:val="0008580E"/>
    <w:rsid w:val="0008585B"/>
    <w:rsid w:val="00085A0C"/>
    <w:rsid w:val="00085D9C"/>
    <w:rsid w:val="00085E6E"/>
    <w:rsid w:val="0008605F"/>
    <w:rsid w:val="000861A7"/>
    <w:rsid w:val="00086796"/>
    <w:rsid w:val="000867D5"/>
    <w:rsid w:val="0008695C"/>
    <w:rsid w:val="000869D9"/>
    <w:rsid w:val="00086AB7"/>
    <w:rsid w:val="00086ADB"/>
    <w:rsid w:val="00086C24"/>
    <w:rsid w:val="00086FF7"/>
    <w:rsid w:val="00087297"/>
    <w:rsid w:val="000875C2"/>
    <w:rsid w:val="00087612"/>
    <w:rsid w:val="0008786A"/>
    <w:rsid w:val="00087A4F"/>
    <w:rsid w:val="00087F3E"/>
    <w:rsid w:val="00087F77"/>
    <w:rsid w:val="0008D86A"/>
    <w:rsid w:val="00090065"/>
    <w:rsid w:val="00090097"/>
    <w:rsid w:val="00090178"/>
    <w:rsid w:val="000905D7"/>
    <w:rsid w:val="00090715"/>
    <w:rsid w:val="00090CDE"/>
    <w:rsid w:val="00090CEA"/>
    <w:rsid w:val="00090E1B"/>
    <w:rsid w:val="00090E1E"/>
    <w:rsid w:val="00090F68"/>
    <w:rsid w:val="00090FF6"/>
    <w:rsid w:val="00091075"/>
    <w:rsid w:val="000910B0"/>
    <w:rsid w:val="0009111D"/>
    <w:rsid w:val="00091186"/>
    <w:rsid w:val="00091192"/>
    <w:rsid w:val="000912F3"/>
    <w:rsid w:val="000913E9"/>
    <w:rsid w:val="000915EA"/>
    <w:rsid w:val="000916B5"/>
    <w:rsid w:val="000916B6"/>
    <w:rsid w:val="00091706"/>
    <w:rsid w:val="0009172F"/>
    <w:rsid w:val="00091A84"/>
    <w:rsid w:val="00091E73"/>
    <w:rsid w:val="00091F0D"/>
    <w:rsid w:val="00092041"/>
    <w:rsid w:val="00092776"/>
    <w:rsid w:val="00092858"/>
    <w:rsid w:val="000929F5"/>
    <w:rsid w:val="00092BDA"/>
    <w:rsid w:val="00092D3C"/>
    <w:rsid w:val="00092D4B"/>
    <w:rsid w:val="0009317D"/>
    <w:rsid w:val="000933D2"/>
    <w:rsid w:val="000938B4"/>
    <w:rsid w:val="00093BE3"/>
    <w:rsid w:val="00093C33"/>
    <w:rsid w:val="00093DEB"/>
    <w:rsid w:val="00093DF4"/>
    <w:rsid w:val="000941EB"/>
    <w:rsid w:val="000941F1"/>
    <w:rsid w:val="000942FE"/>
    <w:rsid w:val="00094483"/>
    <w:rsid w:val="0009450C"/>
    <w:rsid w:val="00094587"/>
    <w:rsid w:val="000947F0"/>
    <w:rsid w:val="00094949"/>
    <w:rsid w:val="00094A6C"/>
    <w:rsid w:val="00094DE6"/>
    <w:rsid w:val="00094E8C"/>
    <w:rsid w:val="0009507C"/>
    <w:rsid w:val="00095137"/>
    <w:rsid w:val="000951F5"/>
    <w:rsid w:val="00095370"/>
    <w:rsid w:val="00095371"/>
    <w:rsid w:val="00095587"/>
    <w:rsid w:val="000955B0"/>
    <w:rsid w:val="0009574E"/>
    <w:rsid w:val="00095848"/>
    <w:rsid w:val="000958E9"/>
    <w:rsid w:val="00095C17"/>
    <w:rsid w:val="00095C5C"/>
    <w:rsid w:val="00095E02"/>
    <w:rsid w:val="00095F10"/>
    <w:rsid w:val="00096079"/>
    <w:rsid w:val="0009618C"/>
    <w:rsid w:val="000961C3"/>
    <w:rsid w:val="000962A6"/>
    <w:rsid w:val="000962A8"/>
    <w:rsid w:val="000963DB"/>
    <w:rsid w:val="00096457"/>
    <w:rsid w:val="000964C3"/>
    <w:rsid w:val="0009662E"/>
    <w:rsid w:val="000966D7"/>
    <w:rsid w:val="00096708"/>
    <w:rsid w:val="00096845"/>
    <w:rsid w:val="00096942"/>
    <w:rsid w:val="00096A79"/>
    <w:rsid w:val="00096BE4"/>
    <w:rsid w:val="00096C9B"/>
    <w:rsid w:val="00096CCF"/>
    <w:rsid w:val="00097286"/>
    <w:rsid w:val="000973E5"/>
    <w:rsid w:val="00097569"/>
    <w:rsid w:val="000975B3"/>
    <w:rsid w:val="000976A6"/>
    <w:rsid w:val="0009790D"/>
    <w:rsid w:val="00097976"/>
    <w:rsid w:val="00097B14"/>
    <w:rsid w:val="00097CB9"/>
    <w:rsid w:val="00097CC0"/>
    <w:rsid w:val="00097D78"/>
    <w:rsid w:val="00097E55"/>
    <w:rsid w:val="00097F58"/>
    <w:rsid w:val="00099DCE"/>
    <w:rsid w:val="000A0181"/>
    <w:rsid w:val="000A01A2"/>
    <w:rsid w:val="000A0282"/>
    <w:rsid w:val="000A03D2"/>
    <w:rsid w:val="000A0554"/>
    <w:rsid w:val="000A0809"/>
    <w:rsid w:val="000A08E4"/>
    <w:rsid w:val="000A09EB"/>
    <w:rsid w:val="000A0B46"/>
    <w:rsid w:val="000A129E"/>
    <w:rsid w:val="000A14FE"/>
    <w:rsid w:val="000A155A"/>
    <w:rsid w:val="000A1632"/>
    <w:rsid w:val="000A169E"/>
    <w:rsid w:val="000A185D"/>
    <w:rsid w:val="000A18B8"/>
    <w:rsid w:val="000A1AF0"/>
    <w:rsid w:val="000A1B0D"/>
    <w:rsid w:val="000A1B5E"/>
    <w:rsid w:val="000A1C76"/>
    <w:rsid w:val="000A1D6B"/>
    <w:rsid w:val="000A22B1"/>
    <w:rsid w:val="000A232F"/>
    <w:rsid w:val="000A2364"/>
    <w:rsid w:val="000A2368"/>
    <w:rsid w:val="000A2533"/>
    <w:rsid w:val="000A2699"/>
    <w:rsid w:val="000A27D9"/>
    <w:rsid w:val="000A283A"/>
    <w:rsid w:val="000A295A"/>
    <w:rsid w:val="000A2B44"/>
    <w:rsid w:val="000A2B93"/>
    <w:rsid w:val="000A2CF3"/>
    <w:rsid w:val="000A2DF9"/>
    <w:rsid w:val="000A3003"/>
    <w:rsid w:val="000A30BA"/>
    <w:rsid w:val="000A3263"/>
    <w:rsid w:val="000A33D3"/>
    <w:rsid w:val="000A3450"/>
    <w:rsid w:val="000A351A"/>
    <w:rsid w:val="000A3A69"/>
    <w:rsid w:val="000A3A95"/>
    <w:rsid w:val="000A3CF2"/>
    <w:rsid w:val="000A3D67"/>
    <w:rsid w:val="000A3DC7"/>
    <w:rsid w:val="000A3E7C"/>
    <w:rsid w:val="000A3EAF"/>
    <w:rsid w:val="000A4095"/>
    <w:rsid w:val="000A40E8"/>
    <w:rsid w:val="000A41F9"/>
    <w:rsid w:val="000A41FE"/>
    <w:rsid w:val="000A430B"/>
    <w:rsid w:val="000A449A"/>
    <w:rsid w:val="000A4672"/>
    <w:rsid w:val="000A4753"/>
    <w:rsid w:val="000A47A1"/>
    <w:rsid w:val="000A495E"/>
    <w:rsid w:val="000A4F04"/>
    <w:rsid w:val="000A5212"/>
    <w:rsid w:val="000A5309"/>
    <w:rsid w:val="000A532D"/>
    <w:rsid w:val="000A5805"/>
    <w:rsid w:val="000A59A2"/>
    <w:rsid w:val="000A5C5A"/>
    <w:rsid w:val="000A5D32"/>
    <w:rsid w:val="000A604F"/>
    <w:rsid w:val="000A6052"/>
    <w:rsid w:val="000A61FA"/>
    <w:rsid w:val="000A6262"/>
    <w:rsid w:val="000A6435"/>
    <w:rsid w:val="000A6554"/>
    <w:rsid w:val="000A657B"/>
    <w:rsid w:val="000A65C6"/>
    <w:rsid w:val="000A6738"/>
    <w:rsid w:val="000A6854"/>
    <w:rsid w:val="000A694D"/>
    <w:rsid w:val="000A6B01"/>
    <w:rsid w:val="000A6BB1"/>
    <w:rsid w:val="000A6C95"/>
    <w:rsid w:val="000A785F"/>
    <w:rsid w:val="000A78CE"/>
    <w:rsid w:val="000A7A77"/>
    <w:rsid w:val="000A7CFD"/>
    <w:rsid w:val="000B01B6"/>
    <w:rsid w:val="000B02C3"/>
    <w:rsid w:val="000B03A2"/>
    <w:rsid w:val="000B03A8"/>
    <w:rsid w:val="000B0526"/>
    <w:rsid w:val="000B0716"/>
    <w:rsid w:val="000B0B51"/>
    <w:rsid w:val="000B0B9D"/>
    <w:rsid w:val="000B1097"/>
    <w:rsid w:val="000B10E7"/>
    <w:rsid w:val="000B1149"/>
    <w:rsid w:val="000B121A"/>
    <w:rsid w:val="000B1398"/>
    <w:rsid w:val="000B13AE"/>
    <w:rsid w:val="000B15FB"/>
    <w:rsid w:val="000B1638"/>
    <w:rsid w:val="000B18A9"/>
    <w:rsid w:val="000B1937"/>
    <w:rsid w:val="000B1A88"/>
    <w:rsid w:val="000B1B94"/>
    <w:rsid w:val="000B1C96"/>
    <w:rsid w:val="000B1CEC"/>
    <w:rsid w:val="000B1D60"/>
    <w:rsid w:val="000B1DE7"/>
    <w:rsid w:val="000B1F50"/>
    <w:rsid w:val="000B1FAE"/>
    <w:rsid w:val="000B201A"/>
    <w:rsid w:val="000B212C"/>
    <w:rsid w:val="000B23B3"/>
    <w:rsid w:val="000B24BC"/>
    <w:rsid w:val="000B26B6"/>
    <w:rsid w:val="000B26C2"/>
    <w:rsid w:val="000B2975"/>
    <w:rsid w:val="000B2BC1"/>
    <w:rsid w:val="000B2D11"/>
    <w:rsid w:val="000B33F4"/>
    <w:rsid w:val="000B36EB"/>
    <w:rsid w:val="000B3AA3"/>
    <w:rsid w:val="000B3B18"/>
    <w:rsid w:val="000B3C20"/>
    <w:rsid w:val="000B3E18"/>
    <w:rsid w:val="000B3FBE"/>
    <w:rsid w:val="000B422D"/>
    <w:rsid w:val="000B4661"/>
    <w:rsid w:val="000B4A59"/>
    <w:rsid w:val="000B4B52"/>
    <w:rsid w:val="000B4C8E"/>
    <w:rsid w:val="000B4CC0"/>
    <w:rsid w:val="000B4E09"/>
    <w:rsid w:val="000B4E78"/>
    <w:rsid w:val="000B4E7A"/>
    <w:rsid w:val="000B50D6"/>
    <w:rsid w:val="000B50EE"/>
    <w:rsid w:val="000B5174"/>
    <w:rsid w:val="000B5775"/>
    <w:rsid w:val="000B5781"/>
    <w:rsid w:val="000B5788"/>
    <w:rsid w:val="000B5818"/>
    <w:rsid w:val="000B5861"/>
    <w:rsid w:val="000B59ED"/>
    <w:rsid w:val="000B59F9"/>
    <w:rsid w:val="000B5B1F"/>
    <w:rsid w:val="000B5BA2"/>
    <w:rsid w:val="000B5D53"/>
    <w:rsid w:val="000B5F1B"/>
    <w:rsid w:val="000B6034"/>
    <w:rsid w:val="000B645C"/>
    <w:rsid w:val="000B6534"/>
    <w:rsid w:val="000B67FF"/>
    <w:rsid w:val="000B68E7"/>
    <w:rsid w:val="000B6A38"/>
    <w:rsid w:val="000B6AF1"/>
    <w:rsid w:val="000B6B3D"/>
    <w:rsid w:val="000B6D4C"/>
    <w:rsid w:val="000B712E"/>
    <w:rsid w:val="000B7592"/>
    <w:rsid w:val="000B7755"/>
    <w:rsid w:val="000B7A11"/>
    <w:rsid w:val="000B7CA2"/>
    <w:rsid w:val="000B7CEC"/>
    <w:rsid w:val="000B7E40"/>
    <w:rsid w:val="000C0052"/>
    <w:rsid w:val="000C017D"/>
    <w:rsid w:val="000C04BA"/>
    <w:rsid w:val="000C04E9"/>
    <w:rsid w:val="000C06E6"/>
    <w:rsid w:val="000C0785"/>
    <w:rsid w:val="000C07B7"/>
    <w:rsid w:val="000C08B5"/>
    <w:rsid w:val="000C0B65"/>
    <w:rsid w:val="000C0BEE"/>
    <w:rsid w:val="000C0CB2"/>
    <w:rsid w:val="000C0D04"/>
    <w:rsid w:val="000C0E4D"/>
    <w:rsid w:val="000C0EEC"/>
    <w:rsid w:val="000C0FCE"/>
    <w:rsid w:val="000C1087"/>
    <w:rsid w:val="000C10C1"/>
    <w:rsid w:val="000C1222"/>
    <w:rsid w:val="000C15BC"/>
    <w:rsid w:val="000C1EE2"/>
    <w:rsid w:val="000C1F10"/>
    <w:rsid w:val="000C1F5A"/>
    <w:rsid w:val="000C1FB8"/>
    <w:rsid w:val="000C21C0"/>
    <w:rsid w:val="000C226C"/>
    <w:rsid w:val="000C24B4"/>
    <w:rsid w:val="000C2546"/>
    <w:rsid w:val="000C2620"/>
    <w:rsid w:val="000C269D"/>
    <w:rsid w:val="000C27B2"/>
    <w:rsid w:val="000C27C1"/>
    <w:rsid w:val="000C2A3E"/>
    <w:rsid w:val="000C2AB1"/>
    <w:rsid w:val="000C2C76"/>
    <w:rsid w:val="000C2D4F"/>
    <w:rsid w:val="000C2FBE"/>
    <w:rsid w:val="000C305D"/>
    <w:rsid w:val="000C3195"/>
    <w:rsid w:val="000C31D3"/>
    <w:rsid w:val="000C32B9"/>
    <w:rsid w:val="000C34EC"/>
    <w:rsid w:val="000C364D"/>
    <w:rsid w:val="000C3878"/>
    <w:rsid w:val="000C38BE"/>
    <w:rsid w:val="000C3985"/>
    <w:rsid w:val="000C39B9"/>
    <w:rsid w:val="000C3A24"/>
    <w:rsid w:val="000C3B35"/>
    <w:rsid w:val="000C3B3D"/>
    <w:rsid w:val="000C3C4C"/>
    <w:rsid w:val="000C419E"/>
    <w:rsid w:val="000C41F4"/>
    <w:rsid w:val="000C4303"/>
    <w:rsid w:val="000C4353"/>
    <w:rsid w:val="000C45A4"/>
    <w:rsid w:val="000C4623"/>
    <w:rsid w:val="000C4CA7"/>
    <w:rsid w:val="000C4DCB"/>
    <w:rsid w:val="000C5150"/>
    <w:rsid w:val="000C5205"/>
    <w:rsid w:val="000C5290"/>
    <w:rsid w:val="000C52BA"/>
    <w:rsid w:val="000C5507"/>
    <w:rsid w:val="000C558F"/>
    <w:rsid w:val="000C5631"/>
    <w:rsid w:val="000C56AA"/>
    <w:rsid w:val="000C584F"/>
    <w:rsid w:val="000C58A0"/>
    <w:rsid w:val="000C58D5"/>
    <w:rsid w:val="000C5C9B"/>
    <w:rsid w:val="000C5F11"/>
    <w:rsid w:val="000C631A"/>
    <w:rsid w:val="000C63A1"/>
    <w:rsid w:val="000C6B8A"/>
    <w:rsid w:val="000C6BFE"/>
    <w:rsid w:val="000C70E0"/>
    <w:rsid w:val="000C71AB"/>
    <w:rsid w:val="000C7224"/>
    <w:rsid w:val="000C7607"/>
    <w:rsid w:val="000C776D"/>
    <w:rsid w:val="000C7828"/>
    <w:rsid w:val="000C7A5B"/>
    <w:rsid w:val="000C7AE9"/>
    <w:rsid w:val="000C7CB0"/>
    <w:rsid w:val="000C7F4E"/>
    <w:rsid w:val="000D003D"/>
    <w:rsid w:val="000D00E2"/>
    <w:rsid w:val="000D02DD"/>
    <w:rsid w:val="000D05B7"/>
    <w:rsid w:val="000D06B9"/>
    <w:rsid w:val="000D094A"/>
    <w:rsid w:val="000D0C16"/>
    <w:rsid w:val="000D0D0A"/>
    <w:rsid w:val="000D0D12"/>
    <w:rsid w:val="000D0FA5"/>
    <w:rsid w:val="000D11D1"/>
    <w:rsid w:val="000D123C"/>
    <w:rsid w:val="000D16CC"/>
    <w:rsid w:val="000D1735"/>
    <w:rsid w:val="000D1D6E"/>
    <w:rsid w:val="000D1E26"/>
    <w:rsid w:val="000D1FF8"/>
    <w:rsid w:val="000D23C8"/>
    <w:rsid w:val="000D2743"/>
    <w:rsid w:val="000D2BA4"/>
    <w:rsid w:val="000D2BCA"/>
    <w:rsid w:val="000D2D33"/>
    <w:rsid w:val="000D2F65"/>
    <w:rsid w:val="000D305E"/>
    <w:rsid w:val="000D36BF"/>
    <w:rsid w:val="000D3758"/>
    <w:rsid w:val="000D3BDE"/>
    <w:rsid w:val="000D3CDF"/>
    <w:rsid w:val="000D3D08"/>
    <w:rsid w:val="000D42A6"/>
    <w:rsid w:val="000D45B7"/>
    <w:rsid w:val="000D48CA"/>
    <w:rsid w:val="000D4909"/>
    <w:rsid w:val="000D4A52"/>
    <w:rsid w:val="000D4A74"/>
    <w:rsid w:val="000D4A76"/>
    <w:rsid w:val="000D4BE9"/>
    <w:rsid w:val="000D4D3C"/>
    <w:rsid w:val="000D4E4E"/>
    <w:rsid w:val="000D4F1D"/>
    <w:rsid w:val="000D4F36"/>
    <w:rsid w:val="000D51B3"/>
    <w:rsid w:val="000D55E0"/>
    <w:rsid w:val="000D5A3C"/>
    <w:rsid w:val="000D5B6D"/>
    <w:rsid w:val="000D5EDC"/>
    <w:rsid w:val="000D6028"/>
    <w:rsid w:val="000D60A8"/>
    <w:rsid w:val="000D6118"/>
    <w:rsid w:val="000D6148"/>
    <w:rsid w:val="000D614E"/>
    <w:rsid w:val="000D622E"/>
    <w:rsid w:val="000D62AF"/>
    <w:rsid w:val="000D6310"/>
    <w:rsid w:val="000D6327"/>
    <w:rsid w:val="000D63B9"/>
    <w:rsid w:val="000D64B4"/>
    <w:rsid w:val="000D6658"/>
    <w:rsid w:val="000D6667"/>
    <w:rsid w:val="000D67A5"/>
    <w:rsid w:val="000D68EF"/>
    <w:rsid w:val="000D6AB0"/>
    <w:rsid w:val="000D6B29"/>
    <w:rsid w:val="000D6C76"/>
    <w:rsid w:val="000D6CA1"/>
    <w:rsid w:val="000D6EEA"/>
    <w:rsid w:val="000D6EF3"/>
    <w:rsid w:val="000D6F03"/>
    <w:rsid w:val="000D6FBB"/>
    <w:rsid w:val="000D72ED"/>
    <w:rsid w:val="000D737F"/>
    <w:rsid w:val="000D75FA"/>
    <w:rsid w:val="000D760C"/>
    <w:rsid w:val="000D7714"/>
    <w:rsid w:val="000D773B"/>
    <w:rsid w:val="000D7872"/>
    <w:rsid w:val="000D78AF"/>
    <w:rsid w:val="000D793B"/>
    <w:rsid w:val="000D7A5C"/>
    <w:rsid w:val="000D7EB0"/>
    <w:rsid w:val="000D7F9C"/>
    <w:rsid w:val="000E012D"/>
    <w:rsid w:val="000E0175"/>
    <w:rsid w:val="000E03FF"/>
    <w:rsid w:val="000E0433"/>
    <w:rsid w:val="000E064B"/>
    <w:rsid w:val="000E0708"/>
    <w:rsid w:val="000E0830"/>
    <w:rsid w:val="000E0C8B"/>
    <w:rsid w:val="000E0F89"/>
    <w:rsid w:val="000E0FBB"/>
    <w:rsid w:val="000E1235"/>
    <w:rsid w:val="000E12F9"/>
    <w:rsid w:val="000E130D"/>
    <w:rsid w:val="000E13B0"/>
    <w:rsid w:val="000E13F4"/>
    <w:rsid w:val="000E142C"/>
    <w:rsid w:val="000E16FD"/>
    <w:rsid w:val="000E1816"/>
    <w:rsid w:val="000E1895"/>
    <w:rsid w:val="000E1939"/>
    <w:rsid w:val="000E1CCD"/>
    <w:rsid w:val="000E1E00"/>
    <w:rsid w:val="000E1E54"/>
    <w:rsid w:val="000E1F0B"/>
    <w:rsid w:val="000E1F6C"/>
    <w:rsid w:val="000E22AE"/>
    <w:rsid w:val="000E2523"/>
    <w:rsid w:val="000E25B1"/>
    <w:rsid w:val="000E26C9"/>
    <w:rsid w:val="000E2729"/>
    <w:rsid w:val="000E2802"/>
    <w:rsid w:val="000E2843"/>
    <w:rsid w:val="000E2995"/>
    <w:rsid w:val="000E2A1B"/>
    <w:rsid w:val="000E2E8D"/>
    <w:rsid w:val="000E3223"/>
    <w:rsid w:val="000E356B"/>
    <w:rsid w:val="000E35BB"/>
    <w:rsid w:val="000E3738"/>
    <w:rsid w:val="000E37FD"/>
    <w:rsid w:val="000E385A"/>
    <w:rsid w:val="000E38D8"/>
    <w:rsid w:val="000E3A37"/>
    <w:rsid w:val="000E3AA0"/>
    <w:rsid w:val="000E3B00"/>
    <w:rsid w:val="000E3B2F"/>
    <w:rsid w:val="000E3BE6"/>
    <w:rsid w:val="000E3D5D"/>
    <w:rsid w:val="000E3F40"/>
    <w:rsid w:val="000E4338"/>
    <w:rsid w:val="000E44BD"/>
    <w:rsid w:val="000E4615"/>
    <w:rsid w:val="000E461A"/>
    <w:rsid w:val="000E482E"/>
    <w:rsid w:val="000E485A"/>
    <w:rsid w:val="000E494D"/>
    <w:rsid w:val="000E4BC2"/>
    <w:rsid w:val="000E4D31"/>
    <w:rsid w:val="000E4F38"/>
    <w:rsid w:val="000E4F9D"/>
    <w:rsid w:val="000E517A"/>
    <w:rsid w:val="000E575F"/>
    <w:rsid w:val="000E5797"/>
    <w:rsid w:val="000E57A4"/>
    <w:rsid w:val="000E57E7"/>
    <w:rsid w:val="000E59FD"/>
    <w:rsid w:val="000E5DC8"/>
    <w:rsid w:val="000E5F4F"/>
    <w:rsid w:val="000E5FED"/>
    <w:rsid w:val="000E606F"/>
    <w:rsid w:val="000E61EF"/>
    <w:rsid w:val="000E6317"/>
    <w:rsid w:val="000E63DE"/>
    <w:rsid w:val="000E64A0"/>
    <w:rsid w:val="000E665B"/>
    <w:rsid w:val="000E6746"/>
    <w:rsid w:val="000E68E1"/>
    <w:rsid w:val="000E6910"/>
    <w:rsid w:val="000E691C"/>
    <w:rsid w:val="000E6BBE"/>
    <w:rsid w:val="000E707F"/>
    <w:rsid w:val="000E7086"/>
    <w:rsid w:val="000E70F1"/>
    <w:rsid w:val="000E721A"/>
    <w:rsid w:val="000E778F"/>
    <w:rsid w:val="000E77BA"/>
    <w:rsid w:val="000E78FA"/>
    <w:rsid w:val="000E790F"/>
    <w:rsid w:val="000E79CB"/>
    <w:rsid w:val="000E7A90"/>
    <w:rsid w:val="000E7B49"/>
    <w:rsid w:val="000E7CF4"/>
    <w:rsid w:val="000E7D84"/>
    <w:rsid w:val="000E7DBF"/>
    <w:rsid w:val="000E7FCA"/>
    <w:rsid w:val="000F0041"/>
    <w:rsid w:val="000F014F"/>
    <w:rsid w:val="000F0369"/>
    <w:rsid w:val="000F03B9"/>
    <w:rsid w:val="000F03FE"/>
    <w:rsid w:val="000F05ED"/>
    <w:rsid w:val="000F06BB"/>
    <w:rsid w:val="000F0749"/>
    <w:rsid w:val="000F0893"/>
    <w:rsid w:val="000F0A06"/>
    <w:rsid w:val="000F0ABB"/>
    <w:rsid w:val="000F0B6A"/>
    <w:rsid w:val="000F0C9F"/>
    <w:rsid w:val="000F0D1D"/>
    <w:rsid w:val="000F144C"/>
    <w:rsid w:val="000F14CD"/>
    <w:rsid w:val="000F1793"/>
    <w:rsid w:val="000F1B31"/>
    <w:rsid w:val="000F1C1C"/>
    <w:rsid w:val="000F1C92"/>
    <w:rsid w:val="000F1D4C"/>
    <w:rsid w:val="000F20EC"/>
    <w:rsid w:val="000F2135"/>
    <w:rsid w:val="000F2288"/>
    <w:rsid w:val="000F25DB"/>
    <w:rsid w:val="000F27F9"/>
    <w:rsid w:val="000F28F4"/>
    <w:rsid w:val="000F29AC"/>
    <w:rsid w:val="000F2A07"/>
    <w:rsid w:val="000F2CE7"/>
    <w:rsid w:val="000F2D5C"/>
    <w:rsid w:val="000F3408"/>
    <w:rsid w:val="000F367A"/>
    <w:rsid w:val="000F36F6"/>
    <w:rsid w:val="000F37ED"/>
    <w:rsid w:val="000F3837"/>
    <w:rsid w:val="000F38C5"/>
    <w:rsid w:val="000F396E"/>
    <w:rsid w:val="000F3C4E"/>
    <w:rsid w:val="000F3EBD"/>
    <w:rsid w:val="000F3F5D"/>
    <w:rsid w:val="000F40A8"/>
    <w:rsid w:val="000F40C5"/>
    <w:rsid w:val="000F41CE"/>
    <w:rsid w:val="000F4375"/>
    <w:rsid w:val="000F44BA"/>
    <w:rsid w:val="000F451B"/>
    <w:rsid w:val="000F468F"/>
    <w:rsid w:val="000F48E8"/>
    <w:rsid w:val="000F496A"/>
    <w:rsid w:val="000F4A87"/>
    <w:rsid w:val="000F4C43"/>
    <w:rsid w:val="000F4EB1"/>
    <w:rsid w:val="000F4F6E"/>
    <w:rsid w:val="000F4FE3"/>
    <w:rsid w:val="000F4FF6"/>
    <w:rsid w:val="000F4FF9"/>
    <w:rsid w:val="000F5177"/>
    <w:rsid w:val="000F5742"/>
    <w:rsid w:val="000F5AEC"/>
    <w:rsid w:val="000F5BBB"/>
    <w:rsid w:val="000F5E5C"/>
    <w:rsid w:val="000F5F42"/>
    <w:rsid w:val="000F5F98"/>
    <w:rsid w:val="000F60D1"/>
    <w:rsid w:val="000F6202"/>
    <w:rsid w:val="000F6382"/>
    <w:rsid w:val="000F6497"/>
    <w:rsid w:val="000F6543"/>
    <w:rsid w:val="000F659A"/>
    <w:rsid w:val="000F660B"/>
    <w:rsid w:val="000F67B8"/>
    <w:rsid w:val="000F6A9A"/>
    <w:rsid w:val="000F6AAB"/>
    <w:rsid w:val="000F6B5A"/>
    <w:rsid w:val="000F6BBB"/>
    <w:rsid w:val="000F6E2B"/>
    <w:rsid w:val="000F6ED7"/>
    <w:rsid w:val="000F6F15"/>
    <w:rsid w:val="000F7048"/>
    <w:rsid w:val="000F7090"/>
    <w:rsid w:val="000F7406"/>
    <w:rsid w:val="000F7724"/>
    <w:rsid w:val="000F77A2"/>
    <w:rsid w:val="000F7955"/>
    <w:rsid w:val="000F796F"/>
    <w:rsid w:val="000F7E13"/>
    <w:rsid w:val="0010001D"/>
    <w:rsid w:val="00100021"/>
    <w:rsid w:val="0010002F"/>
    <w:rsid w:val="00100522"/>
    <w:rsid w:val="00100666"/>
    <w:rsid w:val="00100682"/>
    <w:rsid w:val="00100B88"/>
    <w:rsid w:val="00100D46"/>
    <w:rsid w:val="00100EDD"/>
    <w:rsid w:val="00100F2A"/>
    <w:rsid w:val="00100F69"/>
    <w:rsid w:val="001010EA"/>
    <w:rsid w:val="001012A9"/>
    <w:rsid w:val="0010132B"/>
    <w:rsid w:val="00101331"/>
    <w:rsid w:val="001015E1"/>
    <w:rsid w:val="0010161E"/>
    <w:rsid w:val="00101892"/>
    <w:rsid w:val="00101B01"/>
    <w:rsid w:val="00101C78"/>
    <w:rsid w:val="00101CF7"/>
    <w:rsid w:val="00101D88"/>
    <w:rsid w:val="00101DB3"/>
    <w:rsid w:val="00101E83"/>
    <w:rsid w:val="00101F5E"/>
    <w:rsid w:val="001020CF"/>
    <w:rsid w:val="00102172"/>
    <w:rsid w:val="00102261"/>
    <w:rsid w:val="001024A4"/>
    <w:rsid w:val="001024E8"/>
    <w:rsid w:val="001026C4"/>
    <w:rsid w:val="00102A77"/>
    <w:rsid w:val="00102B7E"/>
    <w:rsid w:val="00102C0A"/>
    <w:rsid w:val="00103001"/>
    <w:rsid w:val="00103004"/>
    <w:rsid w:val="00103025"/>
    <w:rsid w:val="001031D3"/>
    <w:rsid w:val="00103305"/>
    <w:rsid w:val="00103442"/>
    <w:rsid w:val="001034D0"/>
    <w:rsid w:val="00103507"/>
    <w:rsid w:val="001036AF"/>
    <w:rsid w:val="00103775"/>
    <w:rsid w:val="001039D1"/>
    <w:rsid w:val="00103A7E"/>
    <w:rsid w:val="00103AFF"/>
    <w:rsid w:val="00103BBC"/>
    <w:rsid w:val="00103C78"/>
    <w:rsid w:val="0010400A"/>
    <w:rsid w:val="0010410C"/>
    <w:rsid w:val="0010413F"/>
    <w:rsid w:val="001041FD"/>
    <w:rsid w:val="0010430F"/>
    <w:rsid w:val="00104B34"/>
    <w:rsid w:val="00104E51"/>
    <w:rsid w:val="00104FA5"/>
    <w:rsid w:val="00105032"/>
    <w:rsid w:val="0010515A"/>
    <w:rsid w:val="001051A1"/>
    <w:rsid w:val="001051E2"/>
    <w:rsid w:val="001051F3"/>
    <w:rsid w:val="001054B7"/>
    <w:rsid w:val="001059A4"/>
    <w:rsid w:val="00105AD9"/>
    <w:rsid w:val="00105B66"/>
    <w:rsid w:val="00105FA1"/>
    <w:rsid w:val="00106029"/>
    <w:rsid w:val="00106272"/>
    <w:rsid w:val="00106286"/>
    <w:rsid w:val="00106496"/>
    <w:rsid w:val="0010651F"/>
    <w:rsid w:val="00106567"/>
    <w:rsid w:val="001066AB"/>
    <w:rsid w:val="001066E6"/>
    <w:rsid w:val="001066FC"/>
    <w:rsid w:val="00106727"/>
    <w:rsid w:val="00106B2B"/>
    <w:rsid w:val="00106B95"/>
    <w:rsid w:val="00106BB3"/>
    <w:rsid w:val="00106BE0"/>
    <w:rsid w:val="00106D3C"/>
    <w:rsid w:val="00106D89"/>
    <w:rsid w:val="00106DE5"/>
    <w:rsid w:val="00106F9B"/>
    <w:rsid w:val="00107409"/>
    <w:rsid w:val="00107759"/>
    <w:rsid w:val="00107947"/>
    <w:rsid w:val="00107A0D"/>
    <w:rsid w:val="00107BDF"/>
    <w:rsid w:val="00107CBF"/>
    <w:rsid w:val="00107CFB"/>
    <w:rsid w:val="00107D56"/>
    <w:rsid w:val="00107D9A"/>
    <w:rsid w:val="00107DF2"/>
    <w:rsid w:val="00107F1B"/>
    <w:rsid w:val="00110335"/>
    <w:rsid w:val="001103CD"/>
    <w:rsid w:val="0011041C"/>
    <w:rsid w:val="00110481"/>
    <w:rsid w:val="00110805"/>
    <w:rsid w:val="00110A18"/>
    <w:rsid w:val="00110B03"/>
    <w:rsid w:val="00110C4A"/>
    <w:rsid w:val="00110DA6"/>
    <w:rsid w:val="00110F61"/>
    <w:rsid w:val="001112D7"/>
    <w:rsid w:val="00111530"/>
    <w:rsid w:val="0011160E"/>
    <w:rsid w:val="0011175C"/>
    <w:rsid w:val="0011194E"/>
    <w:rsid w:val="001119B5"/>
    <w:rsid w:val="00111D56"/>
    <w:rsid w:val="00111D6D"/>
    <w:rsid w:val="00111DD9"/>
    <w:rsid w:val="0011204F"/>
    <w:rsid w:val="001121FF"/>
    <w:rsid w:val="0011221D"/>
    <w:rsid w:val="001123AC"/>
    <w:rsid w:val="00112609"/>
    <w:rsid w:val="00112812"/>
    <w:rsid w:val="0011281C"/>
    <w:rsid w:val="00112A53"/>
    <w:rsid w:val="00112EDF"/>
    <w:rsid w:val="00112F22"/>
    <w:rsid w:val="00113009"/>
    <w:rsid w:val="0011316A"/>
    <w:rsid w:val="0011343E"/>
    <w:rsid w:val="00113454"/>
    <w:rsid w:val="00113743"/>
    <w:rsid w:val="00113828"/>
    <w:rsid w:val="001139EE"/>
    <w:rsid w:val="00113B3D"/>
    <w:rsid w:val="00113C9C"/>
    <w:rsid w:val="00113EBF"/>
    <w:rsid w:val="001140F3"/>
    <w:rsid w:val="001142C9"/>
    <w:rsid w:val="001143A0"/>
    <w:rsid w:val="0011457E"/>
    <w:rsid w:val="0011469A"/>
    <w:rsid w:val="001147FC"/>
    <w:rsid w:val="00114B62"/>
    <w:rsid w:val="00114C2C"/>
    <w:rsid w:val="00114DEB"/>
    <w:rsid w:val="00114E0D"/>
    <w:rsid w:val="001150EB"/>
    <w:rsid w:val="001152C2"/>
    <w:rsid w:val="001158CE"/>
    <w:rsid w:val="00115980"/>
    <w:rsid w:val="00115A80"/>
    <w:rsid w:val="00115ADB"/>
    <w:rsid w:val="00115E2D"/>
    <w:rsid w:val="00115E9C"/>
    <w:rsid w:val="00116107"/>
    <w:rsid w:val="00116160"/>
    <w:rsid w:val="001164B8"/>
    <w:rsid w:val="001169C6"/>
    <w:rsid w:val="001169E4"/>
    <w:rsid w:val="00116F2D"/>
    <w:rsid w:val="00116FEF"/>
    <w:rsid w:val="001170B1"/>
    <w:rsid w:val="001172FC"/>
    <w:rsid w:val="001175B2"/>
    <w:rsid w:val="001175B3"/>
    <w:rsid w:val="00117613"/>
    <w:rsid w:val="00117631"/>
    <w:rsid w:val="00117636"/>
    <w:rsid w:val="001176BD"/>
    <w:rsid w:val="00117A23"/>
    <w:rsid w:val="00117AB4"/>
    <w:rsid w:val="00117C5F"/>
    <w:rsid w:val="00117ECE"/>
    <w:rsid w:val="00117FC3"/>
    <w:rsid w:val="0012039D"/>
    <w:rsid w:val="001203C0"/>
    <w:rsid w:val="00120738"/>
    <w:rsid w:val="00120756"/>
    <w:rsid w:val="001207FE"/>
    <w:rsid w:val="00120A4B"/>
    <w:rsid w:val="00120A75"/>
    <w:rsid w:val="00120B2F"/>
    <w:rsid w:val="00120C32"/>
    <w:rsid w:val="00120DA8"/>
    <w:rsid w:val="00120DD3"/>
    <w:rsid w:val="00120F39"/>
    <w:rsid w:val="0012100F"/>
    <w:rsid w:val="0012111E"/>
    <w:rsid w:val="0012121F"/>
    <w:rsid w:val="001213DA"/>
    <w:rsid w:val="001214E0"/>
    <w:rsid w:val="00121AED"/>
    <w:rsid w:val="00121B76"/>
    <w:rsid w:val="00121CE5"/>
    <w:rsid w:val="00121E4C"/>
    <w:rsid w:val="00121F21"/>
    <w:rsid w:val="00122036"/>
    <w:rsid w:val="001222A5"/>
    <w:rsid w:val="00122499"/>
    <w:rsid w:val="001225BA"/>
    <w:rsid w:val="001227C0"/>
    <w:rsid w:val="001227D4"/>
    <w:rsid w:val="00122D4F"/>
    <w:rsid w:val="00122D70"/>
    <w:rsid w:val="00122F8F"/>
    <w:rsid w:val="00123069"/>
    <w:rsid w:val="00123306"/>
    <w:rsid w:val="00123591"/>
    <w:rsid w:val="00123B4C"/>
    <w:rsid w:val="00123E34"/>
    <w:rsid w:val="00123EFD"/>
    <w:rsid w:val="00123F03"/>
    <w:rsid w:val="00123F38"/>
    <w:rsid w:val="00123FE3"/>
    <w:rsid w:val="001242E2"/>
    <w:rsid w:val="00124683"/>
    <w:rsid w:val="0012478E"/>
    <w:rsid w:val="00124898"/>
    <w:rsid w:val="001248E4"/>
    <w:rsid w:val="00124AF6"/>
    <w:rsid w:val="00124C58"/>
    <w:rsid w:val="00124DD0"/>
    <w:rsid w:val="00125400"/>
    <w:rsid w:val="001254B0"/>
    <w:rsid w:val="001256EC"/>
    <w:rsid w:val="0012583F"/>
    <w:rsid w:val="0012593E"/>
    <w:rsid w:val="00125954"/>
    <w:rsid w:val="00125B0A"/>
    <w:rsid w:val="00125B58"/>
    <w:rsid w:val="00125C14"/>
    <w:rsid w:val="00125C4E"/>
    <w:rsid w:val="00125F37"/>
    <w:rsid w:val="00126050"/>
    <w:rsid w:val="001260F0"/>
    <w:rsid w:val="001261D3"/>
    <w:rsid w:val="00126364"/>
    <w:rsid w:val="001263E7"/>
    <w:rsid w:val="001264FB"/>
    <w:rsid w:val="001265A9"/>
    <w:rsid w:val="00126804"/>
    <w:rsid w:val="001268B6"/>
    <w:rsid w:val="001268CA"/>
    <w:rsid w:val="001268F2"/>
    <w:rsid w:val="00126A25"/>
    <w:rsid w:val="00126B05"/>
    <w:rsid w:val="00126C40"/>
    <w:rsid w:val="00126C53"/>
    <w:rsid w:val="00126C6A"/>
    <w:rsid w:val="00126D18"/>
    <w:rsid w:val="00126E14"/>
    <w:rsid w:val="00126EF3"/>
    <w:rsid w:val="00126F55"/>
    <w:rsid w:val="00126FBF"/>
    <w:rsid w:val="001271DB"/>
    <w:rsid w:val="0012724B"/>
    <w:rsid w:val="00127285"/>
    <w:rsid w:val="0012734E"/>
    <w:rsid w:val="00127566"/>
    <w:rsid w:val="00127886"/>
    <w:rsid w:val="001278AB"/>
    <w:rsid w:val="00127CB1"/>
    <w:rsid w:val="00127CD8"/>
    <w:rsid w:val="00127D10"/>
    <w:rsid w:val="00127FB4"/>
    <w:rsid w:val="001300AA"/>
    <w:rsid w:val="00130238"/>
    <w:rsid w:val="00130292"/>
    <w:rsid w:val="001302CF"/>
    <w:rsid w:val="001303D0"/>
    <w:rsid w:val="001303DD"/>
    <w:rsid w:val="00130422"/>
    <w:rsid w:val="00130532"/>
    <w:rsid w:val="00130716"/>
    <w:rsid w:val="001307C2"/>
    <w:rsid w:val="001307D2"/>
    <w:rsid w:val="001308E0"/>
    <w:rsid w:val="001309F9"/>
    <w:rsid w:val="00130A8E"/>
    <w:rsid w:val="00130AB3"/>
    <w:rsid w:val="00130DC4"/>
    <w:rsid w:val="00130EED"/>
    <w:rsid w:val="00130FD9"/>
    <w:rsid w:val="00131127"/>
    <w:rsid w:val="00131756"/>
    <w:rsid w:val="00131832"/>
    <w:rsid w:val="00131A11"/>
    <w:rsid w:val="00131BB9"/>
    <w:rsid w:val="00131E74"/>
    <w:rsid w:val="00131EFD"/>
    <w:rsid w:val="001320DF"/>
    <w:rsid w:val="001321E7"/>
    <w:rsid w:val="001322FB"/>
    <w:rsid w:val="001325B4"/>
    <w:rsid w:val="00132674"/>
    <w:rsid w:val="00132698"/>
    <w:rsid w:val="001326BF"/>
    <w:rsid w:val="00132747"/>
    <w:rsid w:val="00132CE2"/>
    <w:rsid w:val="00132D95"/>
    <w:rsid w:val="00132DBD"/>
    <w:rsid w:val="00132F34"/>
    <w:rsid w:val="00132F67"/>
    <w:rsid w:val="00133439"/>
    <w:rsid w:val="00133761"/>
    <w:rsid w:val="001337C7"/>
    <w:rsid w:val="001339FF"/>
    <w:rsid w:val="00133BEC"/>
    <w:rsid w:val="00133D86"/>
    <w:rsid w:val="00133D87"/>
    <w:rsid w:val="00133E82"/>
    <w:rsid w:val="001344A3"/>
    <w:rsid w:val="001344E4"/>
    <w:rsid w:val="001345F2"/>
    <w:rsid w:val="0013467A"/>
    <w:rsid w:val="0013468A"/>
    <w:rsid w:val="00134739"/>
    <w:rsid w:val="0013474F"/>
    <w:rsid w:val="001347EF"/>
    <w:rsid w:val="00134869"/>
    <w:rsid w:val="00134939"/>
    <w:rsid w:val="00134B43"/>
    <w:rsid w:val="00134D5C"/>
    <w:rsid w:val="00134F16"/>
    <w:rsid w:val="0013502F"/>
    <w:rsid w:val="00135250"/>
    <w:rsid w:val="001355FF"/>
    <w:rsid w:val="00135B00"/>
    <w:rsid w:val="00135D78"/>
    <w:rsid w:val="00135FD9"/>
    <w:rsid w:val="0013602C"/>
    <w:rsid w:val="00136174"/>
    <w:rsid w:val="00136255"/>
    <w:rsid w:val="00136368"/>
    <w:rsid w:val="00136374"/>
    <w:rsid w:val="0013644F"/>
    <w:rsid w:val="00136755"/>
    <w:rsid w:val="001367D7"/>
    <w:rsid w:val="001368DA"/>
    <w:rsid w:val="00136AE3"/>
    <w:rsid w:val="00136BC2"/>
    <w:rsid w:val="00136DA0"/>
    <w:rsid w:val="00136E27"/>
    <w:rsid w:val="00136EFE"/>
    <w:rsid w:val="0013705D"/>
    <w:rsid w:val="0013736B"/>
    <w:rsid w:val="0013747F"/>
    <w:rsid w:val="0013748C"/>
    <w:rsid w:val="001374BF"/>
    <w:rsid w:val="001374FD"/>
    <w:rsid w:val="00137552"/>
    <w:rsid w:val="00137B60"/>
    <w:rsid w:val="00137C99"/>
    <w:rsid w:val="00137D5E"/>
    <w:rsid w:val="0014008A"/>
    <w:rsid w:val="001403D1"/>
    <w:rsid w:val="00140472"/>
    <w:rsid w:val="00140745"/>
    <w:rsid w:val="001408F6"/>
    <w:rsid w:val="00140A2B"/>
    <w:rsid w:val="00140A3D"/>
    <w:rsid w:val="00140A46"/>
    <w:rsid w:val="00140EBB"/>
    <w:rsid w:val="00140ED8"/>
    <w:rsid w:val="00140F20"/>
    <w:rsid w:val="0014101A"/>
    <w:rsid w:val="0014103E"/>
    <w:rsid w:val="001411A1"/>
    <w:rsid w:val="001411BF"/>
    <w:rsid w:val="001411F0"/>
    <w:rsid w:val="00141286"/>
    <w:rsid w:val="00141317"/>
    <w:rsid w:val="00141949"/>
    <w:rsid w:val="00141B68"/>
    <w:rsid w:val="00141CAF"/>
    <w:rsid w:val="00141CF4"/>
    <w:rsid w:val="00141E61"/>
    <w:rsid w:val="00141F1C"/>
    <w:rsid w:val="00141F30"/>
    <w:rsid w:val="00141F51"/>
    <w:rsid w:val="00142045"/>
    <w:rsid w:val="00142130"/>
    <w:rsid w:val="00142234"/>
    <w:rsid w:val="00142421"/>
    <w:rsid w:val="001424D4"/>
    <w:rsid w:val="001424EB"/>
    <w:rsid w:val="001425B0"/>
    <w:rsid w:val="001427AF"/>
    <w:rsid w:val="00142817"/>
    <w:rsid w:val="001428F8"/>
    <w:rsid w:val="00142A10"/>
    <w:rsid w:val="00142D82"/>
    <w:rsid w:val="00142DB3"/>
    <w:rsid w:val="00143523"/>
    <w:rsid w:val="00143660"/>
    <w:rsid w:val="00143717"/>
    <w:rsid w:val="001438E1"/>
    <w:rsid w:val="00143924"/>
    <w:rsid w:val="001439C2"/>
    <w:rsid w:val="00143EB3"/>
    <w:rsid w:val="00143EEE"/>
    <w:rsid w:val="00144104"/>
    <w:rsid w:val="0014433D"/>
    <w:rsid w:val="0014438A"/>
    <w:rsid w:val="001443CF"/>
    <w:rsid w:val="001443D0"/>
    <w:rsid w:val="001444EA"/>
    <w:rsid w:val="00144546"/>
    <w:rsid w:val="00144623"/>
    <w:rsid w:val="001448BB"/>
    <w:rsid w:val="0014492B"/>
    <w:rsid w:val="00144B1C"/>
    <w:rsid w:val="00144BDD"/>
    <w:rsid w:val="00144BE8"/>
    <w:rsid w:val="00144C59"/>
    <w:rsid w:val="00144CD6"/>
    <w:rsid w:val="00144EB1"/>
    <w:rsid w:val="00144EDE"/>
    <w:rsid w:val="00145351"/>
    <w:rsid w:val="001453CD"/>
    <w:rsid w:val="001453D2"/>
    <w:rsid w:val="001455E7"/>
    <w:rsid w:val="0014577D"/>
    <w:rsid w:val="0014597A"/>
    <w:rsid w:val="00145ACB"/>
    <w:rsid w:val="00145C21"/>
    <w:rsid w:val="00145ECF"/>
    <w:rsid w:val="00146125"/>
    <w:rsid w:val="00146177"/>
    <w:rsid w:val="0014631D"/>
    <w:rsid w:val="001463A6"/>
    <w:rsid w:val="00146498"/>
    <w:rsid w:val="0014670B"/>
    <w:rsid w:val="00146748"/>
    <w:rsid w:val="001467BF"/>
    <w:rsid w:val="00146952"/>
    <w:rsid w:val="00146989"/>
    <w:rsid w:val="00146BD6"/>
    <w:rsid w:val="00146C64"/>
    <w:rsid w:val="00146CB8"/>
    <w:rsid w:val="00146D48"/>
    <w:rsid w:val="00146D50"/>
    <w:rsid w:val="0014701E"/>
    <w:rsid w:val="00147115"/>
    <w:rsid w:val="0014787E"/>
    <w:rsid w:val="001478B7"/>
    <w:rsid w:val="00147BB7"/>
    <w:rsid w:val="00147D51"/>
    <w:rsid w:val="00147DC9"/>
    <w:rsid w:val="00147EFB"/>
    <w:rsid w:val="001501B5"/>
    <w:rsid w:val="0015053A"/>
    <w:rsid w:val="00150592"/>
    <w:rsid w:val="001507F0"/>
    <w:rsid w:val="001509C5"/>
    <w:rsid w:val="00150AED"/>
    <w:rsid w:val="00150BF6"/>
    <w:rsid w:val="00150C16"/>
    <w:rsid w:val="00150D61"/>
    <w:rsid w:val="00150DD6"/>
    <w:rsid w:val="00150F47"/>
    <w:rsid w:val="00151045"/>
    <w:rsid w:val="0015153A"/>
    <w:rsid w:val="0015185A"/>
    <w:rsid w:val="00151B53"/>
    <w:rsid w:val="00151C56"/>
    <w:rsid w:val="00151E6C"/>
    <w:rsid w:val="00151FBE"/>
    <w:rsid w:val="00152136"/>
    <w:rsid w:val="00152280"/>
    <w:rsid w:val="00152433"/>
    <w:rsid w:val="00152751"/>
    <w:rsid w:val="00152BBC"/>
    <w:rsid w:val="00152CC1"/>
    <w:rsid w:val="00152CC4"/>
    <w:rsid w:val="00152EA3"/>
    <w:rsid w:val="00152F4A"/>
    <w:rsid w:val="00153250"/>
    <w:rsid w:val="001532A9"/>
    <w:rsid w:val="0015347F"/>
    <w:rsid w:val="00153B78"/>
    <w:rsid w:val="00153B97"/>
    <w:rsid w:val="00153CA0"/>
    <w:rsid w:val="00153D26"/>
    <w:rsid w:val="00153EF0"/>
    <w:rsid w:val="00153FC3"/>
    <w:rsid w:val="00153FEA"/>
    <w:rsid w:val="00154665"/>
    <w:rsid w:val="001548FD"/>
    <w:rsid w:val="00154968"/>
    <w:rsid w:val="00154D41"/>
    <w:rsid w:val="00154DCE"/>
    <w:rsid w:val="00154E5F"/>
    <w:rsid w:val="00155027"/>
    <w:rsid w:val="00155108"/>
    <w:rsid w:val="001551DD"/>
    <w:rsid w:val="00155249"/>
    <w:rsid w:val="00155421"/>
    <w:rsid w:val="00155649"/>
    <w:rsid w:val="001557F8"/>
    <w:rsid w:val="00155930"/>
    <w:rsid w:val="001559A6"/>
    <w:rsid w:val="001559D3"/>
    <w:rsid w:val="00155B3D"/>
    <w:rsid w:val="00155BBD"/>
    <w:rsid w:val="00155CD2"/>
    <w:rsid w:val="00155DC2"/>
    <w:rsid w:val="0015610F"/>
    <w:rsid w:val="001562FC"/>
    <w:rsid w:val="001565F0"/>
    <w:rsid w:val="001566FB"/>
    <w:rsid w:val="0015688E"/>
    <w:rsid w:val="0015689D"/>
    <w:rsid w:val="001569ED"/>
    <w:rsid w:val="00156A61"/>
    <w:rsid w:val="00156BD5"/>
    <w:rsid w:val="00156C8D"/>
    <w:rsid w:val="00156D13"/>
    <w:rsid w:val="00156D8C"/>
    <w:rsid w:val="00156DB3"/>
    <w:rsid w:val="00156F5A"/>
    <w:rsid w:val="00157387"/>
    <w:rsid w:val="00157446"/>
    <w:rsid w:val="00157493"/>
    <w:rsid w:val="001575C6"/>
    <w:rsid w:val="001576DE"/>
    <w:rsid w:val="001577F2"/>
    <w:rsid w:val="001577F8"/>
    <w:rsid w:val="00157A06"/>
    <w:rsid w:val="00157A23"/>
    <w:rsid w:val="00157B64"/>
    <w:rsid w:val="00157D68"/>
    <w:rsid w:val="00157E5F"/>
    <w:rsid w:val="0016056C"/>
    <w:rsid w:val="00160585"/>
    <w:rsid w:val="0016068E"/>
    <w:rsid w:val="001607AA"/>
    <w:rsid w:val="0016088E"/>
    <w:rsid w:val="001609D7"/>
    <w:rsid w:val="001609E2"/>
    <w:rsid w:val="001609FB"/>
    <w:rsid w:val="00160A69"/>
    <w:rsid w:val="00160A7D"/>
    <w:rsid w:val="00160CD3"/>
    <w:rsid w:val="00160D55"/>
    <w:rsid w:val="00160D74"/>
    <w:rsid w:val="00160DF5"/>
    <w:rsid w:val="00160FF9"/>
    <w:rsid w:val="0016119C"/>
    <w:rsid w:val="0016142B"/>
    <w:rsid w:val="00161601"/>
    <w:rsid w:val="0016162B"/>
    <w:rsid w:val="00161840"/>
    <w:rsid w:val="00161A06"/>
    <w:rsid w:val="00161B64"/>
    <w:rsid w:val="00161C2E"/>
    <w:rsid w:val="00161CF4"/>
    <w:rsid w:val="00161DAC"/>
    <w:rsid w:val="0016200A"/>
    <w:rsid w:val="001621FE"/>
    <w:rsid w:val="001622B2"/>
    <w:rsid w:val="00162485"/>
    <w:rsid w:val="00162659"/>
    <w:rsid w:val="00162695"/>
    <w:rsid w:val="001626B3"/>
    <w:rsid w:val="00162833"/>
    <w:rsid w:val="00162A2F"/>
    <w:rsid w:val="00162B94"/>
    <w:rsid w:val="00162D6E"/>
    <w:rsid w:val="00162DDB"/>
    <w:rsid w:val="00162E76"/>
    <w:rsid w:val="00162F12"/>
    <w:rsid w:val="00163083"/>
    <w:rsid w:val="001632A9"/>
    <w:rsid w:val="001632D7"/>
    <w:rsid w:val="00163434"/>
    <w:rsid w:val="001634CA"/>
    <w:rsid w:val="00163542"/>
    <w:rsid w:val="0016369E"/>
    <w:rsid w:val="001638B5"/>
    <w:rsid w:val="00163ADC"/>
    <w:rsid w:val="00163B4F"/>
    <w:rsid w:val="00163CCB"/>
    <w:rsid w:val="00163FDB"/>
    <w:rsid w:val="001641FC"/>
    <w:rsid w:val="00164298"/>
    <w:rsid w:val="00164521"/>
    <w:rsid w:val="0016465B"/>
    <w:rsid w:val="00164BC3"/>
    <w:rsid w:val="00164BD9"/>
    <w:rsid w:val="00164BDE"/>
    <w:rsid w:val="00164EDC"/>
    <w:rsid w:val="0016500D"/>
    <w:rsid w:val="0016507D"/>
    <w:rsid w:val="0016523F"/>
    <w:rsid w:val="0016525F"/>
    <w:rsid w:val="001652F4"/>
    <w:rsid w:val="001654B5"/>
    <w:rsid w:val="00165777"/>
    <w:rsid w:val="00165846"/>
    <w:rsid w:val="00165927"/>
    <w:rsid w:val="001659EF"/>
    <w:rsid w:val="00165A8E"/>
    <w:rsid w:val="00165AE8"/>
    <w:rsid w:val="00165C1D"/>
    <w:rsid w:val="00165CA5"/>
    <w:rsid w:val="00165EB8"/>
    <w:rsid w:val="001660E4"/>
    <w:rsid w:val="001660E6"/>
    <w:rsid w:val="00166271"/>
    <w:rsid w:val="0016639C"/>
    <w:rsid w:val="001663A1"/>
    <w:rsid w:val="00166574"/>
    <w:rsid w:val="00166892"/>
    <w:rsid w:val="00166923"/>
    <w:rsid w:val="00166995"/>
    <w:rsid w:val="00166A43"/>
    <w:rsid w:val="00166B52"/>
    <w:rsid w:val="00166B55"/>
    <w:rsid w:val="00166B5B"/>
    <w:rsid w:val="00166BAE"/>
    <w:rsid w:val="00166BF8"/>
    <w:rsid w:val="00167081"/>
    <w:rsid w:val="00167105"/>
    <w:rsid w:val="00167108"/>
    <w:rsid w:val="00167167"/>
    <w:rsid w:val="0016718C"/>
    <w:rsid w:val="0016729A"/>
    <w:rsid w:val="001672F2"/>
    <w:rsid w:val="0016744F"/>
    <w:rsid w:val="00167625"/>
    <w:rsid w:val="001677ED"/>
    <w:rsid w:val="0016786D"/>
    <w:rsid w:val="001678A5"/>
    <w:rsid w:val="001679AA"/>
    <w:rsid w:val="00167B16"/>
    <w:rsid w:val="00167DBC"/>
    <w:rsid w:val="00167EEA"/>
    <w:rsid w:val="00170135"/>
    <w:rsid w:val="00170543"/>
    <w:rsid w:val="001705AA"/>
    <w:rsid w:val="00170866"/>
    <w:rsid w:val="00170DAE"/>
    <w:rsid w:val="00170E21"/>
    <w:rsid w:val="00170E91"/>
    <w:rsid w:val="001710F6"/>
    <w:rsid w:val="001711BE"/>
    <w:rsid w:val="001713A0"/>
    <w:rsid w:val="001713C7"/>
    <w:rsid w:val="0017159F"/>
    <w:rsid w:val="00171615"/>
    <w:rsid w:val="0017161D"/>
    <w:rsid w:val="00171918"/>
    <w:rsid w:val="00171A85"/>
    <w:rsid w:val="00171CE4"/>
    <w:rsid w:val="00171D53"/>
    <w:rsid w:val="00171DB7"/>
    <w:rsid w:val="00171E6B"/>
    <w:rsid w:val="00171F69"/>
    <w:rsid w:val="00172304"/>
    <w:rsid w:val="00172314"/>
    <w:rsid w:val="00172431"/>
    <w:rsid w:val="00172676"/>
    <w:rsid w:val="001726C6"/>
    <w:rsid w:val="0017291A"/>
    <w:rsid w:val="00172AD7"/>
    <w:rsid w:val="00172D28"/>
    <w:rsid w:val="00172D4E"/>
    <w:rsid w:val="00172FB0"/>
    <w:rsid w:val="00173084"/>
    <w:rsid w:val="001730E1"/>
    <w:rsid w:val="001734E8"/>
    <w:rsid w:val="00173698"/>
    <w:rsid w:val="00173740"/>
    <w:rsid w:val="00173788"/>
    <w:rsid w:val="00173A97"/>
    <w:rsid w:val="00173B0A"/>
    <w:rsid w:val="00173D1C"/>
    <w:rsid w:val="00173DC3"/>
    <w:rsid w:val="00173F67"/>
    <w:rsid w:val="00173FB9"/>
    <w:rsid w:val="00174004"/>
    <w:rsid w:val="001742B6"/>
    <w:rsid w:val="00174490"/>
    <w:rsid w:val="0017476E"/>
    <w:rsid w:val="00174EFD"/>
    <w:rsid w:val="0017527F"/>
    <w:rsid w:val="001753A3"/>
    <w:rsid w:val="00175519"/>
    <w:rsid w:val="00175560"/>
    <w:rsid w:val="001756B2"/>
    <w:rsid w:val="00175801"/>
    <w:rsid w:val="001758C1"/>
    <w:rsid w:val="00175A6C"/>
    <w:rsid w:val="00175C27"/>
    <w:rsid w:val="00175CB4"/>
    <w:rsid w:val="00176169"/>
    <w:rsid w:val="001762A3"/>
    <w:rsid w:val="0017636F"/>
    <w:rsid w:val="00176591"/>
    <w:rsid w:val="001767AD"/>
    <w:rsid w:val="0017686B"/>
    <w:rsid w:val="001768A4"/>
    <w:rsid w:val="001769DE"/>
    <w:rsid w:val="00176A64"/>
    <w:rsid w:val="00176A80"/>
    <w:rsid w:val="00176B29"/>
    <w:rsid w:val="00176B6B"/>
    <w:rsid w:val="00176C78"/>
    <w:rsid w:val="00176CEA"/>
    <w:rsid w:val="00176FDB"/>
    <w:rsid w:val="0017718E"/>
    <w:rsid w:val="0017744B"/>
    <w:rsid w:val="001775CB"/>
    <w:rsid w:val="00177AD2"/>
    <w:rsid w:val="00177B49"/>
    <w:rsid w:val="00177CF0"/>
    <w:rsid w:val="00177DFD"/>
    <w:rsid w:val="00177E31"/>
    <w:rsid w:val="00177ED9"/>
    <w:rsid w:val="00177FAB"/>
    <w:rsid w:val="001801BF"/>
    <w:rsid w:val="001805B2"/>
    <w:rsid w:val="00180C0E"/>
    <w:rsid w:val="00180C90"/>
    <w:rsid w:val="00180D1F"/>
    <w:rsid w:val="00180E10"/>
    <w:rsid w:val="00180E2C"/>
    <w:rsid w:val="00180E3C"/>
    <w:rsid w:val="00180FD2"/>
    <w:rsid w:val="001811FD"/>
    <w:rsid w:val="00181325"/>
    <w:rsid w:val="00181346"/>
    <w:rsid w:val="0018148B"/>
    <w:rsid w:val="00181856"/>
    <w:rsid w:val="00181BA9"/>
    <w:rsid w:val="00181D6E"/>
    <w:rsid w:val="00181D9E"/>
    <w:rsid w:val="00181E32"/>
    <w:rsid w:val="00181E4E"/>
    <w:rsid w:val="00181E53"/>
    <w:rsid w:val="00182137"/>
    <w:rsid w:val="001823C9"/>
    <w:rsid w:val="001823FB"/>
    <w:rsid w:val="00182421"/>
    <w:rsid w:val="0018286A"/>
    <w:rsid w:val="00182A9F"/>
    <w:rsid w:val="00182EB2"/>
    <w:rsid w:val="00182F78"/>
    <w:rsid w:val="001831B7"/>
    <w:rsid w:val="001831CD"/>
    <w:rsid w:val="00183400"/>
    <w:rsid w:val="0018359F"/>
    <w:rsid w:val="001837AD"/>
    <w:rsid w:val="001838A7"/>
    <w:rsid w:val="00183B14"/>
    <w:rsid w:val="00183BF0"/>
    <w:rsid w:val="00183CBC"/>
    <w:rsid w:val="00183ED1"/>
    <w:rsid w:val="00184180"/>
    <w:rsid w:val="00184260"/>
    <w:rsid w:val="001842A6"/>
    <w:rsid w:val="0018438E"/>
    <w:rsid w:val="001845BC"/>
    <w:rsid w:val="001846A9"/>
    <w:rsid w:val="001846BB"/>
    <w:rsid w:val="0018479C"/>
    <w:rsid w:val="00184842"/>
    <w:rsid w:val="00184866"/>
    <w:rsid w:val="0018491A"/>
    <w:rsid w:val="001849A3"/>
    <w:rsid w:val="00184A58"/>
    <w:rsid w:val="00184ADB"/>
    <w:rsid w:val="00184AE7"/>
    <w:rsid w:val="00184F53"/>
    <w:rsid w:val="00185059"/>
    <w:rsid w:val="001850FB"/>
    <w:rsid w:val="00185111"/>
    <w:rsid w:val="00185299"/>
    <w:rsid w:val="001856BE"/>
    <w:rsid w:val="00185768"/>
    <w:rsid w:val="00185888"/>
    <w:rsid w:val="001859D5"/>
    <w:rsid w:val="00185A63"/>
    <w:rsid w:val="00185B5E"/>
    <w:rsid w:val="00185C72"/>
    <w:rsid w:val="00185FAD"/>
    <w:rsid w:val="00186007"/>
    <w:rsid w:val="0018609C"/>
    <w:rsid w:val="001860F6"/>
    <w:rsid w:val="00186284"/>
    <w:rsid w:val="00186448"/>
    <w:rsid w:val="0018648C"/>
    <w:rsid w:val="00186492"/>
    <w:rsid w:val="00186773"/>
    <w:rsid w:val="00186BDF"/>
    <w:rsid w:val="00186CD3"/>
    <w:rsid w:val="00186CF0"/>
    <w:rsid w:val="00186D8D"/>
    <w:rsid w:val="00186E4F"/>
    <w:rsid w:val="00186EF7"/>
    <w:rsid w:val="00186F5D"/>
    <w:rsid w:val="001874BB"/>
    <w:rsid w:val="001874E6"/>
    <w:rsid w:val="00187746"/>
    <w:rsid w:val="00187CC3"/>
    <w:rsid w:val="001900DE"/>
    <w:rsid w:val="001901C4"/>
    <w:rsid w:val="001901D6"/>
    <w:rsid w:val="00190317"/>
    <w:rsid w:val="00190376"/>
    <w:rsid w:val="001903DB"/>
    <w:rsid w:val="0019041A"/>
    <w:rsid w:val="001906CF"/>
    <w:rsid w:val="00190802"/>
    <w:rsid w:val="001909B9"/>
    <w:rsid w:val="00190A42"/>
    <w:rsid w:val="00190D11"/>
    <w:rsid w:val="00190E51"/>
    <w:rsid w:val="001910CC"/>
    <w:rsid w:val="00191394"/>
    <w:rsid w:val="0019159D"/>
    <w:rsid w:val="001915D3"/>
    <w:rsid w:val="0019169F"/>
    <w:rsid w:val="00191832"/>
    <w:rsid w:val="00191BD1"/>
    <w:rsid w:val="00191D65"/>
    <w:rsid w:val="00191DF5"/>
    <w:rsid w:val="00191F44"/>
    <w:rsid w:val="00192006"/>
    <w:rsid w:val="00192033"/>
    <w:rsid w:val="0019221E"/>
    <w:rsid w:val="00192249"/>
    <w:rsid w:val="00192250"/>
    <w:rsid w:val="001922F6"/>
    <w:rsid w:val="001924CD"/>
    <w:rsid w:val="0019255E"/>
    <w:rsid w:val="0019269B"/>
    <w:rsid w:val="001928BD"/>
    <w:rsid w:val="00192915"/>
    <w:rsid w:val="00192938"/>
    <w:rsid w:val="00192987"/>
    <w:rsid w:val="00192A3D"/>
    <w:rsid w:val="00192C69"/>
    <w:rsid w:val="0019308F"/>
    <w:rsid w:val="00193129"/>
    <w:rsid w:val="001932A2"/>
    <w:rsid w:val="001934B3"/>
    <w:rsid w:val="00193658"/>
    <w:rsid w:val="00193740"/>
    <w:rsid w:val="00193BC8"/>
    <w:rsid w:val="00193BFA"/>
    <w:rsid w:val="00193C85"/>
    <w:rsid w:val="00193CB2"/>
    <w:rsid w:val="00193D95"/>
    <w:rsid w:val="00193EA9"/>
    <w:rsid w:val="00193FDD"/>
    <w:rsid w:val="00194480"/>
    <w:rsid w:val="00194634"/>
    <w:rsid w:val="0019466D"/>
    <w:rsid w:val="001948F4"/>
    <w:rsid w:val="00194C3C"/>
    <w:rsid w:val="00194C72"/>
    <w:rsid w:val="00194FE6"/>
    <w:rsid w:val="00194FFB"/>
    <w:rsid w:val="001950D7"/>
    <w:rsid w:val="001951B4"/>
    <w:rsid w:val="00195564"/>
    <w:rsid w:val="001955AC"/>
    <w:rsid w:val="001957D5"/>
    <w:rsid w:val="001958E0"/>
    <w:rsid w:val="00195A0E"/>
    <w:rsid w:val="00195DA5"/>
    <w:rsid w:val="00195DD5"/>
    <w:rsid w:val="0019601C"/>
    <w:rsid w:val="0019636B"/>
    <w:rsid w:val="0019649D"/>
    <w:rsid w:val="001964BD"/>
    <w:rsid w:val="0019664B"/>
    <w:rsid w:val="00196788"/>
    <w:rsid w:val="001967AB"/>
    <w:rsid w:val="001968E7"/>
    <w:rsid w:val="0019699F"/>
    <w:rsid w:val="00196A3B"/>
    <w:rsid w:val="00196B28"/>
    <w:rsid w:val="00196DDC"/>
    <w:rsid w:val="00196F03"/>
    <w:rsid w:val="001970B5"/>
    <w:rsid w:val="001971FC"/>
    <w:rsid w:val="001973B9"/>
    <w:rsid w:val="001974BC"/>
    <w:rsid w:val="001974E9"/>
    <w:rsid w:val="001975A3"/>
    <w:rsid w:val="001975E4"/>
    <w:rsid w:val="00197819"/>
    <w:rsid w:val="00197971"/>
    <w:rsid w:val="00197A3C"/>
    <w:rsid w:val="00197D82"/>
    <w:rsid w:val="00197F24"/>
    <w:rsid w:val="00197F45"/>
    <w:rsid w:val="001A004C"/>
    <w:rsid w:val="001A0125"/>
    <w:rsid w:val="001A04CE"/>
    <w:rsid w:val="001A06B1"/>
    <w:rsid w:val="001A06B7"/>
    <w:rsid w:val="001A07BF"/>
    <w:rsid w:val="001A0AA4"/>
    <w:rsid w:val="001A0AC2"/>
    <w:rsid w:val="001A0AFD"/>
    <w:rsid w:val="001A0DD0"/>
    <w:rsid w:val="001A0E59"/>
    <w:rsid w:val="001A0FFE"/>
    <w:rsid w:val="001A1228"/>
    <w:rsid w:val="001A124B"/>
    <w:rsid w:val="001A1432"/>
    <w:rsid w:val="001A148F"/>
    <w:rsid w:val="001A1494"/>
    <w:rsid w:val="001A14A5"/>
    <w:rsid w:val="001A1595"/>
    <w:rsid w:val="001A17D0"/>
    <w:rsid w:val="001A18E9"/>
    <w:rsid w:val="001A19A5"/>
    <w:rsid w:val="001A1A70"/>
    <w:rsid w:val="001A1D05"/>
    <w:rsid w:val="001A1D5C"/>
    <w:rsid w:val="001A1ECA"/>
    <w:rsid w:val="001A1FF5"/>
    <w:rsid w:val="001A2861"/>
    <w:rsid w:val="001A2866"/>
    <w:rsid w:val="001A2BEB"/>
    <w:rsid w:val="001A2C1B"/>
    <w:rsid w:val="001A2D0E"/>
    <w:rsid w:val="001A2E5D"/>
    <w:rsid w:val="001A2F3C"/>
    <w:rsid w:val="001A2F49"/>
    <w:rsid w:val="001A303C"/>
    <w:rsid w:val="001A3133"/>
    <w:rsid w:val="001A31D8"/>
    <w:rsid w:val="001A340F"/>
    <w:rsid w:val="001A34DF"/>
    <w:rsid w:val="001A3621"/>
    <w:rsid w:val="001A377C"/>
    <w:rsid w:val="001A3949"/>
    <w:rsid w:val="001A3A10"/>
    <w:rsid w:val="001A3A54"/>
    <w:rsid w:val="001A3B30"/>
    <w:rsid w:val="001A3C48"/>
    <w:rsid w:val="001A3E38"/>
    <w:rsid w:val="001A3F0E"/>
    <w:rsid w:val="001A4023"/>
    <w:rsid w:val="001A41F4"/>
    <w:rsid w:val="001A461D"/>
    <w:rsid w:val="001A4670"/>
    <w:rsid w:val="001A4741"/>
    <w:rsid w:val="001A47F7"/>
    <w:rsid w:val="001A489D"/>
    <w:rsid w:val="001A48A0"/>
    <w:rsid w:val="001A4D07"/>
    <w:rsid w:val="001A4D63"/>
    <w:rsid w:val="001A4E53"/>
    <w:rsid w:val="001A4FA0"/>
    <w:rsid w:val="001A5061"/>
    <w:rsid w:val="001A510F"/>
    <w:rsid w:val="001A5140"/>
    <w:rsid w:val="001A518E"/>
    <w:rsid w:val="001A5275"/>
    <w:rsid w:val="001A5276"/>
    <w:rsid w:val="001A52B6"/>
    <w:rsid w:val="001A540A"/>
    <w:rsid w:val="001A54F4"/>
    <w:rsid w:val="001A5535"/>
    <w:rsid w:val="001A56E8"/>
    <w:rsid w:val="001A5839"/>
    <w:rsid w:val="001A583B"/>
    <w:rsid w:val="001A5854"/>
    <w:rsid w:val="001A591E"/>
    <w:rsid w:val="001A5A92"/>
    <w:rsid w:val="001A5B5E"/>
    <w:rsid w:val="001A5C17"/>
    <w:rsid w:val="001A5EAA"/>
    <w:rsid w:val="001A5F85"/>
    <w:rsid w:val="001A612C"/>
    <w:rsid w:val="001A6134"/>
    <w:rsid w:val="001A6213"/>
    <w:rsid w:val="001A626B"/>
    <w:rsid w:val="001A66DF"/>
    <w:rsid w:val="001A69A3"/>
    <w:rsid w:val="001A6AD9"/>
    <w:rsid w:val="001A6CEA"/>
    <w:rsid w:val="001A6CF7"/>
    <w:rsid w:val="001A6E56"/>
    <w:rsid w:val="001A6E6A"/>
    <w:rsid w:val="001A6EA8"/>
    <w:rsid w:val="001A6EC1"/>
    <w:rsid w:val="001A6F91"/>
    <w:rsid w:val="001A6F93"/>
    <w:rsid w:val="001A705C"/>
    <w:rsid w:val="001A730B"/>
    <w:rsid w:val="001A73F3"/>
    <w:rsid w:val="001A778E"/>
    <w:rsid w:val="001A7BC8"/>
    <w:rsid w:val="001A7BD1"/>
    <w:rsid w:val="001A7BE8"/>
    <w:rsid w:val="001A7C45"/>
    <w:rsid w:val="001A7D4B"/>
    <w:rsid w:val="001B019A"/>
    <w:rsid w:val="001B048C"/>
    <w:rsid w:val="001B08CF"/>
    <w:rsid w:val="001B0A01"/>
    <w:rsid w:val="001B0A30"/>
    <w:rsid w:val="001B0FE6"/>
    <w:rsid w:val="001B12DF"/>
    <w:rsid w:val="001B163D"/>
    <w:rsid w:val="001B1C59"/>
    <w:rsid w:val="001B1CAD"/>
    <w:rsid w:val="001B210E"/>
    <w:rsid w:val="001B2472"/>
    <w:rsid w:val="001B24C9"/>
    <w:rsid w:val="001B281E"/>
    <w:rsid w:val="001B29A0"/>
    <w:rsid w:val="001B2ABA"/>
    <w:rsid w:val="001B2BBF"/>
    <w:rsid w:val="001B2C7B"/>
    <w:rsid w:val="001B2D29"/>
    <w:rsid w:val="001B2DBD"/>
    <w:rsid w:val="001B2F13"/>
    <w:rsid w:val="001B2F81"/>
    <w:rsid w:val="001B2FE8"/>
    <w:rsid w:val="001B2FF0"/>
    <w:rsid w:val="001B308B"/>
    <w:rsid w:val="001B379E"/>
    <w:rsid w:val="001B3A38"/>
    <w:rsid w:val="001B3A48"/>
    <w:rsid w:val="001B3B0B"/>
    <w:rsid w:val="001B3BFD"/>
    <w:rsid w:val="001B3C07"/>
    <w:rsid w:val="001B3DCB"/>
    <w:rsid w:val="001B3E51"/>
    <w:rsid w:val="001B406E"/>
    <w:rsid w:val="001B4175"/>
    <w:rsid w:val="001B41F0"/>
    <w:rsid w:val="001B4262"/>
    <w:rsid w:val="001B4284"/>
    <w:rsid w:val="001B443D"/>
    <w:rsid w:val="001B4887"/>
    <w:rsid w:val="001B4E19"/>
    <w:rsid w:val="001B4E96"/>
    <w:rsid w:val="001B4EED"/>
    <w:rsid w:val="001B4FCE"/>
    <w:rsid w:val="001B53D0"/>
    <w:rsid w:val="001B5A46"/>
    <w:rsid w:val="001B5AD6"/>
    <w:rsid w:val="001B5C72"/>
    <w:rsid w:val="001B5CC0"/>
    <w:rsid w:val="001B5D09"/>
    <w:rsid w:val="001B60F8"/>
    <w:rsid w:val="001B62F3"/>
    <w:rsid w:val="001B6802"/>
    <w:rsid w:val="001B6992"/>
    <w:rsid w:val="001B6C62"/>
    <w:rsid w:val="001B75D4"/>
    <w:rsid w:val="001B76BD"/>
    <w:rsid w:val="001B7742"/>
    <w:rsid w:val="001B790A"/>
    <w:rsid w:val="001B7953"/>
    <w:rsid w:val="001B79C3"/>
    <w:rsid w:val="001B7A11"/>
    <w:rsid w:val="001B7B1B"/>
    <w:rsid w:val="001B7C6D"/>
    <w:rsid w:val="001B7E15"/>
    <w:rsid w:val="001B7E4E"/>
    <w:rsid w:val="001C02D0"/>
    <w:rsid w:val="001C02FC"/>
    <w:rsid w:val="001C03F4"/>
    <w:rsid w:val="001C04EB"/>
    <w:rsid w:val="001C05F7"/>
    <w:rsid w:val="001C0618"/>
    <w:rsid w:val="001C09B3"/>
    <w:rsid w:val="001C0AAF"/>
    <w:rsid w:val="001C0D06"/>
    <w:rsid w:val="001C0D08"/>
    <w:rsid w:val="001C0E12"/>
    <w:rsid w:val="001C0EB7"/>
    <w:rsid w:val="001C1044"/>
    <w:rsid w:val="001C11F3"/>
    <w:rsid w:val="001C1750"/>
    <w:rsid w:val="001C17D7"/>
    <w:rsid w:val="001C1BC5"/>
    <w:rsid w:val="001C1E31"/>
    <w:rsid w:val="001C1EE2"/>
    <w:rsid w:val="001C1F65"/>
    <w:rsid w:val="001C2154"/>
    <w:rsid w:val="001C225A"/>
    <w:rsid w:val="001C232A"/>
    <w:rsid w:val="001C24DC"/>
    <w:rsid w:val="001C2623"/>
    <w:rsid w:val="001C2775"/>
    <w:rsid w:val="001C290F"/>
    <w:rsid w:val="001C29A7"/>
    <w:rsid w:val="001C2B64"/>
    <w:rsid w:val="001C2C7A"/>
    <w:rsid w:val="001C2C86"/>
    <w:rsid w:val="001C31E4"/>
    <w:rsid w:val="001C32D0"/>
    <w:rsid w:val="001C3AF5"/>
    <w:rsid w:val="001C3BAB"/>
    <w:rsid w:val="001C3BF8"/>
    <w:rsid w:val="001C3C8D"/>
    <w:rsid w:val="001C3CF8"/>
    <w:rsid w:val="001C3D1C"/>
    <w:rsid w:val="001C3D8C"/>
    <w:rsid w:val="001C43D7"/>
    <w:rsid w:val="001C4506"/>
    <w:rsid w:val="001C45C5"/>
    <w:rsid w:val="001C46DF"/>
    <w:rsid w:val="001C47F6"/>
    <w:rsid w:val="001C48A7"/>
    <w:rsid w:val="001C48D6"/>
    <w:rsid w:val="001C4910"/>
    <w:rsid w:val="001C4981"/>
    <w:rsid w:val="001C4A6A"/>
    <w:rsid w:val="001C4C38"/>
    <w:rsid w:val="001C4C3B"/>
    <w:rsid w:val="001C4E71"/>
    <w:rsid w:val="001C4EE7"/>
    <w:rsid w:val="001C50CD"/>
    <w:rsid w:val="001C51F1"/>
    <w:rsid w:val="001C54B5"/>
    <w:rsid w:val="001C54E1"/>
    <w:rsid w:val="001C5715"/>
    <w:rsid w:val="001C5937"/>
    <w:rsid w:val="001C5AAA"/>
    <w:rsid w:val="001C5D10"/>
    <w:rsid w:val="001C5D51"/>
    <w:rsid w:val="001C5E21"/>
    <w:rsid w:val="001C5FF9"/>
    <w:rsid w:val="001C67D3"/>
    <w:rsid w:val="001C693A"/>
    <w:rsid w:val="001C699B"/>
    <w:rsid w:val="001C6A07"/>
    <w:rsid w:val="001C6AAA"/>
    <w:rsid w:val="001C6B6A"/>
    <w:rsid w:val="001C6C05"/>
    <w:rsid w:val="001C6C58"/>
    <w:rsid w:val="001C6CEB"/>
    <w:rsid w:val="001C713E"/>
    <w:rsid w:val="001C7149"/>
    <w:rsid w:val="001C742B"/>
    <w:rsid w:val="001C7679"/>
    <w:rsid w:val="001C779D"/>
    <w:rsid w:val="001C77C1"/>
    <w:rsid w:val="001C7DAB"/>
    <w:rsid w:val="001C7E38"/>
    <w:rsid w:val="001C7EC1"/>
    <w:rsid w:val="001D006E"/>
    <w:rsid w:val="001D00CA"/>
    <w:rsid w:val="001D038D"/>
    <w:rsid w:val="001D0415"/>
    <w:rsid w:val="001D0453"/>
    <w:rsid w:val="001D050B"/>
    <w:rsid w:val="001D057C"/>
    <w:rsid w:val="001D0705"/>
    <w:rsid w:val="001D0798"/>
    <w:rsid w:val="001D07BF"/>
    <w:rsid w:val="001D0997"/>
    <w:rsid w:val="001D0BBD"/>
    <w:rsid w:val="001D0BDC"/>
    <w:rsid w:val="001D0BE8"/>
    <w:rsid w:val="001D0CAB"/>
    <w:rsid w:val="001D11C5"/>
    <w:rsid w:val="001D11DB"/>
    <w:rsid w:val="001D138F"/>
    <w:rsid w:val="001D1785"/>
    <w:rsid w:val="001D1810"/>
    <w:rsid w:val="001D198B"/>
    <w:rsid w:val="001D19D7"/>
    <w:rsid w:val="001D1BF9"/>
    <w:rsid w:val="001D1F40"/>
    <w:rsid w:val="001D1FCD"/>
    <w:rsid w:val="001D200F"/>
    <w:rsid w:val="001D219A"/>
    <w:rsid w:val="001D2219"/>
    <w:rsid w:val="001D2248"/>
    <w:rsid w:val="001D2472"/>
    <w:rsid w:val="001D26C4"/>
    <w:rsid w:val="001D28A1"/>
    <w:rsid w:val="001D28F2"/>
    <w:rsid w:val="001D2D25"/>
    <w:rsid w:val="001D2E3B"/>
    <w:rsid w:val="001D2FF8"/>
    <w:rsid w:val="001D3030"/>
    <w:rsid w:val="001D319F"/>
    <w:rsid w:val="001D345B"/>
    <w:rsid w:val="001D358E"/>
    <w:rsid w:val="001D35CC"/>
    <w:rsid w:val="001D37FC"/>
    <w:rsid w:val="001D3863"/>
    <w:rsid w:val="001D3A9D"/>
    <w:rsid w:val="001D3B8C"/>
    <w:rsid w:val="001D3BAC"/>
    <w:rsid w:val="001D3CA0"/>
    <w:rsid w:val="001D3DD6"/>
    <w:rsid w:val="001D3F20"/>
    <w:rsid w:val="001D3FF2"/>
    <w:rsid w:val="001D4103"/>
    <w:rsid w:val="001D429F"/>
    <w:rsid w:val="001D46BD"/>
    <w:rsid w:val="001D49AA"/>
    <w:rsid w:val="001D49B6"/>
    <w:rsid w:val="001D49F7"/>
    <w:rsid w:val="001D4B36"/>
    <w:rsid w:val="001D4CAA"/>
    <w:rsid w:val="001D4E4B"/>
    <w:rsid w:val="001D4EB1"/>
    <w:rsid w:val="001D4FAE"/>
    <w:rsid w:val="001D5281"/>
    <w:rsid w:val="001D54E1"/>
    <w:rsid w:val="001D574C"/>
    <w:rsid w:val="001D5772"/>
    <w:rsid w:val="001D57B7"/>
    <w:rsid w:val="001D57DA"/>
    <w:rsid w:val="001D5881"/>
    <w:rsid w:val="001D5919"/>
    <w:rsid w:val="001D59E6"/>
    <w:rsid w:val="001D5AF0"/>
    <w:rsid w:val="001D5B87"/>
    <w:rsid w:val="001D5CE2"/>
    <w:rsid w:val="001D5D9E"/>
    <w:rsid w:val="001D5ED4"/>
    <w:rsid w:val="001D6068"/>
    <w:rsid w:val="001D6159"/>
    <w:rsid w:val="001D63BF"/>
    <w:rsid w:val="001D63F2"/>
    <w:rsid w:val="001D656A"/>
    <w:rsid w:val="001D68B9"/>
    <w:rsid w:val="001D68BB"/>
    <w:rsid w:val="001D6903"/>
    <w:rsid w:val="001D6D45"/>
    <w:rsid w:val="001D6EB8"/>
    <w:rsid w:val="001D7092"/>
    <w:rsid w:val="001D71AF"/>
    <w:rsid w:val="001D7439"/>
    <w:rsid w:val="001D758B"/>
    <w:rsid w:val="001D760C"/>
    <w:rsid w:val="001D79E5"/>
    <w:rsid w:val="001D7A20"/>
    <w:rsid w:val="001D7A53"/>
    <w:rsid w:val="001D7AE2"/>
    <w:rsid w:val="001D7C69"/>
    <w:rsid w:val="001E0216"/>
    <w:rsid w:val="001E0257"/>
    <w:rsid w:val="001E05E8"/>
    <w:rsid w:val="001E075B"/>
    <w:rsid w:val="001E08A4"/>
    <w:rsid w:val="001E0E62"/>
    <w:rsid w:val="001E1032"/>
    <w:rsid w:val="001E1361"/>
    <w:rsid w:val="001E14FA"/>
    <w:rsid w:val="001E1566"/>
    <w:rsid w:val="001E1580"/>
    <w:rsid w:val="001E16BC"/>
    <w:rsid w:val="001E17AC"/>
    <w:rsid w:val="001E1990"/>
    <w:rsid w:val="001E1A12"/>
    <w:rsid w:val="001E1BF1"/>
    <w:rsid w:val="001E1CE1"/>
    <w:rsid w:val="001E1DF4"/>
    <w:rsid w:val="001E1F30"/>
    <w:rsid w:val="001E1F95"/>
    <w:rsid w:val="001E216F"/>
    <w:rsid w:val="001E219C"/>
    <w:rsid w:val="001E221E"/>
    <w:rsid w:val="001E2244"/>
    <w:rsid w:val="001E266A"/>
    <w:rsid w:val="001E26AC"/>
    <w:rsid w:val="001E2AE8"/>
    <w:rsid w:val="001E2B5F"/>
    <w:rsid w:val="001E2BA6"/>
    <w:rsid w:val="001E2BC4"/>
    <w:rsid w:val="001E2FB4"/>
    <w:rsid w:val="001E30DF"/>
    <w:rsid w:val="001E32DE"/>
    <w:rsid w:val="001E3497"/>
    <w:rsid w:val="001E3509"/>
    <w:rsid w:val="001E3535"/>
    <w:rsid w:val="001E374F"/>
    <w:rsid w:val="001E376D"/>
    <w:rsid w:val="001E381C"/>
    <w:rsid w:val="001E38D7"/>
    <w:rsid w:val="001E39BE"/>
    <w:rsid w:val="001E3AC2"/>
    <w:rsid w:val="001E3F65"/>
    <w:rsid w:val="001E4099"/>
    <w:rsid w:val="001E427C"/>
    <w:rsid w:val="001E42C4"/>
    <w:rsid w:val="001E435B"/>
    <w:rsid w:val="001E442D"/>
    <w:rsid w:val="001E44EA"/>
    <w:rsid w:val="001E453E"/>
    <w:rsid w:val="001E4737"/>
    <w:rsid w:val="001E49C3"/>
    <w:rsid w:val="001E4A33"/>
    <w:rsid w:val="001E4A52"/>
    <w:rsid w:val="001E4ACA"/>
    <w:rsid w:val="001E4B44"/>
    <w:rsid w:val="001E4BF0"/>
    <w:rsid w:val="001E4CB2"/>
    <w:rsid w:val="001E4E3D"/>
    <w:rsid w:val="001E50C5"/>
    <w:rsid w:val="001E514E"/>
    <w:rsid w:val="001E52DF"/>
    <w:rsid w:val="001E5416"/>
    <w:rsid w:val="001E5429"/>
    <w:rsid w:val="001E5519"/>
    <w:rsid w:val="001E56AE"/>
    <w:rsid w:val="001E5742"/>
    <w:rsid w:val="001E586D"/>
    <w:rsid w:val="001E58E9"/>
    <w:rsid w:val="001E593B"/>
    <w:rsid w:val="001E5BBA"/>
    <w:rsid w:val="001E5E10"/>
    <w:rsid w:val="001E5F13"/>
    <w:rsid w:val="001E5F92"/>
    <w:rsid w:val="001E605A"/>
    <w:rsid w:val="001E6085"/>
    <w:rsid w:val="001E621D"/>
    <w:rsid w:val="001E63EB"/>
    <w:rsid w:val="001E6439"/>
    <w:rsid w:val="001E6460"/>
    <w:rsid w:val="001E6548"/>
    <w:rsid w:val="001E684F"/>
    <w:rsid w:val="001E68CF"/>
    <w:rsid w:val="001E6B84"/>
    <w:rsid w:val="001E6C0D"/>
    <w:rsid w:val="001E6F1F"/>
    <w:rsid w:val="001E71BE"/>
    <w:rsid w:val="001E7308"/>
    <w:rsid w:val="001E7403"/>
    <w:rsid w:val="001E74C7"/>
    <w:rsid w:val="001E79D2"/>
    <w:rsid w:val="001E79E6"/>
    <w:rsid w:val="001E7A74"/>
    <w:rsid w:val="001E7B9E"/>
    <w:rsid w:val="001E7C36"/>
    <w:rsid w:val="001E7EA6"/>
    <w:rsid w:val="001F002C"/>
    <w:rsid w:val="001F016C"/>
    <w:rsid w:val="001F0332"/>
    <w:rsid w:val="001F0673"/>
    <w:rsid w:val="001F07ED"/>
    <w:rsid w:val="001F0883"/>
    <w:rsid w:val="001F089C"/>
    <w:rsid w:val="001F09B0"/>
    <w:rsid w:val="001F0D6D"/>
    <w:rsid w:val="001F0D99"/>
    <w:rsid w:val="001F0F4B"/>
    <w:rsid w:val="001F123B"/>
    <w:rsid w:val="001F130F"/>
    <w:rsid w:val="001F1323"/>
    <w:rsid w:val="001F1405"/>
    <w:rsid w:val="001F153B"/>
    <w:rsid w:val="001F1583"/>
    <w:rsid w:val="001F16DA"/>
    <w:rsid w:val="001F193D"/>
    <w:rsid w:val="001F1A8D"/>
    <w:rsid w:val="001F1A93"/>
    <w:rsid w:val="001F1B37"/>
    <w:rsid w:val="001F1DC6"/>
    <w:rsid w:val="001F1F5B"/>
    <w:rsid w:val="001F2280"/>
    <w:rsid w:val="001F240B"/>
    <w:rsid w:val="001F254C"/>
    <w:rsid w:val="001F2590"/>
    <w:rsid w:val="001F2716"/>
    <w:rsid w:val="001F27B1"/>
    <w:rsid w:val="001F281E"/>
    <w:rsid w:val="001F298B"/>
    <w:rsid w:val="001F29A2"/>
    <w:rsid w:val="001F2A29"/>
    <w:rsid w:val="001F2A6D"/>
    <w:rsid w:val="001F2B1E"/>
    <w:rsid w:val="001F2DD8"/>
    <w:rsid w:val="001F36F7"/>
    <w:rsid w:val="001F3A84"/>
    <w:rsid w:val="001F3C25"/>
    <w:rsid w:val="001F3F4C"/>
    <w:rsid w:val="001F3FB5"/>
    <w:rsid w:val="001F3FDD"/>
    <w:rsid w:val="001F4016"/>
    <w:rsid w:val="001F411A"/>
    <w:rsid w:val="001F45B8"/>
    <w:rsid w:val="001F4615"/>
    <w:rsid w:val="001F4656"/>
    <w:rsid w:val="001F4710"/>
    <w:rsid w:val="001F484B"/>
    <w:rsid w:val="001F4973"/>
    <w:rsid w:val="001F4990"/>
    <w:rsid w:val="001F4A5F"/>
    <w:rsid w:val="001F4EDF"/>
    <w:rsid w:val="001F506A"/>
    <w:rsid w:val="001F5096"/>
    <w:rsid w:val="001F5163"/>
    <w:rsid w:val="001F51CB"/>
    <w:rsid w:val="001F53A2"/>
    <w:rsid w:val="001F5A91"/>
    <w:rsid w:val="001F5BFB"/>
    <w:rsid w:val="001F5C4E"/>
    <w:rsid w:val="001F5EBF"/>
    <w:rsid w:val="001F5F65"/>
    <w:rsid w:val="001F5F91"/>
    <w:rsid w:val="001F5FF0"/>
    <w:rsid w:val="001F620C"/>
    <w:rsid w:val="001F63A2"/>
    <w:rsid w:val="001F657C"/>
    <w:rsid w:val="001F664A"/>
    <w:rsid w:val="001F6695"/>
    <w:rsid w:val="001F6746"/>
    <w:rsid w:val="001F6C85"/>
    <w:rsid w:val="001F7135"/>
    <w:rsid w:val="001F7388"/>
    <w:rsid w:val="001F749E"/>
    <w:rsid w:val="001F7585"/>
    <w:rsid w:val="001F7815"/>
    <w:rsid w:val="001F7846"/>
    <w:rsid w:val="001F7BD4"/>
    <w:rsid w:val="001F7D41"/>
    <w:rsid w:val="001F7DF8"/>
    <w:rsid w:val="001F7E3D"/>
    <w:rsid w:val="001F7F6B"/>
    <w:rsid w:val="002000DF"/>
    <w:rsid w:val="00200188"/>
    <w:rsid w:val="00200439"/>
    <w:rsid w:val="002006D5"/>
    <w:rsid w:val="00200AC0"/>
    <w:rsid w:val="00200B9D"/>
    <w:rsid w:val="00200C66"/>
    <w:rsid w:val="00200C81"/>
    <w:rsid w:val="00200F88"/>
    <w:rsid w:val="002010F5"/>
    <w:rsid w:val="00201266"/>
    <w:rsid w:val="002012E5"/>
    <w:rsid w:val="002017B5"/>
    <w:rsid w:val="00201952"/>
    <w:rsid w:val="00201A8E"/>
    <w:rsid w:val="00201B0E"/>
    <w:rsid w:val="00201C1A"/>
    <w:rsid w:val="00201DFA"/>
    <w:rsid w:val="00201E96"/>
    <w:rsid w:val="00201EC4"/>
    <w:rsid w:val="00201FBE"/>
    <w:rsid w:val="00202105"/>
    <w:rsid w:val="00202296"/>
    <w:rsid w:val="002022CD"/>
    <w:rsid w:val="002022FE"/>
    <w:rsid w:val="002025AD"/>
    <w:rsid w:val="00202636"/>
    <w:rsid w:val="0020263E"/>
    <w:rsid w:val="002026ED"/>
    <w:rsid w:val="00202B1B"/>
    <w:rsid w:val="00202C78"/>
    <w:rsid w:val="00202DD4"/>
    <w:rsid w:val="00202E86"/>
    <w:rsid w:val="00202F21"/>
    <w:rsid w:val="00203361"/>
    <w:rsid w:val="00203405"/>
    <w:rsid w:val="002035E2"/>
    <w:rsid w:val="0020382F"/>
    <w:rsid w:val="00203948"/>
    <w:rsid w:val="00203CBE"/>
    <w:rsid w:val="00203D31"/>
    <w:rsid w:val="00203E5E"/>
    <w:rsid w:val="00204322"/>
    <w:rsid w:val="002043CE"/>
    <w:rsid w:val="0020441B"/>
    <w:rsid w:val="00204464"/>
    <w:rsid w:val="002044A1"/>
    <w:rsid w:val="002046E9"/>
    <w:rsid w:val="00204A7A"/>
    <w:rsid w:val="00204C09"/>
    <w:rsid w:val="0020513C"/>
    <w:rsid w:val="002051B9"/>
    <w:rsid w:val="002051DB"/>
    <w:rsid w:val="00205299"/>
    <w:rsid w:val="00205394"/>
    <w:rsid w:val="00205791"/>
    <w:rsid w:val="0020582D"/>
    <w:rsid w:val="0020582E"/>
    <w:rsid w:val="00205A46"/>
    <w:rsid w:val="00205B7E"/>
    <w:rsid w:val="00205BEB"/>
    <w:rsid w:val="00205E81"/>
    <w:rsid w:val="00205FBC"/>
    <w:rsid w:val="002060C9"/>
    <w:rsid w:val="0020613B"/>
    <w:rsid w:val="002064FB"/>
    <w:rsid w:val="00206553"/>
    <w:rsid w:val="002065E9"/>
    <w:rsid w:val="00206665"/>
    <w:rsid w:val="00206872"/>
    <w:rsid w:val="00206993"/>
    <w:rsid w:val="00206AD0"/>
    <w:rsid w:val="00206C3A"/>
    <w:rsid w:val="00206DE3"/>
    <w:rsid w:val="00206F67"/>
    <w:rsid w:val="00206F93"/>
    <w:rsid w:val="00206F9E"/>
    <w:rsid w:val="00206FE8"/>
    <w:rsid w:val="00207163"/>
    <w:rsid w:val="002071AE"/>
    <w:rsid w:val="002071FD"/>
    <w:rsid w:val="0020720A"/>
    <w:rsid w:val="0020738A"/>
    <w:rsid w:val="00207468"/>
    <w:rsid w:val="002074BA"/>
    <w:rsid w:val="002075B2"/>
    <w:rsid w:val="002075C8"/>
    <w:rsid w:val="0020782F"/>
    <w:rsid w:val="00207863"/>
    <w:rsid w:val="00207902"/>
    <w:rsid w:val="00207965"/>
    <w:rsid w:val="00207C46"/>
    <w:rsid w:val="002100B3"/>
    <w:rsid w:val="002101A7"/>
    <w:rsid w:val="00210339"/>
    <w:rsid w:val="00210359"/>
    <w:rsid w:val="0021063A"/>
    <w:rsid w:val="0021065F"/>
    <w:rsid w:val="002106A5"/>
    <w:rsid w:val="00210AC5"/>
    <w:rsid w:val="00210C15"/>
    <w:rsid w:val="00210C35"/>
    <w:rsid w:val="00210DCE"/>
    <w:rsid w:val="00210F3F"/>
    <w:rsid w:val="002113EA"/>
    <w:rsid w:val="0021151E"/>
    <w:rsid w:val="0021157D"/>
    <w:rsid w:val="00211602"/>
    <w:rsid w:val="002116B8"/>
    <w:rsid w:val="00211916"/>
    <w:rsid w:val="00211C22"/>
    <w:rsid w:val="002120CB"/>
    <w:rsid w:val="00212132"/>
    <w:rsid w:val="002125D9"/>
    <w:rsid w:val="002126ED"/>
    <w:rsid w:val="0021282F"/>
    <w:rsid w:val="002128A6"/>
    <w:rsid w:val="002128D7"/>
    <w:rsid w:val="00212D5F"/>
    <w:rsid w:val="00212DCF"/>
    <w:rsid w:val="00212E84"/>
    <w:rsid w:val="00212F22"/>
    <w:rsid w:val="00212F8B"/>
    <w:rsid w:val="00213008"/>
    <w:rsid w:val="002135B0"/>
    <w:rsid w:val="00213637"/>
    <w:rsid w:val="00213818"/>
    <w:rsid w:val="002139B2"/>
    <w:rsid w:val="00213C4E"/>
    <w:rsid w:val="00213DF8"/>
    <w:rsid w:val="00213F0B"/>
    <w:rsid w:val="002140FE"/>
    <w:rsid w:val="002141A9"/>
    <w:rsid w:val="00214233"/>
    <w:rsid w:val="002142F2"/>
    <w:rsid w:val="002142FF"/>
    <w:rsid w:val="00214360"/>
    <w:rsid w:val="002143A4"/>
    <w:rsid w:val="002145E0"/>
    <w:rsid w:val="002146BB"/>
    <w:rsid w:val="00214789"/>
    <w:rsid w:val="00214DB8"/>
    <w:rsid w:val="00214E42"/>
    <w:rsid w:val="00214F30"/>
    <w:rsid w:val="00215022"/>
    <w:rsid w:val="00215702"/>
    <w:rsid w:val="0021578F"/>
    <w:rsid w:val="00215ED7"/>
    <w:rsid w:val="002164EA"/>
    <w:rsid w:val="00216605"/>
    <w:rsid w:val="002166A3"/>
    <w:rsid w:val="00216830"/>
    <w:rsid w:val="00216A88"/>
    <w:rsid w:val="00216B58"/>
    <w:rsid w:val="00216BC7"/>
    <w:rsid w:val="00216CC1"/>
    <w:rsid w:val="00216D6A"/>
    <w:rsid w:val="00217247"/>
    <w:rsid w:val="002175E3"/>
    <w:rsid w:val="002177AB"/>
    <w:rsid w:val="002177C8"/>
    <w:rsid w:val="00217823"/>
    <w:rsid w:val="00217971"/>
    <w:rsid w:val="00217AF4"/>
    <w:rsid w:val="00217E76"/>
    <w:rsid w:val="00217EC4"/>
    <w:rsid w:val="002200EA"/>
    <w:rsid w:val="00220264"/>
    <w:rsid w:val="0022056F"/>
    <w:rsid w:val="0022072B"/>
    <w:rsid w:val="00220929"/>
    <w:rsid w:val="00220E30"/>
    <w:rsid w:val="00220ED4"/>
    <w:rsid w:val="00220F20"/>
    <w:rsid w:val="00221038"/>
    <w:rsid w:val="002210D0"/>
    <w:rsid w:val="00221221"/>
    <w:rsid w:val="0022127E"/>
    <w:rsid w:val="0022140D"/>
    <w:rsid w:val="002214D4"/>
    <w:rsid w:val="00221804"/>
    <w:rsid w:val="00221B06"/>
    <w:rsid w:val="00221B3E"/>
    <w:rsid w:val="00221B6F"/>
    <w:rsid w:val="00221C6D"/>
    <w:rsid w:val="00221C76"/>
    <w:rsid w:val="00221D6C"/>
    <w:rsid w:val="00221DA1"/>
    <w:rsid w:val="0022235A"/>
    <w:rsid w:val="00222B1C"/>
    <w:rsid w:val="00222B29"/>
    <w:rsid w:val="00222B7F"/>
    <w:rsid w:val="00223207"/>
    <w:rsid w:val="0022334C"/>
    <w:rsid w:val="00223521"/>
    <w:rsid w:val="00223979"/>
    <w:rsid w:val="00223A62"/>
    <w:rsid w:val="00223B22"/>
    <w:rsid w:val="00223B4B"/>
    <w:rsid w:val="00223B5E"/>
    <w:rsid w:val="00223CD4"/>
    <w:rsid w:val="00223D81"/>
    <w:rsid w:val="00223F70"/>
    <w:rsid w:val="00223F9D"/>
    <w:rsid w:val="0022402B"/>
    <w:rsid w:val="00224120"/>
    <w:rsid w:val="002241AB"/>
    <w:rsid w:val="002242D3"/>
    <w:rsid w:val="002245F6"/>
    <w:rsid w:val="00224613"/>
    <w:rsid w:val="00224636"/>
    <w:rsid w:val="00224791"/>
    <w:rsid w:val="002248C9"/>
    <w:rsid w:val="00224B04"/>
    <w:rsid w:val="00224B0E"/>
    <w:rsid w:val="00224C39"/>
    <w:rsid w:val="00224ECB"/>
    <w:rsid w:val="00224ECF"/>
    <w:rsid w:val="002250EE"/>
    <w:rsid w:val="00225171"/>
    <w:rsid w:val="00225210"/>
    <w:rsid w:val="00225772"/>
    <w:rsid w:val="00225863"/>
    <w:rsid w:val="00225B3B"/>
    <w:rsid w:val="00225B93"/>
    <w:rsid w:val="00225BC5"/>
    <w:rsid w:val="00225EE6"/>
    <w:rsid w:val="0022601F"/>
    <w:rsid w:val="00226056"/>
    <w:rsid w:val="00226064"/>
    <w:rsid w:val="002267AB"/>
    <w:rsid w:val="0022686D"/>
    <w:rsid w:val="002268C9"/>
    <w:rsid w:val="00226BE3"/>
    <w:rsid w:val="00226E26"/>
    <w:rsid w:val="00226E83"/>
    <w:rsid w:val="002272AD"/>
    <w:rsid w:val="00227658"/>
    <w:rsid w:val="0022769D"/>
    <w:rsid w:val="002277FA"/>
    <w:rsid w:val="00227882"/>
    <w:rsid w:val="002279E3"/>
    <w:rsid w:val="00227BC2"/>
    <w:rsid w:val="00227E64"/>
    <w:rsid w:val="00227FB8"/>
    <w:rsid w:val="0023007B"/>
    <w:rsid w:val="002300A7"/>
    <w:rsid w:val="002301F9"/>
    <w:rsid w:val="002302DD"/>
    <w:rsid w:val="002302F8"/>
    <w:rsid w:val="00230401"/>
    <w:rsid w:val="00230596"/>
    <w:rsid w:val="002305A1"/>
    <w:rsid w:val="002305AA"/>
    <w:rsid w:val="002305D3"/>
    <w:rsid w:val="0023078E"/>
    <w:rsid w:val="00230860"/>
    <w:rsid w:val="002308F1"/>
    <w:rsid w:val="002309FD"/>
    <w:rsid w:val="00230B3D"/>
    <w:rsid w:val="00230DD2"/>
    <w:rsid w:val="00230DFD"/>
    <w:rsid w:val="00231003"/>
    <w:rsid w:val="00231024"/>
    <w:rsid w:val="0023167A"/>
    <w:rsid w:val="0023171A"/>
    <w:rsid w:val="00231950"/>
    <w:rsid w:val="00231C82"/>
    <w:rsid w:val="00231CEA"/>
    <w:rsid w:val="00231D48"/>
    <w:rsid w:val="00231E41"/>
    <w:rsid w:val="00231FFB"/>
    <w:rsid w:val="00232065"/>
    <w:rsid w:val="002321B6"/>
    <w:rsid w:val="002322A6"/>
    <w:rsid w:val="002326F1"/>
    <w:rsid w:val="00232861"/>
    <w:rsid w:val="0023292A"/>
    <w:rsid w:val="00232C2B"/>
    <w:rsid w:val="00232C82"/>
    <w:rsid w:val="00232F44"/>
    <w:rsid w:val="00232F5E"/>
    <w:rsid w:val="002330FA"/>
    <w:rsid w:val="0023317E"/>
    <w:rsid w:val="0023319F"/>
    <w:rsid w:val="002331A7"/>
    <w:rsid w:val="00233483"/>
    <w:rsid w:val="00233531"/>
    <w:rsid w:val="00233783"/>
    <w:rsid w:val="0023378E"/>
    <w:rsid w:val="002337BB"/>
    <w:rsid w:val="002337FD"/>
    <w:rsid w:val="00233A65"/>
    <w:rsid w:val="00233A69"/>
    <w:rsid w:val="00233AAD"/>
    <w:rsid w:val="00233B85"/>
    <w:rsid w:val="00233C5B"/>
    <w:rsid w:val="00233C8D"/>
    <w:rsid w:val="00233D7F"/>
    <w:rsid w:val="00233DD5"/>
    <w:rsid w:val="00233DF3"/>
    <w:rsid w:val="00233E23"/>
    <w:rsid w:val="00234037"/>
    <w:rsid w:val="0023407F"/>
    <w:rsid w:val="002343B1"/>
    <w:rsid w:val="00234699"/>
    <w:rsid w:val="002346A5"/>
    <w:rsid w:val="00234907"/>
    <w:rsid w:val="0023493C"/>
    <w:rsid w:val="00234BF3"/>
    <w:rsid w:val="00234F0B"/>
    <w:rsid w:val="00234F82"/>
    <w:rsid w:val="002350FF"/>
    <w:rsid w:val="00235135"/>
    <w:rsid w:val="00235146"/>
    <w:rsid w:val="00235414"/>
    <w:rsid w:val="00235533"/>
    <w:rsid w:val="002355FB"/>
    <w:rsid w:val="00235607"/>
    <w:rsid w:val="00235621"/>
    <w:rsid w:val="00235895"/>
    <w:rsid w:val="002358BC"/>
    <w:rsid w:val="00235A87"/>
    <w:rsid w:val="00235C24"/>
    <w:rsid w:val="00235D8C"/>
    <w:rsid w:val="00235DCA"/>
    <w:rsid w:val="00235F43"/>
    <w:rsid w:val="00235FCD"/>
    <w:rsid w:val="0023607B"/>
    <w:rsid w:val="00236133"/>
    <w:rsid w:val="00236375"/>
    <w:rsid w:val="002366F5"/>
    <w:rsid w:val="002367A8"/>
    <w:rsid w:val="00236827"/>
    <w:rsid w:val="002368CB"/>
    <w:rsid w:val="00236F43"/>
    <w:rsid w:val="00236FBC"/>
    <w:rsid w:val="0023708B"/>
    <w:rsid w:val="0023767C"/>
    <w:rsid w:val="002376B2"/>
    <w:rsid w:val="0023770E"/>
    <w:rsid w:val="00237713"/>
    <w:rsid w:val="0023795E"/>
    <w:rsid w:val="002379C2"/>
    <w:rsid w:val="00237A28"/>
    <w:rsid w:val="00237BD6"/>
    <w:rsid w:val="00237C2D"/>
    <w:rsid w:val="00237CE4"/>
    <w:rsid w:val="00237D11"/>
    <w:rsid w:val="00237D37"/>
    <w:rsid w:val="00237D43"/>
    <w:rsid w:val="00237EAC"/>
    <w:rsid w:val="00240164"/>
    <w:rsid w:val="00240626"/>
    <w:rsid w:val="002406C5"/>
    <w:rsid w:val="002406E1"/>
    <w:rsid w:val="0024082B"/>
    <w:rsid w:val="002408E2"/>
    <w:rsid w:val="00240A63"/>
    <w:rsid w:val="00240ADE"/>
    <w:rsid w:val="00240B7B"/>
    <w:rsid w:val="00240C15"/>
    <w:rsid w:val="00240DB0"/>
    <w:rsid w:val="00240EE5"/>
    <w:rsid w:val="00240F73"/>
    <w:rsid w:val="002410A5"/>
    <w:rsid w:val="0024119F"/>
    <w:rsid w:val="0024134F"/>
    <w:rsid w:val="0024135D"/>
    <w:rsid w:val="00241379"/>
    <w:rsid w:val="002415AB"/>
    <w:rsid w:val="002416F0"/>
    <w:rsid w:val="002418AE"/>
    <w:rsid w:val="00241DB0"/>
    <w:rsid w:val="00241E01"/>
    <w:rsid w:val="00241E13"/>
    <w:rsid w:val="00241F68"/>
    <w:rsid w:val="0024214A"/>
    <w:rsid w:val="002421AE"/>
    <w:rsid w:val="0024225B"/>
    <w:rsid w:val="00242465"/>
    <w:rsid w:val="00242565"/>
    <w:rsid w:val="002426A9"/>
    <w:rsid w:val="002427A8"/>
    <w:rsid w:val="002427E7"/>
    <w:rsid w:val="002429AA"/>
    <w:rsid w:val="00242A59"/>
    <w:rsid w:val="00242BAD"/>
    <w:rsid w:val="00242C03"/>
    <w:rsid w:val="002430E0"/>
    <w:rsid w:val="002433C6"/>
    <w:rsid w:val="00243522"/>
    <w:rsid w:val="0024375F"/>
    <w:rsid w:val="0024386E"/>
    <w:rsid w:val="002438DA"/>
    <w:rsid w:val="002438F6"/>
    <w:rsid w:val="00243EF2"/>
    <w:rsid w:val="00243F6A"/>
    <w:rsid w:val="00244046"/>
    <w:rsid w:val="002440BF"/>
    <w:rsid w:val="002440D2"/>
    <w:rsid w:val="002441DC"/>
    <w:rsid w:val="002443B5"/>
    <w:rsid w:val="002444DA"/>
    <w:rsid w:val="0024450B"/>
    <w:rsid w:val="002446FB"/>
    <w:rsid w:val="00244747"/>
    <w:rsid w:val="0024497F"/>
    <w:rsid w:val="00244A18"/>
    <w:rsid w:val="00244AF2"/>
    <w:rsid w:val="00244B6E"/>
    <w:rsid w:val="00245324"/>
    <w:rsid w:val="0024532B"/>
    <w:rsid w:val="00245489"/>
    <w:rsid w:val="00245729"/>
    <w:rsid w:val="002457AC"/>
    <w:rsid w:val="00245A6E"/>
    <w:rsid w:val="00245AB7"/>
    <w:rsid w:val="00245CAA"/>
    <w:rsid w:val="00245E00"/>
    <w:rsid w:val="00245F3C"/>
    <w:rsid w:val="002462E2"/>
    <w:rsid w:val="002464E4"/>
    <w:rsid w:val="00246542"/>
    <w:rsid w:val="002469E7"/>
    <w:rsid w:val="00246AA2"/>
    <w:rsid w:val="00246D0A"/>
    <w:rsid w:val="00246DD8"/>
    <w:rsid w:val="0024716A"/>
    <w:rsid w:val="00247205"/>
    <w:rsid w:val="0024734A"/>
    <w:rsid w:val="00247A26"/>
    <w:rsid w:val="00247B44"/>
    <w:rsid w:val="00247B6C"/>
    <w:rsid w:val="00247BBC"/>
    <w:rsid w:val="00247C17"/>
    <w:rsid w:val="00247D70"/>
    <w:rsid w:val="00247D86"/>
    <w:rsid w:val="00247D89"/>
    <w:rsid w:val="00247DD3"/>
    <w:rsid w:val="00247E3F"/>
    <w:rsid w:val="0024EB70"/>
    <w:rsid w:val="0025001B"/>
    <w:rsid w:val="0025013B"/>
    <w:rsid w:val="0025014F"/>
    <w:rsid w:val="00250219"/>
    <w:rsid w:val="002502A0"/>
    <w:rsid w:val="002503EE"/>
    <w:rsid w:val="0025049E"/>
    <w:rsid w:val="002507B3"/>
    <w:rsid w:val="00250961"/>
    <w:rsid w:val="00250FF5"/>
    <w:rsid w:val="00251154"/>
    <w:rsid w:val="00251273"/>
    <w:rsid w:val="002512CD"/>
    <w:rsid w:val="002512D8"/>
    <w:rsid w:val="0025133B"/>
    <w:rsid w:val="0025173B"/>
    <w:rsid w:val="00251814"/>
    <w:rsid w:val="0025198B"/>
    <w:rsid w:val="00251CED"/>
    <w:rsid w:val="00251D23"/>
    <w:rsid w:val="00251F8B"/>
    <w:rsid w:val="00251FC2"/>
    <w:rsid w:val="002521F2"/>
    <w:rsid w:val="0025220B"/>
    <w:rsid w:val="0025228E"/>
    <w:rsid w:val="002522B6"/>
    <w:rsid w:val="002525BA"/>
    <w:rsid w:val="00252675"/>
    <w:rsid w:val="002528A7"/>
    <w:rsid w:val="00252A06"/>
    <w:rsid w:val="00252AFC"/>
    <w:rsid w:val="00252C42"/>
    <w:rsid w:val="00252D4F"/>
    <w:rsid w:val="00252EC3"/>
    <w:rsid w:val="0025310D"/>
    <w:rsid w:val="00253225"/>
    <w:rsid w:val="00253301"/>
    <w:rsid w:val="002533CB"/>
    <w:rsid w:val="002535D5"/>
    <w:rsid w:val="002537F3"/>
    <w:rsid w:val="0025385D"/>
    <w:rsid w:val="00253901"/>
    <w:rsid w:val="00253BCC"/>
    <w:rsid w:val="00253D83"/>
    <w:rsid w:val="00253D88"/>
    <w:rsid w:val="0025414B"/>
    <w:rsid w:val="00254322"/>
    <w:rsid w:val="00254612"/>
    <w:rsid w:val="00254651"/>
    <w:rsid w:val="00254692"/>
    <w:rsid w:val="00254B67"/>
    <w:rsid w:val="00254BA1"/>
    <w:rsid w:val="00254BAD"/>
    <w:rsid w:val="00254C34"/>
    <w:rsid w:val="00255169"/>
    <w:rsid w:val="002551C7"/>
    <w:rsid w:val="0025526C"/>
    <w:rsid w:val="002553B4"/>
    <w:rsid w:val="00255457"/>
    <w:rsid w:val="00255962"/>
    <w:rsid w:val="002559D2"/>
    <w:rsid w:val="00255AF3"/>
    <w:rsid w:val="00255B2D"/>
    <w:rsid w:val="00255D4F"/>
    <w:rsid w:val="00255F5B"/>
    <w:rsid w:val="0025600C"/>
    <w:rsid w:val="00256026"/>
    <w:rsid w:val="002560E1"/>
    <w:rsid w:val="00256128"/>
    <w:rsid w:val="00256163"/>
    <w:rsid w:val="00256264"/>
    <w:rsid w:val="0025650F"/>
    <w:rsid w:val="002565A9"/>
    <w:rsid w:val="002568CE"/>
    <w:rsid w:val="00256954"/>
    <w:rsid w:val="00257052"/>
    <w:rsid w:val="00257112"/>
    <w:rsid w:val="00257141"/>
    <w:rsid w:val="0025715F"/>
    <w:rsid w:val="0025722F"/>
    <w:rsid w:val="00257488"/>
    <w:rsid w:val="00257683"/>
    <w:rsid w:val="002577BA"/>
    <w:rsid w:val="002579B0"/>
    <w:rsid w:val="00257A0B"/>
    <w:rsid w:val="00257B17"/>
    <w:rsid w:val="00257B40"/>
    <w:rsid w:val="00257CE7"/>
    <w:rsid w:val="00257DDF"/>
    <w:rsid w:val="00257E92"/>
    <w:rsid w:val="00257EE3"/>
    <w:rsid w:val="00257F06"/>
    <w:rsid w:val="002602C9"/>
    <w:rsid w:val="00260323"/>
    <w:rsid w:val="002609C8"/>
    <w:rsid w:val="00260BEC"/>
    <w:rsid w:val="00260BF0"/>
    <w:rsid w:val="00260C25"/>
    <w:rsid w:val="00260DAB"/>
    <w:rsid w:val="00260DD3"/>
    <w:rsid w:val="00260F0F"/>
    <w:rsid w:val="00261127"/>
    <w:rsid w:val="00261163"/>
    <w:rsid w:val="00261444"/>
    <w:rsid w:val="002614C1"/>
    <w:rsid w:val="002615A2"/>
    <w:rsid w:val="002618D9"/>
    <w:rsid w:val="002618F9"/>
    <w:rsid w:val="00261955"/>
    <w:rsid w:val="00261DCE"/>
    <w:rsid w:val="00261F8D"/>
    <w:rsid w:val="00262316"/>
    <w:rsid w:val="0026249C"/>
    <w:rsid w:val="00262752"/>
    <w:rsid w:val="002629BA"/>
    <w:rsid w:val="00262B63"/>
    <w:rsid w:val="00262B7A"/>
    <w:rsid w:val="00262D56"/>
    <w:rsid w:val="00262D5F"/>
    <w:rsid w:val="00262D81"/>
    <w:rsid w:val="00262E51"/>
    <w:rsid w:val="00263342"/>
    <w:rsid w:val="00263555"/>
    <w:rsid w:val="00263627"/>
    <w:rsid w:val="0026364B"/>
    <w:rsid w:val="0026383F"/>
    <w:rsid w:val="00263B57"/>
    <w:rsid w:val="0026410C"/>
    <w:rsid w:val="00264696"/>
    <w:rsid w:val="00264ABD"/>
    <w:rsid w:val="00264B0E"/>
    <w:rsid w:val="00264C64"/>
    <w:rsid w:val="00264CC4"/>
    <w:rsid w:val="00264F08"/>
    <w:rsid w:val="00264FC6"/>
    <w:rsid w:val="00264FCD"/>
    <w:rsid w:val="00264FDF"/>
    <w:rsid w:val="002650AA"/>
    <w:rsid w:val="00265151"/>
    <w:rsid w:val="00265191"/>
    <w:rsid w:val="002651F5"/>
    <w:rsid w:val="0026521A"/>
    <w:rsid w:val="00265374"/>
    <w:rsid w:val="002653C9"/>
    <w:rsid w:val="002653EE"/>
    <w:rsid w:val="00265502"/>
    <w:rsid w:val="002655E8"/>
    <w:rsid w:val="00265603"/>
    <w:rsid w:val="00265C5B"/>
    <w:rsid w:val="00265D1E"/>
    <w:rsid w:val="00266376"/>
    <w:rsid w:val="00266420"/>
    <w:rsid w:val="00266608"/>
    <w:rsid w:val="0026667E"/>
    <w:rsid w:val="002668F4"/>
    <w:rsid w:val="002669F2"/>
    <w:rsid w:val="00266B43"/>
    <w:rsid w:val="00266B60"/>
    <w:rsid w:val="00266F1C"/>
    <w:rsid w:val="00266F38"/>
    <w:rsid w:val="00266F42"/>
    <w:rsid w:val="00266F71"/>
    <w:rsid w:val="0026700E"/>
    <w:rsid w:val="0026726A"/>
    <w:rsid w:val="00267BAA"/>
    <w:rsid w:val="00267D32"/>
    <w:rsid w:val="0026D84A"/>
    <w:rsid w:val="00270068"/>
    <w:rsid w:val="002702B6"/>
    <w:rsid w:val="002702F4"/>
    <w:rsid w:val="002704D4"/>
    <w:rsid w:val="002706AB"/>
    <w:rsid w:val="002707C5"/>
    <w:rsid w:val="00270822"/>
    <w:rsid w:val="0027084A"/>
    <w:rsid w:val="0027093E"/>
    <w:rsid w:val="0027096E"/>
    <w:rsid w:val="00270A0F"/>
    <w:rsid w:val="00270B66"/>
    <w:rsid w:val="00270BCA"/>
    <w:rsid w:val="00270C6C"/>
    <w:rsid w:val="00270E8B"/>
    <w:rsid w:val="0027101F"/>
    <w:rsid w:val="002711AA"/>
    <w:rsid w:val="00271302"/>
    <w:rsid w:val="00271457"/>
    <w:rsid w:val="00271743"/>
    <w:rsid w:val="00271883"/>
    <w:rsid w:val="00271E4B"/>
    <w:rsid w:val="00271E5A"/>
    <w:rsid w:val="00271FB8"/>
    <w:rsid w:val="0027202C"/>
    <w:rsid w:val="002721E3"/>
    <w:rsid w:val="002723C7"/>
    <w:rsid w:val="0027252F"/>
    <w:rsid w:val="002725C4"/>
    <w:rsid w:val="00272941"/>
    <w:rsid w:val="0027294E"/>
    <w:rsid w:val="00272951"/>
    <w:rsid w:val="002729FA"/>
    <w:rsid w:val="00272A10"/>
    <w:rsid w:val="00272ABE"/>
    <w:rsid w:val="00272B3C"/>
    <w:rsid w:val="00272BC2"/>
    <w:rsid w:val="00272D3F"/>
    <w:rsid w:val="00272EDE"/>
    <w:rsid w:val="00273043"/>
    <w:rsid w:val="00273157"/>
    <w:rsid w:val="0027321F"/>
    <w:rsid w:val="002732B9"/>
    <w:rsid w:val="002732C1"/>
    <w:rsid w:val="002732E5"/>
    <w:rsid w:val="002733CC"/>
    <w:rsid w:val="002733D8"/>
    <w:rsid w:val="00273543"/>
    <w:rsid w:val="00273774"/>
    <w:rsid w:val="00273A7F"/>
    <w:rsid w:val="00273BC5"/>
    <w:rsid w:val="00273C37"/>
    <w:rsid w:val="00273C7D"/>
    <w:rsid w:val="00273D1C"/>
    <w:rsid w:val="00273D58"/>
    <w:rsid w:val="00273F28"/>
    <w:rsid w:val="0027403B"/>
    <w:rsid w:val="0027419D"/>
    <w:rsid w:val="0027426B"/>
    <w:rsid w:val="002743BF"/>
    <w:rsid w:val="00274517"/>
    <w:rsid w:val="00274607"/>
    <w:rsid w:val="00274639"/>
    <w:rsid w:val="0027463E"/>
    <w:rsid w:val="0027477F"/>
    <w:rsid w:val="0027482E"/>
    <w:rsid w:val="00274978"/>
    <w:rsid w:val="002749B7"/>
    <w:rsid w:val="00274B39"/>
    <w:rsid w:val="00274D62"/>
    <w:rsid w:val="002750F6"/>
    <w:rsid w:val="00275171"/>
    <w:rsid w:val="0027518E"/>
    <w:rsid w:val="0027522E"/>
    <w:rsid w:val="0027540D"/>
    <w:rsid w:val="002756E0"/>
    <w:rsid w:val="002757F1"/>
    <w:rsid w:val="002759EE"/>
    <w:rsid w:val="002759F5"/>
    <w:rsid w:val="00275B34"/>
    <w:rsid w:val="00275BFB"/>
    <w:rsid w:val="00275CD1"/>
    <w:rsid w:val="00275E0D"/>
    <w:rsid w:val="00275E6E"/>
    <w:rsid w:val="00275E91"/>
    <w:rsid w:val="00275EBC"/>
    <w:rsid w:val="00275F15"/>
    <w:rsid w:val="00275F45"/>
    <w:rsid w:val="00276050"/>
    <w:rsid w:val="002760EE"/>
    <w:rsid w:val="00276287"/>
    <w:rsid w:val="002763D4"/>
    <w:rsid w:val="0027688E"/>
    <w:rsid w:val="00276ACC"/>
    <w:rsid w:val="00276C35"/>
    <w:rsid w:val="00276E23"/>
    <w:rsid w:val="0027708E"/>
    <w:rsid w:val="0027712B"/>
    <w:rsid w:val="00277147"/>
    <w:rsid w:val="00277204"/>
    <w:rsid w:val="002772E1"/>
    <w:rsid w:val="00277344"/>
    <w:rsid w:val="0027744C"/>
    <w:rsid w:val="00277706"/>
    <w:rsid w:val="002777B3"/>
    <w:rsid w:val="002779AD"/>
    <w:rsid w:val="00277A2F"/>
    <w:rsid w:val="00277A33"/>
    <w:rsid w:val="00277ACE"/>
    <w:rsid w:val="00277B72"/>
    <w:rsid w:val="00277B8E"/>
    <w:rsid w:val="00277BF9"/>
    <w:rsid w:val="00277C76"/>
    <w:rsid w:val="00277ED0"/>
    <w:rsid w:val="002806D2"/>
    <w:rsid w:val="00280747"/>
    <w:rsid w:val="002808DD"/>
    <w:rsid w:val="00280990"/>
    <w:rsid w:val="002809D9"/>
    <w:rsid w:val="00280CA6"/>
    <w:rsid w:val="00280E04"/>
    <w:rsid w:val="00280FCF"/>
    <w:rsid w:val="0028104C"/>
    <w:rsid w:val="00281120"/>
    <w:rsid w:val="002811B2"/>
    <w:rsid w:val="0028149D"/>
    <w:rsid w:val="00281516"/>
    <w:rsid w:val="002819FE"/>
    <w:rsid w:val="00281CC8"/>
    <w:rsid w:val="00281F99"/>
    <w:rsid w:val="00281FC6"/>
    <w:rsid w:val="002822D5"/>
    <w:rsid w:val="00282580"/>
    <w:rsid w:val="0028259D"/>
    <w:rsid w:val="002826AD"/>
    <w:rsid w:val="002827E3"/>
    <w:rsid w:val="00282804"/>
    <w:rsid w:val="002828AD"/>
    <w:rsid w:val="00282E75"/>
    <w:rsid w:val="00282EBB"/>
    <w:rsid w:val="00283072"/>
    <w:rsid w:val="0028307D"/>
    <w:rsid w:val="002832ED"/>
    <w:rsid w:val="00283337"/>
    <w:rsid w:val="00283441"/>
    <w:rsid w:val="00283609"/>
    <w:rsid w:val="0028367D"/>
    <w:rsid w:val="0028374C"/>
    <w:rsid w:val="0028388D"/>
    <w:rsid w:val="002838C8"/>
    <w:rsid w:val="002838E5"/>
    <w:rsid w:val="00283965"/>
    <w:rsid w:val="00283C6B"/>
    <w:rsid w:val="00283F59"/>
    <w:rsid w:val="00284057"/>
    <w:rsid w:val="0028410E"/>
    <w:rsid w:val="00284143"/>
    <w:rsid w:val="00284195"/>
    <w:rsid w:val="00284449"/>
    <w:rsid w:val="002844D7"/>
    <w:rsid w:val="00284618"/>
    <w:rsid w:val="00284859"/>
    <w:rsid w:val="0028496E"/>
    <w:rsid w:val="00284D64"/>
    <w:rsid w:val="00284D94"/>
    <w:rsid w:val="00284DB4"/>
    <w:rsid w:val="00284DDB"/>
    <w:rsid w:val="00284EDD"/>
    <w:rsid w:val="00285021"/>
    <w:rsid w:val="002850D2"/>
    <w:rsid w:val="002851F2"/>
    <w:rsid w:val="002854AA"/>
    <w:rsid w:val="002857ED"/>
    <w:rsid w:val="00285844"/>
    <w:rsid w:val="002859EB"/>
    <w:rsid w:val="00285E04"/>
    <w:rsid w:val="00285FB8"/>
    <w:rsid w:val="00286039"/>
    <w:rsid w:val="00286076"/>
    <w:rsid w:val="00286478"/>
    <w:rsid w:val="00286533"/>
    <w:rsid w:val="0028658B"/>
    <w:rsid w:val="002865DA"/>
    <w:rsid w:val="00286611"/>
    <w:rsid w:val="00286660"/>
    <w:rsid w:val="00286700"/>
    <w:rsid w:val="002868AE"/>
    <w:rsid w:val="00286BAF"/>
    <w:rsid w:val="00286CDE"/>
    <w:rsid w:val="00286E2D"/>
    <w:rsid w:val="002870DB"/>
    <w:rsid w:val="0028738F"/>
    <w:rsid w:val="002874AB"/>
    <w:rsid w:val="002874B5"/>
    <w:rsid w:val="0028764B"/>
    <w:rsid w:val="002878F5"/>
    <w:rsid w:val="002878FF"/>
    <w:rsid w:val="00287937"/>
    <w:rsid w:val="00287C4A"/>
    <w:rsid w:val="0029008E"/>
    <w:rsid w:val="00290284"/>
    <w:rsid w:val="00290314"/>
    <w:rsid w:val="0029057E"/>
    <w:rsid w:val="0029078E"/>
    <w:rsid w:val="002909B1"/>
    <w:rsid w:val="00290AC9"/>
    <w:rsid w:val="00290D3D"/>
    <w:rsid w:val="00290F24"/>
    <w:rsid w:val="002910F0"/>
    <w:rsid w:val="0029133B"/>
    <w:rsid w:val="002914D1"/>
    <w:rsid w:val="00291574"/>
    <w:rsid w:val="0029159F"/>
    <w:rsid w:val="00291618"/>
    <w:rsid w:val="002917A0"/>
    <w:rsid w:val="00291932"/>
    <w:rsid w:val="00291B48"/>
    <w:rsid w:val="00291BEB"/>
    <w:rsid w:val="00291C6C"/>
    <w:rsid w:val="00291E2C"/>
    <w:rsid w:val="00291E33"/>
    <w:rsid w:val="00291F07"/>
    <w:rsid w:val="00291F0F"/>
    <w:rsid w:val="00291F74"/>
    <w:rsid w:val="00292010"/>
    <w:rsid w:val="002923AC"/>
    <w:rsid w:val="002923BC"/>
    <w:rsid w:val="00292809"/>
    <w:rsid w:val="00292939"/>
    <w:rsid w:val="00292B20"/>
    <w:rsid w:val="00292DA4"/>
    <w:rsid w:val="00292FAC"/>
    <w:rsid w:val="002931F2"/>
    <w:rsid w:val="002932DA"/>
    <w:rsid w:val="00293354"/>
    <w:rsid w:val="0029339F"/>
    <w:rsid w:val="002933E8"/>
    <w:rsid w:val="0029368C"/>
    <w:rsid w:val="002939C3"/>
    <w:rsid w:val="00293ADF"/>
    <w:rsid w:val="00293B03"/>
    <w:rsid w:val="00293B0C"/>
    <w:rsid w:val="00293D72"/>
    <w:rsid w:val="00293F97"/>
    <w:rsid w:val="00293FD9"/>
    <w:rsid w:val="00294082"/>
    <w:rsid w:val="0029435F"/>
    <w:rsid w:val="0029438A"/>
    <w:rsid w:val="002944F6"/>
    <w:rsid w:val="002945D5"/>
    <w:rsid w:val="00294785"/>
    <w:rsid w:val="00294BA4"/>
    <w:rsid w:val="00294ED0"/>
    <w:rsid w:val="00294F01"/>
    <w:rsid w:val="00294F41"/>
    <w:rsid w:val="002951ED"/>
    <w:rsid w:val="002951FE"/>
    <w:rsid w:val="002956D8"/>
    <w:rsid w:val="00295AB2"/>
    <w:rsid w:val="00295DDE"/>
    <w:rsid w:val="00295EE7"/>
    <w:rsid w:val="00295F6E"/>
    <w:rsid w:val="00295FA6"/>
    <w:rsid w:val="002961ED"/>
    <w:rsid w:val="0029658C"/>
    <w:rsid w:val="002966A5"/>
    <w:rsid w:val="00296753"/>
    <w:rsid w:val="00296BC3"/>
    <w:rsid w:val="00296C6F"/>
    <w:rsid w:val="00296D94"/>
    <w:rsid w:val="00296EF2"/>
    <w:rsid w:val="00296FAA"/>
    <w:rsid w:val="0029708C"/>
    <w:rsid w:val="002970C3"/>
    <w:rsid w:val="002970F5"/>
    <w:rsid w:val="002971AA"/>
    <w:rsid w:val="00297568"/>
    <w:rsid w:val="002975C5"/>
    <w:rsid w:val="002975F6"/>
    <w:rsid w:val="00297689"/>
    <w:rsid w:val="00297A1A"/>
    <w:rsid w:val="00297B23"/>
    <w:rsid w:val="00297B41"/>
    <w:rsid w:val="00297F52"/>
    <w:rsid w:val="00297F8F"/>
    <w:rsid w:val="00297FBD"/>
    <w:rsid w:val="002A0124"/>
    <w:rsid w:val="002A02C9"/>
    <w:rsid w:val="002A0434"/>
    <w:rsid w:val="002A07BC"/>
    <w:rsid w:val="002A08DD"/>
    <w:rsid w:val="002A0B55"/>
    <w:rsid w:val="002A0B82"/>
    <w:rsid w:val="002A0BE5"/>
    <w:rsid w:val="002A0CF5"/>
    <w:rsid w:val="002A1210"/>
    <w:rsid w:val="002A1480"/>
    <w:rsid w:val="002A1692"/>
    <w:rsid w:val="002A1C0F"/>
    <w:rsid w:val="002A1EDB"/>
    <w:rsid w:val="002A2002"/>
    <w:rsid w:val="002A20EB"/>
    <w:rsid w:val="002A21C1"/>
    <w:rsid w:val="002A224E"/>
    <w:rsid w:val="002A23E6"/>
    <w:rsid w:val="002A25B2"/>
    <w:rsid w:val="002A27F7"/>
    <w:rsid w:val="002A2992"/>
    <w:rsid w:val="002A2A2C"/>
    <w:rsid w:val="002A2DA2"/>
    <w:rsid w:val="002A2E1F"/>
    <w:rsid w:val="002A32A2"/>
    <w:rsid w:val="002A35D0"/>
    <w:rsid w:val="002A35EC"/>
    <w:rsid w:val="002A3626"/>
    <w:rsid w:val="002A3960"/>
    <w:rsid w:val="002A3B2B"/>
    <w:rsid w:val="002A3B4D"/>
    <w:rsid w:val="002A42AE"/>
    <w:rsid w:val="002A42BF"/>
    <w:rsid w:val="002A42FB"/>
    <w:rsid w:val="002A444C"/>
    <w:rsid w:val="002A4854"/>
    <w:rsid w:val="002A50ED"/>
    <w:rsid w:val="002A5163"/>
    <w:rsid w:val="002A5293"/>
    <w:rsid w:val="002A542E"/>
    <w:rsid w:val="002A5573"/>
    <w:rsid w:val="002A57A3"/>
    <w:rsid w:val="002A5806"/>
    <w:rsid w:val="002A5B13"/>
    <w:rsid w:val="002A5D20"/>
    <w:rsid w:val="002A5E58"/>
    <w:rsid w:val="002A5EE0"/>
    <w:rsid w:val="002A5F5B"/>
    <w:rsid w:val="002A5F60"/>
    <w:rsid w:val="002A601E"/>
    <w:rsid w:val="002A6070"/>
    <w:rsid w:val="002A612A"/>
    <w:rsid w:val="002A6318"/>
    <w:rsid w:val="002A63A0"/>
    <w:rsid w:val="002A6404"/>
    <w:rsid w:val="002A64A7"/>
    <w:rsid w:val="002A68A9"/>
    <w:rsid w:val="002A6EDC"/>
    <w:rsid w:val="002A6F69"/>
    <w:rsid w:val="002A70C3"/>
    <w:rsid w:val="002A70E1"/>
    <w:rsid w:val="002A710A"/>
    <w:rsid w:val="002A75F4"/>
    <w:rsid w:val="002A77B2"/>
    <w:rsid w:val="002A7ADA"/>
    <w:rsid w:val="002A7D5D"/>
    <w:rsid w:val="002B019E"/>
    <w:rsid w:val="002B029A"/>
    <w:rsid w:val="002B050F"/>
    <w:rsid w:val="002B05BE"/>
    <w:rsid w:val="002B0672"/>
    <w:rsid w:val="002B0900"/>
    <w:rsid w:val="002B0DC1"/>
    <w:rsid w:val="002B0DFF"/>
    <w:rsid w:val="002B111D"/>
    <w:rsid w:val="002B112C"/>
    <w:rsid w:val="002B11F0"/>
    <w:rsid w:val="002B1333"/>
    <w:rsid w:val="002B1544"/>
    <w:rsid w:val="002B156D"/>
    <w:rsid w:val="002B169F"/>
    <w:rsid w:val="002B16E4"/>
    <w:rsid w:val="002B1768"/>
    <w:rsid w:val="002B1A17"/>
    <w:rsid w:val="002B1C26"/>
    <w:rsid w:val="002B1C2F"/>
    <w:rsid w:val="002B1CCD"/>
    <w:rsid w:val="002B1E77"/>
    <w:rsid w:val="002B1EE9"/>
    <w:rsid w:val="002B2003"/>
    <w:rsid w:val="002B203C"/>
    <w:rsid w:val="002B22DD"/>
    <w:rsid w:val="002B2394"/>
    <w:rsid w:val="002B25AB"/>
    <w:rsid w:val="002B271C"/>
    <w:rsid w:val="002B28FA"/>
    <w:rsid w:val="002B294D"/>
    <w:rsid w:val="002B2967"/>
    <w:rsid w:val="002B29AD"/>
    <w:rsid w:val="002B2C9B"/>
    <w:rsid w:val="002B2F4F"/>
    <w:rsid w:val="002B3041"/>
    <w:rsid w:val="002B3168"/>
    <w:rsid w:val="002B326A"/>
    <w:rsid w:val="002B3403"/>
    <w:rsid w:val="002B3424"/>
    <w:rsid w:val="002B368C"/>
    <w:rsid w:val="002B3972"/>
    <w:rsid w:val="002B3B0B"/>
    <w:rsid w:val="002B3C7A"/>
    <w:rsid w:val="002B3CB7"/>
    <w:rsid w:val="002B41CB"/>
    <w:rsid w:val="002B43C6"/>
    <w:rsid w:val="002B46F7"/>
    <w:rsid w:val="002B48AA"/>
    <w:rsid w:val="002B4A6B"/>
    <w:rsid w:val="002B4CDF"/>
    <w:rsid w:val="002B4D31"/>
    <w:rsid w:val="002B4DF4"/>
    <w:rsid w:val="002B5148"/>
    <w:rsid w:val="002B5153"/>
    <w:rsid w:val="002B517A"/>
    <w:rsid w:val="002B5351"/>
    <w:rsid w:val="002B542E"/>
    <w:rsid w:val="002B563D"/>
    <w:rsid w:val="002B56F0"/>
    <w:rsid w:val="002B5967"/>
    <w:rsid w:val="002B5A31"/>
    <w:rsid w:val="002B5A81"/>
    <w:rsid w:val="002B5B09"/>
    <w:rsid w:val="002B5B0C"/>
    <w:rsid w:val="002B5B25"/>
    <w:rsid w:val="002B6211"/>
    <w:rsid w:val="002B634F"/>
    <w:rsid w:val="002B6433"/>
    <w:rsid w:val="002B66DB"/>
    <w:rsid w:val="002B6AA6"/>
    <w:rsid w:val="002B6AC6"/>
    <w:rsid w:val="002B6C94"/>
    <w:rsid w:val="002B6CB9"/>
    <w:rsid w:val="002B6E48"/>
    <w:rsid w:val="002B6E91"/>
    <w:rsid w:val="002B6E9A"/>
    <w:rsid w:val="002B6F4A"/>
    <w:rsid w:val="002B73EE"/>
    <w:rsid w:val="002B7497"/>
    <w:rsid w:val="002B7549"/>
    <w:rsid w:val="002B7613"/>
    <w:rsid w:val="002B78E1"/>
    <w:rsid w:val="002B7EEB"/>
    <w:rsid w:val="002B942D"/>
    <w:rsid w:val="002C0061"/>
    <w:rsid w:val="002C00D2"/>
    <w:rsid w:val="002C05D3"/>
    <w:rsid w:val="002C0608"/>
    <w:rsid w:val="002C0610"/>
    <w:rsid w:val="002C062B"/>
    <w:rsid w:val="002C0658"/>
    <w:rsid w:val="002C06EE"/>
    <w:rsid w:val="002C09A7"/>
    <w:rsid w:val="002C0B91"/>
    <w:rsid w:val="002C0BA3"/>
    <w:rsid w:val="002C0BC5"/>
    <w:rsid w:val="002C0D3A"/>
    <w:rsid w:val="002C0E42"/>
    <w:rsid w:val="002C1220"/>
    <w:rsid w:val="002C1509"/>
    <w:rsid w:val="002C160F"/>
    <w:rsid w:val="002C16CD"/>
    <w:rsid w:val="002C1998"/>
    <w:rsid w:val="002C19A1"/>
    <w:rsid w:val="002C1A14"/>
    <w:rsid w:val="002C1A3C"/>
    <w:rsid w:val="002C1ADA"/>
    <w:rsid w:val="002C1BFD"/>
    <w:rsid w:val="002C1CC8"/>
    <w:rsid w:val="002C1F0B"/>
    <w:rsid w:val="002C2547"/>
    <w:rsid w:val="002C26E0"/>
    <w:rsid w:val="002C2C0D"/>
    <w:rsid w:val="002C2C89"/>
    <w:rsid w:val="002C2D0E"/>
    <w:rsid w:val="002C2F94"/>
    <w:rsid w:val="002C3024"/>
    <w:rsid w:val="002C32D4"/>
    <w:rsid w:val="002C3304"/>
    <w:rsid w:val="002C3341"/>
    <w:rsid w:val="002C33B2"/>
    <w:rsid w:val="002C36BF"/>
    <w:rsid w:val="002C3A5F"/>
    <w:rsid w:val="002C3AA5"/>
    <w:rsid w:val="002C3CA8"/>
    <w:rsid w:val="002C3E1E"/>
    <w:rsid w:val="002C40C7"/>
    <w:rsid w:val="002C471A"/>
    <w:rsid w:val="002C487D"/>
    <w:rsid w:val="002C494E"/>
    <w:rsid w:val="002C496C"/>
    <w:rsid w:val="002C49EA"/>
    <w:rsid w:val="002C4A98"/>
    <w:rsid w:val="002C4DF9"/>
    <w:rsid w:val="002C4E4B"/>
    <w:rsid w:val="002C4F62"/>
    <w:rsid w:val="002C527D"/>
    <w:rsid w:val="002C53F7"/>
    <w:rsid w:val="002C54BF"/>
    <w:rsid w:val="002C5516"/>
    <w:rsid w:val="002C5542"/>
    <w:rsid w:val="002C5786"/>
    <w:rsid w:val="002C57FD"/>
    <w:rsid w:val="002C5932"/>
    <w:rsid w:val="002C5B8E"/>
    <w:rsid w:val="002C5BD5"/>
    <w:rsid w:val="002C5CCA"/>
    <w:rsid w:val="002C5D08"/>
    <w:rsid w:val="002C6033"/>
    <w:rsid w:val="002C60BD"/>
    <w:rsid w:val="002C60C8"/>
    <w:rsid w:val="002C61F7"/>
    <w:rsid w:val="002C63C3"/>
    <w:rsid w:val="002C68C2"/>
    <w:rsid w:val="002C693A"/>
    <w:rsid w:val="002C6A84"/>
    <w:rsid w:val="002C6C90"/>
    <w:rsid w:val="002C6C9E"/>
    <w:rsid w:val="002C6CD6"/>
    <w:rsid w:val="002C6D69"/>
    <w:rsid w:val="002C6DB8"/>
    <w:rsid w:val="002C6FE6"/>
    <w:rsid w:val="002C704A"/>
    <w:rsid w:val="002C70D9"/>
    <w:rsid w:val="002C719B"/>
    <w:rsid w:val="002C72AA"/>
    <w:rsid w:val="002C7423"/>
    <w:rsid w:val="002C765D"/>
    <w:rsid w:val="002C783A"/>
    <w:rsid w:val="002C7852"/>
    <w:rsid w:val="002D017B"/>
    <w:rsid w:val="002D02B7"/>
    <w:rsid w:val="002D041A"/>
    <w:rsid w:val="002D0636"/>
    <w:rsid w:val="002D06B3"/>
    <w:rsid w:val="002D07EA"/>
    <w:rsid w:val="002D0B2E"/>
    <w:rsid w:val="002D0D8D"/>
    <w:rsid w:val="002D0DA2"/>
    <w:rsid w:val="002D0DF9"/>
    <w:rsid w:val="002D0F07"/>
    <w:rsid w:val="002D0FE4"/>
    <w:rsid w:val="002D11BC"/>
    <w:rsid w:val="002D13CC"/>
    <w:rsid w:val="002D1582"/>
    <w:rsid w:val="002D1756"/>
    <w:rsid w:val="002D1827"/>
    <w:rsid w:val="002D1B67"/>
    <w:rsid w:val="002D1C42"/>
    <w:rsid w:val="002D21F0"/>
    <w:rsid w:val="002D25C2"/>
    <w:rsid w:val="002D282D"/>
    <w:rsid w:val="002D29E9"/>
    <w:rsid w:val="002D2AFB"/>
    <w:rsid w:val="002D2C55"/>
    <w:rsid w:val="002D2C63"/>
    <w:rsid w:val="002D2C78"/>
    <w:rsid w:val="002D2E7A"/>
    <w:rsid w:val="002D2ECE"/>
    <w:rsid w:val="002D2FBB"/>
    <w:rsid w:val="002D30CA"/>
    <w:rsid w:val="002D311A"/>
    <w:rsid w:val="002D3168"/>
    <w:rsid w:val="002D334C"/>
    <w:rsid w:val="002D3446"/>
    <w:rsid w:val="002D3544"/>
    <w:rsid w:val="002D363C"/>
    <w:rsid w:val="002D3674"/>
    <w:rsid w:val="002D371E"/>
    <w:rsid w:val="002D378A"/>
    <w:rsid w:val="002D39D2"/>
    <w:rsid w:val="002D3C39"/>
    <w:rsid w:val="002D3D8B"/>
    <w:rsid w:val="002D3E51"/>
    <w:rsid w:val="002D3E8D"/>
    <w:rsid w:val="002D4010"/>
    <w:rsid w:val="002D40A8"/>
    <w:rsid w:val="002D40D7"/>
    <w:rsid w:val="002D4127"/>
    <w:rsid w:val="002D414D"/>
    <w:rsid w:val="002D424E"/>
    <w:rsid w:val="002D4887"/>
    <w:rsid w:val="002D4D99"/>
    <w:rsid w:val="002D4DDC"/>
    <w:rsid w:val="002D4E07"/>
    <w:rsid w:val="002D4E4F"/>
    <w:rsid w:val="002D4F8B"/>
    <w:rsid w:val="002D4FD1"/>
    <w:rsid w:val="002D5163"/>
    <w:rsid w:val="002D53D0"/>
    <w:rsid w:val="002D5657"/>
    <w:rsid w:val="002D56FF"/>
    <w:rsid w:val="002D5880"/>
    <w:rsid w:val="002D59DE"/>
    <w:rsid w:val="002D5BDD"/>
    <w:rsid w:val="002D5C36"/>
    <w:rsid w:val="002D5C86"/>
    <w:rsid w:val="002D5FA8"/>
    <w:rsid w:val="002D60CC"/>
    <w:rsid w:val="002D6102"/>
    <w:rsid w:val="002D625A"/>
    <w:rsid w:val="002D63ED"/>
    <w:rsid w:val="002D64F6"/>
    <w:rsid w:val="002D66F0"/>
    <w:rsid w:val="002D672A"/>
    <w:rsid w:val="002D67C7"/>
    <w:rsid w:val="002D698E"/>
    <w:rsid w:val="002D69F1"/>
    <w:rsid w:val="002D6B23"/>
    <w:rsid w:val="002D6C34"/>
    <w:rsid w:val="002D6C4A"/>
    <w:rsid w:val="002D6C77"/>
    <w:rsid w:val="002D6DDB"/>
    <w:rsid w:val="002D6E1B"/>
    <w:rsid w:val="002D6E92"/>
    <w:rsid w:val="002D71FD"/>
    <w:rsid w:val="002D7216"/>
    <w:rsid w:val="002D722A"/>
    <w:rsid w:val="002D7238"/>
    <w:rsid w:val="002D75F1"/>
    <w:rsid w:val="002D76B6"/>
    <w:rsid w:val="002D79BC"/>
    <w:rsid w:val="002D7A97"/>
    <w:rsid w:val="002D7B43"/>
    <w:rsid w:val="002D7C2F"/>
    <w:rsid w:val="002D7E4E"/>
    <w:rsid w:val="002E0046"/>
    <w:rsid w:val="002E00CB"/>
    <w:rsid w:val="002E01AB"/>
    <w:rsid w:val="002E01BC"/>
    <w:rsid w:val="002E01CC"/>
    <w:rsid w:val="002E01F7"/>
    <w:rsid w:val="002E032B"/>
    <w:rsid w:val="002E0389"/>
    <w:rsid w:val="002E0705"/>
    <w:rsid w:val="002E08EB"/>
    <w:rsid w:val="002E0B25"/>
    <w:rsid w:val="002E0D9E"/>
    <w:rsid w:val="002E0E41"/>
    <w:rsid w:val="002E0F65"/>
    <w:rsid w:val="002E0F84"/>
    <w:rsid w:val="002E119F"/>
    <w:rsid w:val="002E11EB"/>
    <w:rsid w:val="002E15EC"/>
    <w:rsid w:val="002E16DB"/>
    <w:rsid w:val="002E1722"/>
    <w:rsid w:val="002E195A"/>
    <w:rsid w:val="002E1A6D"/>
    <w:rsid w:val="002E1AC4"/>
    <w:rsid w:val="002E1C85"/>
    <w:rsid w:val="002E1DAB"/>
    <w:rsid w:val="002E1E6B"/>
    <w:rsid w:val="002E1F20"/>
    <w:rsid w:val="002E1F48"/>
    <w:rsid w:val="002E2128"/>
    <w:rsid w:val="002E21E1"/>
    <w:rsid w:val="002E222D"/>
    <w:rsid w:val="002E22A7"/>
    <w:rsid w:val="002E23E4"/>
    <w:rsid w:val="002E2576"/>
    <w:rsid w:val="002E25DF"/>
    <w:rsid w:val="002E2670"/>
    <w:rsid w:val="002E26C9"/>
    <w:rsid w:val="002E2942"/>
    <w:rsid w:val="002E2BEA"/>
    <w:rsid w:val="002E2BF5"/>
    <w:rsid w:val="002E2E13"/>
    <w:rsid w:val="002E2EC4"/>
    <w:rsid w:val="002E3006"/>
    <w:rsid w:val="002E3245"/>
    <w:rsid w:val="002E3290"/>
    <w:rsid w:val="002E366E"/>
    <w:rsid w:val="002E375E"/>
    <w:rsid w:val="002E38D3"/>
    <w:rsid w:val="002E3A43"/>
    <w:rsid w:val="002E3B57"/>
    <w:rsid w:val="002E400B"/>
    <w:rsid w:val="002E400F"/>
    <w:rsid w:val="002E40C7"/>
    <w:rsid w:val="002E419F"/>
    <w:rsid w:val="002E41A4"/>
    <w:rsid w:val="002E4286"/>
    <w:rsid w:val="002E436B"/>
    <w:rsid w:val="002E43BD"/>
    <w:rsid w:val="002E4486"/>
    <w:rsid w:val="002E44F8"/>
    <w:rsid w:val="002E468E"/>
    <w:rsid w:val="002E46C3"/>
    <w:rsid w:val="002E49E0"/>
    <w:rsid w:val="002E4AC5"/>
    <w:rsid w:val="002E4C8B"/>
    <w:rsid w:val="002E4D69"/>
    <w:rsid w:val="002E527C"/>
    <w:rsid w:val="002E5292"/>
    <w:rsid w:val="002E554A"/>
    <w:rsid w:val="002E5740"/>
    <w:rsid w:val="002E5741"/>
    <w:rsid w:val="002E5BA9"/>
    <w:rsid w:val="002E5BE2"/>
    <w:rsid w:val="002E5C6A"/>
    <w:rsid w:val="002E5ED0"/>
    <w:rsid w:val="002E5FF3"/>
    <w:rsid w:val="002E60E9"/>
    <w:rsid w:val="002E60EA"/>
    <w:rsid w:val="002E60EC"/>
    <w:rsid w:val="002E6301"/>
    <w:rsid w:val="002E632A"/>
    <w:rsid w:val="002E6336"/>
    <w:rsid w:val="002E63BE"/>
    <w:rsid w:val="002E6570"/>
    <w:rsid w:val="002E65A6"/>
    <w:rsid w:val="002E67F2"/>
    <w:rsid w:val="002E6AF2"/>
    <w:rsid w:val="002E6DBB"/>
    <w:rsid w:val="002E6F27"/>
    <w:rsid w:val="002E725E"/>
    <w:rsid w:val="002E7370"/>
    <w:rsid w:val="002E746C"/>
    <w:rsid w:val="002E751A"/>
    <w:rsid w:val="002E7592"/>
    <w:rsid w:val="002E7653"/>
    <w:rsid w:val="002E7802"/>
    <w:rsid w:val="002E785B"/>
    <w:rsid w:val="002E7C5B"/>
    <w:rsid w:val="002E7D7C"/>
    <w:rsid w:val="002E7F0F"/>
    <w:rsid w:val="002F0134"/>
    <w:rsid w:val="002F0584"/>
    <w:rsid w:val="002F05EC"/>
    <w:rsid w:val="002F06B9"/>
    <w:rsid w:val="002F087B"/>
    <w:rsid w:val="002F0AFC"/>
    <w:rsid w:val="002F0EF0"/>
    <w:rsid w:val="002F0F76"/>
    <w:rsid w:val="002F1078"/>
    <w:rsid w:val="002F10C7"/>
    <w:rsid w:val="002F1153"/>
    <w:rsid w:val="002F12DD"/>
    <w:rsid w:val="002F1324"/>
    <w:rsid w:val="002F1399"/>
    <w:rsid w:val="002F13B6"/>
    <w:rsid w:val="002F1489"/>
    <w:rsid w:val="002F1772"/>
    <w:rsid w:val="002F1A55"/>
    <w:rsid w:val="002F1AF6"/>
    <w:rsid w:val="002F1B38"/>
    <w:rsid w:val="002F1BF0"/>
    <w:rsid w:val="002F1D56"/>
    <w:rsid w:val="002F1FD6"/>
    <w:rsid w:val="002F205E"/>
    <w:rsid w:val="002F2062"/>
    <w:rsid w:val="002F208B"/>
    <w:rsid w:val="002F20E5"/>
    <w:rsid w:val="002F26BC"/>
    <w:rsid w:val="002F277D"/>
    <w:rsid w:val="002F297F"/>
    <w:rsid w:val="002F2E33"/>
    <w:rsid w:val="002F2FEF"/>
    <w:rsid w:val="002F301F"/>
    <w:rsid w:val="002F3286"/>
    <w:rsid w:val="002F330B"/>
    <w:rsid w:val="002F3543"/>
    <w:rsid w:val="002F3631"/>
    <w:rsid w:val="002F37FF"/>
    <w:rsid w:val="002F3802"/>
    <w:rsid w:val="002F386F"/>
    <w:rsid w:val="002F3D03"/>
    <w:rsid w:val="002F3D17"/>
    <w:rsid w:val="002F3DB4"/>
    <w:rsid w:val="002F3EB4"/>
    <w:rsid w:val="002F4088"/>
    <w:rsid w:val="002F4110"/>
    <w:rsid w:val="002F42C4"/>
    <w:rsid w:val="002F453B"/>
    <w:rsid w:val="002F4546"/>
    <w:rsid w:val="002F45CC"/>
    <w:rsid w:val="002F46C1"/>
    <w:rsid w:val="002F47F8"/>
    <w:rsid w:val="002F4A01"/>
    <w:rsid w:val="002F4B1F"/>
    <w:rsid w:val="002F4B71"/>
    <w:rsid w:val="002F4BF5"/>
    <w:rsid w:val="002F4C6B"/>
    <w:rsid w:val="002F4CD3"/>
    <w:rsid w:val="002F5054"/>
    <w:rsid w:val="002F5299"/>
    <w:rsid w:val="002F5318"/>
    <w:rsid w:val="002F5359"/>
    <w:rsid w:val="002F5435"/>
    <w:rsid w:val="002F5531"/>
    <w:rsid w:val="002F583B"/>
    <w:rsid w:val="002F5874"/>
    <w:rsid w:val="002F5917"/>
    <w:rsid w:val="002F594F"/>
    <w:rsid w:val="002F5B7C"/>
    <w:rsid w:val="002F5CA4"/>
    <w:rsid w:val="002F5CD1"/>
    <w:rsid w:val="002F5D1E"/>
    <w:rsid w:val="002F5E3E"/>
    <w:rsid w:val="002F6180"/>
    <w:rsid w:val="002F648B"/>
    <w:rsid w:val="002F658F"/>
    <w:rsid w:val="002F67DF"/>
    <w:rsid w:val="002F68E4"/>
    <w:rsid w:val="002F6DB1"/>
    <w:rsid w:val="002F6DD3"/>
    <w:rsid w:val="002F6F05"/>
    <w:rsid w:val="002F6FB2"/>
    <w:rsid w:val="002F7004"/>
    <w:rsid w:val="002F7115"/>
    <w:rsid w:val="002F7687"/>
    <w:rsid w:val="002F77D3"/>
    <w:rsid w:val="002F7C5D"/>
    <w:rsid w:val="002F7D83"/>
    <w:rsid w:val="002F7E59"/>
    <w:rsid w:val="002F7E96"/>
    <w:rsid w:val="002F7EF3"/>
    <w:rsid w:val="0030010A"/>
    <w:rsid w:val="0030014D"/>
    <w:rsid w:val="00300485"/>
    <w:rsid w:val="00300570"/>
    <w:rsid w:val="0030066C"/>
    <w:rsid w:val="00300714"/>
    <w:rsid w:val="00300858"/>
    <w:rsid w:val="00300A20"/>
    <w:rsid w:val="00300A36"/>
    <w:rsid w:val="00300AC7"/>
    <w:rsid w:val="00300BD9"/>
    <w:rsid w:val="00300BDF"/>
    <w:rsid w:val="00301310"/>
    <w:rsid w:val="003013F1"/>
    <w:rsid w:val="003017CA"/>
    <w:rsid w:val="00301935"/>
    <w:rsid w:val="00301975"/>
    <w:rsid w:val="00301976"/>
    <w:rsid w:val="00301AF2"/>
    <w:rsid w:val="00301BF9"/>
    <w:rsid w:val="00301BFF"/>
    <w:rsid w:val="00301D5C"/>
    <w:rsid w:val="00301E26"/>
    <w:rsid w:val="00301F03"/>
    <w:rsid w:val="00301F72"/>
    <w:rsid w:val="00301FF8"/>
    <w:rsid w:val="00302143"/>
    <w:rsid w:val="00302146"/>
    <w:rsid w:val="003021D0"/>
    <w:rsid w:val="00302212"/>
    <w:rsid w:val="003022C1"/>
    <w:rsid w:val="003023AD"/>
    <w:rsid w:val="00302474"/>
    <w:rsid w:val="00302558"/>
    <w:rsid w:val="003027B8"/>
    <w:rsid w:val="003028DB"/>
    <w:rsid w:val="003028F3"/>
    <w:rsid w:val="00302A2E"/>
    <w:rsid w:val="00302A2F"/>
    <w:rsid w:val="00302AF5"/>
    <w:rsid w:val="00302F40"/>
    <w:rsid w:val="003031E8"/>
    <w:rsid w:val="00303338"/>
    <w:rsid w:val="003038D6"/>
    <w:rsid w:val="00303D0A"/>
    <w:rsid w:val="00303E50"/>
    <w:rsid w:val="00303F6F"/>
    <w:rsid w:val="00304319"/>
    <w:rsid w:val="00304497"/>
    <w:rsid w:val="003044ED"/>
    <w:rsid w:val="003045CB"/>
    <w:rsid w:val="0030466C"/>
    <w:rsid w:val="00304771"/>
    <w:rsid w:val="00304827"/>
    <w:rsid w:val="00304869"/>
    <w:rsid w:val="00304937"/>
    <w:rsid w:val="003049B0"/>
    <w:rsid w:val="00304B4C"/>
    <w:rsid w:val="0030508E"/>
    <w:rsid w:val="003050A3"/>
    <w:rsid w:val="00305280"/>
    <w:rsid w:val="0030559C"/>
    <w:rsid w:val="003055B2"/>
    <w:rsid w:val="00305A84"/>
    <w:rsid w:val="00305B5C"/>
    <w:rsid w:val="00305B9F"/>
    <w:rsid w:val="00305C2A"/>
    <w:rsid w:val="00306026"/>
    <w:rsid w:val="003061FC"/>
    <w:rsid w:val="003063D6"/>
    <w:rsid w:val="00306473"/>
    <w:rsid w:val="00306586"/>
    <w:rsid w:val="00306864"/>
    <w:rsid w:val="003069EB"/>
    <w:rsid w:val="00306A39"/>
    <w:rsid w:val="00306C70"/>
    <w:rsid w:val="00306DB5"/>
    <w:rsid w:val="00306EB5"/>
    <w:rsid w:val="00306ECE"/>
    <w:rsid w:val="00306F56"/>
    <w:rsid w:val="00307081"/>
    <w:rsid w:val="003070CB"/>
    <w:rsid w:val="003071C3"/>
    <w:rsid w:val="00307253"/>
    <w:rsid w:val="0030770E"/>
    <w:rsid w:val="003078AA"/>
    <w:rsid w:val="00307F39"/>
    <w:rsid w:val="00307FD7"/>
    <w:rsid w:val="0031014A"/>
    <w:rsid w:val="00310313"/>
    <w:rsid w:val="0031043F"/>
    <w:rsid w:val="003104A2"/>
    <w:rsid w:val="00310508"/>
    <w:rsid w:val="00310609"/>
    <w:rsid w:val="003106CF"/>
    <w:rsid w:val="00310AC8"/>
    <w:rsid w:val="00310B8B"/>
    <w:rsid w:val="00310C73"/>
    <w:rsid w:val="00310C92"/>
    <w:rsid w:val="00310CE6"/>
    <w:rsid w:val="0031110D"/>
    <w:rsid w:val="0031118B"/>
    <w:rsid w:val="0031141A"/>
    <w:rsid w:val="003116A7"/>
    <w:rsid w:val="00311840"/>
    <w:rsid w:val="003118FE"/>
    <w:rsid w:val="00311943"/>
    <w:rsid w:val="0031199F"/>
    <w:rsid w:val="00311CDE"/>
    <w:rsid w:val="00311F51"/>
    <w:rsid w:val="00311FB5"/>
    <w:rsid w:val="003126CE"/>
    <w:rsid w:val="00312871"/>
    <w:rsid w:val="00312B75"/>
    <w:rsid w:val="00312BE3"/>
    <w:rsid w:val="00312D4B"/>
    <w:rsid w:val="00313009"/>
    <w:rsid w:val="0031326B"/>
    <w:rsid w:val="00313274"/>
    <w:rsid w:val="0031375B"/>
    <w:rsid w:val="00313791"/>
    <w:rsid w:val="00313931"/>
    <w:rsid w:val="00313A94"/>
    <w:rsid w:val="00313D05"/>
    <w:rsid w:val="00313F28"/>
    <w:rsid w:val="0031418F"/>
    <w:rsid w:val="0031437B"/>
    <w:rsid w:val="0031446C"/>
    <w:rsid w:val="003146B1"/>
    <w:rsid w:val="00314860"/>
    <w:rsid w:val="003149B6"/>
    <w:rsid w:val="00314B88"/>
    <w:rsid w:val="00314D3F"/>
    <w:rsid w:val="00314DF2"/>
    <w:rsid w:val="00314FCB"/>
    <w:rsid w:val="0031500A"/>
    <w:rsid w:val="003150E0"/>
    <w:rsid w:val="003151B0"/>
    <w:rsid w:val="00315462"/>
    <w:rsid w:val="003154D6"/>
    <w:rsid w:val="00315539"/>
    <w:rsid w:val="00315883"/>
    <w:rsid w:val="00315D8E"/>
    <w:rsid w:val="00316412"/>
    <w:rsid w:val="00316492"/>
    <w:rsid w:val="00316641"/>
    <w:rsid w:val="00316A32"/>
    <w:rsid w:val="00316AFE"/>
    <w:rsid w:val="00316C8A"/>
    <w:rsid w:val="00316D0B"/>
    <w:rsid w:val="00316DDC"/>
    <w:rsid w:val="00316EDF"/>
    <w:rsid w:val="00316FBF"/>
    <w:rsid w:val="003170B0"/>
    <w:rsid w:val="003170CF"/>
    <w:rsid w:val="0031735E"/>
    <w:rsid w:val="00317493"/>
    <w:rsid w:val="00317641"/>
    <w:rsid w:val="00317666"/>
    <w:rsid w:val="003176BF"/>
    <w:rsid w:val="00317880"/>
    <w:rsid w:val="003179C8"/>
    <w:rsid w:val="00317BA5"/>
    <w:rsid w:val="00317BF1"/>
    <w:rsid w:val="0031A662"/>
    <w:rsid w:val="00320212"/>
    <w:rsid w:val="0032024B"/>
    <w:rsid w:val="003202D4"/>
    <w:rsid w:val="0032041E"/>
    <w:rsid w:val="00320458"/>
    <w:rsid w:val="003204CB"/>
    <w:rsid w:val="003204F7"/>
    <w:rsid w:val="0032066A"/>
    <w:rsid w:val="003206AD"/>
    <w:rsid w:val="00320733"/>
    <w:rsid w:val="00320773"/>
    <w:rsid w:val="0032079C"/>
    <w:rsid w:val="003207AF"/>
    <w:rsid w:val="00320837"/>
    <w:rsid w:val="003208D9"/>
    <w:rsid w:val="00320ACA"/>
    <w:rsid w:val="00320AEF"/>
    <w:rsid w:val="00320B71"/>
    <w:rsid w:val="00320C0C"/>
    <w:rsid w:val="00320E34"/>
    <w:rsid w:val="00320EA2"/>
    <w:rsid w:val="00320F3E"/>
    <w:rsid w:val="0032113D"/>
    <w:rsid w:val="0032118A"/>
    <w:rsid w:val="003213C7"/>
    <w:rsid w:val="0032154B"/>
    <w:rsid w:val="00321735"/>
    <w:rsid w:val="00321AB8"/>
    <w:rsid w:val="00321B46"/>
    <w:rsid w:val="00321C6E"/>
    <w:rsid w:val="00321D32"/>
    <w:rsid w:val="00321E40"/>
    <w:rsid w:val="00322000"/>
    <w:rsid w:val="00322139"/>
    <w:rsid w:val="00322299"/>
    <w:rsid w:val="003222BF"/>
    <w:rsid w:val="003222C8"/>
    <w:rsid w:val="00322B79"/>
    <w:rsid w:val="00322E1C"/>
    <w:rsid w:val="00322FA2"/>
    <w:rsid w:val="00323163"/>
    <w:rsid w:val="0032323E"/>
    <w:rsid w:val="0032353F"/>
    <w:rsid w:val="00323670"/>
    <w:rsid w:val="003236BA"/>
    <w:rsid w:val="00323822"/>
    <w:rsid w:val="00323833"/>
    <w:rsid w:val="00323921"/>
    <w:rsid w:val="00323B99"/>
    <w:rsid w:val="00323C51"/>
    <w:rsid w:val="00323CB0"/>
    <w:rsid w:val="00324045"/>
    <w:rsid w:val="0032437A"/>
    <w:rsid w:val="0032449D"/>
    <w:rsid w:val="003246E9"/>
    <w:rsid w:val="0032472D"/>
    <w:rsid w:val="003247FE"/>
    <w:rsid w:val="00324AE9"/>
    <w:rsid w:val="00324B5B"/>
    <w:rsid w:val="00324C13"/>
    <w:rsid w:val="00324C8F"/>
    <w:rsid w:val="00324DE2"/>
    <w:rsid w:val="00324EFE"/>
    <w:rsid w:val="00324F52"/>
    <w:rsid w:val="003250E3"/>
    <w:rsid w:val="0032520F"/>
    <w:rsid w:val="003254C3"/>
    <w:rsid w:val="0032558B"/>
    <w:rsid w:val="00325739"/>
    <w:rsid w:val="003257A8"/>
    <w:rsid w:val="00325B78"/>
    <w:rsid w:val="00325CD9"/>
    <w:rsid w:val="00325F8D"/>
    <w:rsid w:val="00325FC2"/>
    <w:rsid w:val="0032604D"/>
    <w:rsid w:val="00326093"/>
    <w:rsid w:val="003262A5"/>
    <w:rsid w:val="00326326"/>
    <w:rsid w:val="003263C6"/>
    <w:rsid w:val="003265E8"/>
    <w:rsid w:val="0032663E"/>
    <w:rsid w:val="0032668B"/>
    <w:rsid w:val="003267D0"/>
    <w:rsid w:val="00326ADC"/>
    <w:rsid w:val="00326E37"/>
    <w:rsid w:val="00326F14"/>
    <w:rsid w:val="00326F57"/>
    <w:rsid w:val="00326F7D"/>
    <w:rsid w:val="003270C6"/>
    <w:rsid w:val="003271CD"/>
    <w:rsid w:val="00327397"/>
    <w:rsid w:val="003275F7"/>
    <w:rsid w:val="0032767A"/>
    <w:rsid w:val="00327696"/>
    <w:rsid w:val="0032782F"/>
    <w:rsid w:val="0032789C"/>
    <w:rsid w:val="0032789D"/>
    <w:rsid w:val="0032790F"/>
    <w:rsid w:val="00327A90"/>
    <w:rsid w:val="00327EAA"/>
    <w:rsid w:val="0033029B"/>
    <w:rsid w:val="0033047B"/>
    <w:rsid w:val="003304A0"/>
    <w:rsid w:val="0033066C"/>
    <w:rsid w:val="003306DC"/>
    <w:rsid w:val="0033071F"/>
    <w:rsid w:val="00330772"/>
    <w:rsid w:val="003307DA"/>
    <w:rsid w:val="0033081D"/>
    <w:rsid w:val="003308C0"/>
    <w:rsid w:val="003308CF"/>
    <w:rsid w:val="003308EB"/>
    <w:rsid w:val="003309B3"/>
    <w:rsid w:val="00330AB2"/>
    <w:rsid w:val="00330B59"/>
    <w:rsid w:val="00330B91"/>
    <w:rsid w:val="00330CA8"/>
    <w:rsid w:val="00330CEA"/>
    <w:rsid w:val="00330EDD"/>
    <w:rsid w:val="00330F85"/>
    <w:rsid w:val="00330F9A"/>
    <w:rsid w:val="00331020"/>
    <w:rsid w:val="00331038"/>
    <w:rsid w:val="0033109A"/>
    <w:rsid w:val="00331472"/>
    <w:rsid w:val="00331648"/>
    <w:rsid w:val="0033187E"/>
    <w:rsid w:val="003318B1"/>
    <w:rsid w:val="003319C9"/>
    <w:rsid w:val="00331B48"/>
    <w:rsid w:val="00331BFF"/>
    <w:rsid w:val="00331D89"/>
    <w:rsid w:val="00331F4F"/>
    <w:rsid w:val="0033211C"/>
    <w:rsid w:val="0033212C"/>
    <w:rsid w:val="00332302"/>
    <w:rsid w:val="00332324"/>
    <w:rsid w:val="00332494"/>
    <w:rsid w:val="00332498"/>
    <w:rsid w:val="003324AB"/>
    <w:rsid w:val="00332654"/>
    <w:rsid w:val="003326A9"/>
    <w:rsid w:val="00332766"/>
    <w:rsid w:val="00332767"/>
    <w:rsid w:val="003328B9"/>
    <w:rsid w:val="0033291A"/>
    <w:rsid w:val="00332B01"/>
    <w:rsid w:val="00332B17"/>
    <w:rsid w:val="00332B70"/>
    <w:rsid w:val="00332D56"/>
    <w:rsid w:val="00332FAE"/>
    <w:rsid w:val="00333076"/>
    <w:rsid w:val="0033314A"/>
    <w:rsid w:val="003333A6"/>
    <w:rsid w:val="003333B1"/>
    <w:rsid w:val="00333462"/>
    <w:rsid w:val="003334C0"/>
    <w:rsid w:val="003335F8"/>
    <w:rsid w:val="003337FF"/>
    <w:rsid w:val="0033385C"/>
    <w:rsid w:val="00333891"/>
    <w:rsid w:val="00333ABA"/>
    <w:rsid w:val="00333E9D"/>
    <w:rsid w:val="00333F3B"/>
    <w:rsid w:val="003341F6"/>
    <w:rsid w:val="0033428D"/>
    <w:rsid w:val="00334403"/>
    <w:rsid w:val="003345D0"/>
    <w:rsid w:val="003347F6"/>
    <w:rsid w:val="00334898"/>
    <w:rsid w:val="00334B23"/>
    <w:rsid w:val="00334C26"/>
    <w:rsid w:val="00334D24"/>
    <w:rsid w:val="00334E74"/>
    <w:rsid w:val="0033502E"/>
    <w:rsid w:val="00335071"/>
    <w:rsid w:val="0033523F"/>
    <w:rsid w:val="00335329"/>
    <w:rsid w:val="003355B4"/>
    <w:rsid w:val="00335A84"/>
    <w:rsid w:val="00335AE8"/>
    <w:rsid w:val="00335D76"/>
    <w:rsid w:val="00335DD7"/>
    <w:rsid w:val="00335F64"/>
    <w:rsid w:val="00336052"/>
    <w:rsid w:val="00336090"/>
    <w:rsid w:val="0033632E"/>
    <w:rsid w:val="003363D9"/>
    <w:rsid w:val="003366F4"/>
    <w:rsid w:val="003367B5"/>
    <w:rsid w:val="003367F8"/>
    <w:rsid w:val="0033687C"/>
    <w:rsid w:val="00336960"/>
    <w:rsid w:val="00336B14"/>
    <w:rsid w:val="00336C52"/>
    <w:rsid w:val="00336EFB"/>
    <w:rsid w:val="00336F38"/>
    <w:rsid w:val="00337144"/>
    <w:rsid w:val="003371FB"/>
    <w:rsid w:val="00337402"/>
    <w:rsid w:val="00337670"/>
    <w:rsid w:val="0033770C"/>
    <w:rsid w:val="003377FD"/>
    <w:rsid w:val="00337EB3"/>
    <w:rsid w:val="00337F6B"/>
    <w:rsid w:val="0033888F"/>
    <w:rsid w:val="003400CB"/>
    <w:rsid w:val="003406E0"/>
    <w:rsid w:val="00340821"/>
    <w:rsid w:val="00340872"/>
    <w:rsid w:val="00340936"/>
    <w:rsid w:val="00340A0E"/>
    <w:rsid w:val="00340A0F"/>
    <w:rsid w:val="00340A89"/>
    <w:rsid w:val="00340CD1"/>
    <w:rsid w:val="00341064"/>
    <w:rsid w:val="00341223"/>
    <w:rsid w:val="003414B7"/>
    <w:rsid w:val="00341557"/>
    <w:rsid w:val="003416DA"/>
    <w:rsid w:val="003417E2"/>
    <w:rsid w:val="00341845"/>
    <w:rsid w:val="003418AF"/>
    <w:rsid w:val="00341954"/>
    <w:rsid w:val="00341CDB"/>
    <w:rsid w:val="00341F52"/>
    <w:rsid w:val="00341F81"/>
    <w:rsid w:val="003424BA"/>
    <w:rsid w:val="003425A1"/>
    <w:rsid w:val="00342663"/>
    <w:rsid w:val="003426EE"/>
    <w:rsid w:val="00342910"/>
    <w:rsid w:val="00342A27"/>
    <w:rsid w:val="00342B64"/>
    <w:rsid w:val="00342DBB"/>
    <w:rsid w:val="00342FFD"/>
    <w:rsid w:val="00343092"/>
    <w:rsid w:val="003432AC"/>
    <w:rsid w:val="00343358"/>
    <w:rsid w:val="003433C7"/>
    <w:rsid w:val="003434E0"/>
    <w:rsid w:val="0034353B"/>
    <w:rsid w:val="00343BB9"/>
    <w:rsid w:val="00343BD7"/>
    <w:rsid w:val="00343C20"/>
    <w:rsid w:val="00343DB2"/>
    <w:rsid w:val="00343EC5"/>
    <w:rsid w:val="003440CB"/>
    <w:rsid w:val="00344248"/>
    <w:rsid w:val="003447A8"/>
    <w:rsid w:val="00344AF6"/>
    <w:rsid w:val="00344C43"/>
    <w:rsid w:val="00344C57"/>
    <w:rsid w:val="00344D9C"/>
    <w:rsid w:val="00344E6A"/>
    <w:rsid w:val="0034504A"/>
    <w:rsid w:val="003453BD"/>
    <w:rsid w:val="00345482"/>
    <w:rsid w:val="00345D80"/>
    <w:rsid w:val="00345F01"/>
    <w:rsid w:val="00345FF7"/>
    <w:rsid w:val="00346121"/>
    <w:rsid w:val="003461D7"/>
    <w:rsid w:val="00346479"/>
    <w:rsid w:val="003465A0"/>
    <w:rsid w:val="003465AE"/>
    <w:rsid w:val="0034665A"/>
    <w:rsid w:val="0034679C"/>
    <w:rsid w:val="003467A7"/>
    <w:rsid w:val="003467E3"/>
    <w:rsid w:val="003468B5"/>
    <w:rsid w:val="003468F6"/>
    <w:rsid w:val="00346928"/>
    <w:rsid w:val="003469C3"/>
    <w:rsid w:val="00346CBD"/>
    <w:rsid w:val="00346D30"/>
    <w:rsid w:val="00346DAE"/>
    <w:rsid w:val="0034729D"/>
    <w:rsid w:val="003474E0"/>
    <w:rsid w:val="0034759D"/>
    <w:rsid w:val="003477F3"/>
    <w:rsid w:val="0034789A"/>
    <w:rsid w:val="00347C2D"/>
    <w:rsid w:val="00347C39"/>
    <w:rsid w:val="00347DCF"/>
    <w:rsid w:val="003500EB"/>
    <w:rsid w:val="003501FE"/>
    <w:rsid w:val="00350263"/>
    <w:rsid w:val="00350338"/>
    <w:rsid w:val="003503BE"/>
    <w:rsid w:val="003503C4"/>
    <w:rsid w:val="00350481"/>
    <w:rsid w:val="00350711"/>
    <w:rsid w:val="0035088F"/>
    <w:rsid w:val="00350913"/>
    <w:rsid w:val="0035093D"/>
    <w:rsid w:val="003509E4"/>
    <w:rsid w:val="003509E5"/>
    <w:rsid w:val="00350A2E"/>
    <w:rsid w:val="00350AE3"/>
    <w:rsid w:val="00350B8D"/>
    <w:rsid w:val="00350D1B"/>
    <w:rsid w:val="00350D76"/>
    <w:rsid w:val="00350E9F"/>
    <w:rsid w:val="00350F9B"/>
    <w:rsid w:val="0035102A"/>
    <w:rsid w:val="00351037"/>
    <w:rsid w:val="0035109F"/>
    <w:rsid w:val="003511C0"/>
    <w:rsid w:val="0035129A"/>
    <w:rsid w:val="00351324"/>
    <w:rsid w:val="003514D9"/>
    <w:rsid w:val="0035152E"/>
    <w:rsid w:val="00351531"/>
    <w:rsid w:val="00351745"/>
    <w:rsid w:val="0035176F"/>
    <w:rsid w:val="00351957"/>
    <w:rsid w:val="00351A2F"/>
    <w:rsid w:val="00351C96"/>
    <w:rsid w:val="00351D22"/>
    <w:rsid w:val="00351F16"/>
    <w:rsid w:val="00352150"/>
    <w:rsid w:val="00352158"/>
    <w:rsid w:val="003521F7"/>
    <w:rsid w:val="0035246A"/>
    <w:rsid w:val="00352BE6"/>
    <w:rsid w:val="00352E26"/>
    <w:rsid w:val="003531F5"/>
    <w:rsid w:val="0035327C"/>
    <w:rsid w:val="00353602"/>
    <w:rsid w:val="00353625"/>
    <w:rsid w:val="00353CBD"/>
    <w:rsid w:val="00353D94"/>
    <w:rsid w:val="00354384"/>
    <w:rsid w:val="003544DA"/>
    <w:rsid w:val="00354910"/>
    <w:rsid w:val="00354A30"/>
    <w:rsid w:val="00354B3E"/>
    <w:rsid w:val="00354BAD"/>
    <w:rsid w:val="00354BE2"/>
    <w:rsid w:val="00354C1D"/>
    <w:rsid w:val="00354C44"/>
    <w:rsid w:val="00354DDF"/>
    <w:rsid w:val="00354E70"/>
    <w:rsid w:val="00354FA2"/>
    <w:rsid w:val="00355369"/>
    <w:rsid w:val="00355742"/>
    <w:rsid w:val="003557BE"/>
    <w:rsid w:val="00355B5F"/>
    <w:rsid w:val="00355B68"/>
    <w:rsid w:val="00355F45"/>
    <w:rsid w:val="0035626F"/>
    <w:rsid w:val="003563FE"/>
    <w:rsid w:val="003566A7"/>
    <w:rsid w:val="0035680F"/>
    <w:rsid w:val="00356868"/>
    <w:rsid w:val="00356C7A"/>
    <w:rsid w:val="0035738D"/>
    <w:rsid w:val="0035746F"/>
    <w:rsid w:val="003575E4"/>
    <w:rsid w:val="00357606"/>
    <w:rsid w:val="00357653"/>
    <w:rsid w:val="00357737"/>
    <w:rsid w:val="0035773D"/>
    <w:rsid w:val="00357957"/>
    <w:rsid w:val="00357A24"/>
    <w:rsid w:val="00357CF0"/>
    <w:rsid w:val="00360248"/>
    <w:rsid w:val="00360279"/>
    <w:rsid w:val="0036059D"/>
    <w:rsid w:val="0036072C"/>
    <w:rsid w:val="00360911"/>
    <w:rsid w:val="00360A1A"/>
    <w:rsid w:val="00360A1F"/>
    <w:rsid w:val="00360F01"/>
    <w:rsid w:val="0036103A"/>
    <w:rsid w:val="0036114E"/>
    <w:rsid w:val="0036129C"/>
    <w:rsid w:val="003612D1"/>
    <w:rsid w:val="003612EC"/>
    <w:rsid w:val="00361507"/>
    <w:rsid w:val="0036166D"/>
    <w:rsid w:val="003616BB"/>
    <w:rsid w:val="00361935"/>
    <w:rsid w:val="00361B56"/>
    <w:rsid w:val="00362093"/>
    <w:rsid w:val="003620AE"/>
    <w:rsid w:val="00362127"/>
    <w:rsid w:val="0036227B"/>
    <w:rsid w:val="003622C1"/>
    <w:rsid w:val="003623A3"/>
    <w:rsid w:val="003623DB"/>
    <w:rsid w:val="0036245F"/>
    <w:rsid w:val="0036297E"/>
    <w:rsid w:val="00362C71"/>
    <w:rsid w:val="003630BB"/>
    <w:rsid w:val="00363101"/>
    <w:rsid w:val="0036363C"/>
    <w:rsid w:val="003636BA"/>
    <w:rsid w:val="003636FF"/>
    <w:rsid w:val="00363719"/>
    <w:rsid w:val="003638BF"/>
    <w:rsid w:val="00363B16"/>
    <w:rsid w:val="00363B37"/>
    <w:rsid w:val="00363BA8"/>
    <w:rsid w:val="00363BFF"/>
    <w:rsid w:val="00363C0F"/>
    <w:rsid w:val="00363E60"/>
    <w:rsid w:val="00363EDC"/>
    <w:rsid w:val="003644C7"/>
    <w:rsid w:val="00364501"/>
    <w:rsid w:val="00364584"/>
    <w:rsid w:val="003646E0"/>
    <w:rsid w:val="00364793"/>
    <w:rsid w:val="0036489F"/>
    <w:rsid w:val="00364A01"/>
    <w:rsid w:val="00364ABA"/>
    <w:rsid w:val="00364B4F"/>
    <w:rsid w:val="00364CE2"/>
    <w:rsid w:val="00364CF4"/>
    <w:rsid w:val="00365249"/>
    <w:rsid w:val="003653AE"/>
    <w:rsid w:val="0036548E"/>
    <w:rsid w:val="003654E1"/>
    <w:rsid w:val="00365ADB"/>
    <w:rsid w:val="00365D43"/>
    <w:rsid w:val="00365DBF"/>
    <w:rsid w:val="00365F65"/>
    <w:rsid w:val="00365FD8"/>
    <w:rsid w:val="003660E3"/>
    <w:rsid w:val="003661DD"/>
    <w:rsid w:val="0036627F"/>
    <w:rsid w:val="003662FA"/>
    <w:rsid w:val="003663B2"/>
    <w:rsid w:val="003663CF"/>
    <w:rsid w:val="00366676"/>
    <w:rsid w:val="003666A4"/>
    <w:rsid w:val="003667FF"/>
    <w:rsid w:val="00366852"/>
    <w:rsid w:val="00366A56"/>
    <w:rsid w:val="00366AA3"/>
    <w:rsid w:val="00366B2D"/>
    <w:rsid w:val="00366BB6"/>
    <w:rsid w:val="00366ED2"/>
    <w:rsid w:val="00366F79"/>
    <w:rsid w:val="00367033"/>
    <w:rsid w:val="003672FA"/>
    <w:rsid w:val="003679ED"/>
    <w:rsid w:val="00367C61"/>
    <w:rsid w:val="0037021E"/>
    <w:rsid w:val="003704BE"/>
    <w:rsid w:val="00370940"/>
    <w:rsid w:val="00370991"/>
    <w:rsid w:val="003709A9"/>
    <w:rsid w:val="003709E9"/>
    <w:rsid w:val="00370B3F"/>
    <w:rsid w:val="00370BEB"/>
    <w:rsid w:val="00370C14"/>
    <w:rsid w:val="00370C6E"/>
    <w:rsid w:val="00371003"/>
    <w:rsid w:val="003711EF"/>
    <w:rsid w:val="0037139F"/>
    <w:rsid w:val="00371576"/>
    <w:rsid w:val="003718AC"/>
    <w:rsid w:val="003718B0"/>
    <w:rsid w:val="00371AF3"/>
    <w:rsid w:val="00371B54"/>
    <w:rsid w:val="00371C18"/>
    <w:rsid w:val="00371E12"/>
    <w:rsid w:val="00372049"/>
    <w:rsid w:val="00372108"/>
    <w:rsid w:val="00372161"/>
    <w:rsid w:val="003721AF"/>
    <w:rsid w:val="00372329"/>
    <w:rsid w:val="003723CF"/>
    <w:rsid w:val="0037255B"/>
    <w:rsid w:val="003727CE"/>
    <w:rsid w:val="00372944"/>
    <w:rsid w:val="00372A67"/>
    <w:rsid w:val="00372AE1"/>
    <w:rsid w:val="00372B6A"/>
    <w:rsid w:val="00372D07"/>
    <w:rsid w:val="00372D2C"/>
    <w:rsid w:val="00372E27"/>
    <w:rsid w:val="00372EDA"/>
    <w:rsid w:val="00373198"/>
    <w:rsid w:val="00373288"/>
    <w:rsid w:val="00373826"/>
    <w:rsid w:val="003739FC"/>
    <w:rsid w:val="00373E9C"/>
    <w:rsid w:val="00373F1D"/>
    <w:rsid w:val="00373F89"/>
    <w:rsid w:val="003740C3"/>
    <w:rsid w:val="0037412C"/>
    <w:rsid w:val="00374258"/>
    <w:rsid w:val="00374481"/>
    <w:rsid w:val="0037452A"/>
    <w:rsid w:val="003745DC"/>
    <w:rsid w:val="003747F3"/>
    <w:rsid w:val="003748AF"/>
    <w:rsid w:val="00374AA9"/>
    <w:rsid w:val="00374AE7"/>
    <w:rsid w:val="00374BE5"/>
    <w:rsid w:val="00374C08"/>
    <w:rsid w:val="00374CA2"/>
    <w:rsid w:val="00374D37"/>
    <w:rsid w:val="00374E2A"/>
    <w:rsid w:val="00374E42"/>
    <w:rsid w:val="00374E53"/>
    <w:rsid w:val="00374F53"/>
    <w:rsid w:val="003750BD"/>
    <w:rsid w:val="003752D7"/>
    <w:rsid w:val="003753BF"/>
    <w:rsid w:val="003754E1"/>
    <w:rsid w:val="00375637"/>
    <w:rsid w:val="003756B0"/>
    <w:rsid w:val="003756C9"/>
    <w:rsid w:val="003757FB"/>
    <w:rsid w:val="00375806"/>
    <w:rsid w:val="00375945"/>
    <w:rsid w:val="00375972"/>
    <w:rsid w:val="00375AA4"/>
    <w:rsid w:val="00375AEB"/>
    <w:rsid w:val="00375AED"/>
    <w:rsid w:val="00375C4B"/>
    <w:rsid w:val="00375C65"/>
    <w:rsid w:val="00375CF3"/>
    <w:rsid w:val="00375EBA"/>
    <w:rsid w:val="00375FB2"/>
    <w:rsid w:val="0037622B"/>
    <w:rsid w:val="0037624F"/>
    <w:rsid w:val="00376263"/>
    <w:rsid w:val="00376469"/>
    <w:rsid w:val="003764FA"/>
    <w:rsid w:val="003765D4"/>
    <w:rsid w:val="00376685"/>
    <w:rsid w:val="003768D2"/>
    <w:rsid w:val="00376955"/>
    <w:rsid w:val="00376A00"/>
    <w:rsid w:val="00376CB4"/>
    <w:rsid w:val="0037704C"/>
    <w:rsid w:val="0037731D"/>
    <w:rsid w:val="00377417"/>
    <w:rsid w:val="0037753C"/>
    <w:rsid w:val="003777B0"/>
    <w:rsid w:val="003778F5"/>
    <w:rsid w:val="00377B90"/>
    <w:rsid w:val="00377D47"/>
    <w:rsid w:val="00377EEF"/>
    <w:rsid w:val="003800DF"/>
    <w:rsid w:val="003802E7"/>
    <w:rsid w:val="0038041E"/>
    <w:rsid w:val="003804F2"/>
    <w:rsid w:val="00380596"/>
    <w:rsid w:val="00380A06"/>
    <w:rsid w:val="00380D1A"/>
    <w:rsid w:val="00380EEC"/>
    <w:rsid w:val="00380FB1"/>
    <w:rsid w:val="003812D7"/>
    <w:rsid w:val="0038130A"/>
    <w:rsid w:val="003819D0"/>
    <w:rsid w:val="00381A33"/>
    <w:rsid w:val="00382239"/>
    <w:rsid w:val="0038225C"/>
    <w:rsid w:val="003822EC"/>
    <w:rsid w:val="00382457"/>
    <w:rsid w:val="00382572"/>
    <w:rsid w:val="00382665"/>
    <w:rsid w:val="0038283D"/>
    <w:rsid w:val="00382846"/>
    <w:rsid w:val="00382D0C"/>
    <w:rsid w:val="00382F04"/>
    <w:rsid w:val="00382F1E"/>
    <w:rsid w:val="0038303D"/>
    <w:rsid w:val="003832EE"/>
    <w:rsid w:val="00383351"/>
    <w:rsid w:val="00383527"/>
    <w:rsid w:val="003837AC"/>
    <w:rsid w:val="003837FF"/>
    <w:rsid w:val="00383860"/>
    <w:rsid w:val="00383908"/>
    <w:rsid w:val="00383AE0"/>
    <w:rsid w:val="003842A0"/>
    <w:rsid w:val="00384364"/>
    <w:rsid w:val="00384457"/>
    <w:rsid w:val="0038445E"/>
    <w:rsid w:val="003844BC"/>
    <w:rsid w:val="003848C0"/>
    <w:rsid w:val="00384968"/>
    <w:rsid w:val="003849D3"/>
    <w:rsid w:val="00384C42"/>
    <w:rsid w:val="00384CBE"/>
    <w:rsid w:val="00384DAF"/>
    <w:rsid w:val="003850E6"/>
    <w:rsid w:val="0038533B"/>
    <w:rsid w:val="0038538D"/>
    <w:rsid w:val="00385537"/>
    <w:rsid w:val="003855A9"/>
    <w:rsid w:val="0038565C"/>
    <w:rsid w:val="0038567B"/>
    <w:rsid w:val="00385777"/>
    <w:rsid w:val="003859E7"/>
    <w:rsid w:val="00385EB4"/>
    <w:rsid w:val="0038609A"/>
    <w:rsid w:val="003862BD"/>
    <w:rsid w:val="0038639B"/>
    <w:rsid w:val="00386465"/>
    <w:rsid w:val="003864AB"/>
    <w:rsid w:val="0038656C"/>
    <w:rsid w:val="003866B2"/>
    <w:rsid w:val="00386940"/>
    <w:rsid w:val="00386BDB"/>
    <w:rsid w:val="00387022"/>
    <w:rsid w:val="003870C7"/>
    <w:rsid w:val="0038715E"/>
    <w:rsid w:val="00387219"/>
    <w:rsid w:val="0038725D"/>
    <w:rsid w:val="00387297"/>
    <w:rsid w:val="0038785A"/>
    <w:rsid w:val="003878C3"/>
    <w:rsid w:val="00387A9B"/>
    <w:rsid w:val="00387C69"/>
    <w:rsid w:val="00387CB2"/>
    <w:rsid w:val="00387D21"/>
    <w:rsid w:val="00387E70"/>
    <w:rsid w:val="00387F23"/>
    <w:rsid w:val="0039012B"/>
    <w:rsid w:val="003902D5"/>
    <w:rsid w:val="0039040D"/>
    <w:rsid w:val="00390487"/>
    <w:rsid w:val="0039059B"/>
    <w:rsid w:val="0039061D"/>
    <w:rsid w:val="00390727"/>
    <w:rsid w:val="0039081F"/>
    <w:rsid w:val="0039095D"/>
    <w:rsid w:val="00390B06"/>
    <w:rsid w:val="00390EE7"/>
    <w:rsid w:val="0039101E"/>
    <w:rsid w:val="00391276"/>
    <w:rsid w:val="00391828"/>
    <w:rsid w:val="0039197D"/>
    <w:rsid w:val="00391D9F"/>
    <w:rsid w:val="00391E49"/>
    <w:rsid w:val="00391F40"/>
    <w:rsid w:val="00392100"/>
    <w:rsid w:val="003921C6"/>
    <w:rsid w:val="003925C4"/>
    <w:rsid w:val="00392973"/>
    <w:rsid w:val="003929A1"/>
    <w:rsid w:val="003929EC"/>
    <w:rsid w:val="00392BBB"/>
    <w:rsid w:val="00392DDE"/>
    <w:rsid w:val="00392E22"/>
    <w:rsid w:val="00393097"/>
    <w:rsid w:val="003930D6"/>
    <w:rsid w:val="003932B2"/>
    <w:rsid w:val="003933CA"/>
    <w:rsid w:val="0039380F"/>
    <w:rsid w:val="00393810"/>
    <w:rsid w:val="00393970"/>
    <w:rsid w:val="0039397C"/>
    <w:rsid w:val="003939B1"/>
    <w:rsid w:val="00393CD7"/>
    <w:rsid w:val="00393CF1"/>
    <w:rsid w:val="00393E11"/>
    <w:rsid w:val="00393E8E"/>
    <w:rsid w:val="00393F0B"/>
    <w:rsid w:val="003940D5"/>
    <w:rsid w:val="00394174"/>
    <w:rsid w:val="00394251"/>
    <w:rsid w:val="0039450C"/>
    <w:rsid w:val="003946A2"/>
    <w:rsid w:val="003946DB"/>
    <w:rsid w:val="00394743"/>
    <w:rsid w:val="00394876"/>
    <w:rsid w:val="0039487B"/>
    <w:rsid w:val="00394A5C"/>
    <w:rsid w:val="00394B31"/>
    <w:rsid w:val="00394C39"/>
    <w:rsid w:val="00394CC9"/>
    <w:rsid w:val="00395415"/>
    <w:rsid w:val="0039555F"/>
    <w:rsid w:val="0039556D"/>
    <w:rsid w:val="00395786"/>
    <w:rsid w:val="003959D2"/>
    <w:rsid w:val="00395A93"/>
    <w:rsid w:val="00395EE3"/>
    <w:rsid w:val="00395F18"/>
    <w:rsid w:val="0039610C"/>
    <w:rsid w:val="00396173"/>
    <w:rsid w:val="00396B89"/>
    <w:rsid w:val="00396D12"/>
    <w:rsid w:val="00396DCE"/>
    <w:rsid w:val="0039710C"/>
    <w:rsid w:val="00397209"/>
    <w:rsid w:val="0039735F"/>
    <w:rsid w:val="0039752D"/>
    <w:rsid w:val="00397881"/>
    <w:rsid w:val="00397B4B"/>
    <w:rsid w:val="00397D4F"/>
    <w:rsid w:val="00397EE1"/>
    <w:rsid w:val="00397FBC"/>
    <w:rsid w:val="0039C20A"/>
    <w:rsid w:val="003A0071"/>
    <w:rsid w:val="003A020F"/>
    <w:rsid w:val="003A0210"/>
    <w:rsid w:val="003A02B2"/>
    <w:rsid w:val="003A0365"/>
    <w:rsid w:val="003A03C0"/>
    <w:rsid w:val="003A0481"/>
    <w:rsid w:val="003A09CE"/>
    <w:rsid w:val="003A0ABD"/>
    <w:rsid w:val="003A0B3D"/>
    <w:rsid w:val="003A0C27"/>
    <w:rsid w:val="003A0F57"/>
    <w:rsid w:val="003A1120"/>
    <w:rsid w:val="003A119E"/>
    <w:rsid w:val="003A1210"/>
    <w:rsid w:val="003A128B"/>
    <w:rsid w:val="003A13C1"/>
    <w:rsid w:val="003A15BB"/>
    <w:rsid w:val="003A18F3"/>
    <w:rsid w:val="003A1BDA"/>
    <w:rsid w:val="003A1F19"/>
    <w:rsid w:val="003A2127"/>
    <w:rsid w:val="003A2178"/>
    <w:rsid w:val="003A2388"/>
    <w:rsid w:val="003A2454"/>
    <w:rsid w:val="003A24DB"/>
    <w:rsid w:val="003A2631"/>
    <w:rsid w:val="003A2874"/>
    <w:rsid w:val="003A3169"/>
    <w:rsid w:val="003A3290"/>
    <w:rsid w:val="003A32AD"/>
    <w:rsid w:val="003A338E"/>
    <w:rsid w:val="003A380A"/>
    <w:rsid w:val="003A3991"/>
    <w:rsid w:val="003A3A59"/>
    <w:rsid w:val="003A3BC3"/>
    <w:rsid w:val="003A3BFB"/>
    <w:rsid w:val="003A3D48"/>
    <w:rsid w:val="003A3D49"/>
    <w:rsid w:val="003A4091"/>
    <w:rsid w:val="003A40EC"/>
    <w:rsid w:val="003A421D"/>
    <w:rsid w:val="003A425E"/>
    <w:rsid w:val="003A43A9"/>
    <w:rsid w:val="003A4430"/>
    <w:rsid w:val="003A4496"/>
    <w:rsid w:val="003A452C"/>
    <w:rsid w:val="003A45B6"/>
    <w:rsid w:val="003A4942"/>
    <w:rsid w:val="003A4BE4"/>
    <w:rsid w:val="003A4C49"/>
    <w:rsid w:val="003A4E3F"/>
    <w:rsid w:val="003A4E50"/>
    <w:rsid w:val="003A4EE8"/>
    <w:rsid w:val="003A4F76"/>
    <w:rsid w:val="003A4FD4"/>
    <w:rsid w:val="003A51A7"/>
    <w:rsid w:val="003A51BD"/>
    <w:rsid w:val="003A5567"/>
    <w:rsid w:val="003A5706"/>
    <w:rsid w:val="003A591B"/>
    <w:rsid w:val="003A5A9F"/>
    <w:rsid w:val="003A5AAB"/>
    <w:rsid w:val="003A60D8"/>
    <w:rsid w:val="003A619F"/>
    <w:rsid w:val="003A61DD"/>
    <w:rsid w:val="003A6212"/>
    <w:rsid w:val="003A6232"/>
    <w:rsid w:val="003A6495"/>
    <w:rsid w:val="003A6517"/>
    <w:rsid w:val="003A669D"/>
    <w:rsid w:val="003A6727"/>
    <w:rsid w:val="003A67D7"/>
    <w:rsid w:val="003A68F0"/>
    <w:rsid w:val="003A6C96"/>
    <w:rsid w:val="003A6D24"/>
    <w:rsid w:val="003A6F27"/>
    <w:rsid w:val="003A75D4"/>
    <w:rsid w:val="003A76D5"/>
    <w:rsid w:val="003A7D12"/>
    <w:rsid w:val="003A7D6A"/>
    <w:rsid w:val="003A7E09"/>
    <w:rsid w:val="003A7E23"/>
    <w:rsid w:val="003A7EAA"/>
    <w:rsid w:val="003A7F4E"/>
    <w:rsid w:val="003B0158"/>
    <w:rsid w:val="003B02D6"/>
    <w:rsid w:val="003B02DA"/>
    <w:rsid w:val="003B06B0"/>
    <w:rsid w:val="003B0942"/>
    <w:rsid w:val="003B0B2D"/>
    <w:rsid w:val="003B0C66"/>
    <w:rsid w:val="003B0CF7"/>
    <w:rsid w:val="003B0E3A"/>
    <w:rsid w:val="003B0F7A"/>
    <w:rsid w:val="003B11B3"/>
    <w:rsid w:val="003B1322"/>
    <w:rsid w:val="003B19B7"/>
    <w:rsid w:val="003B1D02"/>
    <w:rsid w:val="003B1FEB"/>
    <w:rsid w:val="003B207A"/>
    <w:rsid w:val="003B20C1"/>
    <w:rsid w:val="003B22A9"/>
    <w:rsid w:val="003B23F7"/>
    <w:rsid w:val="003B2415"/>
    <w:rsid w:val="003B245D"/>
    <w:rsid w:val="003B2519"/>
    <w:rsid w:val="003B251C"/>
    <w:rsid w:val="003B25FC"/>
    <w:rsid w:val="003B2717"/>
    <w:rsid w:val="003B289A"/>
    <w:rsid w:val="003B2E8D"/>
    <w:rsid w:val="003B2F24"/>
    <w:rsid w:val="003B3116"/>
    <w:rsid w:val="003B35B5"/>
    <w:rsid w:val="003B36EF"/>
    <w:rsid w:val="003B38AB"/>
    <w:rsid w:val="003B3D59"/>
    <w:rsid w:val="003B3D8D"/>
    <w:rsid w:val="003B3E6A"/>
    <w:rsid w:val="003B3EBE"/>
    <w:rsid w:val="003B3F5C"/>
    <w:rsid w:val="003B3FD1"/>
    <w:rsid w:val="003B40C9"/>
    <w:rsid w:val="003B4405"/>
    <w:rsid w:val="003B441D"/>
    <w:rsid w:val="003B4487"/>
    <w:rsid w:val="003B469A"/>
    <w:rsid w:val="003B46C3"/>
    <w:rsid w:val="003B4B41"/>
    <w:rsid w:val="003B4E05"/>
    <w:rsid w:val="003B4E0C"/>
    <w:rsid w:val="003B53D4"/>
    <w:rsid w:val="003B57EA"/>
    <w:rsid w:val="003B5A08"/>
    <w:rsid w:val="003B5AE6"/>
    <w:rsid w:val="003B5CF7"/>
    <w:rsid w:val="003B61AC"/>
    <w:rsid w:val="003B6315"/>
    <w:rsid w:val="003B6508"/>
    <w:rsid w:val="003B67D2"/>
    <w:rsid w:val="003B69AD"/>
    <w:rsid w:val="003B6A6E"/>
    <w:rsid w:val="003B6AF9"/>
    <w:rsid w:val="003B6B21"/>
    <w:rsid w:val="003B6B72"/>
    <w:rsid w:val="003B6BE7"/>
    <w:rsid w:val="003B6DD9"/>
    <w:rsid w:val="003B6F68"/>
    <w:rsid w:val="003B7125"/>
    <w:rsid w:val="003B74F7"/>
    <w:rsid w:val="003B7649"/>
    <w:rsid w:val="003B78D3"/>
    <w:rsid w:val="003B7ADA"/>
    <w:rsid w:val="003B7B47"/>
    <w:rsid w:val="003B7B95"/>
    <w:rsid w:val="003B7D42"/>
    <w:rsid w:val="003B7F65"/>
    <w:rsid w:val="003C0095"/>
    <w:rsid w:val="003C01F3"/>
    <w:rsid w:val="003C021A"/>
    <w:rsid w:val="003C0644"/>
    <w:rsid w:val="003C079A"/>
    <w:rsid w:val="003C08FE"/>
    <w:rsid w:val="003C09BA"/>
    <w:rsid w:val="003C0AC5"/>
    <w:rsid w:val="003C0B00"/>
    <w:rsid w:val="003C0CFC"/>
    <w:rsid w:val="003C110F"/>
    <w:rsid w:val="003C126D"/>
    <w:rsid w:val="003C12AD"/>
    <w:rsid w:val="003C14CC"/>
    <w:rsid w:val="003C1A1C"/>
    <w:rsid w:val="003C1A69"/>
    <w:rsid w:val="003C1BAD"/>
    <w:rsid w:val="003C1E2F"/>
    <w:rsid w:val="003C1ED0"/>
    <w:rsid w:val="003C2082"/>
    <w:rsid w:val="003C258E"/>
    <w:rsid w:val="003C2A58"/>
    <w:rsid w:val="003C2AB4"/>
    <w:rsid w:val="003C2C8A"/>
    <w:rsid w:val="003C2D00"/>
    <w:rsid w:val="003C3053"/>
    <w:rsid w:val="003C3196"/>
    <w:rsid w:val="003C32D6"/>
    <w:rsid w:val="003C33B4"/>
    <w:rsid w:val="003C34A7"/>
    <w:rsid w:val="003C355E"/>
    <w:rsid w:val="003C3575"/>
    <w:rsid w:val="003C364F"/>
    <w:rsid w:val="003C378A"/>
    <w:rsid w:val="003C3969"/>
    <w:rsid w:val="003C3B12"/>
    <w:rsid w:val="003C3C2F"/>
    <w:rsid w:val="003C3CD7"/>
    <w:rsid w:val="003C3CFC"/>
    <w:rsid w:val="003C3DBE"/>
    <w:rsid w:val="003C424B"/>
    <w:rsid w:val="003C42F4"/>
    <w:rsid w:val="003C490D"/>
    <w:rsid w:val="003C4B46"/>
    <w:rsid w:val="003C4C03"/>
    <w:rsid w:val="003C4C72"/>
    <w:rsid w:val="003C4D76"/>
    <w:rsid w:val="003C4F55"/>
    <w:rsid w:val="003C5262"/>
    <w:rsid w:val="003C5437"/>
    <w:rsid w:val="003C5637"/>
    <w:rsid w:val="003C57F0"/>
    <w:rsid w:val="003C5805"/>
    <w:rsid w:val="003C5886"/>
    <w:rsid w:val="003C5A4F"/>
    <w:rsid w:val="003C5B45"/>
    <w:rsid w:val="003C5BE6"/>
    <w:rsid w:val="003C5C06"/>
    <w:rsid w:val="003C6092"/>
    <w:rsid w:val="003C60BE"/>
    <w:rsid w:val="003C6104"/>
    <w:rsid w:val="003C69AD"/>
    <w:rsid w:val="003C69D5"/>
    <w:rsid w:val="003C6C0B"/>
    <w:rsid w:val="003C6D80"/>
    <w:rsid w:val="003C6E40"/>
    <w:rsid w:val="003C6F83"/>
    <w:rsid w:val="003C706A"/>
    <w:rsid w:val="003C7118"/>
    <w:rsid w:val="003C717C"/>
    <w:rsid w:val="003C7191"/>
    <w:rsid w:val="003C72E6"/>
    <w:rsid w:val="003C78E9"/>
    <w:rsid w:val="003C7B28"/>
    <w:rsid w:val="003C7BA5"/>
    <w:rsid w:val="003C7BB7"/>
    <w:rsid w:val="003C7D23"/>
    <w:rsid w:val="003C7DBF"/>
    <w:rsid w:val="003C7E2B"/>
    <w:rsid w:val="003C7F17"/>
    <w:rsid w:val="003D0156"/>
    <w:rsid w:val="003D0175"/>
    <w:rsid w:val="003D01CE"/>
    <w:rsid w:val="003D0499"/>
    <w:rsid w:val="003D0A4C"/>
    <w:rsid w:val="003D0A63"/>
    <w:rsid w:val="003D0ACF"/>
    <w:rsid w:val="003D0ADD"/>
    <w:rsid w:val="003D0B63"/>
    <w:rsid w:val="003D0BC8"/>
    <w:rsid w:val="003D0BDB"/>
    <w:rsid w:val="003D0CCF"/>
    <w:rsid w:val="003D0EF3"/>
    <w:rsid w:val="003D0F52"/>
    <w:rsid w:val="003D0FB5"/>
    <w:rsid w:val="003D11F3"/>
    <w:rsid w:val="003D11FB"/>
    <w:rsid w:val="003D15EB"/>
    <w:rsid w:val="003D16D2"/>
    <w:rsid w:val="003D1726"/>
    <w:rsid w:val="003D18CF"/>
    <w:rsid w:val="003D1BB7"/>
    <w:rsid w:val="003D1E40"/>
    <w:rsid w:val="003D2312"/>
    <w:rsid w:val="003D2443"/>
    <w:rsid w:val="003D2454"/>
    <w:rsid w:val="003D2472"/>
    <w:rsid w:val="003D2522"/>
    <w:rsid w:val="003D2582"/>
    <w:rsid w:val="003D25BE"/>
    <w:rsid w:val="003D267A"/>
    <w:rsid w:val="003D2730"/>
    <w:rsid w:val="003D2BEA"/>
    <w:rsid w:val="003D2E69"/>
    <w:rsid w:val="003D31D0"/>
    <w:rsid w:val="003D3410"/>
    <w:rsid w:val="003D3523"/>
    <w:rsid w:val="003D36C6"/>
    <w:rsid w:val="003D3845"/>
    <w:rsid w:val="003D38E2"/>
    <w:rsid w:val="003D3B74"/>
    <w:rsid w:val="003D3E0E"/>
    <w:rsid w:val="003D3E8E"/>
    <w:rsid w:val="003D3FBD"/>
    <w:rsid w:val="003D4110"/>
    <w:rsid w:val="003D41B8"/>
    <w:rsid w:val="003D435B"/>
    <w:rsid w:val="003D43D0"/>
    <w:rsid w:val="003D447A"/>
    <w:rsid w:val="003D452B"/>
    <w:rsid w:val="003D45AB"/>
    <w:rsid w:val="003D4C55"/>
    <w:rsid w:val="003D4C58"/>
    <w:rsid w:val="003D4C5A"/>
    <w:rsid w:val="003D4CC4"/>
    <w:rsid w:val="003D4D84"/>
    <w:rsid w:val="003D4F38"/>
    <w:rsid w:val="003D5082"/>
    <w:rsid w:val="003D5134"/>
    <w:rsid w:val="003D5635"/>
    <w:rsid w:val="003D5CC1"/>
    <w:rsid w:val="003D5EBB"/>
    <w:rsid w:val="003D626D"/>
    <w:rsid w:val="003D62EE"/>
    <w:rsid w:val="003D64CF"/>
    <w:rsid w:val="003D679B"/>
    <w:rsid w:val="003D6941"/>
    <w:rsid w:val="003D6CD8"/>
    <w:rsid w:val="003D6ED2"/>
    <w:rsid w:val="003D726E"/>
    <w:rsid w:val="003D751E"/>
    <w:rsid w:val="003D755C"/>
    <w:rsid w:val="003D788E"/>
    <w:rsid w:val="003D7ACF"/>
    <w:rsid w:val="003D7DF8"/>
    <w:rsid w:val="003DD73F"/>
    <w:rsid w:val="003E00D0"/>
    <w:rsid w:val="003E0198"/>
    <w:rsid w:val="003E01EB"/>
    <w:rsid w:val="003E078F"/>
    <w:rsid w:val="003E07E7"/>
    <w:rsid w:val="003E083C"/>
    <w:rsid w:val="003E0A38"/>
    <w:rsid w:val="003E0B24"/>
    <w:rsid w:val="003E0C4E"/>
    <w:rsid w:val="003E108D"/>
    <w:rsid w:val="003E11D8"/>
    <w:rsid w:val="003E1424"/>
    <w:rsid w:val="003E15A8"/>
    <w:rsid w:val="003E1670"/>
    <w:rsid w:val="003E1672"/>
    <w:rsid w:val="003E170B"/>
    <w:rsid w:val="003E1871"/>
    <w:rsid w:val="003E187D"/>
    <w:rsid w:val="003E1C0E"/>
    <w:rsid w:val="003E1C9A"/>
    <w:rsid w:val="003E1D49"/>
    <w:rsid w:val="003E1FF3"/>
    <w:rsid w:val="003E200C"/>
    <w:rsid w:val="003E2012"/>
    <w:rsid w:val="003E202C"/>
    <w:rsid w:val="003E2152"/>
    <w:rsid w:val="003E2273"/>
    <w:rsid w:val="003E243C"/>
    <w:rsid w:val="003E24FA"/>
    <w:rsid w:val="003E262A"/>
    <w:rsid w:val="003E2A72"/>
    <w:rsid w:val="003E2BC3"/>
    <w:rsid w:val="003E2DF4"/>
    <w:rsid w:val="003E2EC0"/>
    <w:rsid w:val="003E2F9D"/>
    <w:rsid w:val="003E3234"/>
    <w:rsid w:val="003E32A3"/>
    <w:rsid w:val="003E3372"/>
    <w:rsid w:val="003E33E5"/>
    <w:rsid w:val="003E35E3"/>
    <w:rsid w:val="003E381D"/>
    <w:rsid w:val="003E3A34"/>
    <w:rsid w:val="003E3E2F"/>
    <w:rsid w:val="003E3E42"/>
    <w:rsid w:val="003E3EFA"/>
    <w:rsid w:val="003E3F01"/>
    <w:rsid w:val="003E4166"/>
    <w:rsid w:val="003E4225"/>
    <w:rsid w:val="003E4281"/>
    <w:rsid w:val="003E447F"/>
    <w:rsid w:val="003E4619"/>
    <w:rsid w:val="003E4AAF"/>
    <w:rsid w:val="003E4AB9"/>
    <w:rsid w:val="003E4AE1"/>
    <w:rsid w:val="003E4CDD"/>
    <w:rsid w:val="003E4CE3"/>
    <w:rsid w:val="003E4DF2"/>
    <w:rsid w:val="003E5016"/>
    <w:rsid w:val="003E504D"/>
    <w:rsid w:val="003E505B"/>
    <w:rsid w:val="003E5221"/>
    <w:rsid w:val="003E53AD"/>
    <w:rsid w:val="003E579F"/>
    <w:rsid w:val="003E59DD"/>
    <w:rsid w:val="003E5AD6"/>
    <w:rsid w:val="003E5B26"/>
    <w:rsid w:val="003E5F34"/>
    <w:rsid w:val="003E5F35"/>
    <w:rsid w:val="003E5FDB"/>
    <w:rsid w:val="003E605B"/>
    <w:rsid w:val="003E6072"/>
    <w:rsid w:val="003E6142"/>
    <w:rsid w:val="003E6430"/>
    <w:rsid w:val="003E655F"/>
    <w:rsid w:val="003E664C"/>
    <w:rsid w:val="003E666D"/>
    <w:rsid w:val="003E6755"/>
    <w:rsid w:val="003E67EA"/>
    <w:rsid w:val="003E6A72"/>
    <w:rsid w:val="003E6B9D"/>
    <w:rsid w:val="003E6E77"/>
    <w:rsid w:val="003E6F38"/>
    <w:rsid w:val="003E716E"/>
    <w:rsid w:val="003E72C8"/>
    <w:rsid w:val="003E73F2"/>
    <w:rsid w:val="003E7445"/>
    <w:rsid w:val="003E757B"/>
    <w:rsid w:val="003E75AE"/>
    <w:rsid w:val="003E7647"/>
    <w:rsid w:val="003E769F"/>
    <w:rsid w:val="003E77A7"/>
    <w:rsid w:val="003E77FD"/>
    <w:rsid w:val="003E7896"/>
    <w:rsid w:val="003E7A35"/>
    <w:rsid w:val="003E7D0C"/>
    <w:rsid w:val="003E7DC6"/>
    <w:rsid w:val="003F0322"/>
    <w:rsid w:val="003F047D"/>
    <w:rsid w:val="003F0551"/>
    <w:rsid w:val="003F05DA"/>
    <w:rsid w:val="003F05E4"/>
    <w:rsid w:val="003F0677"/>
    <w:rsid w:val="003F0825"/>
    <w:rsid w:val="003F0A4B"/>
    <w:rsid w:val="003F0C03"/>
    <w:rsid w:val="003F0DE6"/>
    <w:rsid w:val="003F0EFE"/>
    <w:rsid w:val="003F0FB0"/>
    <w:rsid w:val="003F10EA"/>
    <w:rsid w:val="003F131E"/>
    <w:rsid w:val="003F1454"/>
    <w:rsid w:val="003F14AA"/>
    <w:rsid w:val="003F171C"/>
    <w:rsid w:val="003F1792"/>
    <w:rsid w:val="003F1B04"/>
    <w:rsid w:val="003F1E1B"/>
    <w:rsid w:val="003F1F67"/>
    <w:rsid w:val="003F201B"/>
    <w:rsid w:val="003F216C"/>
    <w:rsid w:val="003F2434"/>
    <w:rsid w:val="003F265F"/>
    <w:rsid w:val="003F2793"/>
    <w:rsid w:val="003F2B07"/>
    <w:rsid w:val="003F2B14"/>
    <w:rsid w:val="003F2D5A"/>
    <w:rsid w:val="003F2DA9"/>
    <w:rsid w:val="003F2F53"/>
    <w:rsid w:val="003F3052"/>
    <w:rsid w:val="003F3336"/>
    <w:rsid w:val="003F33F4"/>
    <w:rsid w:val="003F3549"/>
    <w:rsid w:val="003F369B"/>
    <w:rsid w:val="003F3753"/>
    <w:rsid w:val="003F3865"/>
    <w:rsid w:val="003F38A1"/>
    <w:rsid w:val="003F39E1"/>
    <w:rsid w:val="003F3A62"/>
    <w:rsid w:val="003F3AAB"/>
    <w:rsid w:val="003F3B43"/>
    <w:rsid w:val="003F3C65"/>
    <w:rsid w:val="003F3C6F"/>
    <w:rsid w:val="003F3CE3"/>
    <w:rsid w:val="003F3EB9"/>
    <w:rsid w:val="003F3F33"/>
    <w:rsid w:val="003F4283"/>
    <w:rsid w:val="003F4733"/>
    <w:rsid w:val="003F4753"/>
    <w:rsid w:val="003F490E"/>
    <w:rsid w:val="003F4D52"/>
    <w:rsid w:val="003F4FC9"/>
    <w:rsid w:val="003F5250"/>
    <w:rsid w:val="003F5259"/>
    <w:rsid w:val="003F5353"/>
    <w:rsid w:val="003F56B1"/>
    <w:rsid w:val="003F5726"/>
    <w:rsid w:val="003F5882"/>
    <w:rsid w:val="003F5973"/>
    <w:rsid w:val="003F5D76"/>
    <w:rsid w:val="003F5F03"/>
    <w:rsid w:val="003F6219"/>
    <w:rsid w:val="003F6523"/>
    <w:rsid w:val="003F6524"/>
    <w:rsid w:val="003F6533"/>
    <w:rsid w:val="003F6571"/>
    <w:rsid w:val="003F6719"/>
    <w:rsid w:val="003F67D0"/>
    <w:rsid w:val="003F67E4"/>
    <w:rsid w:val="003F6A0A"/>
    <w:rsid w:val="003F6BFD"/>
    <w:rsid w:val="003F6D44"/>
    <w:rsid w:val="003F6EB3"/>
    <w:rsid w:val="003F6EEF"/>
    <w:rsid w:val="003F7067"/>
    <w:rsid w:val="003F70AF"/>
    <w:rsid w:val="003F70FC"/>
    <w:rsid w:val="003F74B6"/>
    <w:rsid w:val="003F7626"/>
    <w:rsid w:val="003F7698"/>
    <w:rsid w:val="003F76FC"/>
    <w:rsid w:val="003F7736"/>
    <w:rsid w:val="003F77A7"/>
    <w:rsid w:val="003F77FA"/>
    <w:rsid w:val="003F7ADB"/>
    <w:rsid w:val="003F7B11"/>
    <w:rsid w:val="003F7C5B"/>
    <w:rsid w:val="003F7E57"/>
    <w:rsid w:val="0040006D"/>
    <w:rsid w:val="00400086"/>
    <w:rsid w:val="00400119"/>
    <w:rsid w:val="00400488"/>
    <w:rsid w:val="004004A5"/>
    <w:rsid w:val="00400607"/>
    <w:rsid w:val="0040066C"/>
    <w:rsid w:val="0040069D"/>
    <w:rsid w:val="00400732"/>
    <w:rsid w:val="00400905"/>
    <w:rsid w:val="00400A0A"/>
    <w:rsid w:val="00400A2D"/>
    <w:rsid w:val="00400A90"/>
    <w:rsid w:val="00400EBE"/>
    <w:rsid w:val="00401073"/>
    <w:rsid w:val="004013D9"/>
    <w:rsid w:val="0040152E"/>
    <w:rsid w:val="004016DA"/>
    <w:rsid w:val="004019CD"/>
    <w:rsid w:val="00401A22"/>
    <w:rsid w:val="00401C97"/>
    <w:rsid w:val="00401D05"/>
    <w:rsid w:val="00401E42"/>
    <w:rsid w:val="00401E6B"/>
    <w:rsid w:val="00401FAF"/>
    <w:rsid w:val="0040201F"/>
    <w:rsid w:val="004022FB"/>
    <w:rsid w:val="0040243C"/>
    <w:rsid w:val="004024A4"/>
    <w:rsid w:val="0040254D"/>
    <w:rsid w:val="0040268F"/>
    <w:rsid w:val="00402713"/>
    <w:rsid w:val="004027D6"/>
    <w:rsid w:val="00402CA1"/>
    <w:rsid w:val="00402CE5"/>
    <w:rsid w:val="00402EF4"/>
    <w:rsid w:val="00402EFB"/>
    <w:rsid w:val="00402FAF"/>
    <w:rsid w:val="004032D5"/>
    <w:rsid w:val="0040334E"/>
    <w:rsid w:val="004035C6"/>
    <w:rsid w:val="00403615"/>
    <w:rsid w:val="00403846"/>
    <w:rsid w:val="00403856"/>
    <w:rsid w:val="00403B30"/>
    <w:rsid w:val="00403BA7"/>
    <w:rsid w:val="00403BE9"/>
    <w:rsid w:val="00403E47"/>
    <w:rsid w:val="00404101"/>
    <w:rsid w:val="0040414A"/>
    <w:rsid w:val="004042C1"/>
    <w:rsid w:val="0040436B"/>
    <w:rsid w:val="004044A4"/>
    <w:rsid w:val="004047B3"/>
    <w:rsid w:val="0040488B"/>
    <w:rsid w:val="004049CA"/>
    <w:rsid w:val="00404B55"/>
    <w:rsid w:val="00404C23"/>
    <w:rsid w:val="00404CAE"/>
    <w:rsid w:val="00404CDE"/>
    <w:rsid w:val="00404E60"/>
    <w:rsid w:val="00404F19"/>
    <w:rsid w:val="00405041"/>
    <w:rsid w:val="004050E2"/>
    <w:rsid w:val="0040524E"/>
    <w:rsid w:val="004053F1"/>
    <w:rsid w:val="004054B8"/>
    <w:rsid w:val="004057C2"/>
    <w:rsid w:val="004059F7"/>
    <w:rsid w:val="00405A31"/>
    <w:rsid w:val="00405A86"/>
    <w:rsid w:val="00405D05"/>
    <w:rsid w:val="00405F50"/>
    <w:rsid w:val="00405FBA"/>
    <w:rsid w:val="00406035"/>
    <w:rsid w:val="00406308"/>
    <w:rsid w:val="0040636F"/>
    <w:rsid w:val="004065EE"/>
    <w:rsid w:val="00406647"/>
    <w:rsid w:val="00406829"/>
    <w:rsid w:val="0040688A"/>
    <w:rsid w:val="004069EF"/>
    <w:rsid w:val="00406CD2"/>
    <w:rsid w:val="0040713C"/>
    <w:rsid w:val="0040757A"/>
    <w:rsid w:val="004075A0"/>
    <w:rsid w:val="00407A4F"/>
    <w:rsid w:val="00407B0E"/>
    <w:rsid w:val="00407D56"/>
    <w:rsid w:val="00407DBF"/>
    <w:rsid w:val="00407DC5"/>
    <w:rsid w:val="00407E55"/>
    <w:rsid w:val="00407F33"/>
    <w:rsid w:val="0041005B"/>
    <w:rsid w:val="004100C0"/>
    <w:rsid w:val="0041015B"/>
    <w:rsid w:val="00410372"/>
    <w:rsid w:val="00410572"/>
    <w:rsid w:val="0041058B"/>
    <w:rsid w:val="00410684"/>
    <w:rsid w:val="00410696"/>
    <w:rsid w:val="00410CE8"/>
    <w:rsid w:val="004111D1"/>
    <w:rsid w:val="004111D2"/>
    <w:rsid w:val="00411255"/>
    <w:rsid w:val="0041156F"/>
    <w:rsid w:val="004115EA"/>
    <w:rsid w:val="00411C85"/>
    <w:rsid w:val="00411F1F"/>
    <w:rsid w:val="0041219A"/>
    <w:rsid w:val="004122AB"/>
    <w:rsid w:val="00412428"/>
    <w:rsid w:val="004124EA"/>
    <w:rsid w:val="00412932"/>
    <w:rsid w:val="004129B5"/>
    <w:rsid w:val="00412BDB"/>
    <w:rsid w:val="00412DAC"/>
    <w:rsid w:val="00412DE4"/>
    <w:rsid w:val="00412F01"/>
    <w:rsid w:val="00412F7A"/>
    <w:rsid w:val="0041311E"/>
    <w:rsid w:val="004134A4"/>
    <w:rsid w:val="0041389D"/>
    <w:rsid w:val="004138AD"/>
    <w:rsid w:val="00413B9B"/>
    <w:rsid w:val="00413BA5"/>
    <w:rsid w:val="00413C09"/>
    <w:rsid w:val="00413FFD"/>
    <w:rsid w:val="00414007"/>
    <w:rsid w:val="00414223"/>
    <w:rsid w:val="00414251"/>
    <w:rsid w:val="004143CB"/>
    <w:rsid w:val="004145FC"/>
    <w:rsid w:val="0041477B"/>
    <w:rsid w:val="0041486C"/>
    <w:rsid w:val="0041492C"/>
    <w:rsid w:val="00414A8C"/>
    <w:rsid w:val="00414BAB"/>
    <w:rsid w:val="00414EEB"/>
    <w:rsid w:val="0041539A"/>
    <w:rsid w:val="004155A1"/>
    <w:rsid w:val="0041561A"/>
    <w:rsid w:val="00415887"/>
    <w:rsid w:val="004159CB"/>
    <w:rsid w:val="00415BA0"/>
    <w:rsid w:val="00415CB2"/>
    <w:rsid w:val="004161B9"/>
    <w:rsid w:val="004163D8"/>
    <w:rsid w:val="00416402"/>
    <w:rsid w:val="0041643A"/>
    <w:rsid w:val="00416566"/>
    <w:rsid w:val="00416629"/>
    <w:rsid w:val="004167DE"/>
    <w:rsid w:val="00416875"/>
    <w:rsid w:val="00416898"/>
    <w:rsid w:val="004169F3"/>
    <w:rsid w:val="00416BA6"/>
    <w:rsid w:val="00416C28"/>
    <w:rsid w:val="00416D7C"/>
    <w:rsid w:val="00416F2E"/>
    <w:rsid w:val="004171AC"/>
    <w:rsid w:val="004171F3"/>
    <w:rsid w:val="00417227"/>
    <w:rsid w:val="00417236"/>
    <w:rsid w:val="0041725B"/>
    <w:rsid w:val="004172B9"/>
    <w:rsid w:val="004172BD"/>
    <w:rsid w:val="004173D6"/>
    <w:rsid w:val="00417848"/>
    <w:rsid w:val="00417A69"/>
    <w:rsid w:val="00417B3C"/>
    <w:rsid w:val="00417E4B"/>
    <w:rsid w:val="00420077"/>
    <w:rsid w:val="00420304"/>
    <w:rsid w:val="00420642"/>
    <w:rsid w:val="004206B0"/>
    <w:rsid w:val="004207C5"/>
    <w:rsid w:val="00420806"/>
    <w:rsid w:val="0042090E"/>
    <w:rsid w:val="00420CC9"/>
    <w:rsid w:val="00420CFC"/>
    <w:rsid w:val="00420F57"/>
    <w:rsid w:val="0042100B"/>
    <w:rsid w:val="004215C5"/>
    <w:rsid w:val="004216BF"/>
    <w:rsid w:val="00421A7A"/>
    <w:rsid w:val="00421C0A"/>
    <w:rsid w:val="00421CA4"/>
    <w:rsid w:val="00421CB8"/>
    <w:rsid w:val="00421CCB"/>
    <w:rsid w:val="00421ED2"/>
    <w:rsid w:val="00422012"/>
    <w:rsid w:val="00422176"/>
    <w:rsid w:val="004221BB"/>
    <w:rsid w:val="004224FB"/>
    <w:rsid w:val="00422612"/>
    <w:rsid w:val="00422A04"/>
    <w:rsid w:val="00422A60"/>
    <w:rsid w:val="00422B52"/>
    <w:rsid w:val="00422B9A"/>
    <w:rsid w:val="00422BAC"/>
    <w:rsid w:val="00422CDA"/>
    <w:rsid w:val="00422DAE"/>
    <w:rsid w:val="00422DB0"/>
    <w:rsid w:val="00422EA4"/>
    <w:rsid w:val="00423115"/>
    <w:rsid w:val="0042323E"/>
    <w:rsid w:val="0042348C"/>
    <w:rsid w:val="0042355F"/>
    <w:rsid w:val="004235FE"/>
    <w:rsid w:val="0042396C"/>
    <w:rsid w:val="00423B56"/>
    <w:rsid w:val="00423CDA"/>
    <w:rsid w:val="00423DBC"/>
    <w:rsid w:val="00424004"/>
    <w:rsid w:val="00424071"/>
    <w:rsid w:val="00424129"/>
    <w:rsid w:val="0042453B"/>
    <w:rsid w:val="004245E5"/>
    <w:rsid w:val="0042460F"/>
    <w:rsid w:val="00424615"/>
    <w:rsid w:val="00424690"/>
    <w:rsid w:val="00424752"/>
    <w:rsid w:val="0042484A"/>
    <w:rsid w:val="00424958"/>
    <w:rsid w:val="00424AF1"/>
    <w:rsid w:val="00424C50"/>
    <w:rsid w:val="00424EC0"/>
    <w:rsid w:val="00424F8D"/>
    <w:rsid w:val="004256F8"/>
    <w:rsid w:val="004258DA"/>
    <w:rsid w:val="004259A5"/>
    <w:rsid w:val="00425BC1"/>
    <w:rsid w:val="00425C6D"/>
    <w:rsid w:val="00425D3E"/>
    <w:rsid w:val="00425E00"/>
    <w:rsid w:val="004260FF"/>
    <w:rsid w:val="0042633C"/>
    <w:rsid w:val="004263B0"/>
    <w:rsid w:val="004263D1"/>
    <w:rsid w:val="00426542"/>
    <w:rsid w:val="004269F4"/>
    <w:rsid w:val="00426B7A"/>
    <w:rsid w:val="00426E66"/>
    <w:rsid w:val="00426EAE"/>
    <w:rsid w:val="00426F31"/>
    <w:rsid w:val="004270FC"/>
    <w:rsid w:val="0042711E"/>
    <w:rsid w:val="0042715E"/>
    <w:rsid w:val="00427265"/>
    <w:rsid w:val="004273D2"/>
    <w:rsid w:val="0042741D"/>
    <w:rsid w:val="0042742A"/>
    <w:rsid w:val="004276B4"/>
    <w:rsid w:val="00427720"/>
    <w:rsid w:val="0042785F"/>
    <w:rsid w:val="00427AD6"/>
    <w:rsid w:val="00427CB1"/>
    <w:rsid w:val="00427CC5"/>
    <w:rsid w:val="00427F3F"/>
    <w:rsid w:val="00427F97"/>
    <w:rsid w:val="00430019"/>
    <w:rsid w:val="00430157"/>
    <w:rsid w:val="00430176"/>
    <w:rsid w:val="00430538"/>
    <w:rsid w:val="004305D1"/>
    <w:rsid w:val="004307FC"/>
    <w:rsid w:val="00430A39"/>
    <w:rsid w:val="00430A7B"/>
    <w:rsid w:val="00430ABC"/>
    <w:rsid w:val="00430CF3"/>
    <w:rsid w:val="00430F50"/>
    <w:rsid w:val="00430F94"/>
    <w:rsid w:val="004311DF"/>
    <w:rsid w:val="00431369"/>
    <w:rsid w:val="0043143B"/>
    <w:rsid w:val="004316C7"/>
    <w:rsid w:val="004317E8"/>
    <w:rsid w:val="00431866"/>
    <w:rsid w:val="00431A2A"/>
    <w:rsid w:val="00431BE1"/>
    <w:rsid w:val="00431E88"/>
    <w:rsid w:val="004321B2"/>
    <w:rsid w:val="0043225E"/>
    <w:rsid w:val="004325AA"/>
    <w:rsid w:val="004326A2"/>
    <w:rsid w:val="004326A8"/>
    <w:rsid w:val="004327CF"/>
    <w:rsid w:val="00432828"/>
    <w:rsid w:val="00432AEA"/>
    <w:rsid w:val="00432E11"/>
    <w:rsid w:val="00432EFB"/>
    <w:rsid w:val="00432F23"/>
    <w:rsid w:val="00432FED"/>
    <w:rsid w:val="00433001"/>
    <w:rsid w:val="00433465"/>
    <w:rsid w:val="00433591"/>
    <w:rsid w:val="00433600"/>
    <w:rsid w:val="00433792"/>
    <w:rsid w:val="00433A47"/>
    <w:rsid w:val="00433C46"/>
    <w:rsid w:val="00433C83"/>
    <w:rsid w:val="00433CA1"/>
    <w:rsid w:val="00433F5A"/>
    <w:rsid w:val="00433FFC"/>
    <w:rsid w:val="004341E5"/>
    <w:rsid w:val="004343E5"/>
    <w:rsid w:val="004344C2"/>
    <w:rsid w:val="00434603"/>
    <w:rsid w:val="0043462D"/>
    <w:rsid w:val="00434734"/>
    <w:rsid w:val="0043482E"/>
    <w:rsid w:val="00434BE7"/>
    <w:rsid w:val="00434F55"/>
    <w:rsid w:val="00435190"/>
    <w:rsid w:val="00435347"/>
    <w:rsid w:val="004355F6"/>
    <w:rsid w:val="00435667"/>
    <w:rsid w:val="004358D1"/>
    <w:rsid w:val="0043593A"/>
    <w:rsid w:val="004359B7"/>
    <w:rsid w:val="00435C07"/>
    <w:rsid w:val="00435F26"/>
    <w:rsid w:val="00435F5E"/>
    <w:rsid w:val="004360BC"/>
    <w:rsid w:val="00436154"/>
    <w:rsid w:val="00436229"/>
    <w:rsid w:val="0043637E"/>
    <w:rsid w:val="0043664B"/>
    <w:rsid w:val="00436767"/>
    <w:rsid w:val="00436804"/>
    <w:rsid w:val="004369A0"/>
    <w:rsid w:val="004369C5"/>
    <w:rsid w:val="00436AAA"/>
    <w:rsid w:val="00436CC7"/>
    <w:rsid w:val="00436F7A"/>
    <w:rsid w:val="0043714C"/>
    <w:rsid w:val="00437195"/>
    <w:rsid w:val="004371AF"/>
    <w:rsid w:val="004373B7"/>
    <w:rsid w:val="004375C1"/>
    <w:rsid w:val="00437705"/>
    <w:rsid w:val="00437782"/>
    <w:rsid w:val="004377A5"/>
    <w:rsid w:val="00437952"/>
    <w:rsid w:val="00437A0F"/>
    <w:rsid w:val="00437BA1"/>
    <w:rsid w:val="00437E56"/>
    <w:rsid w:val="00437FA1"/>
    <w:rsid w:val="0044028D"/>
    <w:rsid w:val="0044036B"/>
    <w:rsid w:val="00440384"/>
    <w:rsid w:val="0044041E"/>
    <w:rsid w:val="00440458"/>
    <w:rsid w:val="004404AB"/>
    <w:rsid w:val="004405D2"/>
    <w:rsid w:val="00440651"/>
    <w:rsid w:val="0044095B"/>
    <w:rsid w:val="00440A2B"/>
    <w:rsid w:val="00440B86"/>
    <w:rsid w:val="00440E76"/>
    <w:rsid w:val="00440EB6"/>
    <w:rsid w:val="00440F39"/>
    <w:rsid w:val="004410DC"/>
    <w:rsid w:val="004411D8"/>
    <w:rsid w:val="0044123C"/>
    <w:rsid w:val="0044154E"/>
    <w:rsid w:val="00441587"/>
    <w:rsid w:val="00441855"/>
    <w:rsid w:val="00441D02"/>
    <w:rsid w:val="004422F6"/>
    <w:rsid w:val="004423CE"/>
    <w:rsid w:val="0044257A"/>
    <w:rsid w:val="00442791"/>
    <w:rsid w:val="00442808"/>
    <w:rsid w:val="00442A1D"/>
    <w:rsid w:val="00442A85"/>
    <w:rsid w:val="00442A92"/>
    <w:rsid w:val="00442B39"/>
    <w:rsid w:val="00442CB1"/>
    <w:rsid w:val="00442CC8"/>
    <w:rsid w:val="00442EE4"/>
    <w:rsid w:val="00443280"/>
    <w:rsid w:val="00443421"/>
    <w:rsid w:val="0044345E"/>
    <w:rsid w:val="004437B7"/>
    <w:rsid w:val="0044392A"/>
    <w:rsid w:val="0044396A"/>
    <w:rsid w:val="00443BE9"/>
    <w:rsid w:val="00443DBC"/>
    <w:rsid w:val="00443E5C"/>
    <w:rsid w:val="00443E76"/>
    <w:rsid w:val="00444103"/>
    <w:rsid w:val="0044423F"/>
    <w:rsid w:val="00444365"/>
    <w:rsid w:val="00444BC8"/>
    <w:rsid w:val="00444C51"/>
    <w:rsid w:val="00444CCE"/>
    <w:rsid w:val="00444D86"/>
    <w:rsid w:val="00444F6A"/>
    <w:rsid w:val="00445116"/>
    <w:rsid w:val="00445223"/>
    <w:rsid w:val="004452AB"/>
    <w:rsid w:val="00445935"/>
    <w:rsid w:val="00445A56"/>
    <w:rsid w:val="00445E0B"/>
    <w:rsid w:val="00445F0B"/>
    <w:rsid w:val="00446015"/>
    <w:rsid w:val="00446113"/>
    <w:rsid w:val="00446126"/>
    <w:rsid w:val="004467F6"/>
    <w:rsid w:val="00446872"/>
    <w:rsid w:val="0044687C"/>
    <w:rsid w:val="00446932"/>
    <w:rsid w:val="00446975"/>
    <w:rsid w:val="004469C8"/>
    <w:rsid w:val="00446C25"/>
    <w:rsid w:val="00446FF9"/>
    <w:rsid w:val="00447043"/>
    <w:rsid w:val="004470DC"/>
    <w:rsid w:val="00447210"/>
    <w:rsid w:val="004473B7"/>
    <w:rsid w:val="00447470"/>
    <w:rsid w:val="0044757C"/>
    <w:rsid w:val="004475F0"/>
    <w:rsid w:val="0044764E"/>
    <w:rsid w:val="0044776C"/>
    <w:rsid w:val="00447920"/>
    <w:rsid w:val="00447AA9"/>
    <w:rsid w:val="00447D8F"/>
    <w:rsid w:val="00450046"/>
    <w:rsid w:val="004500B3"/>
    <w:rsid w:val="00450138"/>
    <w:rsid w:val="004501D1"/>
    <w:rsid w:val="00450213"/>
    <w:rsid w:val="00450244"/>
    <w:rsid w:val="004503BC"/>
    <w:rsid w:val="00450452"/>
    <w:rsid w:val="0045090A"/>
    <w:rsid w:val="00450A1F"/>
    <w:rsid w:val="00450B68"/>
    <w:rsid w:val="00450BAC"/>
    <w:rsid w:val="00450DCB"/>
    <w:rsid w:val="00450EFC"/>
    <w:rsid w:val="0045108E"/>
    <w:rsid w:val="004511D6"/>
    <w:rsid w:val="004512A4"/>
    <w:rsid w:val="00451540"/>
    <w:rsid w:val="0045156B"/>
    <w:rsid w:val="0045196C"/>
    <w:rsid w:val="00451A2A"/>
    <w:rsid w:val="00451BA3"/>
    <w:rsid w:val="00451CCD"/>
    <w:rsid w:val="00451CFD"/>
    <w:rsid w:val="00452036"/>
    <w:rsid w:val="0045204C"/>
    <w:rsid w:val="0045218F"/>
    <w:rsid w:val="004521A4"/>
    <w:rsid w:val="0045227E"/>
    <w:rsid w:val="0045228D"/>
    <w:rsid w:val="004527F2"/>
    <w:rsid w:val="00452823"/>
    <w:rsid w:val="00452A15"/>
    <w:rsid w:val="00452AAE"/>
    <w:rsid w:val="00452D30"/>
    <w:rsid w:val="00452DA3"/>
    <w:rsid w:val="00452E90"/>
    <w:rsid w:val="0045329A"/>
    <w:rsid w:val="0045332F"/>
    <w:rsid w:val="0045369E"/>
    <w:rsid w:val="00453932"/>
    <w:rsid w:val="0045398C"/>
    <w:rsid w:val="004539C4"/>
    <w:rsid w:val="00453AC0"/>
    <w:rsid w:val="00453AF0"/>
    <w:rsid w:val="00453B34"/>
    <w:rsid w:val="00453F29"/>
    <w:rsid w:val="00454233"/>
    <w:rsid w:val="004544AD"/>
    <w:rsid w:val="00454586"/>
    <w:rsid w:val="0045463E"/>
    <w:rsid w:val="00454684"/>
    <w:rsid w:val="004546C3"/>
    <w:rsid w:val="00454728"/>
    <w:rsid w:val="00454B1C"/>
    <w:rsid w:val="00454F05"/>
    <w:rsid w:val="0045507D"/>
    <w:rsid w:val="0045508F"/>
    <w:rsid w:val="004551BC"/>
    <w:rsid w:val="0045538B"/>
    <w:rsid w:val="0045539C"/>
    <w:rsid w:val="004553E6"/>
    <w:rsid w:val="004554AF"/>
    <w:rsid w:val="004554FE"/>
    <w:rsid w:val="0045582B"/>
    <w:rsid w:val="004559D7"/>
    <w:rsid w:val="00455C47"/>
    <w:rsid w:val="00455D93"/>
    <w:rsid w:val="00455EB4"/>
    <w:rsid w:val="00455F13"/>
    <w:rsid w:val="004562D5"/>
    <w:rsid w:val="00456346"/>
    <w:rsid w:val="00456634"/>
    <w:rsid w:val="0045663A"/>
    <w:rsid w:val="00456686"/>
    <w:rsid w:val="0045685D"/>
    <w:rsid w:val="00456E63"/>
    <w:rsid w:val="00456EFE"/>
    <w:rsid w:val="004570B5"/>
    <w:rsid w:val="004570BF"/>
    <w:rsid w:val="0045711D"/>
    <w:rsid w:val="00457146"/>
    <w:rsid w:val="00457347"/>
    <w:rsid w:val="0045754A"/>
    <w:rsid w:val="0045756A"/>
    <w:rsid w:val="0045762E"/>
    <w:rsid w:val="00457900"/>
    <w:rsid w:val="00457C53"/>
    <w:rsid w:val="00457E50"/>
    <w:rsid w:val="00457F54"/>
    <w:rsid w:val="00460004"/>
    <w:rsid w:val="004600D2"/>
    <w:rsid w:val="0046015C"/>
    <w:rsid w:val="004602B1"/>
    <w:rsid w:val="00460329"/>
    <w:rsid w:val="004608F7"/>
    <w:rsid w:val="004609AE"/>
    <w:rsid w:val="00460AEA"/>
    <w:rsid w:val="00460BED"/>
    <w:rsid w:val="00460C2D"/>
    <w:rsid w:val="00460DC0"/>
    <w:rsid w:val="00460DEA"/>
    <w:rsid w:val="00460E8C"/>
    <w:rsid w:val="00460EB8"/>
    <w:rsid w:val="00460F6A"/>
    <w:rsid w:val="004612E6"/>
    <w:rsid w:val="004612FF"/>
    <w:rsid w:val="00461856"/>
    <w:rsid w:val="00461A12"/>
    <w:rsid w:val="00461A1B"/>
    <w:rsid w:val="00461BE0"/>
    <w:rsid w:val="00461C20"/>
    <w:rsid w:val="00461C6E"/>
    <w:rsid w:val="00461C7F"/>
    <w:rsid w:val="00461D1A"/>
    <w:rsid w:val="00461DDB"/>
    <w:rsid w:val="004620AA"/>
    <w:rsid w:val="004622ED"/>
    <w:rsid w:val="0046231E"/>
    <w:rsid w:val="004623EC"/>
    <w:rsid w:val="00462545"/>
    <w:rsid w:val="00462580"/>
    <w:rsid w:val="004625A6"/>
    <w:rsid w:val="004626BF"/>
    <w:rsid w:val="00462711"/>
    <w:rsid w:val="00462736"/>
    <w:rsid w:val="00462955"/>
    <w:rsid w:val="00462998"/>
    <w:rsid w:val="0046299B"/>
    <w:rsid w:val="00462A51"/>
    <w:rsid w:val="00462B0B"/>
    <w:rsid w:val="00462F92"/>
    <w:rsid w:val="00462FC3"/>
    <w:rsid w:val="00463288"/>
    <w:rsid w:val="00463303"/>
    <w:rsid w:val="00463307"/>
    <w:rsid w:val="004633DE"/>
    <w:rsid w:val="00463523"/>
    <w:rsid w:val="00463642"/>
    <w:rsid w:val="004636A5"/>
    <w:rsid w:val="004638BF"/>
    <w:rsid w:val="004638F4"/>
    <w:rsid w:val="00463C04"/>
    <w:rsid w:val="00463FEE"/>
    <w:rsid w:val="0046410F"/>
    <w:rsid w:val="004641F7"/>
    <w:rsid w:val="0046434A"/>
    <w:rsid w:val="00464675"/>
    <w:rsid w:val="0046470E"/>
    <w:rsid w:val="00464849"/>
    <w:rsid w:val="00464A87"/>
    <w:rsid w:val="00464A88"/>
    <w:rsid w:val="00464AF7"/>
    <w:rsid w:val="00464BD6"/>
    <w:rsid w:val="00464EB2"/>
    <w:rsid w:val="00464EE8"/>
    <w:rsid w:val="00465148"/>
    <w:rsid w:val="0046525B"/>
    <w:rsid w:val="004655B3"/>
    <w:rsid w:val="004655F2"/>
    <w:rsid w:val="00465657"/>
    <w:rsid w:val="004658AE"/>
    <w:rsid w:val="00465B94"/>
    <w:rsid w:val="00465C8C"/>
    <w:rsid w:val="00465D3C"/>
    <w:rsid w:val="00465DA9"/>
    <w:rsid w:val="00465E67"/>
    <w:rsid w:val="004662A8"/>
    <w:rsid w:val="004662FA"/>
    <w:rsid w:val="004665FC"/>
    <w:rsid w:val="0046672E"/>
    <w:rsid w:val="00466791"/>
    <w:rsid w:val="004669BA"/>
    <w:rsid w:val="00466CA1"/>
    <w:rsid w:val="00466E77"/>
    <w:rsid w:val="00466F72"/>
    <w:rsid w:val="00466FC3"/>
    <w:rsid w:val="00466FC8"/>
    <w:rsid w:val="0046720E"/>
    <w:rsid w:val="004673FE"/>
    <w:rsid w:val="00467660"/>
    <w:rsid w:val="004677CB"/>
    <w:rsid w:val="00467A23"/>
    <w:rsid w:val="00467BED"/>
    <w:rsid w:val="00467E56"/>
    <w:rsid w:val="00467F0A"/>
    <w:rsid w:val="00467FAC"/>
    <w:rsid w:val="00467FE9"/>
    <w:rsid w:val="0047012F"/>
    <w:rsid w:val="004701EC"/>
    <w:rsid w:val="00470422"/>
    <w:rsid w:val="00470594"/>
    <w:rsid w:val="00470719"/>
    <w:rsid w:val="0047081F"/>
    <w:rsid w:val="00470961"/>
    <w:rsid w:val="00470BA9"/>
    <w:rsid w:val="00470D74"/>
    <w:rsid w:val="00470D9D"/>
    <w:rsid w:val="00470F3A"/>
    <w:rsid w:val="00471279"/>
    <w:rsid w:val="004713B3"/>
    <w:rsid w:val="0047155C"/>
    <w:rsid w:val="00471909"/>
    <w:rsid w:val="00471938"/>
    <w:rsid w:val="004719E0"/>
    <w:rsid w:val="00471FCC"/>
    <w:rsid w:val="0047200D"/>
    <w:rsid w:val="004720C5"/>
    <w:rsid w:val="004720D4"/>
    <w:rsid w:val="00472559"/>
    <w:rsid w:val="0047262D"/>
    <w:rsid w:val="004727CD"/>
    <w:rsid w:val="004728CC"/>
    <w:rsid w:val="00472994"/>
    <w:rsid w:val="00472A5E"/>
    <w:rsid w:val="00472C6F"/>
    <w:rsid w:val="00472E20"/>
    <w:rsid w:val="004732A4"/>
    <w:rsid w:val="0047347D"/>
    <w:rsid w:val="0047355B"/>
    <w:rsid w:val="0047369B"/>
    <w:rsid w:val="004738D1"/>
    <w:rsid w:val="004739C1"/>
    <w:rsid w:val="00473B63"/>
    <w:rsid w:val="00473C4D"/>
    <w:rsid w:val="00473CC9"/>
    <w:rsid w:val="00474660"/>
    <w:rsid w:val="0047472F"/>
    <w:rsid w:val="004747AA"/>
    <w:rsid w:val="00474C0D"/>
    <w:rsid w:val="00474DEF"/>
    <w:rsid w:val="00474E84"/>
    <w:rsid w:val="00474F54"/>
    <w:rsid w:val="0047523F"/>
    <w:rsid w:val="004753CD"/>
    <w:rsid w:val="004755E1"/>
    <w:rsid w:val="0047585B"/>
    <w:rsid w:val="0047589C"/>
    <w:rsid w:val="0047597D"/>
    <w:rsid w:val="00475A0C"/>
    <w:rsid w:val="00475B38"/>
    <w:rsid w:val="00475D91"/>
    <w:rsid w:val="00475E20"/>
    <w:rsid w:val="00475EF7"/>
    <w:rsid w:val="00475F12"/>
    <w:rsid w:val="004760DB"/>
    <w:rsid w:val="00476182"/>
    <w:rsid w:val="004762A2"/>
    <w:rsid w:val="004764AC"/>
    <w:rsid w:val="004764D9"/>
    <w:rsid w:val="0047697B"/>
    <w:rsid w:val="00476A4D"/>
    <w:rsid w:val="00476CB6"/>
    <w:rsid w:val="00476D25"/>
    <w:rsid w:val="004770A7"/>
    <w:rsid w:val="00477136"/>
    <w:rsid w:val="004772B3"/>
    <w:rsid w:val="00477495"/>
    <w:rsid w:val="00477558"/>
    <w:rsid w:val="00477596"/>
    <w:rsid w:val="004775AD"/>
    <w:rsid w:val="004775DF"/>
    <w:rsid w:val="004779BD"/>
    <w:rsid w:val="00477A96"/>
    <w:rsid w:val="00477F94"/>
    <w:rsid w:val="00477FF2"/>
    <w:rsid w:val="0048018E"/>
    <w:rsid w:val="00480199"/>
    <w:rsid w:val="00480329"/>
    <w:rsid w:val="004803CE"/>
    <w:rsid w:val="00480477"/>
    <w:rsid w:val="004807CC"/>
    <w:rsid w:val="00480A1D"/>
    <w:rsid w:val="00480E6E"/>
    <w:rsid w:val="00480ED5"/>
    <w:rsid w:val="0048103A"/>
    <w:rsid w:val="00481264"/>
    <w:rsid w:val="00481270"/>
    <w:rsid w:val="004812BA"/>
    <w:rsid w:val="004812D9"/>
    <w:rsid w:val="004813EA"/>
    <w:rsid w:val="004814A3"/>
    <w:rsid w:val="004814DF"/>
    <w:rsid w:val="004814FB"/>
    <w:rsid w:val="0048158D"/>
    <w:rsid w:val="00481B9B"/>
    <w:rsid w:val="00481D75"/>
    <w:rsid w:val="0048217C"/>
    <w:rsid w:val="00482541"/>
    <w:rsid w:val="00482AAA"/>
    <w:rsid w:val="00482EB9"/>
    <w:rsid w:val="00483230"/>
    <w:rsid w:val="00483524"/>
    <w:rsid w:val="004836F4"/>
    <w:rsid w:val="00483912"/>
    <w:rsid w:val="00483957"/>
    <w:rsid w:val="004839DF"/>
    <w:rsid w:val="004839EE"/>
    <w:rsid w:val="004839F3"/>
    <w:rsid w:val="00483A22"/>
    <w:rsid w:val="00483A91"/>
    <w:rsid w:val="00483B3E"/>
    <w:rsid w:val="00483B71"/>
    <w:rsid w:val="00483D4F"/>
    <w:rsid w:val="00483DC3"/>
    <w:rsid w:val="00483F77"/>
    <w:rsid w:val="00483F94"/>
    <w:rsid w:val="0048415D"/>
    <w:rsid w:val="004843DC"/>
    <w:rsid w:val="004843F7"/>
    <w:rsid w:val="004844C9"/>
    <w:rsid w:val="004845FF"/>
    <w:rsid w:val="004848EF"/>
    <w:rsid w:val="00484A5B"/>
    <w:rsid w:val="00484B80"/>
    <w:rsid w:val="00484CDC"/>
    <w:rsid w:val="00484CED"/>
    <w:rsid w:val="00484D77"/>
    <w:rsid w:val="004851C9"/>
    <w:rsid w:val="004855EE"/>
    <w:rsid w:val="004858F1"/>
    <w:rsid w:val="00485940"/>
    <w:rsid w:val="00485A82"/>
    <w:rsid w:val="00485C87"/>
    <w:rsid w:val="00485D26"/>
    <w:rsid w:val="00486088"/>
    <w:rsid w:val="0048612F"/>
    <w:rsid w:val="004861D6"/>
    <w:rsid w:val="004862B5"/>
    <w:rsid w:val="00486352"/>
    <w:rsid w:val="0048647B"/>
    <w:rsid w:val="004868D8"/>
    <w:rsid w:val="004868F5"/>
    <w:rsid w:val="00486944"/>
    <w:rsid w:val="004869A4"/>
    <w:rsid w:val="00486C5C"/>
    <w:rsid w:val="00486C7C"/>
    <w:rsid w:val="00486DB9"/>
    <w:rsid w:val="0048706D"/>
    <w:rsid w:val="004870E7"/>
    <w:rsid w:val="00487148"/>
    <w:rsid w:val="0048718C"/>
    <w:rsid w:val="00487201"/>
    <w:rsid w:val="00487299"/>
    <w:rsid w:val="00487353"/>
    <w:rsid w:val="00487446"/>
    <w:rsid w:val="0048765C"/>
    <w:rsid w:val="004877A3"/>
    <w:rsid w:val="00487AD8"/>
    <w:rsid w:val="00487B68"/>
    <w:rsid w:val="00487BDD"/>
    <w:rsid w:val="00487C66"/>
    <w:rsid w:val="00487D4F"/>
    <w:rsid w:val="00487DD2"/>
    <w:rsid w:val="00487E45"/>
    <w:rsid w:val="0049063B"/>
    <w:rsid w:val="00490778"/>
    <w:rsid w:val="00490A18"/>
    <w:rsid w:val="00490F5E"/>
    <w:rsid w:val="00490F9B"/>
    <w:rsid w:val="0049112C"/>
    <w:rsid w:val="00491191"/>
    <w:rsid w:val="004913C8"/>
    <w:rsid w:val="0049157B"/>
    <w:rsid w:val="004915A9"/>
    <w:rsid w:val="004916AD"/>
    <w:rsid w:val="004916C0"/>
    <w:rsid w:val="00491904"/>
    <w:rsid w:val="00491983"/>
    <w:rsid w:val="004919A8"/>
    <w:rsid w:val="00491C62"/>
    <w:rsid w:val="00491E0B"/>
    <w:rsid w:val="00491F65"/>
    <w:rsid w:val="00491FAA"/>
    <w:rsid w:val="00492013"/>
    <w:rsid w:val="00492133"/>
    <w:rsid w:val="00492306"/>
    <w:rsid w:val="0049239E"/>
    <w:rsid w:val="00492423"/>
    <w:rsid w:val="0049249F"/>
    <w:rsid w:val="00492577"/>
    <w:rsid w:val="004927AF"/>
    <w:rsid w:val="004927C2"/>
    <w:rsid w:val="00492A24"/>
    <w:rsid w:val="00492A54"/>
    <w:rsid w:val="00492B08"/>
    <w:rsid w:val="00492D3F"/>
    <w:rsid w:val="00493040"/>
    <w:rsid w:val="0049308F"/>
    <w:rsid w:val="004930F8"/>
    <w:rsid w:val="00493504"/>
    <w:rsid w:val="00493602"/>
    <w:rsid w:val="004936D0"/>
    <w:rsid w:val="0049375D"/>
    <w:rsid w:val="0049387A"/>
    <w:rsid w:val="00493C5B"/>
    <w:rsid w:val="00494354"/>
    <w:rsid w:val="0049443C"/>
    <w:rsid w:val="0049449C"/>
    <w:rsid w:val="004945DC"/>
    <w:rsid w:val="004948C9"/>
    <w:rsid w:val="004949C4"/>
    <w:rsid w:val="00494BE5"/>
    <w:rsid w:val="00494C67"/>
    <w:rsid w:val="00494CBC"/>
    <w:rsid w:val="00494EA6"/>
    <w:rsid w:val="0049514B"/>
    <w:rsid w:val="00495288"/>
    <w:rsid w:val="0049546A"/>
    <w:rsid w:val="00495528"/>
    <w:rsid w:val="004955E5"/>
    <w:rsid w:val="00495604"/>
    <w:rsid w:val="00495682"/>
    <w:rsid w:val="00495819"/>
    <w:rsid w:val="004959A6"/>
    <w:rsid w:val="004959F6"/>
    <w:rsid w:val="00495A77"/>
    <w:rsid w:val="00495E4A"/>
    <w:rsid w:val="00495F17"/>
    <w:rsid w:val="0049690A"/>
    <w:rsid w:val="004969FE"/>
    <w:rsid w:val="00496A37"/>
    <w:rsid w:val="00496AD6"/>
    <w:rsid w:val="00496AF5"/>
    <w:rsid w:val="00496D47"/>
    <w:rsid w:val="00496D7F"/>
    <w:rsid w:val="00497001"/>
    <w:rsid w:val="00497055"/>
    <w:rsid w:val="00497075"/>
    <w:rsid w:val="00497125"/>
    <w:rsid w:val="00497281"/>
    <w:rsid w:val="004973D6"/>
    <w:rsid w:val="00497438"/>
    <w:rsid w:val="0049747D"/>
    <w:rsid w:val="00497764"/>
    <w:rsid w:val="00497898"/>
    <w:rsid w:val="00497984"/>
    <w:rsid w:val="00497AE8"/>
    <w:rsid w:val="00497E9C"/>
    <w:rsid w:val="004A0012"/>
    <w:rsid w:val="004A004B"/>
    <w:rsid w:val="004A02E4"/>
    <w:rsid w:val="004A0344"/>
    <w:rsid w:val="004A04D8"/>
    <w:rsid w:val="004A05D8"/>
    <w:rsid w:val="004A0656"/>
    <w:rsid w:val="004A0778"/>
    <w:rsid w:val="004A0988"/>
    <w:rsid w:val="004A0C34"/>
    <w:rsid w:val="004A0C6D"/>
    <w:rsid w:val="004A0FC4"/>
    <w:rsid w:val="004A0FD8"/>
    <w:rsid w:val="004A0FDE"/>
    <w:rsid w:val="004A101E"/>
    <w:rsid w:val="004A123A"/>
    <w:rsid w:val="004A1383"/>
    <w:rsid w:val="004A1475"/>
    <w:rsid w:val="004A18EE"/>
    <w:rsid w:val="004A1C76"/>
    <w:rsid w:val="004A1E3B"/>
    <w:rsid w:val="004A1E83"/>
    <w:rsid w:val="004A2119"/>
    <w:rsid w:val="004A213D"/>
    <w:rsid w:val="004A22AB"/>
    <w:rsid w:val="004A23E0"/>
    <w:rsid w:val="004A248C"/>
    <w:rsid w:val="004A25CB"/>
    <w:rsid w:val="004A293B"/>
    <w:rsid w:val="004A298B"/>
    <w:rsid w:val="004A2A09"/>
    <w:rsid w:val="004A2D6A"/>
    <w:rsid w:val="004A2DA4"/>
    <w:rsid w:val="004A2E17"/>
    <w:rsid w:val="004A33B0"/>
    <w:rsid w:val="004A3492"/>
    <w:rsid w:val="004A356C"/>
    <w:rsid w:val="004A36F3"/>
    <w:rsid w:val="004A36FA"/>
    <w:rsid w:val="004A37D2"/>
    <w:rsid w:val="004A3960"/>
    <w:rsid w:val="004A3A11"/>
    <w:rsid w:val="004A3B0B"/>
    <w:rsid w:val="004A3B8B"/>
    <w:rsid w:val="004A3C42"/>
    <w:rsid w:val="004A3CBB"/>
    <w:rsid w:val="004A3D44"/>
    <w:rsid w:val="004A3D49"/>
    <w:rsid w:val="004A3F6A"/>
    <w:rsid w:val="004A4011"/>
    <w:rsid w:val="004A4060"/>
    <w:rsid w:val="004A4185"/>
    <w:rsid w:val="004A41E7"/>
    <w:rsid w:val="004A4265"/>
    <w:rsid w:val="004A42F2"/>
    <w:rsid w:val="004A45EF"/>
    <w:rsid w:val="004A4650"/>
    <w:rsid w:val="004A47D9"/>
    <w:rsid w:val="004A4875"/>
    <w:rsid w:val="004A4BDC"/>
    <w:rsid w:val="004A4DCD"/>
    <w:rsid w:val="004A4EF2"/>
    <w:rsid w:val="004A506D"/>
    <w:rsid w:val="004A5330"/>
    <w:rsid w:val="004A53F1"/>
    <w:rsid w:val="004A53F3"/>
    <w:rsid w:val="004A553A"/>
    <w:rsid w:val="004A5595"/>
    <w:rsid w:val="004A57D9"/>
    <w:rsid w:val="004A5802"/>
    <w:rsid w:val="004A5888"/>
    <w:rsid w:val="004A5A52"/>
    <w:rsid w:val="004A5BA0"/>
    <w:rsid w:val="004A5C50"/>
    <w:rsid w:val="004A5E69"/>
    <w:rsid w:val="004A5F16"/>
    <w:rsid w:val="004A5FD7"/>
    <w:rsid w:val="004A61AC"/>
    <w:rsid w:val="004A6264"/>
    <w:rsid w:val="004A6773"/>
    <w:rsid w:val="004A681A"/>
    <w:rsid w:val="004A6C21"/>
    <w:rsid w:val="004A6C5E"/>
    <w:rsid w:val="004A6CF0"/>
    <w:rsid w:val="004A6DF5"/>
    <w:rsid w:val="004A6E60"/>
    <w:rsid w:val="004A6E99"/>
    <w:rsid w:val="004A735D"/>
    <w:rsid w:val="004A74CA"/>
    <w:rsid w:val="004A75A1"/>
    <w:rsid w:val="004A76CB"/>
    <w:rsid w:val="004A7794"/>
    <w:rsid w:val="004A77C1"/>
    <w:rsid w:val="004A77D8"/>
    <w:rsid w:val="004A78F7"/>
    <w:rsid w:val="004A791E"/>
    <w:rsid w:val="004A7A34"/>
    <w:rsid w:val="004A7A55"/>
    <w:rsid w:val="004A7B7A"/>
    <w:rsid w:val="004A7BA9"/>
    <w:rsid w:val="004A7C5D"/>
    <w:rsid w:val="004A7E61"/>
    <w:rsid w:val="004A7F8D"/>
    <w:rsid w:val="004B04D6"/>
    <w:rsid w:val="004B0524"/>
    <w:rsid w:val="004B05E5"/>
    <w:rsid w:val="004B0660"/>
    <w:rsid w:val="004B0777"/>
    <w:rsid w:val="004B091C"/>
    <w:rsid w:val="004B0A2F"/>
    <w:rsid w:val="004B0BBF"/>
    <w:rsid w:val="004B0BDA"/>
    <w:rsid w:val="004B1025"/>
    <w:rsid w:val="004B110E"/>
    <w:rsid w:val="004B115B"/>
    <w:rsid w:val="004B133C"/>
    <w:rsid w:val="004B1432"/>
    <w:rsid w:val="004B179B"/>
    <w:rsid w:val="004B1859"/>
    <w:rsid w:val="004B18C7"/>
    <w:rsid w:val="004B191F"/>
    <w:rsid w:val="004B1C40"/>
    <w:rsid w:val="004B1CCE"/>
    <w:rsid w:val="004B1DEF"/>
    <w:rsid w:val="004B1E5F"/>
    <w:rsid w:val="004B2185"/>
    <w:rsid w:val="004B222B"/>
    <w:rsid w:val="004B233B"/>
    <w:rsid w:val="004B2662"/>
    <w:rsid w:val="004B26F8"/>
    <w:rsid w:val="004B27F4"/>
    <w:rsid w:val="004B27F8"/>
    <w:rsid w:val="004B289C"/>
    <w:rsid w:val="004B2AB7"/>
    <w:rsid w:val="004B2B0B"/>
    <w:rsid w:val="004B2B9E"/>
    <w:rsid w:val="004B2C69"/>
    <w:rsid w:val="004B2C80"/>
    <w:rsid w:val="004B2D7A"/>
    <w:rsid w:val="004B2FE3"/>
    <w:rsid w:val="004B32B5"/>
    <w:rsid w:val="004B32D9"/>
    <w:rsid w:val="004B3740"/>
    <w:rsid w:val="004B37B6"/>
    <w:rsid w:val="004B37EB"/>
    <w:rsid w:val="004B3830"/>
    <w:rsid w:val="004B3E39"/>
    <w:rsid w:val="004B40E9"/>
    <w:rsid w:val="004B417A"/>
    <w:rsid w:val="004B4264"/>
    <w:rsid w:val="004B44A5"/>
    <w:rsid w:val="004B4568"/>
    <w:rsid w:val="004B456B"/>
    <w:rsid w:val="004B4643"/>
    <w:rsid w:val="004B484F"/>
    <w:rsid w:val="004B4B14"/>
    <w:rsid w:val="004B4B1E"/>
    <w:rsid w:val="004B4B85"/>
    <w:rsid w:val="004B4EEA"/>
    <w:rsid w:val="004B512E"/>
    <w:rsid w:val="004B519C"/>
    <w:rsid w:val="004B5272"/>
    <w:rsid w:val="004B562C"/>
    <w:rsid w:val="004B5691"/>
    <w:rsid w:val="004B56AF"/>
    <w:rsid w:val="004B570C"/>
    <w:rsid w:val="004B59EC"/>
    <w:rsid w:val="004B5A8B"/>
    <w:rsid w:val="004B5BC6"/>
    <w:rsid w:val="004B5E09"/>
    <w:rsid w:val="004B5E29"/>
    <w:rsid w:val="004B600C"/>
    <w:rsid w:val="004B6125"/>
    <w:rsid w:val="004B6253"/>
    <w:rsid w:val="004B646D"/>
    <w:rsid w:val="004B65BF"/>
    <w:rsid w:val="004B6698"/>
    <w:rsid w:val="004B6A07"/>
    <w:rsid w:val="004B6B71"/>
    <w:rsid w:val="004B6C6E"/>
    <w:rsid w:val="004B6CAC"/>
    <w:rsid w:val="004B71A3"/>
    <w:rsid w:val="004B72D0"/>
    <w:rsid w:val="004B72F7"/>
    <w:rsid w:val="004B73E0"/>
    <w:rsid w:val="004B7404"/>
    <w:rsid w:val="004B74B4"/>
    <w:rsid w:val="004B7571"/>
    <w:rsid w:val="004B7866"/>
    <w:rsid w:val="004B79BF"/>
    <w:rsid w:val="004B7C0E"/>
    <w:rsid w:val="004B7CCA"/>
    <w:rsid w:val="004B7D23"/>
    <w:rsid w:val="004B7E0E"/>
    <w:rsid w:val="004B7E36"/>
    <w:rsid w:val="004BD468"/>
    <w:rsid w:val="004C00E3"/>
    <w:rsid w:val="004C0173"/>
    <w:rsid w:val="004C01BB"/>
    <w:rsid w:val="004C03E6"/>
    <w:rsid w:val="004C09C7"/>
    <w:rsid w:val="004C0BA7"/>
    <w:rsid w:val="004C0E5A"/>
    <w:rsid w:val="004C0FFC"/>
    <w:rsid w:val="004C1384"/>
    <w:rsid w:val="004C1783"/>
    <w:rsid w:val="004C17A3"/>
    <w:rsid w:val="004C185F"/>
    <w:rsid w:val="004C1E1F"/>
    <w:rsid w:val="004C1E47"/>
    <w:rsid w:val="004C1F22"/>
    <w:rsid w:val="004C20D4"/>
    <w:rsid w:val="004C22A3"/>
    <w:rsid w:val="004C233B"/>
    <w:rsid w:val="004C2403"/>
    <w:rsid w:val="004C2469"/>
    <w:rsid w:val="004C24BA"/>
    <w:rsid w:val="004C27EE"/>
    <w:rsid w:val="004C2986"/>
    <w:rsid w:val="004C2C1C"/>
    <w:rsid w:val="004C31C2"/>
    <w:rsid w:val="004C321E"/>
    <w:rsid w:val="004C3350"/>
    <w:rsid w:val="004C33DE"/>
    <w:rsid w:val="004C36DC"/>
    <w:rsid w:val="004C36F5"/>
    <w:rsid w:val="004C3846"/>
    <w:rsid w:val="004C3920"/>
    <w:rsid w:val="004C3931"/>
    <w:rsid w:val="004C39C9"/>
    <w:rsid w:val="004C3A58"/>
    <w:rsid w:val="004C3D90"/>
    <w:rsid w:val="004C3D95"/>
    <w:rsid w:val="004C3F39"/>
    <w:rsid w:val="004C40A4"/>
    <w:rsid w:val="004C41A0"/>
    <w:rsid w:val="004C455F"/>
    <w:rsid w:val="004C472A"/>
    <w:rsid w:val="004C48C4"/>
    <w:rsid w:val="004C4A2D"/>
    <w:rsid w:val="004C4C76"/>
    <w:rsid w:val="004C4CFA"/>
    <w:rsid w:val="004C4F7E"/>
    <w:rsid w:val="004C54DE"/>
    <w:rsid w:val="004C54F0"/>
    <w:rsid w:val="004C553B"/>
    <w:rsid w:val="004C5952"/>
    <w:rsid w:val="004C5DC3"/>
    <w:rsid w:val="004C6025"/>
    <w:rsid w:val="004C61A0"/>
    <w:rsid w:val="004C6289"/>
    <w:rsid w:val="004C6525"/>
    <w:rsid w:val="004C65C9"/>
    <w:rsid w:val="004C6809"/>
    <w:rsid w:val="004C6B08"/>
    <w:rsid w:val="004C6C83"/>
    <w:rsid w:val="004C6D2E"/>
    <w:rsid w:val="004C6DB8"/>
    <w:rsid w:val="004C6DF4"/>
    <w:rsid w:val="004C6ED3"/>
    <w:rsid w:val="004C6F56"/>
    <w:rsid w:val="004C7057"/>
    <w:rsid w:val="004C7201"/>
    <w:rsid w:val="004C738E"/>
    <w:rsid w:val="004C73F2"/>
    <w:rsid w:val="004C7435"/>
    <w:rsid w:val="004C748D"/>
    <w:rsid w:val="004C7798"/>
    <w:rsid w:val="004C784E"/>
    <w:rsid w:val="004C78F5"/>
    <w:rsid w:val="004C7A45"/>
    <w:rsid w:val="004C7CDC"/>
    <w:rsid w:val="004C7D18"/>
    <w:rsid w:val="004D0151"/>
    <w:rsid w:val="004D0349"/>
    <w:rsid w:val="004D0385"/>
    <w:rsid w:val="004D04FF"/>
    <w:rsid w:val="004D0E8B"/>
    <w:rsid w:val="004D0F0D"/>
    <w:rsid w:val="004D1259"/>
    <w:rsid w:val="004D145D"/>
    <w:rsid w:val="004D189B"/>
    <w:rsid w:val="004D1AED"/>
    <w:rsid w:val="004D1AEF"/>
    <w:rsid w:val="004D1DB0"/>
    <w:rsid w:val="004D1FCF"/>
    <w:rsid w:val="004D21F6"/>
    <w:rsid w:val="004D2282"/>
    <w:rsid w:val="004D246B"/>
    <w:rsid w:val="004D2484"/>
    <w:rsid w:val="004D26DE"/>
    <w:rsid w:val="004D2750"/>
    <w:rsid w:val="004D2835"/>
    <w:rsid w:val="004D288A"/>
    <w:rsid w:val="004D2A29"/>
    <w:rsid w:val="004D2C7C"/>
    <w:rsid w:val="004D2CE1"/>
    <w:rsid w:val="004D2D33"/>
    <w:rsid w:val="004D2D48"/>
    <w:rsid w:val="004D2F43"/>
    <w:rsid w:val="004D2F8E"/>
    <w:rsid w:val="004D30B9"/>
    <w:rsid w:val="004D30CB"/>
    <w:rsid w:val="004D316E"/>
    <w:rsid w:val="004D32B3"/>
    <w:rsid w:val="004D372C"/>
    <w:rsid w:val="004D379E"/>
    <w:rsid w:val="004D384A"/>
    <w:rsid w:val="004D39E4"/>
    <w:rsid w:val="004D3A10"/>
    <w:rsid w:val="004D3A25"/>
    <w:rsid w:val="004D3BEC"/>
    <w:rsid w:val="004D3CE6"/>
    <w:rsid w:val="004D3FFB"/>
    <w:rsid w:val="004D40AF"/>
    <w:rsid w:val="004D4107"/>
    <w:rsid w:val="004D4114"/>
    <w:rsid w:val="004D43B3"/>
    <w:rsid w:val="004D443C"/>
    <w:rsid w:val="004D463B"/>
    <w:rsid w:val="004D49B4"/>
    <w:rsid w:val="004D4BFE"/>
    <w:rsid w:val="004D4C11"/>
    <w:rsid w:val="004D4ECD"/>
    <w:rsid w:val="004D503E"/>
    <w:rsid w:val="004D52FC"/>
    <w:rsid w:val="004D53BD"/>
    <w:rsid w:val="004D5430"/>
    <w:rsid w:val="004D576E"/>
    <w:rsid w:val="004D583B"/>
    <w:rsid w:val="004D592E"/>
    <w:rsid w:val="004D5B18"/>
    <w:rsid w:val="004D5C7F"/>
    <w:rsid w:val="004D5C99"/>
    <w:rsid w:val="004D5DBE"/>
    <w:rsid w:val="004D5E49"/>
    <w:rsid w:val="004D5F34"/>
    <w:rsid w:val="004D5FD9"/>
    <w:rsid w:val="004D601D"/>
    <w:rsid w:val="004D6669"/>
    <w:rsid w:val="004D67CC"/>
    <w:rsid w:val="004D68EB"/>
    <w:rsid w:val="004D691F"/>
    <w:rsid w:val="004D6926"/>
    <w:rsid w:val="004D6A8C"/>
    <w:rsid w:val="004D6ABB"/>
    <w:rsid w:val="004D6D3C"/>
    <w:rsid w:val="004D6DC3"/>
    <w:rsid w:val="004D6F94"/>
    <w:rsid w:val="004D732B"/>
    <w:rsid w:val="004D739A"/>
    <w:rsid w:val="004D759F"/>
    <w:rsid w:val="004D7685"/>
    <w:rsid w:val="004D76DF"/>
    <w:rsid w:val="004D7872"/>
    <w:rsid w:val="004D7931"/>
    <w:rsid w:val="004D7A04"/>
    <w:rsid w:val="004D7BC0"/>
    <w:rsid w:val="004D7C82"/>
    <w:rsid w:val="004E0280"/>
    <w:rsid w:val="004E035F"/>
    <w:rsid w:val="004E0427"/>
    <w:rsid w:val="004E0493"/>
    <w:rsid w:val="004E0508"/>
    <w:rsid w:val="004E074F"/>
    <w:rsid w:val="004E09C8"/>
    <w:rsid w:val="004E0A5D"/>
    <w:rsid w:val="004E0A8B"/>
    <w:rsid w:val="004E0B0C"/>
    <w:rsid w:val="004E0CD5"/>
    <w:rsid w:val="004E0D96"/>
    <w:rsid w:val="004E1360"/>
    <w:rsid w:val="004E13F1"/>
    <w:rsid w:val="004E16F0"/>
    <w:rsid w:val="004E1944"/>
    <w:rsid w:val="004E1B4B"/>
    <w:rsid w:val="004E1C4F"/>
    <w:rsid w:val="004E1D12"/>
    <w:rsid w:val="004E1D48"/>
    <w:rsid w:val="004E1E37"/>
    <w:rsid w:val="004E1F3F"/>
    <w:rsid w:val="004E20D6"/>
    <w:rsid w:val="004E20DB"/>
    <w:rsid w:val="004E2367"/>
    <w:rsid w:val="004E266E"/>
    <w:rsid w:val="004E26D4"/>
    <w:rsid w:val="004E27FF"/>
    <w:rsid w:val="004E2831"/>
    <w:rsid w:val="004E29E8"/>
    <w:rsid w:val="004E2A3A"/>
    <w:rsid w:val="004E2C7F"/>
    <w:rsid w:val="004E2E2C"/>
    <w:rsid w:val="004E2E52"/>
    <w:rsid w:val="004E2ECC"/>
    <w:rsid w:val="004E2ED4"/>
    <w:rsid w:val="004E30AA"/>
    <w:rsid w:val="004E34CB"/>
    <w:rsid w:val="004E34FE"/>
    <w:rsid w:val="004E35A2"/>
    <w:rsid w:val="004E363F"/>
    <w:rsid w:val="004E3748"/>
    <w:rsid w:val="004E3786"/>
    <w:rsid w:val="004E3A8C"/>
    <w:rsid w:val="004E3B25"/>
    <w:rsid w:val="004E3BDC"/>
    <w:rsid w:val="004E3CF9"/>
    <w:rsid w:val="004E40F8"/>
    <w:rsid w:val="004E4135"/>
    <w:rsid w:val="004E420F"/>
    <w:rsid w:val="004E44F6"/>
    <w:rsid w:val="004E47AB"/>
    <w:rsid w:val="004E4A56"/>
    <w:rsid w:val="004E4B4F"/>
    <w:rsid w:val="004E4DA8"/>
    <w:rsid w:val="004E4E26"/>
    <w:rsid w:val="004E4E50"/>
    <w:rsid w:val="004E4FEA"/>
    <w:rsid w:val="004E5045"/>
    <w:rsid w:val="004E5154"/>
    <w:rsid w:val="004E5288"/>
    <w:rsid w:val="004E5333"/>
    <w:rsid w:val="004E546A"/>
    <w:rsid w:val="004E58A8"/>
    <w:rsid w:val="004E5A07"/>
    <w:rsid w:val="004E5CE9"/>
    <w:rsid w:val="004E5EC6"/>
    <w:rsid w:val="004E61CB"/>
    <w:rsid w:val="004E62F2"/>
    <w:rsid w:val="004E63FC"/>
    <w:rsid w:val="004E6438"/>
    <w:rsid w:val="004E6B07"/>
    <w:rsid w:val="004E6BB0"/>
    <w:rsid w:val="004E6C02"/>
    <w:rsid w:val="004E6D5E"/>
    <w:rsid w:val="004E6DB7"/>
    <w:rsid w:val="004E71A2"/>
    <w:rsid w:val="004E71B3"/>
    <w:rsid w:val="004E7249"/>
    <w:rsid w:val="004E753D"/>
    <w:rsid w:val="004E756D"/>
    <w:rsid w:val="004E765C"/>
    <w:rsid w:val="004E790B"/>
    <w:rsid w:val="004E7967"/>
    <w:rsid w:val="004E796C"/>
    <w:rsid w:val="004E7AA1"/>
    <w:rsid w:val="004E7AA5"/>
    <w:rsid w:val="004E7B9D"/>
    <w:rsid w:val="004F001F"/>
    <w:rsid w:val="004F0108"/>
    <w:rsid w:val="004F088D"/>
    <w:rsid w:val="004F0E47"/>
    <w:rsid w:val="004F1022"/>
    <w:rsid w:val="004F1730"/>
    <w:rsid w:val="004F1741"/>
    <w:rsid w:val="004F182A"/>
    <w:rsid w:val="004F183A"/>
    <w:rsid w:val="004F19C7"/>
    <w:rsid w:val="004F1A41"/>
    <w:rsid w:val="004F2186"/>
    <w:rsid w:val="004F28E9"/>
    <w:rsid w:val="004F2B2E"/>
    <w:rsid w:val="004F2CD7"/>
    <w:rsid w:val="004F2E34"/>
    <w:rsid w:val="004F301D"/>
    <w:rsid w:val="004F321C"/>
    <w:rsid w:val="004F3269"/>
    <w:rsid w:val="004F3558"/>
    <w:rsid w:val="004F35D5"/>
    <w:rsid w:val="004F3780"/>
    <w:rsid w:val="004F3932"/>
    <w:rsid w:val="004F39F1"/>
    <w:rsid w:val="004F3A05"/>
    <w:rsid w:val="004F3D5F"/>
    <w:rsid w:val="004F3F1C"/>
    <w:rsid w:val="004F3FF1"/>
    <w:rsid w:val="004F4162"/>
    <w:rsid w:val="004F41DC"/>
    <w:rsid w:val="004F445F"/>
    <w:rsid w:val="004F4676"/>
    <w:rsid w:val="004F46A8"/>
    <w:rsid w:val="004F47CF"/>
    <w:rsid w:val="004F4882"/>
    <w:rsid w:val="004F4886"/>
    <w:rsid w:val="004F48C2"/>
    <w:rsid w:val="004F48FE"/>
    <w:rsid w:val="004F504F"/>
    <w:rsid w:val="004F510A"/>
    <w:rsid w:val="004F5204"/>
    <w:rsid w:val="004F52BC"/>
    <w:rsid w:val="004F5672"/>
    <w:rsid w:val="004F59A8"/>
    <w:rsid w:val="004F59ED"/>
    <w:rsid w:val="004F5AB2"/>
    <w:rsid w:val="004F5AC0"/>
    <w:rsid w:val="004F5BE9"/>
    <w:rsid w:val="004F6051"/>
    <w:rsid w:val="004F625E"/>
    <w:rsid w:val="004F6459"/>
    <w:rsid w:val="004F6500"/>
    <w:rsid w:val="004F6580"/>
    <w:rsid w:val="004F670F"/>
    <w:rsid w:val="004F696F"/>
    <w:rsid w:val="004F6BA7"/>
    <w:rsid w:val="004F6C0C"/>
    <w:rsid w:val="004F6F40"/>
    <w:rsid w:val="004F707A"/>
    <w:rsid w:val="004F71A4"/>
    <w:rsid w:val="004F71CA"/>
    <w:rsid w:val="004F726A"/>
    <w:rsid w:val="004F74EE"/>
    <w:rsid w:val="004F76E3"/>
    <w:rsid w:val="004F772D"/>
    <w:rsid w:val="004F79DE"/>
    <w:rsid w:val="004F7A0A"/>
    <w:rsid w:val="004F7A3B"/>
    <w:rsid w:val="004F7BE9"/>
    <w:rsid w:val="004F7E54"/>
    <w:rsid w:val="004F7F90"/>
    <w:rsid w:val="0050067B"/>
    <w:rsid w:val="00500812"/>
    <w:rsid w:val="00500829"/>
    <w:rsid w:val="0050086C"/>
    <w:rsid w:val="005009FA"/>
    <w:rsid w:val="00500A2F"/>
    <w:rsid w:val="00500A38"/>
    <w:rsid w:val="00500A5B"/>
    <w:rsid w:val="00500D33"/>
    <w:rsid w:val="00500F3F"/>
    <w:rsid w:val="005010DC"/>
    <w:rsid w:val="0050112F"/>
    <w:rsid w:val="0050130C"/>
    <w:rsid w:val="0050133F"/>
    <w:rsid w:val="00501514"/>
    <w:rsid w:val="005016D8"/>
    <w:rsid w:val="00501810"/>
    <w:rsid w:val="005018FF"/>
    <w:rsid w:val="005019A4"/>
    <w:rsid w:val="00501C3D"/>
    <w:rsid w:val="00501CC4"/>
    <w:rsid w:val="0050229B"/>
    <w:rsid w:val="005024BC"/>
    <w:rsid w:val="00502562"/>
    <w:rsid w:val="005025B0"/>
    <w:rsid w:val="0050260B"/>
    <w:rsid w:val="00502720"/>
    <w:rsid w:val="00502742"/>
    <w:rsid w:val="0050287E"/>
    <w:rsid w:val="005028B7"/>
    <w:rsid w:val="005029CA"/>
    <w:rsid w:val="00502A32"/>
    <w:rsid w:val="00502FDA"/>
    <w:rsid w:val="00503055"/>
    <w:rsid w:val="005030E1"/>
    <w:rsid w:val="005032E8"/>
    <w:rsid w:val="00503B03"/>
    <w:rsid w:val="00503C10"/>
    <w:rsid w:val="00503C90"/>
    <w:rsid w:val="00503C94"/>
    <w:rsid w:val="00503DA5"/>
    <w:rsid w:val="005041EB"/>
    <w:rsid w:val="0050462C"/>
    <w:rsid w:val="005046A1"/>
    <w:rsid w:val="00504710"/>
    <w:rsid w:val="00504832"/>
    <w:rsid w:val="005048BA"/>
    <w:rsid w:val="0050494F"/>
    <w:rsid w:val="00504A3C"/>
    <w:rsid w:val="00504AB7"/>
    <w:rsid w:val="00504B43"/>
    <w:rsid w:val="00504BF9"/>
    <w:rsid w:val="00504D9A"/>
    <w:rsid w:val="00504ED0"/>
    <w:rsid w:val="005050D1"/>
    <w:rsid w:val="00505457"/>
    <w:rsid w:val="00505494"/>
    <w:rsid w:val="0050558E"/>
    <w:rsid w:val="00505672"/>
    <w:rsid w:val="00505909"/>
    <w:rsid w:val="00505A5C"/>
    <w:rsid w:val="00505C98"/>
    <w:rsid w:val="00505F0F"/>
    <w:rsid w:val="0050621E"/>
    <w:rsid w:val="00506238"/>
    <w:rsid w:val="005064A6"/>
    <w:rsid w:val="0050653F"/>
    <w:rsid w:val="0050671D"/>
    <w:rsid w:val="005067E1"/>
    <w:rsid w:val="00506C43"/>
    <w:rsid w:val="00506C66"/>
    <w:rsid w:val="00507028"/>
    <w:rsid w:val="005070D6"/>
    <w:rsid w:val="00507110"/>
    <w:rsid w:val="00507401"/>
    <w:rsid w:val="0050755E"/>
    <w:rsid w:val="005075D2"/>
    <w:rsid w:val="00507974"/>
    <w:rsid w:val="00507C0C"/>
    <w:rsid w:val="00507CC8"/>
    <w:rsid w:val="00510382"/>
    <w:rsid w:val="00510391"/>
    <w:rsid w:val="0051052D"/>
    <w:rsid w:val="005106D8"/>
    <w:rsid w:val="00510B55"/>
    <w:rsid w:val="00510D6B"/>
    <w:rsid w:val="0051116C"/>
    <w:rsid w:val="0051138E"/>
    <w:rsid w:val="00511450"/>
    <w:rsid w:val="00511806"/>
    <w:rsid w:val="00511AFB"/>
    <w:rsid w:val="00511BB7"/>
    <w:rsid w:val="00511D6C"/>
    <w:rsid w:val="00511DB8"/>
    <w:rsid w:val="00511EB2"/>
    <w:rsid w:val="00511EEF"/>
    <w:rsid w:val="00511F58"/>
    <w:rsid w:val="005123C2"/>
    <w:rsid w:val="005127DC"/>
    <w:rsid w:val="0051288F"/>
    <w:rsid w:val="00512A42"/>
    <w:rsid w:val="00512BD5"/>
    <w:rsid w:val="00512D64"/>
    <w:rsid w:val="00513006"/>
    <w:rsid w:val="00513027"/>
    <w:rsid w:val="005130F5"/>
    <w:rsid w:val="00513106"/>
    <w:rsid w:val="0051315E"/>
    <w:rsid w:val="005133EE"/>
    <w:rsid w:val="005136E0"/>
    <w:rsid w:val="00513724"/>
    <w:rsid w:val="00513B2A"/>
    <w:rsid w:val="0051409D"/>
    <w:rsid w:val="00514190"/>
    <w:rsid w:val="0051443C"/>
    <w:rsid w:val="00514528"/>
    <w:rsid w:val="0051454D"/>
    <w:rsid w:val="005145C0"/>
    <w:rsid w:val="00514855"/>
    <w:rsid w:val="00514A5C"/>
    <w:rsid w:val="00514B7F"/>
    <w:rsid w:val="00514DB1"/>
    <w:rsid w:val="00514E40"/>
    <w:rsid w:val="00514E65"/>
    <w:rsid w:val="00514F15"/>
    <w:rsid w:val="00514F20"/>
    <w:rsid w:val="00514FF8"/>
    <w:rsid w:val="005151AE"/>
    <w:rsid w:val="005152C5"/>
    <w:rsid w:val="00515443"/>
    <w:rsid w:val="00515448"/>
    <w:rsid w:val="005156C3"/>
    <w:rsid w:val="00515705"/>
    <w:rsid w:val="00515772"/>
    <w:rsid w:val="00515819"/>
    <w:rsid w:val="00515A07"/>
    <w:rsid w:val="00515B97"/>
    <w:rsid w:val="00515D3D"/>
    <w:rsid w:val="00515D54"/>
    <w:rsid w:val="005162DE"/>
    <w:rsid w:val="00516310"/>
    <w:rsid w:val="00516437"/>
    <w:rsid w:val="0051653D"/>
    <w:rsid w:val="005165D8"/>
    <w:rsid w:val="005165F9"/>
    <w:rsid w:val="005166AA"/>
    <w:rsid w:val="005168BC"/>
    <w:rsid w:val="00516937"/>
    <w:rsid w:val="00516D0B"/>
    <w:rsid w:val="00516D1B"/>
    <w:rsid w:val="00516E27"/>
    <w:rsid w:val="00516E8C"/>
    <w:rsid w:val="00516EDB"/>
    <w:rsid w:val="00517187"/>
    <w:rsid w:val="005174A7"/>
    <w:rsid w:val="00517996"/>
    <w:rsid w:val="00517999"/>
    <w:rsid w:val="00517A63"/>
    <w:rsid w:val="00517BE0"/>
    <w:rsid w:val="00517C6A"/>
    <w:rsid w:val="00517D8A"/>
    <w:rsid w:val="00517E43"/>
    <w:rsid w:val="00517E5F"/>
    <w:rsid w:val="00517FC1"/>
    <w:rsid w:val="0052012E"/>
    <w:rsid w:val="00520680"/>
    <w:rsid w:val="00520787"/>
    <w:rsid w:val="005209CB"/>
    <w:rsid w:val="005209DD"/>
    <w:rsid w:val="00520DCB"/>
    <w:rsid w:val="00520F7B"/>
    <w:rsid w:val="00520FDF"/>
    <w:rsid w:val="0052108B"/>
    <w:rsid w:val="005210D0"/>
    <w:rsid w:val="0052124D"/>
    <w:rsid w:val="005212C6"/>
    <w:rsid w:val="0052139A"/>
    <w:rsid w:val="0052140D"/>
    <w:rsid w:val="0052156F"/>
    <w:rsid w:val="00521848"/>
    <w:rsid w:val="005218A0"/>
    <w:rsid w:val="005218A8"/>
    <w:rsid w:val="00521D5F"/>
    <w:rsid w:val="00521DA4"/>
    <w:rsid w:val="00521EB7"/>
    <w:rsid w:val="005220D4"/>
    <w:rsid w:val="00522130"/>
    <w:rsid w:val="00522202"/>
    <w:rsid w:val="005222D7"/>
    <w:rsid w:val="00522386"/>
    <w:rsid w:val="005223AF"/>
    <w:rsid w:val="005223D6"/>
    <w:rsid w:val="0052252E"/>
    <w:rsid w:val="00522876"/>
    <w:rsid w:val="00522908"/>
    <w:rsid w:val="00522B59"/>
    <w:rsid w:val="00522CA0"/>
    <w:rsid w:val="00522F44"/>
    <w:rsid w:val="00522FCA"/>
    <w:rsid w:val="005234C2"/>
    <w:rsid w:val="00523690"/>
    <w:rsid w:val="005236B5"/>
    <w:rsid w:val="0052371A"/>
    <w:rsid w:val="005237E1"/>
    <w:rsid w:val="005238E8"/>
    <w:rsid w:val="00523940"/>
    <w:rsid w:val="00523AA8"/>
    <w:rsid w:val="00523BC8"/>
    <w:rsid w:val="00523CD4"/>
    <w:rsid w:val="00523EE9"/>
    <w:rsid w:val="00524535"/>
    <w:rsid w:val="005245E1"/>
    <w:rsid w:val="00524827"/>
    <w:rsid w:val="00524997"/>
    <w:rsid w:val="00524CC2"/>
    <w:rsid w:val="00524D45"/>
    <w:rsid w:val="00524E40"/>
    <w:rsid w:val="00524E56"/>
    <w:rsid w:val="00524F42"/>
    <w:rsid w:val="00524FED"/>
    <w:rsid w:val="00525211"/>
    <w:rsid w:val="00525449"/>
    <w:rsid w:val="00525450"/>
    <w:rsid w:val="0052545D"/>
    <w:rsid w:val="0052582B"/>
    <w:rsid w:val="005258EF"/>
    <w:rsid w:val="00525B02"/>
    <w:rsid w:val="00525FB1"/>
    <w:rsid w:val="0052636D"/>
    <w:rsid w:val="005263A6"/>
    <w:rsid w:val="005263CF"/>
    <w:rsid w:val="00526457"/>
    <w:rsid w:val="00526559"/>
    <w:rsid w:val="00526601"/>
    <w:rsid w:val="00526648"/>
    <w:rsid w:val="005267FD"/>
    <w:rsid w:val="00526B7B"/>
    <w:rsid w:val="00526DD0"/>
    <w:rsid w:val="00526DE4"/>
    <w:rsid w:val="0052788D"/>
    <w:rsid w:val="00527B85"/>
    <w:rsid w:val="00527CEF"/>
    <w:rsid w:val="00527DD7"/>
    <w:rsid w:val="00527E20"/>
    <w:rsid w:val="00527F5F"/>
    <w:rsid w:val="0053000C"/>
    <w:rsid w:val="0053002D"/>
    <w:rsid w:val="00530268"/>
    <w:rsid w:val="005302AA"/>
    <w:rsid w:val="005303A6"/>
    <w:rsid w:val="00530430"/>
    <w:rsid w:val="0053045F"/>
    <w:rsid w:val="0053048E"/>
    <w:rsid w:val="00530499"/>
    <w:rsid w:val="005306D4"/>
    <w:rsid w:val="005308C0"/>
    <w:rsid w:val="00530A6D"/>
    <w:rsid w:val="00530BDE"/>
    <w:rsid w:val="00530DF5"/>
    <w:rsid w:val="00530E30"/>
    <w:rsid w:val="005312CC"/>
    <w:rsid w:val="00531744"/>
    <w:rsid w:val="005318D6"/>
    <w:rsid w:val="00531D0D"/>
    <w:rsid w:val="00531DAC"/>
    <w:rsid w:val="00532262"/>
    <w:rsid w:val="005326CE"/>
    <w:rsid w:val="0053285C"/>
    <w:rsid w:val="00532A64"/>
    <w:rsid w:val="00532BB7"/>
    <w:rsid w:val="00532BF5"/>
    <w:rsid w:val="00532C5D"/>
    <w:rsid w:val="00532CBC"/>
    <w:rsid w:val="00532D3F"/>
    <w:rsid w:val="00532F82"/>
    <w:rsid w:val="00533280"/>
    <w:rsid w:val="00533390"/>
    <w:rsid w:val="005337D3"/>
    <w:rsid w:val="005337E2"/>
    <w:rsid w:val="00533832"/>
    <w:rsid w:val="00533A24"/>
    <w:rsid w:val="00533B62"/>
    <w:rsid w:val="00533BDF"/>
    <w:rsid w:val="00533CB2"/>
    <w:rsid w:val="00533CF2"/>
    <w:rsid w:val="00533D8F"/>
    <w:rsid w:val="0053405F"/>
    <w:rsid w:val="00534173"/>
    <w:rsid w:val="005343FB"/>
    <w:rsid w:val="005344A2"/>
    <w:rsid w:val="005344EA"/>
    <w:rsid w:val="0053455B"/>
    <w:rsid w:val="00534568"/>
    <w:rsid w:val="005345A6"/>
    <w:rsid w:val="0053460D"/>
    <w:rsid w:val="00534994"/>
    <w:rsid w:val="00534DEC"/>
    <w:rsid w:val="00535040"/>
    <w:rsid w:val="00535265"/>
    <w:rsid w:val="005352C0"/>
    <w:rsid w:val="005352E7"/>
    <w:rsid w:val="00535312"/>
    <w:rsid w:val="0053582C"/>
    <w:rsid w:val="005359EA"/>
    <w:rsid w:val="00535A54"/>
    <w:rsid w:val="00535B43"/>
    <w:rsid w:val="00535D38"/>
    <w:rsid w:val="00535E45"/>
    <w:rsid w:val="00535ECD"/>
    <w:rsid w:val="00536276"/>
    <w:rsid w:val="00536416"/>
    <w:rsid w:val="0053661D"/>
    <w:rsid w:val="005366A1"/>
    <w:rsid w:val="005366B0"/>
    <w:rsid w:val="00536938"/>
    <w:rsid w:val="005369C3"/>
    <w:rsid w:val="00536BAC"/>
    <w:rsid w:val="00536D22"/>
    <w:rsid w:val="00536D84"/>
    <w:rsid w:val="00537034"/>
    <w:rsid w:val="0053712B"/>
    <w:rsid w:val="005374CE"/>
    <w:rsid w:val="005375BC"/>
    <w:rsid w:val="00537732"/>
    <w:rsid w:val="00537844"/>
    <w:rsid w:val="005378A8"/>
    <w:rsid w:val="005378FE"/>
    <w:rsid w:val="00537D76"/>
    <w:rsid w:val="00537F45"/>
    <w:rsid w:val="0054003C"/>
    <w:rsid w:val="0054026E"/>
    <w:rsid w:val="0054051D"/>
    <w:rsid w:val="005405E8"/>
    <w:rsid w:val="005405F3"/>
    <w:rsid w:val="005407A6"/>
    <w:rsid w:val="00540966"/>
    <w:rsid w:val="00540D52"/>
    <w:rsid w:val="00541131"/>
    <w:rsid w:val="0054116A"/>
    <w:rsid w:val="005416B6"/>
    <w:rsid w:val="005416FB"/>
    <w:rsid w:val="005417A7"/>
    <w:rsid w:val="005417CC"/>
    <w:rsid w:val="0054198D"/>
    <w:rsid w:val="00541A46"/>
    <w:rsid w:val="00541F49"/>
    <w:rsid w:val="00541FD9"/>
    <w:rsid w:val="0054203A"/>
    <w:rsid w:val="005420C6"/>
    <w:rsid w:val="005422CC"/>
    <w:rsid w:val="005423D6"/>
    <w:rsid w:val="00542403"/>
    <w:rsid w:val="00542445"/>
    <w:rsid w:val="00542607"/>
    <w:rsid w:val="0054275F"/>
    <w:rsid w:val="005428DE"/>
    <w:rsid w:val="00542932"/>
    <w:rsid w:val="00542983"/>
    <w:rsid w:val="00542A0E"/>
    <w:rsid w:val="00542A67"/>
    <w:rsid w:val="00542ABD"/>
    <w:rsid w:val="00542BBC"/>
    <w:rsid w:val="00542ED5"/>
    <w:rsid w:val="00543255"/>
    <w:rsid w:val="00543296"/>
    <w:rsid w:val="005433B0"/>
    <w:rsid w:val="0054346B"/>
    <w:rsid w:val="00543754"/>
    <w:rsid w:val="00543859"/>
    <w:rsid w:val="00543AD7"/>
    <w:rsid w:val="00543B84"/>
    <w:rsid w:val="00543BF6"/>
    <w:rsid w:val="00543C2A"/>
    <w:rsid w:val="00543C99"/>
    <w:rsid w:val="00543DE4"/>
    <w:rsid w:val="00544034"/>
    <w:rsid w:val="00544100"/>
    <w:rsid w:val="005443DE"/>
    <w:rsid w:val="00544545"/>
    <w:rsid w:val="00544794"/>
    <w:rsid w:val="00544B24"/>
    <w:rsid w:val="00544CA5"/>
    <w:rsid w:val="00544D09"/>
    <w:rsid w:val="00544D6D"/>
    <w:rsid w:val="00545222"/>
    <w:rsid w:val="00545242"/>
    <w:rsid w:val="005452B9"/>
    <w:rsid w:val="00545434"/>
    <w:rsid w:val="005456B7"/>
    <w:rsid w:val="00545710"/>
    <w:rsid w:val="0054588F"/>
    <w:rsid w:val="00545A8F"/>
    <w:rsid w:val="00545B11"/>
    <w:rsid w:val="00545F3A"/>
    <w:rsid w:val="005462A1"/>
    <w:rsid w:val="00546325"/>
    <w:rsid w:val="005463B4"/>
    <w:rsid w:val="005464D2"/>
    <w:rsid w:val="0054658F"/>
    <w:rsid w:val="0054678C"/>
    <w:rsid w:val="00546850"/>
    <w:rsid w:val="00546874"/>
    <w:rsid w:val="005468B0"/>
    <w:rsid w:val="00546950"/>
    <w:rsid w:val="005469FC"/>
    <w:rsid w:val="00546B78"/>
    <w:rsid w:val="00546B7C"/>
    <w:rsid w:val="00546CCC"/>
    <w:rsid w:val="00546FE4"/>
    <w:rsid w:val="0054710F"/>
    <w:rsid w:val="005471ED"/>
    <w:rsid w:val="005473F0"/>
    <w:rsid w:val="00547599"/>
    <w:rsid w:val="00547610"/>
    <w:rsid w:val="00547718"/>
    <w:rsid w:val="005477B2"/>
    <w:rsid w:val="005477B9"/>
    <w:rsid w:val="005478F3"/>
    <w:rsid w:val="00547966"/>
    <w:rsid w:val="00547A0F"/>
    <w:rsid w:val="00547A81"/>
    <w:rsid w:val="00547C96"/>
    <w:rsid w:val="00547D06"/>
    <w:rsid w:val="00547F8B"/>
    <w:rsid w:val="005500BE"/>
    <w:rsid w:val="005501C6"/>
    <w:rsid w:val="0055041B"/>
    <w:rsid w:val="0055059C"/>
    <w:rsid w:val="00550A27"/>
    <w:rsid w:val="00550D00"/>
    <w:rsid w:val="00550E3B"/>
    <w:rsid w:val="00550EC6"/>
    <w:rsid w:val="005510D8"/>
    <w:rsid w:val="005510F4"/>
    <w:rsid w:val="0055114C"/>
    <w:rsid w:val="0055116F"/>
    <w:rsid w:val="00551234"/>
    <w:rsid w:val="00551276"/>
    <w:rsid w:val="00551424"/>
    <w:rsid w:val="00551674"/>
    <w:rsid w:val="005518A7"/>
    <w:rsid w:val="005519D6"/>
    <w:rsid w:val="005519D8"/>
    <w:rsid w:val="00551C2B"/>
    <w:rsid w:val="00551C73"/>
    <w:rsid w:val="00551E1C"/>
    <w:rsid w:val="0055235D"/>
    <w:rsid w:val="00552553"/>
    <w:rsid w:val="00552558"/>
    <w:rsid w:val="005525E1"/>
    <w:rsid w:val="00552A54"/>
    <w:rsid w:val="00552BE2"/>
    <w:rsid w:val="00552C8D"/>
    <w:rsid w:val="00552CA8"/>
    <w:rsid w:val="00552CD3"/>
    <w:rsid w:val="00552DFE"/>
    <w:rsid w:val="00553096"/>
    <w:rsid w:val="005531CB"/>
    <w:rsid w:val="0055324B"/>
    <w:rsid w:val="005533F7"/>
    <w:rsid w:val="0055344A"/>
    <w:rsid w:val="00553674"/>
    <w:rsid w:val="005536A7"/>
    <w:rsid w:val="00553A03"/>
    <w:rsid w:val="00553A31"/>
    <w:rsid w:val="00553A3C"/>
    <w:rsid w:val="00553DCA"/>
    <w:rsid w:val="00553DF3"/>
    <w:rsid w:val="00553F48"/>
    <w:rsid w:val="0055429B"/>
    <w:rsid w:val="005542C3"/>
    <w:rsid w:val="00554681"/>
    <w:rsid w:val="005546E5"/>
    <w:rsid w:val="00554722"/>
    <w:rsid w:val="005548A3"/>
    <w:rsid w:val="005549F3"/>
    <w:rsid w:val="00554C1B"/>
    <w:rsid w:val="00554C7A"/>
    <w:rsid w:val="00554CBD"/>
    <w:rsid w:val="00554CC0"/>
    <w:rsid w:val="00554E2C"/>
    <w:rsid w:val="00554EA7"/>
    <w:rsid w:val="0055502E"/>
    <w:rsid w:val="00555044"/>
    <w:rsid w:val="00555113"/>
    <w:rsid w:val="0055511A"/>
    <w:rsid w:val="00555200"/>
    <w:rsid w:val="0055522A"/>
    <w:rsid w:val="00555256"/>
    <w:rsid w:val="00555868"/>
    <w:rsid w:val="00555A85"/>
    <w:rsid w:val="00555DF6"/>
    <w:rsid w:val="00555E74"/>
    <w:rsid w:val="00555E80"/>
    <w:rsid w:val="00555F6A"/>
    <w:rsid w:val="00556001"/>
    <w:rsid w:val="005561D9"/>
    <w:rsid w:val="0055623C"/>
    <w:rsid w:val="00556246"/>
    <w:rsid w:val="0055629A"/>
    <w:rsid w:val="005563AE"/>
    <w:rsid w:val="005566DD"/>
    <w:rsid w:val="005568E6"/>
    <w:rsid w:val="00556933"/>
    <w:rsid w:val="00556ACD"/>
    <w:rsid w:val="00556C87"/>
    <w:rsid w:val="00556DA4"/>
    <w:rsid w:val="00556F34"/>
    <w:rsid w:val="00557482"/>
    <w:rsid w:val="005574C7"/>
    <w:rsid w:val="005575AB"/>
    <w:rsid w:val="0055763C"/>
    <w:rsid w:val="0055774F"/>
    <w:rsid w:val="0055784E"/>
    <w:rsid w:val="00557AE3"/>
    <w:rsid w:val="0055807E"/>
    <w:rsid w:val="0056023A"/>
    <w:rsid w:val="00560351"/>
    <w:rsid w:val="0056043E"/>
    <w:rsid w:val="0056051F"/>
    <w:rsid w:val="00560651"/>
    <w:rsid w:val="005608D1"/>
    <w:rsid w:val="0056099D"/>
    <w:rsid w:val="00560A48"/>
    <w:rsid w:val="00560AED"/>
    <w:rsid w:val="00560B4C"/>
    <w:rsid w:val="00560CC1"/>
    <w:rsid w:val="00560CF8"/>
    <w:rsid w:val="00560E06"/>
    <w:rsid w:val="00561252"/>
    <w:rsid w:val="00561301"/>
    <w:rsid w:val="00561485"/>
    <w:rsid w:val="0056149F"/>
    <w:rsid w:val="00561779"/>
    <w:rsid w:val="00561994"/>
    <w:rsid w:val="00561BEA"/>
    <w:rsid w:val="00561C50"/>
    <w:rsid w:val="00561F98"/>
    <w:rsid w:val="00561FA4"/>
    <w:rsid w:val="00562354"/>
    <w:rsid w:val="0056253A"/>
    <w:rsid w:val="0056255E"/>
    <w:rsid w:val="005627A2"/>
    <w:rsid w:val="005629E0"/>
    <w:rsid w:val="00562E97"/>
    <w:rsid w:val="0056311E"/>
    <w:rsid w:val="00563153"/>
    <w:rsid w:val="0056315D"/>
    <w:rsid w:val="005632D1"/>
    <w:rsid w:val="005635D4"/>
    <w:rsid w:val="0056366F"/>
    <w:rsid w:val="005638AE"/>
    <w:rsid w:val="005638E2"/>
    <w:rsid w:val="00563A07"/>
    <w:rsid w:val="00563C7F"/>
    <w:rsid w:val="00563C80"/>
    <w:rsid w:val="00563E30"/>
    <w:rsid w:val="00563E8D"/>
    <w:rsid w:val="00563E94"/>
    <w:rsid w:val="00564056"/>
    <w:rsid w:val="0056429E"/>
    <w:rsid w:val="005642B4"/>
    <w:rsid w:val="00564646"/>
    <w:rsid w:val="00564771"/>
    <w:rsid w:val="00564867"/>
    <w:rsid w:val="00564891"/>
    <w:rsid w:val="00564C8D"/>
    <w:rsid w:val="00564ED9"/>
    <w:rsid w:val="00565382"/>
    <w:rsid w:val="00565584"/>
    <w:rsid w:val="005655FE"/>
    <w:rsid w:val="0056560C"/>
    <w:rsid w:val="00565630"/>
    <w:rsid w:val="00565743"/>
    <w:rsid w:val="005657EA"/>
    <w:rsid w:val="00565850"/>
    <w:rsid w:val="00565871"/>
    <w:rsid w:val="0056596B"/>
    <w:rsid w:val="005659C8"/>
    <w:rsid w:val="00565CA6"/>
    <w:rsid w:val="00565F72"/>
    <w:rsid w:val="0056605A"/>
    <w:rsid w:val="00566293"/>
    <w:rsid w:val="00566598"/>
    <w:rsid w:val="005667D7"/>
    <w:rsid w:val="005667FA"/>
    <w:rsid w:val="00566921"/>
    <w:rsid w:val="00566A27"/>
    <w:rsid w:val="00566B5A"/>
    <w:rsid w:val="00566B66"/>
    <w:rsid w:val="00566F2C"/>
    <w:rsid w:val="00566FCD"/>
    <w:rsid w:val="00566FF2"/>
    <w:rsid w:val="005672D9"/>
    <w:rsid w:val="00567340"/>
    <w:rsid w:val="00567600"/>
    <w:rsid w:val="0056773E"/>
    <w:rsid w:val="00567A9C"/>
    <w:rsid w:val="00567B6C"/>
    <w:rsid w:val="00567D61"/>
    <w:rsid w:val="00567D62"/>
    <w:rsid w:val="00570036"/>
    <w:rsid w:val="0057007D"/>
    <w:rsid w:val="00570142"/>
    <w:rsid w:val="005704C8"/>
    <w:rsid w:val="0057054F"/>
    <w:rsid w:val="00570576"/>
    <w:rsid w:val="00570663"/>
    <w:rsid w:val="00570804"/>
    <w:rsid w:val="00570D79"/>
    <w:rsid w:val="00570EF6"/>
    <w:rsid w:val="005713CC"/>
    <w:rsid w:val="0057157A"/>
    <w:rsid w:val="005715E3"/>
    <w:rsid w:val="0057167C"/>
    <w:rsid w:val="005716FE"/>
    <w:rsid w:val="005718C7"/>
    <w:rsid w:val="00571DB7"/>
    <w:rsid w:val="00571DC1"/>
    <w:rsid w:val="00571FB0"/>
    <w:rsid w:val="005723C9"/>
    <w:rsid w:val="00572415"/>
    <w:rsid w:val="005726A4"/>
    <w:rsid w:val="005728CA"/>
    <w:rsid w:val="00572A69"/>
    <w:rsid w:val="00572B4D"/>
    <w:rsid w:val="00572B86"/>
    <w:rsid w:val="00572C73"/>
    <w:rsid w:val="00572D73"/>
    <w:rsid w:val="00572E47"/>
    <w:rsid w:val="00572F72"/>
    <w:rsid w:val="005732CB"/>
    <w:rsid w:val="0057356E"/>
    <w:rsid w:val="00573796"/>
    <w:rsid w:val="0057384A"/>
    <w:rsid w:val="00573A14"/>
    <w:rsid w:val="00573F00"/>
    <w:rsid w:val="00573FCF"/>
    <w:rsid w:val="0057430F"/>
    <w:rsid w:val="0057439D"/>
    <w:rsid w:val="0057456B"/>
    <w:rsid w:val="005745E8"/>
    <w:rsid w:val="00574948"/>
    <w:rsid w:val="00574BCE"/>
    <w:rsid w:val="00574BDF"/>
    <w:rsid w:val="00574EC0"/>
    <w:rsid w:val="00574F00"/>
    <w:rsid w:val="00575505"/>
    <w:rsid w:val="0057560F"/>
    <w:rsid w:val="005758FC"/>
    <w:rsid w:val="00575A54"/>
    <w:rsid w:val="00575B79"/>
    <w:rsid w:val="00575EC5"/>
    <w:rsid w:val="00575F6D"/>
    <w:rsid w:val="00576092"/>
    <w:rsid w:val="005760B9"/>
    <w:rsid w:val="005762B0"/>
    <w:rsid w:val="00576525"/>
    <w:rsid w:val="005765FF"/>
    <w:rsid w:val="00576619"/>
    <w:rsid w:val="00576686"/>
    <w:rsid w:val="00576707"/>
    <w:rsid w:val="0057691F"/>
    <w:rsid w:val="005769C9"/>
    <w:rsid w:val="00576ADC"/>
    <w:rsid w:val="00576CB5"/>
    <w:rsid w:val="00576E7D"/>
    <w:rsid w:val="0057710B"/>
    <w:rsid w:val="005772A2"/>
    <w:rsid w:val="00577395"/>
    <w:rsid w:val="00577405"/>
    <w:rsid w:val="00577459"/>
    <w:rsid w:val="005778AC"/>
    <w:rsid w:val="00577ABA"/>
    <w:rsid w:val="00577C18"/>
    <w:rsid w:val="00577D06"/>
    <w:rsid w:val="00577D9E"/>
    <w:rsid w:val="00577F8A"/>
    <w:rsid w:val="00580204"/>
    <w:rsid w:val="0058023B"/>
    <w:rsid w:val="0058027B"/>
    <w:rsid w:val="0058049E"/>
    <w:rsid w:val="00580505"/>
    <w:rsid w:val="0058055D"/>
    <w:rsid w:val="00580615"/>
    <w:rsid w:val="00580636"/>
    <w:rsid w:val="0058083F"/>
    <w:rsid w:val="00580B1F"/>
    <w:rsid w:val="00580C15"/>
    <w:rsid w:val="00580C31"/>
    <w:rsid w:val="00580DA1"/>
    <w:rsid w:val="005810C5"/>
    <w:rsid w:val="0058135D"/>
    <w:rsid w:val="005813E6"/>
    <w:rsid w:val="00581878"/>
    <w:rsid w:val="00581A6F"/>
    <w:rsid w:val="00581AF0"/>
    <w:rsid w:val="00581B63"/>
    <w:rsid w:val="00581CCF"/>
    <w:rsid w:val="00581DB5"/>
    <w:rsid w:val="00581DC5"/>
    <w:rsid w:val="00581DD0"/>
    <w:rsid w:val="00581EC6"/>
    <w:rsid w:val="00581F6C"/>
    <w:rsid w:val="00581FA1"/>
    <w:rsid w:val="0058229F"/>
    <w:rsid w:val="00582321"/>
    <w:rsid w:val="00582517"/>
    <w:rsid w:val="005827A3"/>
    <w:rsid w:val="00582869"/>
    <w:rsid w:val="005829D5"/>
    <w:rsid w:val="00582A38"/>
    <w:rsid w:val="00582B9E"/>
    <w:rsid w:val="00582C6F"/>
    <w:rsid w:val="00582D0B"/>
    <w:rsid w:val="00582D83"/>
    <w:rsid w:val="00582D96"/>
    <w:rsid w:val="00582FAD"/>
    <w:rsid w:val="00582FCE"/>
    <w:rsid w:val="0058309B"/>
    <w:rsid w:val="005830A9"/>
    <w:rsid w:val="00583107"/>
    <w:rsid w:val="00583416"/>
    <w:rsid w:val="0058363D"/>
    <w:rsid w:val="005836F7"/>
    <w:rsid w:val="00583895"/>
    <w:rsid w:val="0058391E"/>
    <w:rsid w:val="00583C01"/>
    <w:rsid w:val="00583C6B"/>
    <w:rsid w:val="00583EC7"/>
    <w:rsid w:val="00583EC9"/>
    <w:rsid w:val="005844FE"/>
    <w:rsid w:val="005845CB"/>
    <w:rsid w:val="005846F1"/>
    <w:rsid w:val="0058476D"/>
    <w:rsid w:val="005848BB"/>
    <w:rsid w:val="005848DC"/>
    <w:rsid w:val="00584919"/>
    <w:rsid w:val="00584975"/>
    <w:rsid w:val="00584A60"/>
    <w:rsid w:val="00584CB5"/>
    <w:rsid w:val="00584D65"/>
    <w:rsid w:val="00584DCA"/>
    <w:rsid w:val="00584ECE"/>
    <w:rsid w:val="00585011"/>
    <w:rsid w:val="0058530C"/>
    <w:rsid w:val="00585447"/>
    <w:rsid w:val="005859A9"/>
    <w:rsid w:val="00585C5D"/>
    <w:rsid w:val="00585DA6"/>
    <w:rsid w:val="00585DBA"/>
    <w:rsid w:val="00585F0F"/>
    <w:rsid w:val="00586090"/>
    <w:rsid w:val="0058636F"/>
    <w:rsid w:val="005863A8"/>
    <w:rsid w:val="00586502"/>
    <w:rsid w:val="00586586"/>
    <w:rsid w:val="005865D5"/>
    <w:rsid w:val="00586620"/>
    <w:rsid w:val="00586773"/>
    <w:rsid w:val="0058694D"/>
    <w:rsid w:val="005871E9"/>
    <w:rsid w:val="00587205"/>
    <w:rsid w:val="005872EF"/>
    <w:rsid w:val="00587582"/>
    <w:rsid w:val="0058777D"/>
    <w:rsid w:val="00587837"/>
    <w:rsid w:val="00587841"/>
    <w:rsid w:val="0058789D"/>
    <w:rsid w:val="00587A01"/>
    <w:rsid w:val="00587A4E"/>
    <w:rsid w:val="00587A9D"/>
    <w:rsid w:val="00587B0E"/>
    <w:rsid w:val="00587B33"/>
    <w:rsid w:val="00587D04"/>
    <w:rsid w:val="00587EEE"/>
    <w:rsid w:val="00590056"/>
    <w:rsid w:val="00590255"/>
    <w:rsid w:val="00590285"/>
    <w:rsid w:val="00590286"/>
    <w:rsid w:val="005904B3"/>
    <w:rsid w:val="00590558"/>
    <w:rsid w:val="0059063F"/>
    <w:rsid w:val="005906B6"/>
    <w:rsid w:val="00590707"/>
    <w:rsid w:val="00590711"/>
    <w:rsid w:val="00590A28"/>
    <w:rsid w:val="00590F2E"/>
    <w:rsid w:val="00591008"/>
    <w:rsid w:val="00591054"/>
    <w:rsid w:val="0059111A"/>
    <w:rsid w:val="0059125A"/>
    <w:rsid w:val="0059139B"/>
    <w:rsid w:val="0059148E"/>
    <w:rsid w:val="0059148F"/>
    <w:rsid w:val="005916C9"/>
    <w:rsid w:val="00591960"/>
    <w:rsid w:val="00591B48"/>
    <w:rsid w:val="00591F49"/>
    <w:rsid w:val="0059206B"/>
    <w:rsid w:val="00592122"/>
    <w:rsid w:val="005921DA"/>
    <w:rsid w:val="0059226A"/>
    <w:rsid w:val="0059226E"/>
    <w:rsid w:val="0059250F"/>
    <w:rsid w:val="00592A28"/>
    <w:rsid w:val="00592AE4"/>
    <w:rsid w:val="00592B01"/>
    <w:rsid w:val="00592B3D"/>
    <w:rsid w:val="00592BA1"/>
    <w:rsid w:val="00592C73"/>
    <w:rsid w:val="00592DC2"/>
    <w:rsid w:val="00592DCC"/>
    <w:rsid w:val="00592E4D"/>
    <w:rsid w:val="00592F58"/>
    <w:rsid w:val="005931BB"/>
    <w:rsid w:val="00593379"/>
    <w:rsid w:val="005936B0"/>
    <w:rsid w:val="0059385A"/>
    <w:rsid w:val="00593A1A"/>
    <w:rsid w:val="00593AF3"/>
    <w:rsid w:val="00593CDE"/>
    <w:rsid w:val="00593CE8"/>
    <w:rsid w:val="00593DCF"/>
    <w:rsid w:val="00593EB4"/>
    <w:rsid w:val="00593F82"/>
    <w:rsid w:val="00594018"/>
    <w:rsid w:val="0059404D"/>
    <w:rsid w:val="005942B9"/>
    <w:rsid w:val="00594372"/>
    <w:rsid w:val="0059460B"/>
    <w:rsid w:val="00594711"/>
    <w:rsid w:val="00594714"/>
    <w:rsid w:val="0059477F"/>
    <w:rsid w:val="0059479D"/>
    <w:rsid w:val="00594CB5"/>
    <w:rsid w:val="00594D95"/>
    <w:rsid w:val="00594E3C"/>
    <w:rsid w:val="00594F90"/>
    <w:rsid w:val="0059500C"/>
    <w:rsid w:val="00595063"/>
    <w:rsid w:val="00595077"/>
    <w:rsid w:val="00595080"/>
    <w:rsid w:val="00595289"/>
    <w:rsid w:val="0059552A"/>
    <w:rsid w:val="00595589"/>
    <w:rsid w:val="00595696"/>
    <w:rsid w:val="00595795"/>
    <w:rsid w:val="00595A79"/>
    <w:rsid w:val="00595B0B"/>
    <w:rsid w:val="00595BC4"/>
    <w:rsid w:val="00595D21"/>
    <w:rsid w:val="00595F99"/>
    <w:rsid w:val="00595FF3"/>
    <w:rsid w:val="00596202"/>
    <w:rsid w:val="005965A4"/>
    <w:rsid w:val="005965CD"/>
    <w:rsid w:val="00596643"/>
    <w:rsid w:val="00596698"/>
    <w:rsid w:val="00596879"/>
    <w:rsid w:val="005969F0"/>
    <w:rsid w:val="00596A8D"/>
    <w:rsid w:val="00596AE8"/>
    <w:rsid w:val="00597203"/>
    <w:rsid w:val="0059749D"/>
    <w:rsid w:val="0059759B"/>
    <w:rsid w:val="00597601"/>
    <w:rsid w:val="0059764F"/>
    <w:rsid w:val="0059798C"/>
    <w:rsid w:val="005979A2"/>
    <w:rsid w:val="00597CF2"/>
    <w:rsid w:val="00597D87"/>
    <w:rsid w:val="00597F70"/>
    <w:rsid w:val="00597FAC"/>
    <w:rsid w:val="005A0127"/>
    <w:rsid w:val="005A01F6"/>
    <w:rsid w:val="005A0306"/>
    <w:rsid w:val="005A04B7"/>
    <w:rsid w:val="005A0828"/>
    <w:rsid w:val="005A0A9D"/>
    <w:rsid w:val="005A0B57"/>
    <w:rsid w:val="005A0B66"/>
    <w:rsid w:val="005A0D4E"/>
    <w:rsid w:val="005A0ED7"/>
    <w:rsid w:val="005A0EF2"/>
    <w:rsid w:val="005A0F92"/>
    <w:rsid w:val="005A1065"/>
    <w:rsid w:val="005A1068"/>
    <w:rsid w:val="005A10D0"/>
    <w:rsid w:val="005A12C4"/>
    <w:rsid w:val="005A13B5"/>
    <w:rsid w:val="005A1CDA"/>
    <w:rsid w:val="005A2BEA"/>
    <w:rsid w:val="005A2C40"/>
    <w:rsid w:val="005A2F15"/>
    <w:rsid w:val="005A2FE6"/>
    <w:rsid w:val="005A339B"/>
    <w:rsid w:val="005A33FE"/>
    <w:rsid w:val="005A35F3"/>
    <w:rsid w:val="005A374A"/>
    <w:rsid w:val="005A3880"/>
    <w:rsid w:val="005A39C8"/>
    <w:rsid w:val="005A3FC8"/>
    <w:rsid w:val="005A442F"/>
    <w:rsid w:val="005A45B2"/>
    <w:rsid w:val="005A4604"/>
    <w:rsid w:val="005A469B"/>
    <w:rsid w:val="005A4B06"/>
    <w:rsid w:val="005A4C05"/>
    <w:rsid w:val="005A4C21"/>
    <w:rsid w:val="005A4E4C"/>
    <w:rsid w:val="005A4E5C"/>
    <w:rsid w:val="005A4FE3"/>
    <w:rsid w:val="005A511A"/>
    <w:rsid w:val="005A548F"/>
    <w:rsid w:val="005A5644"/>
    <w:rsid w:val="005A5842"/>
    <w:rsid w:val="005A5950"/>
    <w:rsid w:val="005A5C17"/>
    <w:rsid w:val="005A5D18"/>
    <w:rsid w:val="005A5D50"/>
    <w:rsid w:val="005A5D55"/>
    <w:rsid w:val="005A5E14"/>
    <w:rsid w:val="005A5F7E"/>
    <w:rsid w:val="005A6112"/>
    <w:rsid w:val="005A62D2"/>
    <w:rsid w:val="005A6512"/>
    <w:rsid w:val="005A654F"/>
    <w:rsid w:val="005A65AC"/>
    <w:rsid w:val="005A6780"/>
    <w:rsid w:val="005A6867"/>
    <w:rsid w:val="005A686B"/>
    <w:rsid w:val="005A6A58"/>
    <w:rsid w:val="005A6A7D"/>
    <w:rsid w:val="005A6B12"/>
    <w:rsid w:val="005A6C22"/>
    <w:rsid w:val="005A6DAC"/>
    <w:rsid w:val="005A6E01"/>
    <w:rsid w:val="005A6FF6"/>
    <w:rsid w:val="005A74FE"/>
    <w:rsid w:val="005A769E"/>
    <w:rsid w:val="005A77F7"/>
    <w:rsid w:val="005A7E3D"/>
    <w:rsid w:val="005A7E6B"/>
    <w:rsid w:val="005A7ECC"/>
    <w:rsid w:val="005A7F45"/>
    <w:rsid w:val="005B0009"/>
    <w:rsid w:val="005B0060"/>
    <w:rsid w:val="005B01C6"/>
    <w:rsid w:val="005B0418"/>
    <w:rsid w:val="005B0442"/>
    <w:rsid w:val="005B07A1"/>
    <w:rsid w:val="005B0941"/>
    <w:rsid w:val="005B0CCD"/>
    <w:rsid w:val="005B0EF2"/>
    <w:rsid w:val="005B0FFF"/>
    <w:rsid w:val="005B107C"/>
    <w:rsid w:val="005B10D6"/>
    <w:rsid w:val="005B10F3"/>
    <w:rsid w:val="005B1185"/>
    <w:rsid w:val="005B138A"/>
    <w:rsid w:val="005B139F"/>
    <w:rsid w:val="005B1525"/>
    <w:rsid w:val="005B1688"/>
    <w:rsid w:val="005B186E"/>
    <w:rsid w:val="005B1903"/>
    <w:rsid w:val="005B1B73"/>
    <w:rsid w:val="005B1D7A"/>
    <w:rsid w:val="005B200C"/>
    <w:rsid w:val="005B2389"/>
    <w:rsid w:val="005B239D"/>
    <w:rsid w:val="005B25F8"/>
    <w:rsid w:val="005B2705"/>
    <w:rsid w:val="005B272E"/>
    <w:rsid w:val="005B2940"/>
    <w:rsid w:val="005B2A2C"/>
    <w:rsid w:val="005B2A92"/>
    <w:rsid w:val="005B30B8"/>
    <w:rsid w:val="005B30E5"/>
    <w:rsid w:val="005B311B"/>
    <w:rsid w:val="005B3162"/>
    <w:rsid w:val="005B316D"/>
    <w:rsid w:val="005B33B8"/>
    <w:rsid w:val="005B34A1"/>
    <w:rsid w:val="005B3516"/>
    <w:rsid w:val="005B364A"/>
    <w:rsid w:val="005B36CE"/>
    <w:rsid w:val="005B3843"/>
    <w:rsid w:val="005B38B1"/>
    <w:rsid w:val="005B38CC"/>
    <w:rsid w:val="005B39D7"/>
    <w:rsid w:val="005B3B8C"/>
    <w:rsid w:val="005B3CA6"/>
    <w:rsid w:val="005B3D7E"/>
    <w:rsid w:val="005B414F"/>
    <w:rsid w:val="005B43CE"/>
    <w:rsid w:val="005B441E"/>
    <w:rsid w:val="005B44BE"/>
    <w:rsid w:val="005B48E3"/>
    <w:rsid w:val="005B49F7"/>
    <w:rsid w:val="005B4A61"/>
    <w:rsid w:val="005B4B87"/>
    <w:rsid w:val="005B4F7C"/>
    <w:rsid w:val="005B511D"/>
    <w:rsid w:val="005B5136"/>
    <w:rsid w:val="005B5277"/>
    <w:rsid w:val="005B53D2"/>
    <w:rsid w:val="005B550D"/>
    <w:rsid w:val="005B5605"/>
    <w:rsid w:val="005B58DE"/>
    <w:rsid w:val="005B5DC0"/>
    <w:rsid w:val="005B5DCA"/>
    <w:rsid w:val="005B5F19"/>
    <w:rsid w:val="005B5FC9"/>
    <w:rsid w:val="005B601D"/>
    <w:rsid w:val="005B618C"/>
    <w:rsid w:val="005B6435"/>
    <w:rsid w:val="005B65CF"/>
    <w:rsid w:val="005B6894"/>
    <w:rsid w:val="005B6931"/>
    <w:rsid w:val="005B6933"/>
    <w:rsid w:val="005B6B16"/>
    <w:rsid w:val="005B6C88"/>
    <w:rsid w:val="005B6D4D"/>
    <w:rsid w:val="005B6DBE"/>
    <w:rsid w:val="005B6EE4"/>
    <w:rsid w:val="005B7137"/>
    <w:rsid w:val="005B7740"/>
    <w:rsid w:val="005B7828"/>
    <w:rsid w:val="005B7829"/>
    <w:rsid w:val="005B7867"/>
    <w:rsid w:val="005B7868"/>
    <w:rsid w:val="005B7B5B"/>
    <w:rsid w:val="005B7B74"/>
    <w:rsid w:val="005B7C4F"/>
    <w:rsid w:val="005B7E8B"/>
    <w:rsid w:val="005B7F70"/>
    <w:rsid w:val="005C004E"/>
    <w:rsid w:val="005C046F"/>
    <w:rsid w:val="005C0486"/>
    <w:rsid w:val="005C0537"/>
    <w:rsid w:val="005C067B"/>
    <w:rsid w:val="005C0795"/>
    <w:rsid w:val="005C0C09"/>
    <w:rsid w:val="005C0C20"/>
    <w:rsid w:val="005C0C6F"/>
    <w:rsid w:val="005C0CB7"/>
    <w:rsid w:val="005C0CF7"/>
    <w:rsid w:val="005C0DFF"/>
    <w:rsid w:val="005C0F2D"/>
    <w:rsid w:val="005C0FB5"/>
    <w:rsid w:val="005C0FE2"/>
    <w:rsid w:val="005C105B"/>
    <w:rsid w:val="005C1154"/>
    <w:rsid w:val="005C11AB"/>
    <w:rsid w:val="005C127D"/>
    <w:rsid w:val="005C14F8"/>
    <w:rsid w:val="005C15B5"/>
    <w:rsid w:val="005C1795"/>
    <w:rsid w:val="005C1A76"/>
    <w:rsid w:val="005C1B0E"/>
    <w:rsid w:val="005C1B67"/>
    <w:rsid w:val="005C1BA7"/>
    <w:rsid w:val="005C1D04"/>
    <w:rsid w:val="005C2021"/>
    <w:rsid w:val="005C2057"/>
    <w:rsid w:val="005C20A7"/>
    <w:rsid w:val="005C20BF"/>
    <w:rsid w:val="005C23F9"/>
    <w:rsid w:val="005C24FB"/>
    <w:rsid w:val="005C257F"/>
    <w:rsid w:val="005C26F4"/>
    <w:rsid w:val="005C27DD"/>
    <w:rsid w:val="005C28F2"/>
    <w:rsid w:val="005C29BA"/>
    <w:rsid w:val="005C29D6"/>
    <w:rsid w:val="005C2BCD"/>
    <w:rsid w:val="005C2DE0"/>
    <w:rsid w:val="005C2FD9"/>
    <w:rsid w:val="005C2FDC"/>
    <w:rsid w:val="005C2FE5"/>
    <w:rsid w:val="005C32CC"/>
    <w:rsid w:val="005C347F"/>
    <w:rsid w:val="005C3513"/>
    <w:rsid w:val="005C35CE"/>
    <w:rsid w:val="005C35F4"/>
    <w:rsid w:val="005C370E"/>
    <w:rsid w:val="005C3A6D"/>
    <w:rsid w:val="005C3B3A"/>
    <w:rsid w:val="005C3BF4"/>
    <w:rsid w:val="005C3D3B"/>
    <w:rsid w:val="005C3F8A"/>
    <w:rsid w:val="005C42E9"/>
    <w:rsid w:val="005C4553"/>
    <w:rsid w:val="005C45F1"/>
    <w:rsid w:val="005C4A02"/>
    <w:rsid w:val="005C4A10"/>
    <w:rsid w:val="005C4A14"/>
    <w:rsid w:val="005C4AF9"/>
    <w:rsid w:val="005C4B5B"/>
    <w:rsid w:val="005C4BFA"/>
    <w:rsid w:val="005C4EC1"/>
    <w:rsid w:val="005C5065"/>
    <w:rsid w:val="005C52BB"/>
    <w:rsid w:val="005C53BE"/>
    <w:rsid w:val="005C541F"/>
    <w:rsid w:val="005C55E1"/>
    <w:rsid w:val="005C5685"/>
    <w:rsid w:val="005C590C"/>
    <w:rsid w:val="005C590D"/>
    <w:rsid w:val="005C5DC4"/>
    <w:rsid w:val="005C5FC1"/>
    <w:rsid w:val="005C60B2"/>
    <w:rsid w:val="005C65C2"/>
    <w:rsid w:val="005C6619"/>
    <w:rsid w:val="005C66F1"/>
    <w:rsid w:val="005C67F6"/>
    <w:rsid w:val="005C6D38"/>
    <w:rsid w:val="005C6FEF"/>
    <w:rsid w:val="005C71C4"/>
    <w:rsid w:val="005C7578"/>
    <w:rsid w:val="005C75A5"/>
    <w:rsid w:val="005C75E9"/>
    <w:rsid w:val="005C7DF4"/>
    <w:rsid w:val="005D000D"/>
    <w:rsid w:val="005D008E"/>
    <w:rsid w:val="005D00EB"/>
    <w:rsid w:val="005D01AC"/>
    <w:rsid w:val="005D055A"/>
    <w:rsid w:val="005D0677"/>
    <w:rsid w:val="005D07EC"/>
    <w:rsid w:val="005D0869"/>
    <w:rsid w:val="005D0B0B"/>
    <w:rsid w:val="005D0B4C"/>
    <w:rsid w:val="005D0BE7"/>
    <w:rsid w:val="005D0F36"/>
    <w:rsid w:val="005D1020"/>
    <w:rsid w:val="005D1091"/>
    <w:rsid w:val="005D10F1"/>
    <w:rsid w:val="005D1309"/>
    <w:rsid w:val="005D16B6"/>
    <w:rsid w:val="005D198F"/>
    <w:rsid w:val="005D1AB0"/>
    <w:rsid w:val="005D1C4E"/>
    <w:rsid w:val="005D1CF8"/>
    <w:rsid w:val="005D1D78"/>
    <w:rsid w:val="005D202B"/>
    <w:rsid w:val="005D2156"/>
    <w:rsid w:val="005D2178"/>
    <w:rsid w:val="005D21AE"/>
    <w:rsid w:val="005D22A8"/>
    <w:rsid w:val="005D258C"/>
    <w:rsid w:val="005D29A0"/>
    <w:rsid w:val="005D2A4E"/>
    <w:rsid w:val="005D2AFF"/>
    <w:rsid w:val="005D2D79"/>
    <w:rsid w:val="005D2E56"/>
    <w:rsid w:val="005D2E9F"/>
    <w:rsid w:val="005D2EEA"/>
    <w:rsid w:val="005D30A6"/>
    <w:rsid w:val="005D30EC"/>
    <w:rsid w:val="005D31A7"/>
    <w:rsid w:val="005D326B"/>
    <w:rsid w:val="005D3393"/>
    <w:rsid w:val="005D35A1"/>
    <w:rsid w:val="005D35C7"/>
    <w:rsid w:val="005D3734"/>
    <w:rsid w:val="005D3797"/>
    <w:rsid w:val="005D38EE"/>
    <w:rsid w:val="005D3AF5"/>
    <w:rsid w:val="005D3B0B"/>
    <w:rsid w:val="005D4077"/>
    <w:rsid w:val="005D41C4"/>
    <w:rsid w:val="005D42B6"/>
    <w:rsid w:val="005D439F"/>
    <w:rsid w:val="005D45DD"/>
    <w:rsid w:val="005D475E"/>
    <w:rsid w:val="005D4810"/>
    <w:rsid w:val="005D48C9"/>
    <w:rsid w:val="005D4C1B"/>
    <w:rsid w:val="005D4C4E"/>
    <w:rsid w:val="005D4DB5"/>
    <w:rsid w:val="005D4F20"/>
    <w:rsid w:val="005D5281"/>
    <w:rsid w:val="005D5291"/>
    <w:rsid w:val="005D52F4"/>
    <w:rsid w:val="005D5711"/>
    <w:rsid w:val="005D5863"/>
    <w:rsid w:val="005D589F"/>
    <w:rsid w:val="005D59B2"/>
    <w:rsid w:val="005D5A57"/>
    <w:rsid w:val="005D5BFD"/>
    <w:rsid w:val="005D5FC8"/>
    <w:rsid w:val="005D5FFB"/>
    <w:rsid w:val="005D62D8"/>
    <w:rsid w:val="005D6342"/>
    <w:rsid w:val="005D63A9"/>
    <w:rsid w:val="005D63DD"/>
    <w:rsid w:val="005D66D3"/>
    <w:rsid w:val="005D6775"/>
    <w:rsid w:val="005D6C74"/>
    <w:rsid w:val="005D6E59"/>
    <w:rsid w:val="005D6F92"/>
    <w:rsid w:val="005D7026"/>
    <w:rsid w:val="005D7087"/>
    <w:rsid w:val="005D72EB"/>
    <w:rsid w:val="005D756B"/>
    <w:rsid w:val="005D7589"/>
    <w:rsid w:val="005D7745"/>
    <w:rsid w:val="005D77AF"/>
    <w:rsid w:val="005D794E"/>
    <w:rsid w:val="005D7CDE"/>
    <w:rsid w:val="005D7D46"/>
    <w:rsid w:val="005D7EBC"/>
    <w:rsid w:val="005D7F0A"/>
    <w:rsid w:val="005D7F70"/>
    <w:rsid w:val="005DEFEC"/>
    <w:rsid w:val="005E00C5"/>
    <w:rsid w:val="005E0333"/>
    <w:rsid w:val="005E05A3"/>
    <w:rsid w:val="005E0675"/>
    <w:rsid w:val="005E067D"/>
    <w:rsid w:val="005E06FF"/>
    <w:rsid w:val="005E0755"/>
    <w:rsid w:val="005E0867"/>
    <w:rsid w:val="005E08CB"/>
    <w:rsid w:val="005E08D5"/>
    <w:rsid w:val="005E0ACB"/>
    <w:rsid w:val="005E0BE4"/>
    <w:rsid w:val="005E0E8A"/>
    <w:rsid w:val="005E0ED8"/>
    <w:rsid w:val="005E1098"/>
    <w:rsid w:val="005E1160"/>
    <w:rsid w:val="005E1199"/>
    <w:rsid w:val="005E146E"/>
    <w:rsid w:val="005E147C"/>
    <w:rsid w:val="005E1664"/>
    <w:rsid w:val="005E19D4"/>
    <w:rsid w:val="005E1B29"/>
    <w:rsid w:val="005E1B91"/>
    <w:rsid w:val="005E1E35"/>
    <w:rsid w:val="005E216B"/>
    <w:rsid w:val="005E2225"/>
    <w:rsid w:val="005E2304"/>
    <w:rsid w:val="005E2359"/>
    <w:rsid w:val="005E23CF"/>
    <w:rsid w:val="005E23F8"/>
    <w:rsid w:val="005E2461"/>
    <w:rsid w:val="005E261F"/>
    <w:rsid w:val="005E2837"/>
    <w:rsid w:val="005E296E"/>
    <w:rsid w:val="005E2C65"/>
    <w:rsid w:val="005E2FE6"/>
    <w:rsid w:val="005E30C8"/>
    <w:rsid w:val="005E350A"/>
    <w:rsid w:val="005E351C"/>
    <w:rsid w:val="005E35E9"/>
    <w:rsid w:val="005E3A2C"/>
    <w:rsid w:val="005E3DED"/>
    <w:rsid w:val="005E3E9A"/>
    <w:rsid w:val="005E3EFC"/>
    <w:rsid w:val="005E3F8D"/>
    <w:rsid w:val="005E3FD1"/>
    <w:rsid w:val="005E4107"/>
    <w:rsid w:val="005E449B"/>
    <w:rsid w:val="005E44FF"/>
    <w:rsid w:val="005E4965"/>
    <w:rsid w:val="005E4A4C"/>
    <w:rsid w:val="005E4B21"/>
    <w:rsid w:val="005E4BD5"/>
    <w:rsid w:val="005E4CDC"/>
    <w:rsid w:val="005E4E02"/>
    <w:rsid w:val="005E50BA"/>
    <w:rsid w:val="005E5179"/>
    <w:rsid w:val="005E528D"/>
    <w:rsid w:val="005E531F"/>
    <w:rsid w:val="005E5446"/>
    <w:rsid w:val="005E54A4"/>
    <w:rsid w:val="005E5733"/>
    <w:rsid w:val="005E5B92"/>
    <w:rsid w:val="005E6016"/>
    <w:rsid w:val="005E610D"/>
    <w:rsid w:val="005E613C"/>
    <w:rsid w:val="005E64D5"/>
    <w:rsid w:val="005E64E2"/>
    <w:rsid w:val="005E6690"/>
    <w:rsid w:val="005E690A"/>
    <w:rsid w:val="005E699E"/>
    <w:rsid w:val="005E6E07"/>
    <w:rsid w:val="005E74DA"/>
    <w:rsid w:val="005E74F6"/>
    <w:rsid w:val="005E777E"/>
    <w:rsid w:val="005E77E9"/>
    <w:rsid w:val="005E79D6"/>
    <w:rsid w:val="005E7A8F"/>
    <w:rsid w:val="005E7E6C"/>
    <w:rsid w:val="005F00D7"/>
    <w:rsid w:val="005F029F"/>
    <w:rsid w:val="005F056B"/>
    <w:rsid w:val="005F0577"/>
    <w:rsid w:val="005F05E6"/>
    <w:rsid w:val="005F072E"/>
    <w:rsid w:val="005F0776"/>
    <w:rsid w:val="005F08A0"/>
    <w:rsid w:val="005F09F1"/>
    <w:rsid w:val="005F0A6D"/>
    <w:rsid w:val="005F0B5B"/>
    <w:rsid w:val="005F0B6D"/>
    <w:rsid w:val="005F0CC2"/>
    <w:rsid w:val="005F10DD"/>
    <w:rsid w:val="005F190D"/>
    <w:rsid w:val="005F1B86"/>
    <w:rsid w:val="005F1D62"/>
    <w:rsid w:val="005F1EBF"/>
    <w:rsid w:val="005F1F22"/>
    <w:rsid w:val="005F2279"/>
    <w:rsid w:val="005F22DA"/>
    <w:rsid w:val="005F2529"/>
    <w:rsid w:val="005F2588"/>
    <w:rsid w:val="005F25B0"/>
    <w:rsid w:val="005F2A39"/>
    <w:rsid w:val="005F2B17"/>
    <w:rsid w:val="005F2B26"/>
    <w:rsid w:val="005F2B9F"/>
    <w:rsid w:val="005F300C"/>
    <w:rsid w:val="005F31AF"/>
    <w:rsid w:val="005F31F7"/>
    <w:rsid w:val="005F32DF"/>
    <w:rsid w:val="005F3368"/>
    <w:rsid w:val="005F336C"/>
    <w:rsid w:val="005F349A"/>
    <w:rsid w:val="005F34C8"/>
    <w:rsid w:val="005F387F"/>
    <w:rsid w:val="005F3953"/>
    <w:rsid w:val="005F3C13"/>
    <w:rsid w:val="005F3DAD"/>
    <w:rsid w:val="005F3DCE"/>
    <w:rsid w:val="005F3DEB"/>
    <w:rsid w:val="005F3E20"/>
    <w:rsid w:val="005F3E94"/>
    <w:rsid w:val="005F3EDD"/>
    <w:rsid w:val="005F40AF"/>
    <w:rsid w:val="005F410D"/>
    <w:rsid w:val="005F41AC"/>
    <w:rsid w:val="005F46CB"/>
    <w:rsid w:val="005F4761"/>
    <w:rsid w:val="005F482D"/>
    <w:rsid w:val="005F48C0"/>
    <w:rsid w:val="005F4B1D"/>
    <w:rsid w:val="005F4C21"/>
    <w:rsid w:val="005F4C9B"/>
    <w:rsid w:val="005F4D8F"/>
    <w:rsid w:val="005F4E29"/>
    <w:rsid w:val="005F4FFA"/>
    <w:rsid w:val="005F500F"/>
    <w:rsid w:val="005F51C5"/>
    <w:rsid w:val="005F5239"/>
    <w:rsid w:val="005F5399"/>
    <w:rsid w:val="005F5731"/>
    <w:rsid w:val="005F5A7F"/>
    <w:rsid w:val="005F5ABC"/>
    <w:rsid w:val="005F5BBF"/>
    <w:rsid w:val="005F5DCF"/>
    <w:rsid w:val="005F5E4A"/>
    <w:rsid w:val="005F5F39"/>
    <w:rsid w:val="005F5FE9"/>
    <w:rsid w:val="005F5FF4"/>
    <w:rsid w:val="005F6138"/>
    <w:rsid w:val="005F61E3"/>
    <w:rsid w:val="005F6209"/>
    <w:rsid w:val="005F6374"/>
    <w:rsid w:val="005F66AE"/>
    <w:rsid w:val="005F66E4"/>
    <w:rsid w:val="005F6831"/>
    <w:rsid w:val="005F684D"/>
    <w:rsid w:val="005F68CD"/>
    <w:rsid w:val="005F690B"/>
    <w:rsid w:val="005F6A95"/>
    <w:rsid w:val="005F6D65"/>
    <w:rsid w:val="005F6F57"/>
    <w:rsid w:val="005F6FB5"/>
    <w:rsid w:val="005F707F"/>
    <w:rsid w:val="005F71A0"/>
    <w:rsid w:val="005F7356"/>
    <w:rsid w:val="005F73AF"/>
    <w:rsid w:val="005F7462"/>
    <w:rsid w:val="005F7601"/>
    <w:rsid w:val="005F7786"/>
    <w:rsid w:val="005F7863"/>
    <w:rsid w:val="005F79D0"/>
    <w:rsid w:val="005F7BCD"/>
    <w:rsid w:val="005F7BDC"/>
    <w:rsid w:val="00600065"/>
    <w:rsid w:val="006000BA"/>
    <w:rsid w:val="006003FB"/>
    <w:rsid w:val="0060066F"/>
    <w:rsid w:val="006007C2"/>
    <w:rsid w:val="006009DD"/>
    <w:rsid w:val="00600AC8"/>
    <w:rsid w:val="00600AEE"/>
    <w:rsid w:val="00600B10"/>
    <w:rsid w:val="00600C96"/>
    <w:rsid w:val="00600CB1"/>
    <w:rsid w:val="00600E18"/>
    <w:rsid w:val="00600ED9"/>
    <w:rsid w:val="00600F17"/>
    <w:rsid w:val="0060106F"/>
    <w:rsid w:val="0060111D"/>
    <w:rsid w:val="00601157"/>
    <w:rsid w:val="006011FE"/>
    <w:rsid w:val="006012F9"/>
    <w:rsid w:val="006017CC"/>
    <w:rsid w:val="00601A0D"/>
    <w:rsid w:val="00601BFD"/>
    <w:rsid w:val="00601CDE"/>
    <w:rsid w:val="00602050"/>
    <w:rsid w:val="006022FE"/>
    <w:rsid w:val="006024B0"/>
    <w:rsid w:val="00602685"/>
    <w:rsid w:val="00602718"/>
    <w:rsid w:val="00602795"/>
    <w:rsid w:val="00602800"/>
    <w:rsid w:val="00602962"/>
    <w:rsid w:val="00602A41"/>
    <w:rsid w:val="00602A7A"/>
    <w:rsid w:val="00602D38"/>
    <w:rsid w:val="00602D62"/>
    <w:rsid w:val="00602EBC"/>
    <w:rsid w:val="00602ED7"/>
    <w:rsid w:val="0060308B"/>
    <w:rsid w:val="00603124"/>
    <w:rsid w:val="00603207"/>
    <w:rsid w:val="006032DF"/>
    <w:rsid w:val="0060395F"/>
    <w:rsid w:val="00603CB2"/>
    <w:rsid w:val="00603D00"/>
    <w:rsid w:val="00603D2D"/>
    <w:rsid w:val="006040AE"/>
    <w:rsid w:val="0060417D"/>
    <w:rsid w:val="006041F3"/>
    <w:rsid w:val="006042F6"/>
    <w:rsid w:val="00604521"/>
    <w:rsid w:val="00604643"/>
    <w:rsid w:val="00604653"/>
    <w:rsid w:val="0060473D"/>
    <w:rsid w:val="00604AE0"/>
    <w:rsid w:val="00604CCC"/>
    <w:rsid w:val="00604ED3"/>
    <w:rsid w:val="0060510A"/>
    <w:rsid w:val="0060511B"/>
    <w:rsid w:val="00605131"/>
    <w:rsid w:val="006053B6"/>
    <w:rsid w:val="00605555"/>
    <w:rsid w:val="0060560F"/>
    <w:rsid w:val="00605627"/>
    <w:rsid w:val="006056B3"/>
    <w:rsid w:val="006058BC"/>
    <w:rsid w:val="006059E7"/>
    <w:rsid w:val="00605D85"/>
    <w:rsid w:val="00606211"/>
    <w:rsid w:val="006062C4"/>
    <w:rsid w:val="0060634B"/>
    <w:rsid w:val="00606609"/>
    <w:rsid w:val="0060685C"/>
    <w:rsid w:val="006068C1"/>
    <w:rsid w:val="00606AC4"/>
    <w:rsid w:val="00606B20"/>
    <w:rsid w:val="00606B23"/>
    <w:rsid w:val="00606C82"/>
    <w:rsid w:val="00606D16"/>
    <w:rsid w:val="00607057"/>
    <w:rsid w:val="0060719B"/>
    <w:rsid w:val="00607378"/>
    <w:rsid w:val="00607480"/>
    <w:rsid w:val="00607562"/>
    <w:rsid w:val="00607579"/>
    <w:rsid w:val="00607598"/>
    <w:rsid w:val="006076E6"/>
    <w:rsid w:val="006076E9"/>
    <w:rsid w:val="0060770A"/>
    <w:rsid w:val="0060784B"/>
    <w:rsid w:val="006078EE"/>
    <w:rsid w:val="00607A6F"/>
    <w:rsid w:val="00607B25"/>
    <w:rsid w:val="00607C7F"/>
    <w:rsid w:val="00607CC9"/>
    <w:rsid w:val="00607D31"/>
    <w:rsid w:val="00607D5A"/>
    <w:rsid w:val="00607DC1"/>
    <w:rsid w:val="00607E4B"/>
    <w:rsid w:val="00607EB8"/>
    <w:rsid w:val="00607F10"/>
    <w:rsid w:val="00607F50"/>
    <w:rsid w:val="00610233"/>
    <w:rsid w:val="006102A9"/>
    <w:rsid w:val="00610350"/>
    <w:rsid w:val="0061035E"/>
    <w:rsid w:val="00610597"/>
    <w:rsid w:val="00610699"/>
    <w:rsid w:val="00610713"/>
    <w:rsid w:val="00610810"/>
    <w:rsid w:val="00610A50"/>
    <w:rsid w:val="00610AA8"/>
    <w:rsid w:val="00610B06"/>
    <w:rsid w:val="00610BC0"/>
    <w:rsid w:val="00610BE6"/>
    <w:rsid w:val="00610E88"/>
    <w:rsid w:val="0061129F"/>
    <w:rsid w:val="006115F3"/>
    <w:rsid w:val="00611613"/>
    <w:rsid w:val="00611680"/>
    <w:rsid w:val="0061182B"/>
    <w:rsid w:val="00611924"/>
    <w:rsid w:val="00611952"/>
    <w:rsid w:val="0061199D"/>
    <w:rsid w:val="00611EE4"/>
    <w:rsid w:val="00611F27"/>
    <w:rsid w:val="00611F88"/>
    <w:rsid w:val="00612047"/>
    <w:rsid w:val="006123FF"/>
    <w:rsid w:val="0061244E"/>
    <w:rsid w:val="006124E7"/>
    <w:rsid w:val="006124FD"/>
    <w:rsid w:val="006125D1"/>
    <w:rsid w:val="00612738"/>
    <w:rsid w:val="00612756"/>
    <w:rsid w:val="006127FA"/>
    <w:rsid w:val="00612916"/>
    <w:rsid w:val="006129A5"/>
    <w:rsid w:val="00612DB3"/>
    <w:rsid w:val="00612DD1"/>
    <w:rsid w:val="00612E04"/>
    <w:rsid w:val="00612F22"/>
    <w:rsid w:val="00612FDE"/>
    <w:rsid w:val="00613224"/>
    <w:rsid w:val="0061323E"/>
    <w:rsid w:val="00613464"/>
    <w:rsid w:val="00613A3C"/>
    <w:rsid w:val="00613E7A"/>
    <w:rsid w:val="006141AD"/>
    <w:rsid w:val="006142AF"/>
    <w:rsid w:val="0061441D"/>
    <w:rsid w:val="0061450C"/>
    <w:rsid w:val="00614585"/>
    <w:rsid w:val="0061475A"/>
    <w:rsid w:val="00614923"/>
    <w:rsid w:val="006149E4"/>
    <w:rsid w:val="00614B8E"/>
    <w:rsid w:val="00614C1F"/>
    <w:rsid w:val="00614C21"/>
    <w:rsid w:val="00614D75"/>
    <w:rsid w:val="00614DB6"/>
    <w:rsid w:val="00614FA4"/>
    <w:rsid w:val="00615184"/>
    <w:rsid w:val="006155E5"/>
    <w:rsid w:val="00615636"/>
    <w:rsid w:val="00615693"/>
    <w:rsid w:val="006158FD"/>
    <w:rsid w:val="006159B4"/>
    <w:rsid w:val="00615B61"/>
    <w:rsid w:val="00615E63"/>
    <w:rsid w:val="00616347"/>
    <w:rsid w:val="006164D7"/>
    <w:rsid w:val="00616555"/>
    <w:rsid w:val="00616669"/>
    <w:rsid w:val="00616728"/>
    <w:rsid w:val="006167D0"/>
    <w:rsid w:val="00616A75"/>
    <w:rsid w:val="00616D91"/>
    <w:rsid w:val="00616E47"/>
    <w:rsid w:val="00616E60"/>
    <w:rsid w:val="00616FBC"/>
    <w:rsid w:val="00617154"/>
    <w:rsid w:val="00617455"/>
    <w:rsid w:val="0061762F"/>
    <w:rsid w:val="00617A00"/>
    <w:rsid w:val="00617C42"/>
    <w:rsid w:val="00617D33"/>
    <w:rsid w:val="00617E05"/>
    <w:rsid w:val="00617E2A"/>
    <w:rsid w:val="00620332"/>
    <w:rsid w:val="00620A7B"/>
    <w:rsid w:val="00620B88"/>
    <w:rsid w:val="00620BE0"/>
    <w:rsid w:val="00620C59"/>
    <w:rsid w:val="00620D41"/>
    <w:rsid w:val="00620DF9"/>
    <w:rsid w:val="00620F16"/>
    <w:rsid w:val="00621364"/>
    <w:rsid w:val="006213F7"/>
    <w:rsid w:val="00621403"/>
    <w:rsid w:val="006218DE"/>
    <w:rsid w:val="006219C2"/>
    <w:rsid w:val="006219E1"/>
    <w:rsid w:val="00621B0E"/>
    <w:rsid w:val="00621B35"/>
    <w:rsid w:val="00621D13"/>
    <w:rsid w:val="00621E56"/>
    <w:rsid w:val="00621EB8"/>
    <w:rsid w:val="00621F9A"/>
    <w:rsid w:val="0062204F"/>
    <w:rsid w:val="00622212"/>
    <w:rsid w:val="0062234F"/>
    <w:rsid w:val="0062273F"/>
    <w:rsid w:val="006227A9"/>
    <w:rsid w:val="0062284D"/>
    <w:rsid w:val="00622A18"/>
    <w:rsid w:val="00622CDF"/>
    <w:rsid w:val="00622F4F"/>
    <w:rsid w:val="00622FBA"/>
    <w:rsid w:val="00623127"/>
    <w:rsid w:val="00623269"/>
    <w:rsid w:val="006232AC"/>
    <w:rsid w:val="006233FA"/>
    <w:rsid w:val="006234D7"/>
    <w:rsid w:val="00623642"/>
    <w:rsid w:val="00623650"/>
    <w:rsid w:val="00623716"/>
    <w:rsid w:val="0062381B"/>
    <w:rsid w:val="00623C42"/>
    <w:rsid w:val="00623CE7"/>
    <w:rsid w:val="00623D37"/>
    <w:rsid w:val="00623D81"/>
    <w:rsid w:val="00623DB9"/>
    <w:rsid w:val="00623E18"/>
    <w:rsid w:val="00624792"/>
    <w:rsid w:val="0062481C"/>
    <w:rsid w:val="006248E2"/>
    <w:rsid w:val="00624AC3"/>
    <w:rsid w:val="00624BC4"/>
    <w:rsid w:val="00624C7D"/>
    <w:rsid w:val="00624C9E"/>
    <w:rsid w:val="00624DFB"/>
    <w:rsid w:val="00624E23"/>
    <w:rsid w:val="00625105"/>
    <w:rsid w:val="00625148"/>
    <w:rsid w:val="00625368"/>
    <w:rsid w:val="00625488"/>
    <w:rsid w:val="006254DE"/>
    <w:rsid w:val="006254E8"/>
    <w:rsid w:val="006255A9"/>
    <w:rsid w:val="00625652"/>
    <w:rsid w:val="006256EF"/>
    <w:rsid w:val="00625AA8"/>
    <w:rsid w:val="00625BAE"/>
    <w:rsid w:val="00625C2D"/>
    <w:rsid w:val="00625DC3"/>
    <w:rsid w:val="00625E81"/>
    <w:rsid w:val="00625E90"/>
    <w:rsid w:val="00626051"/>
    <w:rsid w:val="00626325"/>
    <w:rsid w:val="00626396"/>
    <w:rsid w:val="006264FD"/>
    <w:rsid w:val="00626519"/>
    <w:rsid w:val="00626915"/>
    <w:rsid w:val="00626A4C"/>
    <w:rsid w:val="00626B36"/>
    <w:rsid w:val="00626CAF"/>
    <w:rsid w:val="00626F1D"/>
    <w:rsid w:val="00627049"/>
    <w:rsid w:val="00627113"/>
    <w:rsid w:val="00627249"/>
    <w:rsid w:val="00627355"/>
    <w:rsid w:val="00627423"/>
    <w:rsid w:val="006274F1"/>
    <w:rsid w:val="006275DD"/>
    <w:rsid w:val="00627680"/>
    <w:rsid w:val="006278DB"/>
    <w:rsid w:val="00627A62"/>
    <w:rsid w:val="00627C01"/>
    <w:rsid w:val="00627CED"/>
    <w:rsid w:val="00627E3F"/>
    <w:rsid w:val="00627EDB"/>
    <w:rsid w:val="00627FD1"/>
    <w:rsid w:val="00630086"/>
    <w:rsid w:val="006300F4"/>
    <w:rsid w:val="00630155"/>
    <w:rsid w:val="00630178"/>
    <w:rsid w:val="00630182"/>
    <w:rsid w:val="006301EB"/>
    <w:rsid w:val="0063023A"/>
    <w:rsid w:val="00630298"/>
    <w:rsid w:val="006302A3"/>
    <w:rsid w:val="0063046C"/>
    <w:rsid w:val="006304EE"/>
    <w:rsid w:val="00630775"/>
    <w:rsid w:val="006307AD"/>
    <w:rsid w:val="00630805"/>
    <w:rsid w:val="00630808"/>
    <w:rsid w:val="00630885"/>
    <w:rsid w:val="00630A8A"/>
    <w:rsid w:val="00630A8B"/>
    <w:rsid w:val="00630E21"/>
    <w:rsid w:val="00630F59"/>
    <w:rsid w:val="006310C8"/>
    <w:rsid w:val="0063131B"/>
    <w:rsid w:val="006313AF"/>
    <w:rsid w:val="00631490"/>
    <w:rsid w:val="006315B9"/>
    <w:rsid w:val="006315E8"/>
    <w:rsid w:val="006318BB"/>
    <w:rsid w:val="00631925"/>
    <w:rsid w:val="00631B67"/>
    <w:rsid w:val="00632006"/>
    <w:rsid w:val="006322A3"/>
    <w:rsid w:val="006322C0"/>
    <w:rsid w:val="0063255F"/>
    <w:rsid w:val="0063256E"/>
    <w:rsid w:val="00632881"/>
    <w:rsid w:val="00632910"/>
    <w:rsid w:val="006329E9"/>
    <w:rsid w:val="00632CC7"/>
    <w:rsid w:val="00632FC1"/>
    <w:rsid w:val="00633011"/>
    <w:rsid w:val="00633063"/>
    <w:rsid w:val="006330D9"/>
    <w:rsid w:val="00633212"/>
    <w:rsid w:val="00633218"/>
    <w:rsid w:val="006333C1"/>
    <w:rsid w:val="00633691"/>
    <w:rsid w:val="0063398F"/>
    <w:rsid w:val="00633B9A"/>
    <w:rsid w:val="00633CBD"/>
    <w:rsid w:val="00633CE5"/>
    <w:rsid w:val="00633E29"/>
    <w:rsid w:val="00633F6A"/>
    <w:rsid w:val="00634029"/>
    <w:rsid w:val="006340F2"/>
    <w:rsid w:val="00634104"/>
    <w:rsid w:val="006341B8"/>
    <w:rsid w:val="0063425B"/>
    <w:rsid w:val="00634421"/>
    <w:rsid w:val="0063452B"/>
    <w:rsid w:val="006346AE"/>
    <w:rsid w:val="00634728"/>
    <w:rsid w:val="00634780"/>
    <w:rsid w:val="006348A9"/>
    <w:rsid w:val="0063490A"/>
    <w:rsid w:val="00634B6A"/>
    <w:rsid w:val="00634BD4"/>
    <w:rsid w:val="00634F20"/>
    <w:rsid w:val="00634F92"/>
    <w:rsid w:val="00634FAD"/>
    <w:rsid w:val="00635051"/>
    <w:rsid w:val="006350CB"/>
    <w:rsid w:val="006350D9"/>
    <w:rsid w:val="0063523F"/>
    <w:rsid w:val="0063573E"/>
    <w:rsid w:val="006357F2"/>
    <w:rsid w:val="00635A4A"/>
    <w:rsid w:val="00635B73"/>
    <w:rsid w:val="00635C19"/>
    <w:rsid w:val="00635C7F"/>
    <w:rsid w:val="00635EAF"/>
    <w:rsid w:val="00635FF4"/>
    <w:rsid w:val="006360CA"/>
    <w:rsid w:val="006361FF"/>
    <w:rsid w:val="006363D8"/>
    <w:rsid w:val="006365AA"/>
    <w:rsid w:val="006365BF"/>
    <w:rsid w:val="0063680E"/>
    <w:rsid w:val="0063689F"/>
    <w:rsid w:val="00636958"/>
    <w:rsid w:val="006369EC"/>
    <w:rsid w:val="00636A8D"/>
    <w:rsid w:val="00636B62"/>
    <w:rsid w:val="00636D8F"/>
    <w:rsid w:val="00636E93"/>
    <w:rsid w:val="006370D9"/>
    <w:rsid w:val="00637243"/>
    <w:rsid w:val="00637391"/>
    <w:rsid w:val="006374A2"/>
    <w:rsid w:val="006375E6"/>
    <w:rsid w:val="00637846"/>
    <w:rsid w:val="00637A2D"/>
    <w:rsid w:val="00637C74"/>
    <w:rsid w:val="00637E14"/>
    <w:rsid w:val="00637F3C"/>
    <w:rsid w:val="0064019D"/>
    <w:rsid w:val="00640238"/>
    <w:rsid w:val="00640263"/>
    <w:rsid w:val="006402A6"/>
    <w:rsid w:val="00640685"/>
    <w:rsid w:val="006408F6"/>
    <w:rsid w:val="00640B72"/>
    <w:rsid w:val="00640CD1"/>
    <w:rsid w:val="00640DCA"/>
    <w:rsid w:val="00640DF0"/>
    <w:rsid w:val="00640E66"/>
    <w:rsid w:val="00640EE4"/>
    <w:rsid w:val="00640F3E"/>
    <w:rsid w:val="00640F41"/>
    <w:rsid w:val="00640F66"/>
    <w:rsid w:val="00640FA0"/>
    <w:rsid w:val="00641077"/>
    <w:rsid w:val="00641296"/>
    <w:rsid w:val="0064135B"/>
    <w:rsid w:val="00641479"/>
    <w:rsid w:val="00641817"/>
    <w:rsid w:val="006418F6"/>
    <w:rsid w:val="00641955"/>
    <w:rsid w:val="006419AF"/>
    <w:rsid w:val="00641A46"/>
    <w:rsid w:val="00641AF5"/>
    <w:rsid w:val="00641BA5"/>
    <w:rsid w:val="00641C1C"/>
    <w:rsid w:val="00641DAD"/>
    <w:rsid w:val="00642186"/>
    <w:rsid w:val="006422A4"/>
    <w:rsid w:val="006422B6"/>
    <w:rsid w:val="006424CD"/>
    <w:rsid w:val="00642512"/>
    <w:rsid w:val="00642825"/>
    <w:rsid w:val="00642A0D"/>
    <w:rsid w:val="00642A26"/>
    <w:rsid w:val="00642A33"/>
    <w:rsid w:val="00642D19"/>
    <w:rsid w:val="00642D8F"/>
    <w:rsid w:val="00643168"/>
    <w:rsid w:val="0064341B"/>
    <w:rsid w:val="006434EF"/>
    <w:rsid w:val="00643542"/>
    <w:rsid w:val="0064368F"/>
    <w:rsid w:val="00643816"/>
    <w:rsid w:val="0064386D"/>
    <w:rsid w:val="00643982"/>
    <w:rsid w:val="00643F67"/>
    <w:rsid w:val="00643F6E"/>
    <w:rsid w:val="00643FE0"/>
    <w:rsid w:val="006441AB"/>
    <w:rsid w:val="0064439B"/>
    <w:rsid w:val="0064463B"/>
    <w:rsid w:val="00644684"/>
    <w:rsid w:val="0064475B"/>
    <w:rsid w:val="006447A4"/>
    <w:rsid w:val="0064484D"/>
    <w:rsid w:val="00644891"/>
    <w:rsid w:val="00644DE0"/>
    <w:rsid w:val="00644F40"/>
    <w:rsid w:val="00645037"/>
    <w:rsid w:val="00645039"/>
    <w:rsid w:val="006450D3"/>
    <w:rsid w:val="0064516D"/>
    <w:rsid w:val="006451D4"/>
    <w:rsid w:val="006452B7"/>
    <w:rsid w:val="006453E3"/>
    <w:rsid w:val="0064544E"/>
    <w:rsid w:val="006458F8"/>
    <w:rsid w:val="00645A52"/>
    <w:rsid w:val="00645DAD"/>
    <w:rsid w:val="00645E11"/>
    <w:rsid w:val="00645E78"/>
    <w:rsid w:val="00645FC6"/>
    <w:rsid w:val="006460F7"/>
    <w:rsid w:val="00646330"/>
    <w:rsid w:val="00646365"/>
    <w:rsid w:val="006464AA"/>
    <w:rsid w:val="006464E3"/>
    <w:rsid w:val="0064654F"/>
    <w:rsid w:val="006467C6"/>
    <w:rsid w:val="00646959"/>
    <w:rsid w:val="00646A01"/>
    <w:rsid w:val="00646B0C"/>
    <w:rsid w:val="00646B91"/>
    <w:rsid w:val="00646C5C"/>
    <w:rsid w:val="00646DA7"/>
    <w:rsid w:val="00646E7A"/>
    <w:rsid w:val="00646E98"/>
    <w:rsid w:val="00647035"/>
    <w:rsid w:val="00647136"/>
    <w:rsid w:val="0064740C"/>
    <w:rsid w:val="00647469"/>
    <w:rsid w:val="006474E9"/>
    <w:rsid w:val="0064786D"/>
    <w:rsid w:val="006478EF"/>
    <w:rsid w:val="006479AA"/>
    <w:rsid w:val="00647B98"/>
    <w:rsid w:val="00647E56"/>
    <w:rsid w:val="00647FDE"/>
    <w:rsid w:val="006500C9"/>
    <w:rsid w:val="0065018D"/>
    <w:rsid w:val="00650475"/>
    <w:rsid w:val="006504A8"/>
    <w:rsid w:val="00650665"/>
    <w:rsid w:val="006506C2"/>
    <w:rsid w:val="006508B5"/>
    <w:rsid w:val="00650909"/>
    <w:rsid w:val="0065093A"/>
    <w:rsid w:val="00650B91"/>
    <w:rsid w:val="00650D76"/>
    <w:rsid w:val="00650DB4"/>
    <w:rsid w:val="00650DC9"/>
    <w:rsid w:val="00650E0E"/>
    <w:rsid w:val="0065119F"/>
    <w:rsid w:val="006511FD"/>
    <w:rsid w:val="00651308"/>
    <w:rsid w:val="0065169D"/>
    <w:rsid w:val="00651871"/>
    <w:rsid w:val="00651E31"/>
    <w:rsid w:val="00651F14"/>
    <w:rsid w:val="00651F72"/>
    <w:rsid w:val="006520AA"/>
    <w:rsid w:val="006520E3"/>
    <w:rsid w:val="006522BA"/>
    <w:rsid w:val="00652319"/>
    <w:rsid w:val="0065231B"/>
    <w:rsid w:val="0065249E"/>
    <w:rsid w:val="00652575"/>
    <w:rsid w:val="006525D3"/>
    <w:rsid w:val="00652614"/>
    <w:rsid w:val="00652670"/>
    <w:rsid w:val="00652A05"/>
    <w:rsid w:val="00652B32"/>
    <w:rsid w:val="00652BAD"/>
    <w:rsid w:val="00652D94"/>
    <w:rsid w:val="006530F7"/>
    <w:rsid w:val="00653795"/>
    <w:rsid w:val="006539FA"/>
    <w:rsid w:val="00653B9E"/>
    <w:rsid w:val="00653C1A"/>
    <w:rsid w:val="00653E0B"/>
    <w:rsid w:val="00653E33"/>
    <w:rsid w:val="00654007"/>
    <w:rsid w:val="0065419D"/>
    <w:rsid w:val="0065429B"/>
    <w:rsid w:val="006543B8"/>
    <w:rsid w:val="0065458C"/>
    <w:rsid w:val="00654592"/>
    <w:rsid w:val="006548B4"/>
    <w:rsid w:val="00654A89"/>
    <w:rsid w:val="00654BB1"/>
    <w:rsid w:val="00654C19"/>
    <w:rsid w:val="00654E31"/>
    <w:rsid w:val="00654E64"/>
    <w:rsid w:val="00654E8D"/>
    <w:rsid w:val="00654FCF"/>
    <w:rsid w:val="0065514F"/>
    <w:rsid w:val="00655257"/>
    <w:rsid w:val="006553C2"/>
    <w:rsid w:val="0065545F"/>
    <w:rsid w:val="0065559D"/>
    <w:rsid w:val="006557BA"/>
    <w:rsid w:val="0065595C"/>
    <w:rsid w:val="00655985"/>
    <w:rsid w:val="00655998"/>
    <w:rsid w:val="00655B1C"/>
    <w:rsid w:val="00655C28"/>
    <w:rsid w:val="00655E7E"/>
    <w:rsid w:val="00656556"/>
    <w:rsid w:val="00656840"/>
    <w:rsid w:val="00656E15"/>
    <w:rsid w:val="00656EBD"/>
    <w:rsid w:val="00656FEF"/>
    <w:rsid w:val="00657217"/>
    <w:rsid w:val="0065737A"/>
    <w:rsid w:val="006574B2"/>
    <w:rsid w:val="00657618"/>
    <w:rsid w:val="006576B0"/>
    <w:rsid w:val="0065771E"/>
    <w:rsid w:val="00657978"/>
    <w:rsid w:val="00657A12"/>
    <w:rsid w:val="00657B15"/>
    <w:rsid w:val="00657EEA"/>
    <w:rsid w:val="00657F7C"/>
    <w:rsid w:val="00660300"/>
    <w:rsid w:val="00660AC8"/>
    <w:rsid w:val="00660C7E"/>
    <w:rsid w:val="00660E58"/>
    <w:rsid w:val="006610BA"/>
    <w:rsid w:val="006611A5"/>
    <w:rsid w:val="00661383"/>
    <w:rsid w:val="006613ED"/>
    <w:rsid w:val="006614C2"/>
    <w:rsid w:val="006614D9"/>
    <w:rsid w:val="00661557"/>
    <w:rsid w:val="00661567"/>
    <w:rsid w:val="00661760"/>
    <w:rsid w:val="006617C8"/>
    <w:rsid w:val="0066182B"/>
    <w:rsid w:val="00661EE0"/>
    <w:rsid w:val="006620A0"/>
    <w:rsid w:val="00662463"/>
    <w:rsid w:val="006627E7"/>
    <w:rsid w:val="006629B5"/>
    <w:rsid w:val="00662B4A"/>
    <w:rsid w:val="00662BB4"/>
    <w:rsid w:val="00662C75"/>
    <w:rsid w:val="00662E3F"/>
    <w:rsid w:val="00662F5E"/>
    <w:rsid w:val="00663164"/>
    <w:rsid w:val="00663243"/>
    <w:rsid w:val="00663292"/>
    <w:rsid w:val="00663342"/>
    <w:rsid w:val="00663495"/>
    <w:rsid w:val="00663503"/>
    <w:rsid w:val="0066351D"/>
    <w:rsid w:val="00663564"/>
    <w:rsid w:val="00663684"/>
    <w:rsid w:val="00663707"/>
    <w:rsid w:val="006637B9"/>
    <w:rsid w:val="006637FD"/>
    <w:rsid w:val="0066385C"/>
    <w:rsid w:val="006639A7"/>
    <w:rsid w:val="006639D9"/>
    <w:rsid w:val="006639F7"/>
    <w:rsid w:val="00663A08"/>
    <w:rsid w:val="00663BFA"/>
    <w:rsid w:val="00663FE7"/>
    <w:rsid w:val="006641F6"/>
    <w:rsid w:val="00664692"/>
    <w:rsid w:val="00664695"/>
    <w:rsid w:val="00664A10"/>
    <w:rsid w:val="00664D20"/>
    <w:rsid w:val="00664EC7"/>
    <w:rsid w:val="00665006"/>
    <w:rsid w:val="00665017"/>
    <w:rsid w:val="0066518A"/>
    <w:rsid w:val="00665373"/>
    <w:rsid w:val="00665718"/>
    <w:rsid w:val="006657DF"/>
    <w:rsid w:val="00665861"/>
    <w:rsid w:val="006659C6"/>
    <w:rsid w:val="006659EC"/>
    <w:rsid w:val="00665CFD"/>
    <w:rsid w:val="00665D37"/>
    <w:rsid w:val="00665E0B"/>
    <w:rsid w:val="00665F4C"/>
    <w:rsid w:val="006660CC"/>
    <w:rsid w:val="006665AF"/>
    <w:rsid w:val="00666671"/>
    <w:rsid w:val="00666757"/>
    <w:rsid w:val="006668C6"/>
    <w:rsid w:val="00666A0B"/>
    <w:rsid w:val="00666A36"/>
    <w:rsid w:val="00666A46"/>
    <w:rsid w:val="00666A55"/>
    <w:rsid w:val="00666E1F"/>
    <w:rsid w:val="00666E92"/>
    <w:rsid w:val="00666FAF"/>
    <w:rsid w:val="00667075"/>
    <w:rsid w:val="006670F1"/>
    <w:rsid w:val="006672B4"/>
    <w:rsid w:val="00667A1A"/>
    <w:rsid w:val="00667A46"/>
    <w:rsid w:val="00667AF2"/>
    <w:rsid w:val="00667CC6"/>
    <w:rsid w:val="00667E0E"/>
    <w:rsid w:val="00667EB7"/>
    <w:rsid w:val="00667EFA"/>
    <w:rsid w:val="00667F7C"/>
    <w:rsid w:val="00670122"/>
    <w:rsid w:val="006704CD"/>
    <w:rsid w:val="006704F2"/>
    <w:rsid w:val="006706A2"/>
    <w:rsid w:val="00670A14"/>
    <w:rsid w:val="00670A60"/>
    <w:rsid w:val="00670BD1"/>
    <w:rsid w:val="00670EF2"/>
    <w:rsid w:val="00671189"/>
    <w:rsid w:val="006713F7"/>
    <w:rsid w:val="006714B7"/>
    <w:rsid w:val="006715F9"/>
    <w:rsid w:val="00671888"/>
    <w:rsid w:val="00671924"/>
    <w:rsid w:val="00671ADC"/>
    <w:rsid w:val="00671B5A"/>
    <w:rsid w:val="00671DBE"/>
    <w:rsid w:val="00672268"/>
    <w:rsid w:val="00672342"/>
    <w:rsid w:val="006723CE"/>
    <w:rsid w:val="006723DE"/>
    <w:rsid w:val="00672655"/>
    <w:rsid w:val="00672778"/>
    <w:rsid w:val="006728F6"/>
    <w:rsid w:val="00672921"/>
    <w:rsid w:val="00672AB0"/>
    <w:rsid w:val="00672CE6"/>
    <w:rsid w:val="00672D13"/>
    <w:rsid w:val="00672D7E"/>
    <w:rsid w:val="0067300A"/>
    <w:rsid w:val="00673130"/>
    <w:rsid w:val="00673179"/>
    <w:rsid w:val="0067324E"/>
    <w:rsid w:val="00673336"/>
    <w:rsid w:val="006739C4"/>
    <w:rsid w:val="00673C12"/>
    <w:rsid w:val="00673CAE"/>
    <w:rsid w:val="00673DE5"/>
    <w:rsid w:val="00673F82"/>
    <w:rsid w:val="00673FD6"/>
    <w:rsid w:val="006740E8"/>
    <w:rsid w:val="00674331"/>
    <w:rsid w:val="00674344"/>
    <w:rsid w:val="0067446D"/>
    <w:rsid w:val="006747C8"/>
    <w:rsid w:val="0067489F"/>
    <w:rsid w:val="006749B7"/>
    <w:rsid w:val="00674A5B"/>
    <w:rsid w:val="00674A61"/>
    <w:rsid w:val="00674A8F"/>
    <w:rsid w:val="00674B9A"/>
    <w:rsid w:val="00674CFD"/>
    <w:rsid w:val="00674D63"/>
    <w:rsid w:val="00674EAE"/>
    <w:rsid w:val="00674ED1"/>
    <w:rsid w:val="0067507F"/>
    <w:rsid w:val="0067513F"/>
    <w:rsid w:val="0067519F"/>
    <w:rsid w:val="00675207"/>
    <w:rsid w:val="0067530E"/>
    <w:rsid w:val="00675840"/>
    <w:rsid w:val="006758F3"/>
    <w:rsid w:val="00675C20"/>
    <w:rsid w:val="00675D5D"/>
    <w:rsid w:val="00675F78"/>
    <w:rsid w:val="00676003"/>
    <w:rsid w:val="0067663E"/>
    <w:rsid w:val="00676986"/>
    <w:rsid w:val="00676A8C"/>
    <w:rsid w:val="00676B34"/>
    <w:rsid w:val="00676B35"/>
    <w:rsid w:val="00676DFB"/>
    <w:rsid w:val="00676FC7"/>
    <w:rsid w:val="00677623"/>
    <w:rsid w:val="006776CF"/>
    <w:rsid w:val="00677D2C"/>
    <w:rsid w:val="00677EC4"/>
    <w:rsid w:val="0067E611"/>
    <w:rsid w:val="006801B5"/>
    <w:rsid w:val="00680216"/>
    <w:rsid w:val="00680562"/>
    <w:rsid w:val="00680833"/>
    <w:rsid w:val="00680AE2"/>
    <w:rsid w:val="00680B14"/>
    <w:rsid w:val="00680D1B"/>
    <w:rsid w:val="00680F26"/>
    <w:rsid w:val="00681030"/>
    <w:rsid w:val="00681096"/>
    <w:rsid w:val="00681129"/>
    <w:rsid w:val="006811D4"/>
    <w:rsid w:val="00681206"/>
    <w:rsid w:val="006814AA"/>
    <w:rsid w:val="0068157B"/>
    <w:rsid w:val="006815CB"/>
    <w:rsid w:val="006816C8"/>
    <w:rsid w:val="006817C9"/>
    <w:rsid w:val="00681B15"/>
    <w:rsid w:val="00681C8C"/>
    <w:rsid w:val="00681D9C"/>
    <w:rsid w:val="00681DCC"/>
    <w:rsid w:val="00681E20"/>
    <w:rsid w:val="00681E6B"/>
    <w:rsid w:val="00681F57"/>
    <w:rsid w:val="00681FBB"/>
    <w:rsid w:val="006822F2"/>
    <w:rsid w:val="0068267A"/>
    <w:rsid w:val="006826D6"/>
    <w:rsid w:val="006827E7"/>
    <w:rsid w:val="00682A70"/>
    <w:rsid w:val="00682B54"/>
    <w:rsid w:val="00682D37"/>
    <w:rsid w:val="00682FF1"/>
    <w:rsid w:val="006830ED"/>
    <w:rsid w:val="006831FB"/>
    <w:rsid w:val="00683276"/>
    <w:rsid w:val="0068336A"/>
    <w:rsid w:val="00683513"/>
    <w:rsid w:val="0068353A"/>
    <w:rsid w:val="00683836"/>
    <w:rsid w:val="006839A6"/>
    <w:rsid w:val="00683CC3"/>
    <w:rsid w:val="00683E11"/>
    <w:rsid w:val="00683F93"/>
    <w:rsid w:val="00684023"/>
    <w:rsid w:val="00684177"/>
    <w:rsid w:val="00684234"/>
    <w:rsid w:val="006843BA"/>
    <w:rsid w:val="00684526"/>
    <w:rsid w:val="0068455D"/>
    <w:rsid w:val="00684682"/>
    <w:rsid w:val="006846EE"/>
    <w:rsid w:val="006847C2"/>
    <w:rsid w:val="006848F5"/>
    <w:rsid w:val="00684ACF"/>
    <w:rsid w:val="00684CDE"/>
    <w:rsid w:val="00684D42"/>
    <w:rsid w:val="0068518E"/>
    <w:rsid w:val="0068546D"/>
    <w:rsid w:val="006855B9"/>
    <w:rsid w:val="00685632"/>
    <w:rsid w:val="006857C9"/>
    <w:rsid w:val="00685802"/>
    <w:rsid w:val="006858B6"/>
    <w:rsid w:val="00685923"/>
    <w:rsid w:val="006859A3"/>
    <w:rsid w:val="00685E29"/>
    <w:rsid w:val="00686360"/>
    <w:rsid w:val="006863E5"/>
    <w:rsid w:val="00686426"/>
    <w:rsid w:val="00686603"/>
    <w:rsid w:val="0068697E"/>
    <w:rsid w:val="006869FA"/>
    <w:rsid w:val="00686A3C"/>
    <w:rsid w:val="00686E0A"/>
    <w:rsid w:val="00686E4E"/>
    <w:rsid w:val="0068766B"/>
    <w:rsid w:val="006877BB"/>
    <w:rsid w:val="0068798C"/>
    <w:rsid w:val="00687EF6"/>
    <w:rsid w:val="00687FA3"/>
    <w:rsid w:val="0069012F"/>
    <w:rsid w:val="0069022E"/>
    <w:rsid w:val="00690235"/>
    <w:rsid w:val="0069026E"/>
    <w:rsid w:val="0069038B"/>
    <w:rsid w:val="00690474"/>
    <w:rsid w:val="0069066D"/>
    <w:rsid w:val="006906D1"/>
    <w:rsid w:val="006908EE"/>
    <w:rsid w:val="006908FD"/>
    <w:rsid w:val="00690D57"/>
    <w:rsid w:val="00690D6E"/>
    <w:rsid w:val="00691003"/>
    <w:rsid w:val="00691105"/>
    <w:rsid w:val="006911EF"/>
    <w:rsid w:val="0069140F"/>
    <w:rsid w:val="006917FC"/>
    <w:rsid w:val="00691944"/>
    <w:rsid w:val="0069194C"/>
    <w:rsid w:val="006919EF"/>
    <w:rsid w:val="00691AEC"/>
    <w:rsid w:val="00691CE0"/>
    <w:rsid w:val="00691E9A"/>
    <w:rsid w:val="00691F00"/>
    <w:rsid w:val="00692039"/>
    <w:rsid w:val="006920A8"/>
    <w:rsid w:val="00692130"/>
    <w:rsid w:val="006923A8"/>
    <w:rsid w:val="006923EB"/>
    <w:rsid w:val="0069268A"/>
    <w:rsid w:val="006926B5"/>
    <w:rsid w:val="00692710"/>
    <w:rsid w:val="00692756"/>
    <w:rsid w:val="00692758"/>
    <w:rsid w:val="00692A66"/>
    <w:rsid w:val="00692AB8"/>
    <w:rsid w:val="00692BDB"/>
    <w:rsid w:val="00692F8A"/>
    <w:rsid w:val="00693284"/>
    <w:rsid w:val="00693334"/>
    <w:rsid w:val="0069363C"/>
    <w:rsid w:val="0069387F"/>
    <w:rsid w:val="00693991"/>
    <w:rsid w:val="00693B36"/>
    <w:rsid w:val="00693EC8"/>
    <w:rsid w:val="00693EEA"/>
    <w:rsid w:val="00693F7C"/>
    <w:rsid w:val="0069428E"/>
    <w:rsid w:val="00694355"/>
    <w:rsid w:val="006943B6"/>
    <w:rsid w:val="00694471"/>
    <w:rsid w:val="00694519"/>
    <w:rsid w:val="00694559"/>
    <w:rsid w:val="006945A5"/>
    <w:rsid w:val="00694993"/>
    <w:rsid w:val="006949A5"/>
    <w:rsid w:val="00694A7C"/>
    <w:rsid w:val="00694A94"/>
    <w:rsid w:val="00694D67"/>
    <w:rsid w:val="00694ECD"/>
    <w:rsid w:val="00694FD7"/>
    <w:rsid w:val="00695064"/>
    <w:rsid w:val="0069515B"/>
    <w:rsid w:val="006954AA"/>
    <w:rsid w:val="0069561A"/>
    <w:rsid w:val="00695642"/>
    <w:rsid w:val="00695792"/>
    <w:rsid w:val="00695898"/>
    <w:rsid w:val="0069593C"/>
    <w:rsid w:val="00695988"/>
    <w:rsid w:val="00695992"/>
    <w:rsid w:val="00695C63"/>
    <w:rsid w:val="00695F46"/>
    <w:rsid w:val="00696290"/>
    <w:rsid w:val="00696477"/>
    <w:rsid w:val="006965FA"/>
    <w:rsid w:val="00696651"/>
    <w:rsid w:val="00696724"/>
    <w:rsid w:val="0069682F"/>
    <w:rsid w:val="00696937"/>
    <w:rsid w:val="00696AF0"/>
    <w:rsid w:val="00696CC0"/>
    <w:rsid w:val="00696D3B"/>
    <w:rsid w:val="00697063"/>
    <w:rsid w:val="0069712A"/>
    <w:rsid w:val="0069713D"/>
    <w:rsid w:val="00697356"/>
    <w:rsid w:val="00697387"/>
    <w:rsid w:val="00697555"/>
    <w:rsid w:val="006975C5"/>
    <w:rsid w:val="00697645"/>
    <w:rsid w:val="0069766D"/>
    <w:rsid w:val="0069772A"/>
    <w:rsid w:val="00697786"/>
    <w:rsid w:val="006977F1"/>
    <w:rsid w:val="00697808"/>
    <w:rsid w:val="00697A25"/>
    <w:rsid w:val="00697A92"/>
    <w:rsid w:val="00697C29"/>
    <w:rsid w:val="00697D78"/>
    <w:rsid w:val="006A001B"/>
    <w:rsid w:val="006A0067"/>
    <w:rsid w:val="006A0386"/>
    <w:rsid w:val="006A03E5"/>
    <w:rsid w:val="006A05BC"/>
    <w:rsid w:val="006A0620"/>
    <w:rsid w:val="006A06A1"/>
    <w:rsid w:val="006A0899"/>
    <w:rsid w:val="006A0A75"/>
    <w:rsid w:val="006A1191"/>
    <w:rsid w:val="006A125A"/>
    <w:rsid w:val="006A1437"/>
    <w:rsid w:val="006A1515"/>
    <w:rsid w:val="006A160F"/>
    <w:rsid w:val="006A1633"/>
    <w:rsid w:val="006A17FF"/>
    <w:rsid w:val="006A1971"/>
    <w:rsid w:val="006A1A29"/>
    <w:rsid w:val="006A1A50"/>
    <w:rsid w:val="006A1DA5"/>
    <w:rsid w:val="006A1DF2"/>
    <w:rsid w:val="006A1E7E"/>
    <w:rsid w:val="006A1EBC"/>
    <w:rsid w:val="006A20C2"/>
    <w:rsid w:val="006A24D4"/>
    <w:rsid w:val="006A251F"/>
    <w:rsid w:val="006A2634"/>
    <w:rsid w:val="006A2B96"/>
    <w:rsid w:val="006A2DD0"/>
    <w:rsid w:val="006A2F93"/>
    <w:rsid w:val="006A3051"/>
    <w:rsid w:val="006A30F6"/>
    <w:rsid w:val="006A3212"/>
    <w:rsid w:val="006A3292"/>
    <w:rsid w:val="006A3644"/>
    <w:rsid w:val="006A3646"/>
    <w:rsid w:val="006A371E"/>
    <w:rsid w:val="006A38CD"/>
    <w:rsid w:val="006A3938"/>
    <w:rsid w:val="006A3A0D"/>
    <w:rsid w:val="006A3C4A"/>
    <w:rsid w:val="006A3CF1"/>
    <w:rsid w:val="006A3D52"/>
    <w:rsid w:val="006A3EBF"/>
    <w:rsid w:val="006A3F01"/>
    <w:rsid w:val="006A41BB"/>
    <w:rsid w:val="006A4246"/>
    <w:rsid w:val="006A447F"/>
    <w:rsid w:val="006A4638"/>
    <w:rsid w:val="006A47CE"/>
    <w:rsid w:val="006A4A83"/>
    <w:rsid w:val="006A4B04"/>
    <w:rsid w:val="006A4C40"/>
    <w:rsid w:val="006A4CED"/>
    <w:rsid w:val="006A4F29"/>
    <w:rsid w:val="006A4FDF"/>
    <w:rsid w:val="006A50D2"/>
    <w:rsid w:val="006A5297"/>
    <w:rsid w:val="006A52AF"/>
    <w:rsid w:val="006A5313"/>
    <w:rsid w:val="006A583C"/>
    <w:rsid w:val="006A5962"/>
    <w:rsid w:val="006A5C5D"/>
    <w:rsid w:val="006A5EAE"/>
    <w:rsid w:val="006A5F1B"/>
    <w:rsid w:val="006A6179"/>
    <w:rsid w:val="006A6350"/>
    <w:rsid w:val="006A65BF"/>
    <w:rsid w:val="006A67EC"/>
    <w:rsid w:val="006A6864"/>
    <w:rsid w:val="006A6BF3"/>
    <w:rsid w:val="006A6C2D"/>
    <w:rsid w:val="006A6CF4"/>
    <w:rsid w:val="006A6DDF"/>
    <w:rsid w:val="006A71F8"/>
    <w:rsid w:val="006A720E"/>
    <w:rsid w:val="006A72E1"/>
    <w:rsid w:val="006A733B"/>
    <w:rsid w:val="006A7508"/>
    <w:rsid w:val="006A75B1"/>
    <w:rsid w:val="006A75C1"/>
    <w:rsid w:val="006A75EB"/>
    <w:rsid w:val="006A7762"/>
    <w:rsid w:val="006A77BB"/>
    <w:rsid w:val="006A7AF1"/>
    <w:rsid w:val="006A7B77"/>
    <w:rsid w:val="006A7BA5"/>
    <w:rsid w:val="006A7E0D"/>
    <w:rsid w:val="006B006F"/>
    <w:rsid w:val="006B0159"/>
    <w:rsid w:val="006B01BF"/>
    <w:rsid w:val="006B05DA"/>
    <w:rsid w:val="006B061D"/>
    <w:rsid w:val="006B0940"/>
    <w:rsid w:val="006B09AF"/>
    <w:rsid w:val="006B0A5D"/>
    <w:rsid w:val="006B0A75"/>
    <w:rsid w:val="006B0BCF"/>
    <w:rsid w:val="006B0BDD"/>
    <w:rsid w:val="006B0BF5"/>
    <w:rsid w:val="006B0C2A"/>
    <w:rsid w:val="006B0D4F"/>
    <w:rsid w:val="006B1107"/>
    <w:rsid w:val="006B11AA"/>
    <w:rsid w:val="006B162F"/>
    <w:rsid w:val="006B166A"/>
    <w:rsid w:val="006B16B6"/>
    <w:rsid w:val="006B1820"/>
    <w:rsid w:val="006B18EE"/>
    <w:rsid w:val="006B19AD"/>
    <w:rsid w:val="006B1D98"/>
    <w:rsid w:val="006B1E47"/>
    <w:rsid w:val="006B209F"/>
    <w:rsid w:val="006B20A6"/>
    <w:rsid w:val="006B2443"/>
    <w:rsid w:val="006B274C"/>
    <w:rsid w:val="006B283A"/>
    <w:rsid w:val="006B2912"/>
    <w:rsid w:val="006B29BB"/>
    <w:rsid w:val="006B2CD9"/>
    <w:rsid w:val="006B2D6C"/>
    <w:rsid w:val="006B2DC4"/>
    <w:rsid w:val="006B2EF6"/>
    <w:rsid w:val="006B3079"/>
    <w:rsid w:val="006B324B"/>
    <w:rsid w:val="006B33A2"/>
    <w:rsid w:val="006B33DA"/>
    <w:rsid w:val="006B33DB"/>
    <w:rsid w:val="006B34C6"/>
    <w:rsid w:val="006B3877"/>
    <w:rsid w:val="006B3993"/>
    <w:rsid w:val="006B3B62"/>
    <w:rsid w:val="006B3DD2"/>
    <w:rsid w:val="006B3E00"/>
    <w:rsid w:val="006B3ECF"/>
    <w:rsid w:val="006B3ED7"/>
    <w:rsid w:val="006B4089"/>
    <w:rsid w:val="006B42F8"/>
    <w:rsid w:val="006B4373"/>
    <w:rsid w:val="006B4375"/>
    <w:rsid w:val="006B43F9"/>
    <w:rsid w:val="006B44E3"/>
    <w:rsid w:val="006B487A"/>
    <w:rsid w:val="006B491D"/>
    <w:rsid w:val="006B49DE"/>
    <w:rsid w:val="006B4BE1"/>
    <w:rsid w:val="006B4D18"/>
    <w:rsid w:val="006B54A0"/>
    <w:rsid w:val="006B55BA"/>
    <w:rsid w:val="006B56BB"/>
    <w:rsid w:val="006B5770"/>
    <w:rsid w:val="006B5A6F"/>
    <w:rsid w:val="006B5B71"/>
    <w:rsid w:val="006B5B8C"/>
    <w:rsid w:val="006B5B92"/>
    <w:rsid w:val="006B5BE7"/>
    <w:rsid w:val="006B5D08"/>
    <w:rsid w:val="006B5D7A"/>
    <w:rsid w:val="006B5E5F"/>
    <w:rsid w:val="006B5F42"/>
    <w:rsid w:val="006B5FBE"/>
    <w:rsid w:val="006B617F"/>
    <w:rsid w:val="006B6216"/>
    <w:rsid w:val="006B664F"/>
    <w:rsid w:val="006B688C"/>
    <w:rsid w:val="006B69D9"/>
    <w:rsid w:val="006B6AD4"/>
    <w:rsid w:val="006B6C65"/>
    <w:rsid w:val="006B6EE5"/>
    <w:rsid w:val="006B6F1B"/>
    <w:rsid w:val="006B7003"/>
    <w:rsid w:val="006B7308"/>
    <w:rsid w:val="006B7554"/>
    <w:rsid w:val="006B770E"/>
    <w:rsid w:val="006B7796"/>
    <w:rsid w:val="006B789C"/>
    <w:rsid w:val="006B78AB"/>
    <w:rsid w:val="006B7966"/>
    <w:rsid w:val="006B7B43"/>
    <w:rsid w:val="006B7CC1"/>
    <w:rsid w:val="006B7CCE"/>
    <w:rsid w:val="006B7E95"/>
    <w:rsid w:val="006B7ECC"/>
    <w:rsid w:val="006C0007"/>
    <w:rsid w:val="006C02FD"/>
    <w:rsid w:val="006C05D1"/>
    <w:rsid w:val="006C0750"/>
    <w:rsid w:val="006C0B31"/>
    <w:rsid w:val="006C0BC1"/>
    <w:rsid w:val="006C0D48"/>
    <w:rsid w:val="006C0DC9"/>
    <w:rsid w:val="006C0DCF"/>
    <w:rsid w:val="006C0F7D"/>
    <w:rsid w:val="006C123C"/>
    <w:rsid w:val="006C12B9"/>
    <w:rsid w:val="006C1351"/>
    <w:rsid w:val="006C1447"/>
    <w:rsid w:val="006C14CD"/>
    <w:rsid w:val="006C153E"/>
    <w:rsid w:val="006C1A1E"/>
    <w:rsid w:val="006C1BBC"/>
    <w:rsid w:val="006C1D01"/>
    <w:rsid w:val="006C211C"/>
    <w:rsid w:val="006C2428"/>
    <w:rsid w:val="006C24C5"/>
    <w:rsid w:val="006C2568"/>
    <w:rsid w:val="006C25DE"/>
    <w:rsid w:val="006C2775"/>
    <w:rsid w:val="006C2861"/>
    <w:rsid w:val="006C29A6"/>
    <w:rsid w:val="006C2C2A"/>
    <w:rsid w:val="006C2C78"/>
    <w:rsid w:val="006C2DD7"/>
    <w:rsid w:val="006C2E76"/>
    <w:rsid w:val="006C2EA1"/>
    <w:rsid w:val="006C2FD7"/>
    <w:rsid w:val="006C32F3"/>
    <w:rsid w:val="006C3358"/>
    <w:rsid w:val="006C3442"/>
    <w:rsid w:val="006C354D"/>
    <w:rsid w:val="006C35E6"/>
    <w:rsid w:val="006C36A3"/>
    <w:rsid w:val="006C3709"/>
    <w:rsid w:val="006C37C4"/>
    <w:rsid w:val="006C3932"/>
    <w:rsid w:val="006C3B5F"/>
    <w:rsid w:val="006C3BEB"/>
    <w:rsid w:val="006C3C70"/>
    <w:rsid w:val="006C3E4A"/>
    <w:rsid w:val="006C3EA0"/>
    <w:rsid w:val="006C4049"/>
    <w:rsid w:val="006C40B8"/>
    <w:rsid w:val="006C41F9"/>
    <w:rsid w:val="006C434C"/>
    <w:rsid w:val="006C4375"/>
    <w:rsid w:val="006C460B"/>
    <w:rsid w:val="006C46CC"/>
    <w:rsid w:val="006C4B54"/>
    <w:rsid w:val="006C4B9B"/>
    <w:rsid w:val="006C4C4C"/>
    <w:rsid w:val="006C4C58"/>
    <w:rsid w:val="006C4C67"/>
    <w:rsid w:val="006C4C93"/>
    <w:rsid w:val="006C4D50"/>
    <w:rsid w:val="006C50EB"/>
    <w:rsid w:val="006C5130"/>
    <w:rsid w:val="006C52BF"/>
    <w:rsid w:val="006C55C8"/>
    <w:rsid w:val="006C5776"/>
    <w:rsid w:val="006C5802"/>
    <w:rsid w:val="006C583E"/>
    <w:rsid w:val="006C5C00"/>
    <w:rsid w:val="006C5CA9"/>
    <w:rsid w:val="006C5CD6"/>
    <w:rsid w:val="006C5E9A"/>
    <w:rsid w:val="006C5EF4"/>
    <w:rsid w:val="006C60C0"/>
    <w:rsid w:val="006C6342"/>
    <w:rsid w:val="006C63E6"/>
    <w:rsid w:val="006C644E"/>
    <w:rsid w:val="006C65ED"/>
    <w:rsid w:val="006C668F"/>
    <w:rsid w:val="006C6955"/>
    <w:rsid w:val="006C69E3"/>
    <w:rsid w:val="006C6C82"/>
    <w:rsid w:val="006C6CFD"/>
    <w:rsid w:val="006C6EE2"/>
    <w:rsid w:val="006C7047"/>
    <w:rsid w:val="006C7050"/>
    <w:rsid w:val="006C70B6"/>
    <w:rsid w:val="006C70EB"/>
    <w:rsid w:val="006C718E"/>
    <w:rsid w:val="006C71AD"/>
    <w:rsid w:val="006C760E"/>
    <w:rsid w:val="006C7820"/>
    <w:rsid w:val="006C782E"/>
    <w:rsid w:val="006C7905"/>
    <w:rsid w:val="006C79E7"/>
    <w:rsid w:val="006C7A4C"/>
    <w:rsid w:val="006C7F27"/>
    <w:rsid w:val="006C7F43"/>
    <w:rsid w:val="006D02ED"/>
    <w:rsid w:val="006D02FD"/>
    <w:rsid w:val="006D03A7"/>
    <w:rsid w:val="006D08A0"/>
    <w:rsid w:val="006D08C7"/>
    <w:rsid w:val="006D09FC"/>
    <w:rsid w:val="006D0A31"/>
    <w:rsid w:val="006D0BE5"/>
    <w:rsid w:val="006D0BF5"/>
    <w:rsid w:val="006D0E5A"/>
    <w:rsid w:val="006D0F31"/>
    <w:rsid w:val="006D10CD"/>
    <w:rsid w:val="006D1129"/>
    <w:rsid w:val="006D12EC"/>
    <w:rsid w:val="006D1448"/>
    <w:rsid w:val="006D1479"/>
    <w:rsid w:val="006D14E5"/>
    <w:rsid w:val="006D1533"/>
    <w:rsid w:val="006D16CC"/>
    <w:rsid w:val="006D175B"/>
    <w:rsid w:val="006D1A88"/>
    <w:rsid w:val="006D1A93"/>
    <w:rsid w:val="006D1C5E"/>
    <w:rsid w:val="006D1C89"/>
    <w:rsid w:val="006D1ED0"/>
    <w:rsid w:val="006D20A2"/>
    <w:rsid w:val="006D2239"/>
    <w:rsid w:val="006D238A"/>
    <w:rsid w:val="006D23FA"/>
    <w:rsid w:val="006D27C7"/>
    <w:rsid w:val="006D290D"/>
    <w:rsid w:val="006D2DAE"/>
    <w:rsid w:val="006D2DC1"/>
    <w:rsid w:val="006D2E4D"/>
    <w:rsid w:val="006D2EE6"/>
    <w:rsid w:val="006D30E1"/>
    <w:rsid w:val="006D31CA"/>
    <w:rsid w:val="006D37B4"/>
    <w:rsid w:val="006D398D"/>
    <w:rsid w:val="006D3BC5"/>
    <w:rsid w:val="006D3F82"/>
    <w:rsid w:val="006D440D"/>
    <w:rsid w:val="006D4489"/>
    <w:rsid w:val="006D44A2"/>
    <w:rsid w:val="006D468F"/>
    <w:rsid w:val="006D4CD5"/>
    <w:rsid w:val="006D4D02"/>
    <w:rsid w:val="006D4E78"/>
    <w:rsid w:val="006D4F14"/>
    <w:rsid w:val="006D4F96"/>
    <w:rsid w:val="006D5054"/>
    <w:rsid w:val="006D5091"/>
    <w:rsid w:val="006D510B"/>
    <w:rsid w:val="006D5119"/>
    <w:rsid w:val="006D51D9"/>
    <w:rsid w:val="006D53D1"/>
    <w:rsid w:val="006D5590"/>
    <w:rsid w:val="006D55B2"/>
    <w:rsid w:val="006D55F7"/>
    <w:rsid w:val="006D5630"/>
    <w:rsid w:val="006D5A4A"/>
    <w:rsid w:val="006D5B0B"/>
    <w:rsid w:val="006D5B25"/>
    <w:rsid w:val="006D621E"/>
    <w:rsid w:val="006D62F4"/>
    <w:rsid w:val="006D6305"/>
    <w:rsid w:val="006D6339"/>
    <w:rsid w:val="006D65A1"/>
    <w:rsid w:val="006D66B9"/>
    <w:rsid w:val="006D6807"/>
    <w:rsid w:val="006D6842"/>
    <w:rsid w:val="006D68B1"/>
    <w:rsid w:val="006D6C33"/>
    <w:rsid w:val="006D6F3F"/>
    <w:rsid w:val="006D7062"/>
    <w:rsid w:val="006D70AA"/>
    <w:rsid w:val="006D7113"/>
    <w:rsid w:val="006D724B"/>
    <w:rsid w:val="006D7286"/>
    <w:rsid w:val="006D72BA"/>
    <w:rsid w:val="006D7601"/>
    <w:rsid w:val="006D76AE"/>
    <w:rsid w:val="006D76D4"/>
    <w:rsid w:val="006D780C"/>
    <w:rsid w:val="006D7B63"/>
    <w:rsid w:val="006D7BEB"/>
    <w:rsid w:val="006D7D62"/>
    <w:rsid w:val="006D7E26"/>
    <w:rsid w:val="006E0036"/>
    <w:rsid w:val="006E0160"/>
    <w:rsid w:val="006E0345"/>
    <w:rsid w:val="006E0363"/>
    <w:rsid w:val="006E056A"/>
    <w:rsid w:val="006E07EE"/>
    <w:rsid w:val="006E0EA8"/>
    <w:rsid w:val="006E1606"/>
    <w:rsid w:val="006E1792"/>
    <w:rsid w:val="006E195C"/>
    <w:rsid w:val="006E1ABE"/>
    <w:rsid w:val="006E1D90"/>
    <w:rsid w:val="006E1E5C"/>
    <w:rsid w:val="006E1EA9"/>
    <w:rsid w:val="006E1F86"/>
    <w:rsid w:val="006E20B2"/>
    <w:rsid w:val="006E245E"/>
    <w:rsid w:val="006E281D"/>
    <w:rsid w:val="006E2A2F"/>
    <w:rsid w:val="006E2B26"/>
    <w:rsid w:val="006E2EA4"/>
    <w:rsid w:val="006E2F8A"/>
    <w:rsid w:val="006E3037"/>
    <w:rsid w:val="006E30C5"/>
    <w:rsid w:val="006E3294"/>
    <w:rsid w:val="006E336F"/>
    <w:rsid w:val="006E33BE"/>
    <w:rsid w:val="006E36EB"/>
    <w:rsid w:val="006E39ED"/>
    <w:rsid w:val="006E3A50"/>
    <w:rsid w:val="006E418F"/>
    <w:rsid w:val="006E42A8"/>
    <w:rsid w:val="006E44B5"/>
    <w:rsid w:val="006E4615"/>
    <w:rsid w:val="006E491E"/>
    <w:rsid w:val="006E4B06"/>
    <w:rsid w:val="006E4B12"/>
    <w:rsid w:val="006E4D00"/>
    <w:rsid w:val="006E4DFB"/>
    <w:rsid w:val="006E4EF5"/>
    <w:rsid w:val="006E4F1A"/>
    <w:rsid w:val="006E4FD5"/>
    <w:rsid w:val="006E5171"/>
    <w:rsid w:val="006E53CD"/>
    <w:rsid w:val="006E5A72"/>
    <w:rsid w:val="006E5C6E"/>
    <w:rsid w:val="006E5D8E"/>
    <w:rsid w:val="006E5EA4"/>
    <w:rsid w:val="006E5FBA"/>
    <w:rsid w:val="006E6075"/>
    <w:rsid w:val="006E6220"/>
    <w:rsid w:val="006E6368"/>
    <w:rsid w:val="006E662E"/>
    <w:rsid w:val="006E66CF"/>
    <w:rsid w:val="006E6C0C"/>
    <w:rsid w:val="006E6DDE"/>
    <w:rsid w:val="006E708E"/>
    <w:rsid w:val="006E7531"/>
    <w:rsid w:val="006E768F"/>
    <w:rsid w:val="006E77F5"/>
    <w:rsid w:val="006E7C72"/>
    <w:rsid w:val="006E7DE1"/>
    <w:rsid w:val="006E7E84"/>
    <w:rsid w:val="006E7EC9"/>
    <w:rsid w:val="006E7F54"/>
    <w:rsid w:val="006F002F"/>
    <w:rsid w:val="006F006B"/>
    <w:rsid w:val="006F0419"/>
    <w:rsid w:val="006F0586"/>
    <w:rsid w:val="006F06AC"/>
    <w:rsid w:val="006F07F7"/>
    <w:rsid w:val="006F08A4"/>
    <w:rsid w:val="006F0A3F"/>
    <w:rsid w:val="006F0ACC"/>
    <w:rsid w:val="006F0B4E"/>
    <w:rsid w:val="006F0CD3"/>
    <w:rsid w:val="006F0D33"/>
    <w:rsid w:val="006F0D5C"/>
    <w:rsid w:val="006F0F63"/>
    <w:rsid w:val="006F0F7C"/>
    <w:rsid w:val="006F0F88"/>
    <w:rsid w:val="006F109B"/>
    <w:rsid w:val="006F1149"/>
    <w:rsid w:val="006F1385"/>
    <w:rsid w:val="006F1437"/>
    <w:rsid w:val="006F148C"/>
    <w:rsid w:val="006F14E4"/>
    <w:rsid w:val="006F16C8"/>
    <w:rsid w:val="006F16E8"/>
    <w:rsid w:val="006F188A"/>
    <w:rsid w:val="006F1917"/>
    <w:rsid w:val="006F1CE7"/>
    <w:rsid w:val="006F1EF2"/>
    <w:rsid w:val="006F207E"/>
    <w:rsid w:val="006F2126"/>
    <w:rsid w:val="006F22DE"/>
    <w:rsid w:val="006F232D"/>
    <w:rsid w:val="006F24FF"/>
    <w:rsid w:val="006F25F0"/>
    <w:rsid w:val="006F25F5"/>
    <w:rsid w:val="006F2EC4"/>
    <w:rsid w:val="006F2FE5"/>
    <w:rsid w:val="006F34AE"/>
    <w:rsid w:val="006F35F2"/>
    <w:rsid w:val="006F39B8"/>
    <w:rsid w:val="006F3BF8"/>
    <w:rsid w:val="006F3C26"/>
    <w:rsid w:val="006F3C67"/>
    <w:rsid w:val="006F3CF7"/>
    <w:rsid w:val="006F3EA2"/>
    <w:rsid w:val="006F3FAC"/>
    <w:rsid w:val="006F40D9"/>
    <w:rsid w:val="006F423D"/>
    <w:rsid w:val="006F441F"/>
    <w:rsid w:val="006F4664"/>
    <w:rsid w:val="006F4695"/>
    <w:rsid w:val="006F48F5"/>
    <w:rsid w:val="006F4954"/>
    <w:rsid w:val="006F4AF4"/>
    <w:rsid w:val="006F4C6E"/>
    <w:rsid w:val="006F4DC3"/>
    <w:rsid w:val="006F4DC9"/>
    <w:rsid w:val="006F5376"/>
    <w:rsid w:val="006F555F"/>
    <w:rsid w:val="006F5605"/>
    <w:rsid w:val="006F572E"/>
    <w:rsid w:val="006F5776"/>
    <w:rsid w:val="006F587C"/>
    <w:rsid w:val="006F5A2A"/>
    <w:rsid w:val="006F5C02"/>
    <w:rsid w:val="006F5C48"/>
    <w:rsid w:val="006F5C72"/>
    <w:rsid w:val="006F5DD8"/>
    <w:rsid w:val="006F6004"/>
    <w:rsid w:val="006F63A4"/>
    <w:rsid w:val="006F63E6"/>
    <w:rsid w:val="006F6472"/>
    <w:rsid w:val="006F658E"/>
    <w:rsid w:val="006F67BB"/>
    <w:rsid w:val="006F6843"/>
    <w:rsid w:val="006F6A66"/>
    <w:rsid w:val="006F6BD6"/>
    <w:rsid w:val="006F6E8D"/>
    <w:rsid w:val="006F6EE7"/>
    <w:rsid w:val="006F701C"/>
    <w:rsid w:val="006F732E"/>
    <w:rsid w:val="006F7966"/>
    <w:rsid w:val="006F7B2E"/>
    <w:rsid w:val="006F7CCA"/>
    <w:rsid w:val="006F7D45"/>
    <w:rsid w:val="006F7D4F"/>
    <w:rsid w:val="006F7E0E"/>
    <w:rsid w:val="00700077"/>
    <w:rsid w:val="00700121"/>
    <w:rsid w:val="00700486"/>
    <w:rsid w:val="0070054C"/>
    <w:rsid w:val="007006D7"/>
    <w:rsid w:val="0070077D"/>
    <w:rsid w:val="00700897"/>
    <w:rsid w:val="007008D5"/>
    <w:rsid w:val="00700CBB"/>
    <w:rsid w:val="00700DF0"/>
    <w:rsid w:val="00700EFE"/>
    <w:rsid w:val="00701790"/>
    <w:rsid w:val="00701952"/>
    <w:rsid w:val="00701A88"/>
    <w:rsid w:val="00701C33"/>
    <w:rsid w:val="00701C50"/>
    <w:rsid w:val="00701ED0"/>
    <w:rsid w:val="00701F8F"/>
    <w:rsid w:val="00701FD3"/>
    <w:rsid w:val="00702056"/>
    <w:rsid w:val="00702135"/>
    <w:rsid w:val="00702259"/>
    <w:rsid w:val="007022BF"/>
    <w:rsid w:val="007022DC"/>
    <w:rsid w:val="00702459"/>
    <w:rsid w:val="007025E6"/>
    <w:rsid w:val="00702BC7"/>
    <w:rsid w:val="00702BDB"/>
    <w:rsid w:val="00702C5F"/>
    <w:rsid w:val="00702D31"/>
    <w:rsid w:val="00702D4C"/>
    <w:rsid w:val="00702E80"/>
    <w:rsid w:val="00703360"/>
    <w:rsid w:val="00703405"/>
    <w:rsid w:val="0070348A"/>
    <w:rsid w:val="00703580"/>
    <w:rsid w:val="00703627"/>
    <w:rsid w:val="0070378C"/>
    <w:rsid w:val="00703FC8"/>
    <w:rsid w:val="00703FE5"/>
    <w:rsid w:val="0070402F"/>
    <w:rsid w:val="00704104"/>
    <w:rsid w:val="00704128"/>
    <w:rsid w:val="0070413C"/>
    <w:rsid w:val="007041C1"/>
    <w:rsid w:val="007044CE"/>
    <w:rsid w:val="00704805"/>
    <w:rsid w:val="007049A6"/>
    <w:rsid w:val="00704CBE"/>
    <w:rsid w:val="00704F17"/>
    <w:rsid w:val="0070522E"/>
    <w:rsid w:val="007054C0"/>
    <w:rsid w:val="0070561A"/>
    <w:rsid w:val="00705B50"/>
    <w:rsid w:val="0070600C"/>
    <w:rsid w:val="0070604B"/>
    <w:rsid w:val="00706411"/>
    <w:rsid w:val="00706547"/>
    <w:rsid w:val="0070657A"/>
    <w:rsid w:val="0070664F"/>
    <w:rsid w:val="00706A5D"/>
    <w:rsid w:val="00706ADF"/>
    <w:rsid w:val="00706F60"/>
    <w:rsid w:val="0070701B"/>
    <w:rsid w:val="007070C7"/>
    <w:rsid w:val="007071AC"/>
    <w:rsid w:val="0070724D"/>
    <w:rsid w:val="007072AE"/>
    <w:rsid w:val="007072C8"/>
    <w:rsid w:val="007074B5"/>
    <w:rsid w:val="00707585"/>
    <w:rsid w:val="00707A6B"/>
    <w:rsid w:val="00707B52"/>
    <w:rsid w:val="00707C83"/>
    <w:rsid w:val="00707CC2"/>
    <w:rsid w:val="00707E05"/>
    <w:rsid w:val="00707EC9"/>
    <w:rsid w:val="00707F7C"/>
    <w:rsid w:val="0071032F"/>
    <w:rsid w:val="007103D8"/>
    <w:rsid w:val="0071041D"/>
    <w:rsid w:val="00710443"/>
    <w:rsid w:val="00710512"/>
    <w:rsid w:val="0071064F"/>
    <w:rsid w:val="0071069D"/>
    <w:rsid w:val="007106BC"/>
    <w:rsid w:val="00710734"/>
    <w:rsid w:val="0071080F"/>
    <w:rsid w:val="0071086C"/>
    <w:rsid w:val="00710A25"/>
    <w:rsid w:val="00710B39"/>
    <w:rsid w:val="00710C6E"/>
    <w:rsid w:val="00710D1F"/>
    <w:rsid w:val="00710EE5"/>
    <w:rsid w:val="00710F96"/>
    <w:rsid w:val="00710FA8"/>
    <w:rsid w:val="00710FD5"/>
    <w:rsid w:val="00711179"/>
    <w:rsid w:val="0071135C"/>
    <w:rsid w:val="00711373"/>
    <w:rsid w:val="00711452"/>
    <w:rsid w:val="007115CA"/>
    <w:rsid w:val="007115F2"/>
    <w:rsid w:val="00711BCC"/>
    <w:rsid w:val="00711D5F"/>
    <w:rsid w:val="00712252"/>
    <w:rsid w:val="007124A7"/>
    <w:rsid w:val="00712831"/>
    <w:rsid w:val="0071299B"/>
    <w:rsid w:val="00712B18"/>
    <w:rsid w:val="00712B1B"/>
    <w:rsid w:val="00712F18"/>
    <w:rsid w:val="00712F35"/>
    <w:rsid w:val="00712FC1"/>
    <w:rsid w:val="0071309E"/>
    <w:rsid w:val="00713364"/>
    <w:rsid w:val="007135AF"/>
    <w:rsid w:val="0071363D"/>
    <w:rsid w:val="00713891"/>
    <w:rsid w:val="007140CC"/>
    <w:rsid w:val="00714113"/>
    <w:rsid w:val="00714288"/>
    <w:rsid w:val="007144BF"/>
    <w:rsid w:val="0071455E"/>
    <w:rsid w:val="00714633"/>
    <w:rsid w:val="0071483A"/>
    <w:rsid w:val="00714845"/>
    <w:rsid w:val="00714965"/>
    <w:rsid w:val="00714A2B"/>
    <w:rsid w:val="00714A2E"/>
    <w:rsid w:val="00714BCB"/>
    <w:rsid w:val="00714DBE"/>
    <w:rsid w:val="00714F52"/>
    <w:rsid w:val="00714F91"/>
    <w:rsid w:val="00714FFC"/>
    <w:rsid w:val="0071512A"/>
    <w:rsid w:val="007151DC"/>
    <w:rsid w:val="007151FA"/>
    <w:rsid w:val="007153D1"/>
    <w:rsid w:val="0071548E"/>
    <w:rsid w:val="0071571B"/>
    <w:rsid w:val="00715A41"/>
    <w:rsid w:val="00715A96"/>
    <w:rsid w:val="00715C82"/>
    <w:rsid w:val="00715DCB"/>
    <w:rsid w:val="00715F53"/>
    <w:rsid w:val="00716223"/>
    <w:rsid w:val="007163DA"/>
    <w:rsid w:val="007166D4"/>
    <w:rsid w:val="00716806"/>
    <w:rsid w:val="007169C2"/>
    <w:rsid w:val="00716D18"/>
    <w:rsid w:val="00716E48"/>
    <w:rsid w:val="00716E4E"/>
    <w:rsid w:val="00716F17"/>
    <w:rsid w:val="00716F4A"/>
    <w:rsid w:val="007171BD"/>
    <w:rsid w:val="00717225"/>
    <w:rsid w:val="00717337"/>
    <w:rsid w:val="00717667"/>
    <w:rsid w:val="007176FC"/>
    <w:rsid w:val="00717731"/>
    <w:rsid w:val="0071774D"/>
    <w:rsid w:val="007177D4"/>
    <w:rsid w:val="00717968"/>
    <w:rsid w:val="007200EF"/>
    <w:rsid w:val="00720288"/>
    <w:rsid w:val="00720371"/>
    <w:rsid w:val="0072041D"/>
    <w:rsid w:val="00720497"/>
    <w:rsid w:val="00720518"/>
    <w:rsid w:val="007205BB"/>
    <w:rsid w:val="0072068F"/>
    <w:rsid w:val="007207DC"/>
    <w:rsid w:val="0072098D"/>
    <w:rsid w:val="00720A46"/>
    <w:rsid w:val="00720E01"/>
    <w:rsid w:val="00720E1D"/>
    <w:rsid w:val="00720EA6"/>
    <w:rsid w:val="00721002"/>
    <w:rsid w:val="00721003"/>
    <w:rsid w:val="00721026"/>
    <w:rsid w:val="007212A8"/>
    <w:rsid w:val="0072143F"/>
    <w:rsid w:val="0072147D"/>
    <w:rsid w:val="0072161F"/>
    <w:rsid w:val="00721643"/>
    <w:rsid w:val="00721980"/>
    <w:rsid w:val="007219A6"/>
    <w:rsid w:val="00721C48"/>
    <w:rsid w:val="007220A7"/>
    <w:rsid w:val="007220B0"/>
    <w:rsid w:val="007223D1"/>
    <w:rsid w:val="00722514"/>
    <w:rsid w:val="00722616"/>
    <w:rsid w:val="00722680"/>
    <w:rsid w:val="00722702"/>
    <w:rsid w:val="007228BC"/>
    <w:rsid w:val="00722924"/>
    <w:rsid w:val="0072293F"/>
    <w:rsid w:val="00722ABF"/>
    <w:rsid w:val="00722BF5"/>
    <w:rsid w:val="00722DBF"/>
    <w:rsid w:val="00722E4F"/>
    <w:rsid w:val="00722F14"/>
    <w:rsid w:val="00722F40"/>
    <w:rsid w:val="0072303D"/>
    <w:rsid w:val="00723196"/>
    <w:rsid w:val="00723258"/>
    <w:rsid w:val="00723324"/>
    <w:rsid w:val="00723389"/>
    <w:rsid w:val="0072359E"/>
    <w:rsid w:val="00723832"/>
    <w:rsid w:val="007238BE"/>
    <w:rsid w:val="00723A69"/>
    <w:rsid w:val="00723B56"/>
    <w:rsid w:val="00723BBF"/>
    <w:rsid w:val="00723C91"/>
    <w:rsid w:val="00723CBF"/>
    <w:rsid w:val="007241BD"/>
    <w:rsid w:val="00724253"/>
    <w:rsid w:val="0072426F"/>
    <w:rsid w:val="007242BB"/>
    <w:rsid w:val="007242EF"/>
    <w:rsid w:val="00724393"/>
    <w:rsid w:val="0072445A"/>
    <w:rsid w:val="0072483A"/>
    <w:rsid w:val="00724C16"/>
    <w:rsid w:val="00724F4B"/>
    <w:rsid w:val="00725127"/>
    <w:rsid w:val="00725514"/>
    <w:rsid w:val="00725871"/>
    <w:rsid w:val="007258AD"/>
    <w:rsid w:val="00725D13"/>
    <w:rsid w:val="0072605B"/>
    <w:rsid w:val="007261AF"/>
    <w:rsid w:val="007262D8"/>
    <w:rsid w:val="007265CD"/>
    <w:rsid w:val="007266AF"/>
    <w:rsid w:val="007268D2"/>
    <w:rsid w:val="00726C47"/>
    <w:rsid w:val="00726CFC"/>
    <w:rsid w:val="00726DC9"/>
    <w:rsid w:val="00727299"/>
    <w:rsid w:val="007272D5"/>
    <w:rsid w:val="007272F3"/>
    <w:rsid w:val="0072742B"/>
    <w:rsid w:val="00727568"/>
    <w:rsid w:val="00727766"/>
    <w:rsid w:val="0072776B"/>
    <w:rsid w:val="0072795D"/>
    <w:rsid w:val="00727A9B"/>
    <w:rsid w:val="00727C0B"/>
    <w:rsid w:val="00727FD0"/>
    <w:rsid w:val="007301A8"/>
    <w:rsid w:val="00730761"/>
    <w:rsid w:val="00730F7D"/>
    <w:rsid w:val="00730FD6"/>
    <w:rsid w:val="00731177"/>
    <w:rsid w:val="00731193"/>
    <w:rsid w:val="00731238"/>
    <w:rsid w:val="007312FB"/>
    <w:rsid w:val="00731596"/>
    <w:rsid w:val="007315F4"/>
    <w:rsid w:val="0073182C"/>
    <w:rsid w:val="007318F4"/>
    <w:rsid w:val="00731985"/>
    <w:rsid w:val="00731A23"/>
    <w:rsid w:val="00731B85"/>
    <w:rsid w:val="00731D5C"/>
    <w:rsid w:val="00731DE4"/>
    <w:rsid w:val="00731EB3"/>
    <w:rsid w:val="00731F03"/>
    <w:rsid w:val="0073206B"/>
    <w:rsid w:val="007322C9"/>
    <w:rsid w:val="007324A4"/>
    <w:rsid w:val="007326EB"/>
    <w:rsid w:val="00732790"/>
    <w:rsid w:val="0073287D"/>
    <w:rsid w:val="00732D7B"/>
    <w:rsid w:val="00732DDF"/>
    <w:rsid w:val="00732E21"/>
    <w:rsid w:val="00732E61"/>
    <w:rsid w:val="00733265"/>
    <w:rsid w:val="007332BC"/>
    <w:rsid w:val="0073345B"/>
    <w:rsid w:val="0073362D"/>
    <w:rsid w:val="00733889"/>
    <w:rsid w:val="007338AB"/>
    <w:rsid w:val="00733D90"/>
    <w:rsid w:val="00733DF4"/>
    <w:rsid w:val="007342FD"/>
    <w:rsid w:val="00734354"/>
    <w:rsid w:val="0073435B"/>
    <w:rsid w:val="007344DF"/>
    <w:rsid w:val="00734750"/>
    <w:rsid w:val="00734765"/>
    <w:rsid w:val="007349AE"/>
    <w:rsid w:val="00734DBB"/>
    <w:rsid w:val="00734E05"/>
    <w:rsid w:val="00734E2C"/>
    <w:rsid w:val="00734E8D"/>
    <w:rsid w:val="00735624"/>
    <w:rsid w:val="0073575A"/>
    <w:rsid w:val="00735A12"/>
    <w:rsid w:val="00735B97"/>
    <w:rsid w:val="00735C49"/>
    <w:rsid w:val="00735E5F"/>
    <w:rsid w:val="00735F3A"/>
    <w:rsid w:val="00736054"/>
    <w:rsid w:val="0073644E"/>
    <w:rsid w:val="0073658E"/>
    <w:rsid w:val="007365C1"/>
    <w:rsid w:val="00736796"/>
    <w:rsid w:val="00736893"/>
    <w:rsid w:val="007368DF"/>
    <w:rsid w:val="007369AF"/>
    <w:rsid w:val="00736B7B"/>
    <w:rsid w:val="00736C6C"/>
    <w:rsid w:val="00736D8E"/>
    <w:rsid w:val="00736DD7"/>
    <w:rsid w:val="00736FEF"/>
    <w:rsid w:val="007370A4"/>
    <w:rsid w:val="007370D0"/>
    <w:rsid w:val="007371DF"/>
    <w:rsid w:val="007372A0"/>
    <w:rsid w:val="0073745F"/>
    <w:rsid w:val="00737584"/>
    <w:rsid w:val="00737987"/>
    <w:rsid w:val="00737B47"/>
    <w:rsid w:val="007400AE"/>
    <w:rsid w:val="007400F0"/>
    <w:rsid w:val="00740142"/>
    <w:rsid w:val="00740477"/>
    <w:rsid w:val="007406FB"/>
    <w:rsid w:val="0074076A"/>
    <w:rsid w:val="0074076E"/>
    <w:rsid w:val="007409AF"/>
    <w:rsid w:val="00740AC3"/>
    <w:rsid w:val="00740ACC"/>
    <w:rsid w:val="00740B0A"/>
    <w:rsid w:val="00740E6F"/>
    <w:rsid w:val="00740EA4"/>
    <w:rsid w:val="0074106C"/>
    <w:rsid w:val="007411E0"/>
    <w:rsid w:val="0074129B"/>
    <w:rsid w:val="007413EF"/>
    <w:rsid w:val="007414B3"/>
    <w:rsid w:val="007415CA"/>
    <w:rsid w:val="0074166F"/>
    <w:rsid w:val="0074179B"/>
    <w:rsid w:val="00741807"/>
    <w:rsid w:val="00741D06"/>
    <w:rsid w:val="00741EDD"/>
    <w:rsid w:val="00741FB5"/>
    <w:rsid w:val="00742093"/>
    <w:rsid w:val="007420A4"/>
    <w:rsid w:val="00742265"/>
    <w:rsid w:val="007423BB"/>
    <w:rsid w:val="00742449"/>
    <w:rsid w:val="007424E1"/>
    <w:rsid w:val="0074250F"/>
    <w:rsid w:val="0074291B"/>
    <w:rsid w:val="00742AA6"/>
    <w:rsid w:val="00742CD1"/>
    <w:rsid w:val="00742E67"/>
    <w:rsid w:val="00743109"/>
    <w:rsid w:val="007431DC"/>
    <w:rsid w:val="00743207"/>
    <w:rsid w:val="007435F8"/>
    <w:rsid w:val="0074380C"/>
    <w:rsid w:val="00743A9C"/>
    <w:rsid w:val="00743C5D"/>
    <w:rsid w:val="00743E80"/>
    <w:rsid w:val="007440D3"/>
    <w:rsid w:val="00744165"/>
    <w:rsid w:val="0074416B"/>
    <w:rsid w:val="007443EF"/>
    <w:rsid w:val="007446A8"/>
    <w:rsid w:val="00744795"/>
    <w:rsid w:val="00744BE0"/>
    <w:rsid w:val="00744DD7"/>
    <w:rsid w:val="00744F41"/>
    <w:rsid w:val="0074508E"/>
    <w:rsid w:val="00745157"/>
    <w:rsid w:val="00745227"/>
    <w:rsid w:val="007452F5"/>
    <w:rsid w:val="007453DA"/>
    <w:rsid w:val="00745828"/>
    <w:rsid w:val="0074583A"/>
    <w:rsid w:val="00745B16"/>
    <w:rsid w:val="00745B90"/>
    <w:rsid w:val="00745C2D"/>
    <w:rsid w:val="00745DA7"/>
    <w:rsid w:val="00745DEA"/>
    <w:rsid w:val="00745EDB"/>
    <w:rsid w:val="00745F2A"/>
    <w:rsid w:val="00746036"/>
    <w:rsid w:val="0074627F"/>
    <w:rsid w:val="0074641B"/>
    <w:rsid w:val="00746511"/>
    <w:rsid w:val="0074663E"/>
    <w:rsid w:val="00746658"/>
    <w:rsid w:val="00746DC2"/>
    <w:rsid w:val="00747007"/>
    <w:rsid w:val="0074719D"/>
    <w:rsid w:val="00747298"/>
    <w:rsid w:val="007472BC"/>
    <w:rsid w:val="007472DD"/>
    <w:rsid w:val="007473DC"/>
    <w:rsid w:val="00747652"/>
    <w:rsid w:val="00747663"/>
    <w:rsid w:val="0074793E"/>
    <w:rsid w:val="00747BED"/>
    <w:rsid w:val="00747C8A"/>
    <w:rsid w:val="00747CEB"/>
    <w:rsid w:val="00747E9D"/>
    <w:rsid w:val="00747E9E"/>
    <w:rsid w:val="0075009A"/>
    <w:rsid w:val="0075012B"/>
    <w:rsid w:val="00750155"/>
    <w:rsid w:val="007503FE"/>
    <w:rsid w:val="0075051C"/>
    <w:rsid w:val="00750748"/>
    <w:rsid w:val="0075074D"/>
    <w:rsid w:val="0075088C"/>
    <w:rsid w:val="00750D28"/>
    <w:rsid w:val="00750DF1"/>
    <w:rsid w:val="00751380"/>
    <w:rsid w:val="00751595"/>
    <w:rsid w:val="007516D2"/>
    <w:rsid w:val="007516FC"/>
    <w:rsid w:val="00751725"/>
    <w:rsid w:val="007518C8"/>
    <w:rsid w:val="007519BC"/>
    <w:rsid w:val="00751ADC"/>
    <w:rsid w:val="00751B2B"/>
    <w:rsid w:val="00751CA7"/>
    <w:rsid w:val="00751CB9"/>
    <w:rsid w:val="00751CC8"/>
    <w:rsid w:val="00751DB9"/>
    <w:rsid w:val="007521E4"/>
    <w:rsid w:val="00752272"/>
    <w:rsid w:val="007523BC"/>
    <w:rsid w:val="007526B8"/>
    <w:rsid w:val="00752796"/>
    <w:rsid w:val="007528BE"/>
    <w:rsid w:val="007528D7"/>
    <w:rsid w:val="00752BCE"/>
    <w:rsid w:val="00753327"/>
    <w:rsid w:val="007533AF"/>
    <w:rsid w:val="007536AD"/>
    <w:rsid w:val="0075375A"/>
    <w:rsid w:val="007538DA"/>
    <w:rsid w:val="0075397C"/>
    <w:rsid w:val="007539E4"/>
    <w:rsid w:val="00753AB2"/>
    <w:rsid w:val="00753B36"/>
    <w:rsid w:val="00753C83"/>
    <w:rsid w:val="00753CAB"/>
    <w:rsid w:val="00753E54"/>
    <w:rsid w:val="00753F63"/>
    <w:rsid w:val="00753FC6"/>
    <w:rsid w:val="007540A8"/>
    <w:rsid w:val="00754170"/>
    <w:rsid w:val="00754415"/>
    <w:rsid w:val="0075450F"/>
    <w:rsid w:val="00754726"/>
    <w:rsid w:val="0075480A"/>
    <w:rsid w:val="007548AC"/>
    <w:rsid w:val="00754B18"/>
    <w:rsid w:val="00754B97"/>
    <w:rsid w:val="00754CD9"/>
    <w:rsid w:val="00754D0D"/>
    <w:rsid w:val="00754F41"/>
    <w:rsid w:val="0075515B"/>
    <w:rsid w:val="00755218"/>
    <w:rsid w:val="007552B5"/>
    <w:rsid w:val="007552C7"/>
    <w:rsid w:val="007552CB"/>
    <w:rsid w:val="00755D1B"/>
    <w:rsid w:val="00756305"/>
    <w:rsid w:val="00756531"/>
    <w:rsid w:val="00756533"/>
    <w:rsid w:val="007565B1"/>
    <w:rsid w:val="0075669F"/>
    <w:rsid w:val="00756783"/>
    <w:rsid w:val="00756B0C"/>
    <w:rsid w:val="00756B43"/>
    <w:rsid w:val="00756D72"/>
    <w:rsid w:val="00756E4A"/>
    <w:rsid w:val="00756E58"/>
    <w:rsid w:val="00756EA8"/>
    <w:rsid w:val="00757459"/>
    <w:rsid w:val="007574C0"/>
    <w:rsid w:val="007575BF"/>
    <w:rsid w:val="007576DF"/>
    <w:rsid w:val="007576F1"/>
    <w:rsid w:val="00757747"/>
    <w:rsid w:val="00757B89"/>
    <w:rsid w:val="00757C08"/>
    <w:rsid w:val="00757D51"/>
    <w:rsid w:val="00757E7C"/>
    <w:rsid w:val="00757F86"/>
    <w:rsid w:val="0075B3F6"/>
    <w:rsid w:val="00760034"/>
    <w:rsid w:val="0076008A"/>
    <w:rsid w:val="007601BB"/>
    <w:rsid w:val="007602EE"/>
    <w:rsid w:val="00760403"/>
    <w:rsid w:val="007604B4"/>
    <w:rsid w:val="0076054F"/>
    <w:rsid w:val="007606B8"/>
    <w:rsid w:val="007608A4"/>
    <w:rsid w:val="00760986"/>
    <w:rsid w:val="00760A4D"/>
    <w:rsid w:val="00760AA4"/>
    <w:rsid w:val="00760C3C"/>
    <w:rsid w:val="00760DE6"/>
    <w:rsid w:val="00760EDD"/>
    <w:rsid w:val="00760F84"/>
    <w:rsid w:val="00760FDA"/>
    <w:rsid w:val="00761456"/>
    <w:rsid w:val="00761546"/>
    <w:rsid w:val="007615DA"/>
    <w:rsid w:val="00761619"/>
    <w:rsid w:val="00761A78"/>
    <w:rsid w:val="00761C80"/>
    <w:rsid w:val="00761CD3"/>
    <w:rsid w:val="00761FC5"/>
    <w:rsid w:val="0076208D"/>
    <w:rsid w:val="00762097"/>
    <w:rsid w:val="00762281"/>
    <w:rsid w:val="007624D7"/>
    <w:rsid w:val="007625AB"/>
    <w:rsid w:val="007626E3"/>
    <w:rsid w:val="00762774"/>
    <w:rsid w:val="007628ED"/>
    <w:rsid w:val="0076296A"/>
    <w:rsid w:val="0076298B"/>
    <w:rsid w:val="00762A16"/>
    <w:rsid w:val="00762A55"/>
    <w:rsid w:val="00762CC3"/>
    <w:rsid w:val="00762E2A"/>
    <w:rsid w:val="00762EBF"/>
    <w:rsid w:val="007631B4"/>
    <w:rsid w:val="007632DD"/>
    <w:rsid w:val="00763361"/>
    <w:rsid w:val="00763511"/>
    <w:rsid w:val="0076396D"/>
    <w:rsid w:val="00763A66"/>
    <w:rsid w:val="00763AEE"/>
    <w:rsid w:val="00763DFB"/>
    <w:rsid w:val="00763E80"/>
    <w:rsid w:val="00763F67"/>
    <w:rsid w:val="00763FB0"/>
    <w:rsid w:val="0076420E"/>
    <w:rsid w:val="00764396"/>
    <w:rsid w:val="0076440E"/>
    <w:rsid w:val="00764589"/>
    <w:rsid w:val="00764648"/>
    <w:rsid w:val="00764690"/>
    <w:rsid w:val="007647F4"/>
    <w:rsid w:val="007647F5"/>
    <w:rsid w:val="00764B04"/>
    <w:rsid w:val="00764B84"/>
    <w:rsid w:val="00764CB4"/>
    <w:rsid w:val="00764CCB"/>
    <w:rsid w:val="00764CD2"/>
    <w:rsid w:val="00764ED4"/>
    <w:rsid w:val="00764F0B"/>
    <w:rsid w:val="00765208"/>
    <w:rsid w:val="007652CD"/>
    <w:rsid w:val="0076538A"/>
    <w:rsid w:val="00765513"/>
    <w:rsid w:val="00765547"/>
    <w:rsid w:val="007657F1"/>
    <w:rsid w:val="007659B8"/>
    <w:rsid w:val="00765A42"/>
    <w:rsid w:val="00765C6B"/>
    <w:rsid w:val="00765D0A"/>
    <w:rsid w:val="0076603D"/>
    <w:rsid w:val="00766275"/>
    <w:rsid w:val="00766328"/>
    <w:rsid w:val="0076636E"/>
    <w:rsid w:val="00766410"/>
    <w:rsid w:val="00766634"/>
    <w:rsid w:val="0076678C"/>
    <w:rsid w:val="007669D8"/>
    <w:rsid w:val="00766D48"/>
    <w:rsid w:val="00766E73"/>
    <w:rsid w:val="00766F05"/>
    <w:rsid w:val="00767204"/>
    <w:rsid w:val="00767397"/>
    <w:rsid w:val="007673F8"/>
    <w:rsid w:val="00767589"/>
    <w:rsid w:val="00767C0D"/>
    <w:rsid w:val="00767D7B"/>
    <w:rsid w:val="00767E12"/>
    <w:rsid w:val="00767EE7"/>
    <w:rsid w:val="007700BD"/>
    <w:rsid w:val="00770752"/>
    <w:rsid w:val="00770D7A"/>
    <w:rsid w:val="00770DFA"/>
    <w:rsid w:val="00770E71"/>
    <w:rsid w:val="00770E72"/>
    <w:rsid w:val="00770E7D"/>
    <w:rsid w:val="00770FE3"/>
    <w:rsid w:val="0077106F"/>
    <w:rsid w:val="0077116B"/>
    <w:rsid w:val="00771196"/>
    <w:rsid w:val="007711E1"/>
    <w:rsid w:val="00771287"/>
    <w:rsid w:val="00771294"/>
    <w:rsid w:val="007712C7"/>
    <w:rsid w:val="00771571"/>
    <w:rsid w:val="007715DF"/>
    <w:rsid w:val="00771703"/>
    <w:rsid w:val="0077172F"/>
    <w:rsid w:val="007718BF"/>
    <w:rsid w:val="007719E8"/>
    <w:rsid w:val="00771AF4"/>
    <w:rsid w:val="00771BDA"/>
    <w:rsid w:val="00771F29"/>
    <w:rsid w:val="00772019"/>
    <w:rsid w:val="00772395"/>
    <w:rsid w:val="007723D1"/>
    <w:rsid w:val="00772447"/>
    <w:rsid w:val="0077268B"/>
    <w:rsid w:val="0077275B"/>
    <w:rsid w:val="00772973"/>
    <w:rsid w:val="00772BCC"/>
    <w:rsid w:val="00772BE7"/>
    <w:rsid w:val="00772BEB"/>
    <w:rsid w:val="00772C54"/>
    <w:rsid w:val="00772D70"/>
    <w:rsid w:val="00772D8A"/>
    <w:rsid w:val="0077303A"/>
    <w:rsid w:val="007730EC"/>
    <w:rsid w:val="00773158"/>
    <w:rsid w:val="00773254"/>
    <w:rsid w:val="0077356B"/>
    <w:rsid w:val="00773690"/>
    <w:rsid w:val="007736B0"/>
    <w:rsid w:val="007736CF"/>
    <w:rsid w:val="00773774"/>
    <w:rsid w:val="007738B9"/>
    <w:rsid w:val="007739EE"/>
    <w:rsid w:val="00773BE5"/>
    <w:rsid w:val="00773CA6"/>
    <w:rsid w:val="00773E5E"/>
    <w:rsid w:val="00773E7A"/>
    <w:rsid w:val="00773F57"/>
    <w:rsid w:val="00773F97"/>
    <w:rsid w:val="007742E4"/>
    <w:rsid w:val="0077442C"/>
    <w:rsid w:val="00774640"/>
    <w:rsid w:val="00774647"/>
    <w:rsid w:val="00774838"/>
    <w:rsid w:val="00774D38"/>
    <w:rsid w:val="00774DC3"/>
    <w:rsid w:val="00774F6A"/>
    <w:rsid w:val="00775039"/>
    <w:rsid w:val="007750CA"/>
    <w:rsid w:val="007751BE"/>
    <w:rsid w:val="007751E1"/>
    <w:rsid w:val="007751E2"/>
    <w:rsid w:val="00775590"/>
    <w:rsid w:val="00775678"/>
    <w:rsid w:val="0077582C"/>
    <w:rsid w:val="00775854"/>
    <w:rsid w:val="0077590D"/>
    <w:rsid w:val="00775F22"/>
    <w:rsid w:val="00776012"/>
    <w:rsid w:val="007760AF"/>
    <w:rsid w:val="007760D5"/>
    <w:rsid w:val="00776225"/>
    <w:rsid w:val="007762FF"/>
    <w:rsid w:val="007763BA"/>
    <w:rsid w:val="00776581"/>
    <w:rsid w:val="00776597"/>
    <w:rsid w:val="00776761"/>
    <w:rsid w:val="00776820"/>
    <w:rsid w:val="00776870"/>
    <w:rsid w:val="00776942"/>
    <w:rsid w:val="00776959"/>
    <w:rsid w:val="007769CE"/>
    <w:rsid w:val="00776B08"/>
    <w:rsid w:val="00776B5D"/>
    <w:rsid w:val="00776CF1"/>
    <w:rsid w:val="00776DBC"/>
    <w:rsid w:val="00776EEA"/>
    <w:rsid w:val="00776F2A"/>
    <w:rsid w:val="00776FFC"/>
    <w:rsid w:val="00777256"/>
    <w:rsid w:val="00777579"/>
    <w:rsid w:val="007776C9"/>
    <w:rsid w:val="007776CB"/>
    <w:rsid w:val="00777890"/>
    <w:rsid w:val="007779E9"/>
    <w:rsid w:val="00777A21"/>
    <w:rsid w:val="00777C7F"/>
    <w:rsid w:val="00777CEB"/>
    <w:rsid w:val="00777F13"/>
    <w:rsid w:val="00780130"/>
    <w:rsid w:val="0078014F"/>
    <w:rsid w:val="007802D7"/>
    <w:rsid w:val="0078035B"/>
    <w:rsid w:val="0078036E"/>
    <w:rsid w:val="007804CD"/>
    <w:rsid w:val="00780604"/>
    <w:rsid w:val="00780687"/>
    <w:rsid w:val="00780877"/>
    <w:rsid w:val="00780943"/>
    <w:rsid w:val="00780966"/>
    <w:rsid w:val="00780C9A"/>
    <w:rsid w:val="00780CFA"/>
    <w:rsid w:val="007812E0"/>
    <w:rsid w:val="007812F8"/>
    <w:rsid w:val="0078131A"/>
    <w:rsid w:val="00781438"/>
    <w:rsid w:val="00781445"/>
    <w:rsid w:val="00781451"/>
    <w:rsid w:val="00781454"/>
    <w:rsid w:val="00781601"/>
    <w:rsid w:val="0078167E"/>
    <w:rsid w:val="0078196E"/>
    <w:rsid w:val="00781A48"/>
    <w:rsid w:val="00781A51"/>
    <w:rsid w:val="00781DC2"/>
    <w:rsid w:val="007820C8"/>
    <w:rsid w:val="0078225A"/>
    <w:rsid w:val="0078248E"/>
    <w:rsid w:val="007826CA"/>
    <w:rsid w:val="007827A1"/>
    <w:rsid w:val="00782A62"/>
    <w:rsid w:val="00782C00"/>
    <w:rsid w:val="00782D78"/>
    <w:rsid w:val="00782EDF"/>
    <w:rsid w:val="00782F01"/>
    <w:rsid w:val="00782F87"/>
    <w:rsid w:val="00783101"/>
    <w:rsid w:val="00783115"/>
    <w:rsid w:val="007833CF"/>
    <w:rsid w:val="00783420"/>
    <w:rsid w:val="007834D0"/>
    <w:rsid w:val="00783970"/>
    <w:rsid w:val="00783A6F"/>
    <w:rsid w:val="00783A9D"/>
    <w:rsid w:val="00783AE8"/>
    <w:rsid w:val="00783CEA"/>
    <w:rsid w:val="00783E61"/>
    <w:rsid w:val="00783E71"/>
    <w:rsid w:val="00783EDE"/>
    <w:rsid w:val="00783EF1"/>
    <w:rsid w:val="00783F9D"/>
    <w:rsid w:val="00784065"/>
    <w:rsid w:val="0078407C"/>
    <w:rsid w:val="0078427E"/>
    <w:rsid w:val="007844EE"/>
    <w:rsid w:val="00784884"/>
    <w:rsid w:val="007848F0"/>
    <w:rsid w:val="0078497B"/>
    <w:rsid w:val="007849EA"/>
    <w:rsid w:val="00784A20"/>
    <w:rsid w:val="00784A8A"/>
    <w:rsid w:val="00784C1A"/>
    <w:rsid w:val="0078534E"/>
    <w:rsid w:val="0078573F"/>
    <w:rsid w:val="0078576A"/>
    <w:rsid w:val="007858E5"/>
    <w:rsid w:val="00785B4D"/>
    <w:rsid w:val="00785BBB"/>
    <w:rsid w:val="007861D0"/>
    <w:rsid w:val="007868B3"/>
    <w:rsid w:val="007869AA"/>
    <w:rsid w:val="00786FEA"/>
    <w:rsid w:val="0078728A"/>
    <w:rsid w:val="0078737E"/>
    <w:rsid w:val="00787435"/>
    <w:rsid w:val="00787461"/>
    <w:rsid w:val="0078788A"/>
    <w:rsid w:val="007901CF"/>
    <w:rsid w:val="00790584"/>
    <w:rsid w:val="00790927"/>
    <w:rsid w:val="007909FE"/>
    <w:rsid w:val="00790CB8"/>
    <w:rsid w:val="00790CEA"/>
    <w:rsid w:val="00790DC0"/>
    <w:rsid w:val="00790F3A"/>
    <w:rsid w:val="007910AA"/>
    <w:rsid w:val="007911F3"/>
    <w:rsid w:val="007913E6"/>
    <w:rsid w:val="007914E7"/>
    <w:rsid w:val="00791598"/>
    <w:rsid w:val="00791708"/>
    <w:rsid w:val="00791809"/>
    <w:rsid w:val="00791941"/>
    <w:rsid w:val="0079194E"/>
    <w:rsid w:val="00791B6A"/>
    <w:rsid w:val="00792083"/>
    <w:rsid w:val="0079209A"/>
    <w:rsid w:val="0079210F"/>
    <w:rsid w:val="00792189"/>
    <w:rsid w:val="00792303"/>
    <w:rsid w:val="00792685"/>
    <w:rsid w:val="00792756"/>
    <w:rsid w:val="0079290D"/>
    <w:rsid w:val="00792989"/>
    <w:rsid w:val="00792B07"/>
    <w:rsid w:val="00792D80"/>
    <w:rsid w:val="00792D9F"/>
    <w:rsid w:val="00792DC8"/>
    <w:rsid w:val="00792FF8"/>
    <w:rsid w:val="00793055"/>
    <w:rsid w:val="00793078"/>
    <w:rsid w:val="007932A3"/>
    <w:rsid w:val="0079336C"/>
    <w:rsid w:val="00793A3A"/>
    <w:rsid w:val="00793A82"/>
    <w:rsid w:val="00793D72"/>
    <w:rsid w:val="00793DF0"/>
    <w:rsid w:val="00793F6F"/>
    <w:rsid w:val="007940E6"/>
    <w:rsid w:val="0079418F"/>
    <w:rsid w:val="00794659"/>
    <w:rsid w:val="0079465E"/>
    <w:rsid w:val="007946D6"/>
    <w:rsid w:val="007947C2"/>
    <w:rsid w:val="007947D7"/>
    <w:rsid w:val="00794821"/>
    <w:rsid w:val="007948BE"/>
    <w:rsid w:val="007949E1"/>
    <w:rsid w:val="00794F08"/>
    <w:rsid w:val="0079503C"/>
    <w:rsid w:val="00795066"/>
    <w:rsid w:val="007951A7"/>
    <w:rsid w:val="00795842"/>
    <w:rsid w:val="007958C4"/>
    <w:rsid w:val="00795A87"/>
    <w:rsid w:val="00795C49"/>
    <w:rsid w:val="00795D6D"/>
    <w:rsid w:val="00795E0B"/>
    <w:rsid w:val="00795E92"/>
    <w:rsid w:val="007960A6"/>
    <w:rsid w:val="007963FE"/>
    <w:rsid w:val="00796613"/>
    <w:rsid w:val="0079668F"/>
    <w:rsid w:val="00796866"/>
    <w:rsid w:val="0079697B"/>
    <w:rsid w:val="00796B0D"/>
    <w:rsid w:val="00796B8E"/>
    <w:rsid w:val="00796E7F"/>
    <w:rsid w:val="00796E8C"/>
    <w:rsid w:val="00796EF1"/>
    <w:rsid w:val="00796F13"/>
    <w:rsid w:val="00796FB3"/>
    <w:rsid w:val="007971C8"/>
    <w:rsid w:val="00797412"/>
    <w:rsid w:val="00797596"/>
    <w:rsid w:val="0079798E"/>
    <w:rsid w:val="00797C35"/>
    <w:rsid w:val="007A0092"/>
    <w:rsid w:val="007A00E1"/>
    <w:rsid w:val="007A02C4"/>
    <w:rsid w:val="007A04C0"/>
    <w:rsid w:val="007A0553"/>
    <w:rsid w:val="007A06A9"/>
    <w:rsid w:val="007A0719"/>
    <w:rsid w:val="007A0BF8"/>
    <w:rsid w:val="007A0E8F"/>
    <w:rsid w:val="007A0F71"/>
    <w:rsid w:val="007A142A"/>
    <w:rsid w:val="007A1927"/>
    <w:rsid w:val="007A1BE4"/>
    <w:rsid w:val="007A1C96"/>
    <w:rsid w:val="007A1D1D"/>
    <w:rsid w:val="007A1FF9"/>
    <w:rsid w:val="007A20B0"/>
    <w:rsid w:val="007A257A"/>
    <w:rsid w:val="007A2583"/>
    <w:rsid w:val="007A25B3"/>
    <w:rsid w:val="007A26CB"/>
    <w:rsid w:val="007A2883"/>
    <w:rsid w:val="007A28B6"/>
    <w:rsid w:val="007A2A7A"/>
    <w:rsid w:val="007A2DEF"/>
    <w:rsid w:val="007A2E71"/>
    <w:rsid w:val="007A313A"/>
    <w:rsid w:val="007A31AA"/>
    <w:rsid w:val="007A321F"/>
    <w:rsid w:val="007A32AA"/>
    <w:rsid w:val="007A32D9"/>
    <w:rsid w:val="007A3325"/>
    <w:rsid w:val="007A35AE"/>
    <w:rsid w:val="007A37AB"/>
    <w:rsid w:val="007A39B2"/>
    <w:rsid w:val="007A39E5"/>
    <w:rsid w:val="007A3A02"/>
    <w:rsid w:val="007A3AD5"/>
    <w:rsid w:val="007A3D89"/>
    <w:rsid w:val="007A3F78"/>
    <w:rsid w:val="007A4136"/>
    <w:rsid w:val="007A449C"/>
    <w:rsid w:val="007A44A6"/>
    <w:rsid w:val="007A4507"/>
    <w:rsid w:val="007A45C7"/>
    <w:rsid w:val="007A4622"/>
    <w:rsid w:val="007A463D"/>
    <w:rsid w:val="007A4687"/>
    <w:rsid w:val="007A4693"/>
    <w:rsid w:val="007A486C"/>
    <w:rsid w:val="007A4878"/>
    <w:rsid w:val="007A490D"/>
    <w:rsid w:val="007A4930"/>
    <w:rsid w:val="007A49D4"/>
    <w:rsid w:val="007A4A0D"/>
    <w:rsid w:val="007A4B49"/>
    <w:rsid w:val="007A4B80"/>
    <w:rsid w:val="007A4D9A"/>
    <w:rsid w:val="007A4E20"/>
    <w:rsid w:val="007A4E53"/>
    <w:rsid w:val="007A4E96"/>
    <w:rsid w:val="007A4EF9"/>
    <w:rsid w:val="007A5515"/>
    <w:rsid w:val="007A56A6"/>
    <w:rsid w:val="007A5840"/>
    <w:rsid w:val="007A590B"/>
    <w:rsid w:val="007A5937"/>
    <w:rsid w:val="007A5AEE"/>
    <w:rsid w:val="007A5C64"/>
    <w:rsid w:val="007A5CB2"/>
    <w:rsid w:val="007A5D59"/>
    <w:rsid w:val="007A5FD4"/>
    <w:rsid w:val="007A5FDB"/>
    <w:rsid w:val="007A63E7"/>
    <w:rsid w:val="007A64AC"/>
    <w:rsid w:val="007A6561"/>
    <w:rsid w:val="007A659C"/>
    <w:rsid w:val="007A659F"/>
    <w:rsid w:val="007A66C5"/>
    <w:rsid w:val="007A6813"/>
    <w:rsid w:val="007A68F2"/>
    <w:rsid w:val="007A699D"/>
    <w:rsid w:val="007A69CA"/>
    <w:rsid w:val="007A6D82"/>
    <w:rsid w:val="007A714A"/>
    <w:rsid w:val="007A7252"/>
    <w:rsid w:val="007A76C9"/>
    <w:rsid w:val="007A785F"/>
    <w:rsid w:val="007A799B"/>
    <w:rsid w:val="007A7A1C"/>
    <w:rsid w:val="007A7B71"/>
    <w:rsid w:val="007A7D66"/>
    <w:rsid w:val="007A7DA6"/>
    <w:rsid w:val="007A7E72"/>
    <w:rsid w:val="007B02E2"/>
    <w:rsid w:val="007B054A"/>
    <w:rsid w:val="007B0653"/>
    <w:rsid w:val="007B06F6"/>
    <w:rsid w:val="007B075D"/>
    <w:rsid w:val="007B097B"/>
    <w:rsid w:val="007B09E3"/>
    <w:rsid w:val="007B0E98"/>
    <w:rsid w:val="007B1009"/>
    <w:rsid w:val="007B11C9"/>
    <w:rsid w:val="007B1385"/>
    <w:rsid w:val="007B1431"/>
    <w:rsid w:val="007B1541"/>
    <w:rsid w:val="007B1750"/>
    <w:rsid w:val="007B1986"/>
    <w:rsid w:val="007B1D12"/>
    <w:rsid w:val="007B1E3A"/>
    <w:rsid w:val="007B1EF2"/>
    <w:rsid w:val="007B20B3"/>
    <w:rsid w:val="007B2149"/>
    <w:rsid w:val="007B21D1"/>
    <w:rsid w:val="007B2267"/>
    <w:rsid w:val="007B230A"/>
    <w:rsid w:val="007B271A"/>
    <w:rsid w:val="007B2792"/>
    <w:rsid w:val="007B27FA"/>
    <w:rsid w:val="007B2882"/>
    <w:rsid w:val="007B28A4"/>
    <w:rsid w:val="007B29A6"/>
    <w:rsid w:val="007B2F84"/>
    <w:rsid w:val="007B3126"/>
    <w:rsid w:val="007B31C8"/>
    <w:rsid w:val="007B3204"/>
    <w:rsid w:val="007B3313"/>
    <w:rsid w:val="007B33E7"/>
    <w:rsid w:val="007B3680"/>
    <w:rsid w:val="007B371C"/>
    <w:rsid w:val="007B3730"/>
    <w:rsid w:val="007B3862"/>
    <w:rsid w:val="007B3B20"/>
    <w:rsid w:val="007B3BFE"/>
    <w:rsid w:val="007B3CB6"/>
    <w:rsid w:val="007B3CDA"/>
    <w:rsid w:val="007B414C"/>
    <w:rsid w:val="007B415B"/>
    <w:rsid w:val="007B42BC"/>
    <w:rsid w:val="007B431D"/>
    <w:rsid w:val="007B4418"/>
    <w:rsid w:val="007B44E8"/>
    <w:rsid w:val="007B45D7"/>
    <w:rsid w:val="007B469A"/>
    <w:rsid w:val="007B4969"/>
    <w:rsid w:val="007B4AB7"/>
    <w:rsid w:val="007B4B48"/>
    <w:rsid w:val="007B4DA3"/>
    <w:rsid w:val="007B510F"/>
    <w:rsid w:val="007B5125"/>
    <w:rsid w:val="007B5160"/>
    <w:rsid w:val="007B5205"/>
    <w:rsid w:val="007B525C"/>
    <w:rsid w:val="007B52EC"/>
    <w:rsid w:val="007B548F"/>
    <w:rsid w:val="007B576D"/>
    <w:rsid w:val="007B5885"/>
    <w:rsid w:val="007B58EB"/>
    <w:rsid w:val="007B5919"/>
    <w:rsid w:val="007B5BC5"/>
    <w:rsid w:val="007B5D06"/>
    <w:rsid w:val="007B5FAC"/>
    <w:rsid w:val="007B60B7"/>
    <w:rsid w:val="007B62D2"/>
    <w:rsid w:val="007B63D4"/>
    <w:rsid w:val="007B6598"/>
    <w:rsid w:val="007B65F3"/>
    <w:rsid w:val="007B68F3"/>
    <w:rsid w:val="007B6B5E"/>
    <w:rsid w:val="007B6BF0"/>
    <w:rsid w:val="007B6CF4"/>
    <w:rsid w:val="007B6DD7"/>
    <w:rsid w:val="007B6EFF"/>
    <w:rsid w:val="007B6F56"/>
    <w:rsid w:val="007B7050"/>
    <w:rsid w:val="007B70F9"/>
    <w:rsid w:val="007B71BB"/>
    <w:rsid w:val="007B7209"/>
    <w:rsid w:val="007B721A"/>
    <w:rsid w:val="007B7842"/>
    <w:rsid w:val="007B7BCF"/>
    <w:rsid w:val="007B7C95"/>
    <w:rsid w:val="007B7CC7"/>
    <w:rsid w:val="007B7DF0"/>
    <w:rsid w:val="007C0002"/>
    <w:rsid w:val="007C03A3"/>
    <w:rsid w:val="007C05B3"/>
    <w:rsid w:val="007C0A01"/>
    <w:rsid w:val="007C0A4B"/>
    <w:rsid w:val="007C0CA6"/>
    <w:rsid w:val="007C1019"/>
    <w:rsid w:val="007C11D1"/>
    <w:rsid w:val="007C131E"/>
    <w:rsid w:val="007C1420"/>
    <w:rsid w:val="007C155A"/>
    <w:rsid w:val="007C163B"/>
    <w:rsid w:val="007C16BA"/>
    <w:rsid w:val="007C1789"/>
    <w:rsid w:val="007C190C"/>
    <w:rsid w:val="007C190E"/>
    <w:rsid w:val="007C19B7"/>
    <w:rsid w:val="007C1A59"/>
    <w:rsid w:val="007C1BCD"/>
    <w:rsid w:val="007C1D26"/>
    <w:rsid w:val="007C1E0E"/>
    <w:rsid w:val="007C1E21"/>
    <w:rsid w:val="007C1EAD"/>
    <w:rsid w:val="007C1F60"/>
    <w:rsid w:val="007C1FE5"/>
    <w:rsid w:val="007C1FEE"/>
    <w:rsid w:val="007C2155"/>
    <w:rsid w:val="007C223A"/>
    <w:rsid w:val="007C2268"/>
    <w:rsid w:val="007C22C6"/>
    <w:rsid w:val="007C238E"/>
    <w:rsid w:val="007C23F1"/>
    <w:rsid w:val="007C24F3"/>
    <w:rsid w:val="007C266E"/>
    <w:rsid w:val="007C2769"/>
    <w:rsid w:val="007C29DB"/>
    <w:rsid w:val="007C2A75"/>
    <w:rsid w:val="007C2E2C"/>
    <w:rsid w:val="007C2F11"/>
    <w:rsid w:val="007C31C2"/>
    <w:rsid w:val="007C31FA"/>
    <w:rsid w:val="007C351C"/>
    <w:rsid w:val="007C36A4"/>
    <w:rsid w:val="007C3A0C"/>
    <w:rsid w:val="007C3A19"/>
    <w:rsid w:val="007C3AB6"/>
    <w:rsid w:val="007C3D2C"/>
    <w:rsid w:val="007C3DDB"/>
    <w:rsid w:val="007C3EDB"/>
    <w:rsid w:val="007C4830"/>
    <w:rsid w:val="007C4B7B"/>
    <w:rsid w:val="007C4BE9"/>
    <w:rsid w:val="007C4BF7"/>
    <w:rsid w:val="007C4E05"/>
    <w:rsid w:val="007C4E7F"/>
    <w:rsid w:val="007C506D"/>
    <w:rsid w:val="007C5124"/>
    <w:rsid w:val="007C523D"/>
    <w:rsid w:val="007C52CE"/>
    <w:rsid w:val="007C5344"/>
    <w:rsid w:val="007C540C"/>
    <w:rsid w:val="007C54ED"/>
    <w:rsid w:val="007C5789"/>
    <w:rsid w:val="007C5956"/>
    <w:rsid w:val="007C5A07"/>
    <w:rsid w:val="007C5B4B"/>
    <w:rsid w:val="007C5C9E"/>
    <w:rsid w:val="007C5EE4"/>
    <w:rsid w:val="007C5F0B"/>
    <w:rsid w:val="007C60A0"/>
    <w:rsid w:val="007C6107"/>
    <w:rsid w:val="007C6258"/>
    <w:rsid w:val="007C626F"/>
    <w:rsid w:val="007C6278"/>
    <w:rsid w:val="007C640B"/>
    <w:rsid w:val="007C6418"/>
    <w:rsid w:val="007C6708"/>
    <w:rsid w:val="007C6783"/>
    <w:rsid w:val="007C6850"/>
    <w:rsid w:val="007C68A0"/>
    <w:rsid w:val="007C6A4F"/>
    <w:rsid w:val="007C6DA3"/>
    <w:rsid w:val="007C703D"/>
    <w:rsid w:val="007C70AF"/>
    <w:rsid w:val="007C76CC"/>
    <w:rsid w:val="007C778B"/>
    <w:rsid w:val="007C778C"/>
    <w:rsid w:val="007C77CF"/>
    <w:rsid w:val="007C79DD"/>
    <w:rsid w:val="007C7F3C"/>
    <w:rsid w:val="007CB32D"/>
    <w:rsid w:val="007D0177"/>
    <w:rsid w:val="007D03FB"/>
    <w:rsid w:val="007D045C"/>
    <w:rsid w:val="007D0686"/>
    <w:rsid w:val="007D068F"/>
    <w:rsid w:val="007D078F"/>
    <w:rsid w:val="007D0796"/>
    <w:rsid w:val="007D0866"/>
    <w:rsid w:val="007D08D4"/>
    <w:rsid w:val="007D0A45"/>
    <w:rsid w:val="007D0AB5"/>
    <w:rsid w:val="007D0AFF"/>
    <w:rsid w:val="007D0C7E"/>
    <w:rsid w:val="007D0D22"/>
    <w:rsid w:val="007D0D2E"/>
    <w:rsid w:val="007D0E08"/>
    <w:rsid w:val="007D0E2F"/>
    <w:rsid w:val="007D10D1"/>
    <w:rsid w:val="007D1139"/>
    <w:rsid w:val="007D1337"/>
    <w:rsid w:val="007D1492"/>
    <w:rsid w:val="007D1685"/>
    <w:rsid w:val="007D1701"/>
    <w:rsid w:val="007D1D08"/>
    <w:rsid w:val="007D1DC8"/>
    <w:rsid w:val="007D22AE"/>
    <w:rsid w:val="007D247A"/>
    <w:rsid w:val="007D294F"/>
    <w:rsid w:val="007D2B70"/>
    <w:rsid w:val="007D2BD6"/>
    <w:rsid w:val="007D2CB1"/>
    <w:rsid w:val="007D2DA7"/>
    <w:rsid w:val="007D2EAE"/>
    <w:rsid w:val="007D32FF"/>
    <w:rsid w:val="007D33F1"/>
    <w:rsid w:val="007D3426"/>
    <w:rsid w:val="007D35BF"/>
    <w:rsid w:val="007D3639"/>
    <w:rsid w:val="007D3667"/>
    <w:rsid w:val="007D3CF9"/>
    <w:rsid w:val="007D3FBC"/>
    <w:rsid w:val="007D4006"/>
    <w:rsid w:val="007D407B"/>
    <w:rsid w:val="007D42E5"/>
    <w:rsid w:val="007D44E5"/>
    <w:rsid w:val="007D44F3"/>
    <w:rsid w:val="007D4543"/>
    <w:rsid w:val="007D47A2"/>
    <w:rsid w:val="007D487C"/>
    <w:rsid w:val="007D48C7"/>
    <w:rsid w:val="007D4A8E"/>
    <w:rsid w:val="007D4C20"/>
    <w:rsid w:val="007D4D1A"/>
    <w:rsid w:val="007D4E98"/>
    <w:rsid w:val="007D4EA7"/>
    <w:rsid w:val="007D5170"/>
    <w:rsid w:val="007D5220"/>
    <w:rsid w:val="007D5464"/>
    <w:rsid w:val="007D567C"/>
    <w:rsid w:val="007D5773"/>
    <w:rsid w:val="007D5805"/>
    <w:rsid w:val="007D5A12"/>
    <w:rsid w:val="007D5A68"/>
    <w:rsid w:val="007D5C18"/>
    <w:rsid w:val="007D5DB4"/>
    <w:rsid w:val="007D624D"/>
    <w:rsid w:val="007D62D3"/>
    <w:rsid w:val="007D63F7"/>
    <w:rsid w:val="007D63FD"/>
    <w:rsid w:val="007D663B"/>
    <w:rsid w:val="007D68B1"/>
    <w:rsid w:val="007D69E1"/>
    <w:rsid w:val="007D6D81"/>
    <w:rsid w:val="007D6D8D"/>
    <w:rsid w:val="007D6DEE"/>
    <w:rsid w:val="007D6EF0"/>
    <w:rsid w:val="007D71A1"/>
    <w:rsid w:val="007D71B2"/>
    <w:rsid w:val="007D7628"/>
    <w:rsid w:val="007D78F8"/>
    <w:rsid w:val="007D7B30"/>
    <w:rsid w:val="007D7B32"/>
    <w:rsid w:val="007D7CAC"/>
    <w:rsid w:val="007E058A"/>
    <w:rsid w:val="007E0845"/>
    <w:rsid w:val="007E09CF"/>
    <w:rsid w:val="007E0A79"/>
    <w:rsid w:val="007E0B88"/>
    <w:rsid w:val="007E0F45"/>
    <w:rsid w:val="007E0FBB"/>
    <w:rsid w:val="007E115B"/>
    <w:rsid w:val="007E13B5"/>
    <w:rsid w:val="007E152B"/>
    <w:rsid w:val="007E15DF"/>
    <w:rsid w:val="007E19A9"/>
    <w:rsid w:val="007E19FF"/>
    <w:rsid w:val="007E1B78"/>
    <w:rsid w:val="007E1B8D"/>
    <w:rsid w:val="007E1C07"/>
    <w:rsid w:val="007E1D0C"/>
    <w:rsid w:val="007E1D97"/>
    <w:rsid w:val="007E1DE3"/>
    <w:rsid w:val="007E20CD"/>
    <w:rsid w:val="007E20D1"/>
    <w:rsid w:val="007E2142"/>
    <w:rsid w:val="007E21E5"/>
    <w:rsid w:val="007E2263"/>
    <w:rsid w:val="007E2379"/>
    <w:rsid w:val="007E243F"/>
    <w:rsid w:val="007E2535"/>
    <w:rsid w:val="007E27B1"/>
    <w:rsid w:val="007E289D"/>
    <w:rsid w:val="007E299C"/>
    <w:rsid w:val="007E2B99"/>
    <w:rsid w:val="007E2D0F"/>
    <w:rsid w:val="007E2E01"/>
    <w:rsid w:val="007E2E24"/>
    <w:rsid w:val="007E339D"/>
    <w:rsid w:val="007E356B"/>
    <w:rsid w:val="007E3ACA"/>
    <w:rsid w:val="007E3DDB"/>
    <w:rsid w:val="007E3E99"/>
    <w:rsid w:val="007E41C9"/>
    <w:rsid w:val="007E435D"/>
    <w:rsid w:val="007E4374"/>
    <w:rsid w:val="007E43CA"/>
    <w:rsid w:val="007E4575"/>
    <w:rsid w:val="007E467B"/>
    <w:rsid w:val="007E47C7"/>
    <w:rsid w:val="007E47EA"/>
    <w:rsid w:val="007E4846"/>
    <w:rsid w:val="007E48C8"/>
    <w:rsid w:val="007E4C53"/>
    <w:rsid w:val="007E4E84"/>
    <w:rsid w:val="007E520A"/>
    <w:rsid w:val="007E522B"/>
    <w:rsid w:val="007E54CA"/>
    <w:rsid w:val="007E5564"/>
    <w:rsid w:val="007E5A3F"/>
    <w:rsid w:val="007E5AC5"/>
    <w:rsid w:val="007E5D71"/>
    <w:rsid w:val="007E5DB8"/>
    <w:rsid w:val="007E60DB"/>
    <w:rsid w:val="007E63F5"/>
    <w:rsid w:val="007E6681"/>
    <w:rsid w:val="007E6712"/>
    <w:rsid w:val="007E67A5"/>
    <w:rsid w:val="007E6C12"/>
    <w:rsid w:val="007E6C2C"/>
    <w:rsid w:val="007E717A"/>
    <w:rsid w:val="007E774E"/>
    <w:rsid w:val="007E77A6"/>
    <w:rsid w:val="007E78AB"/>
    <w:rsid w:val="007E7920"/>
    <w:rsid w:val="007E7985"/>
    <w:rsid w:val="007E7A9C"/>
    <w:rsid w:val="007E7D1D"/>
    <w:rsid w:val="007E7DC1"/>
    <w:rsid w:val="007E7E20"/>
    <w:rsid w:val="007E7E7F"/>
    <w:rsid w:val="007E7E96"/>
    <w:rsid w:val="007E7FB6"/>
    <w:rsid w:val="007E7FBE"/>
    <w:rsid w:val="007F0114"/>
    <w:rsid w:val="007F0220"/>
    <w:rsid w:val="007F0432"/>
    <w:rsid w:val="007F0441"/>
    <w:rsid w:val="007F0529"/>
    <w:rsid w:val="007F0743"/>
    <w:rsid w:val="007F0849"/>
    <w:rsid w:val="007F0B7F"/>
    <w:rsid w:val="007F0EB7"/>
    <w:rsid w:val="007F0F1E"/>
    <w:rsid w:val="007F0F77"/>
    <w:rsid w:val="007F0F8F"/>
    <w:rsid w:val="007F1017"/>
    <w:rsid w:val="007F12FB"/>
    <w:rsid w:val="007F1413"/>
    <w:rsid w:val="007F1535"/>
    <w:rsid w:val="007F155A"/>
    <w:rsid w:val="007F15D3"/>
    <w:rsid w:val="007F1643"/>
    <w:rsid w:val="007F16FA"/>
    <w:rsid w:val="007F1740"/>
    <w:rsid w:val="007F1764"/>
    <w:rsid w:val="007F1838"/>
    <w:rsid w:val="007F18FC"/>
    <w:rsid w:val="007F1AAB"/>
    <w:rsid w:val="007F1BA5"/>
    <w:rsid w:val="007F1BDC"/>
    <w:rsid w:val="007F1C9B"/>
    <w:rsid w:val="007F1F49"/>
    <w:rsid w:val="007F209B"/>
    <w:rsid w:val="007F215C"/>
    <w:rsid w:val="007F2182"/>
    <w:rsid w:val="007F2A0E"/>
    <w:rsid w:val="007F2B44"/>
    <w:rsid w:val="007F2D56"/>
    <w:rsid w:val="007F2DA8"/>
    <w:rsid w:val="007F353F"/>
    <w:rsid w:val="007F3559"/>
    <w:rsid w:val="007F37E1"/>
    <w:rsid w:val="007F383B"/>
    <w:rsid w:val="007F3BA1"/>
    <w:rsid w:val="007F42B2"/>
    <w:rsid w:val="007F4348"/>
    <w:rsid w:val="007F457C"/>
    <w:rsid w:val="007F45A3"/>
    <w:rsid w:val="007F46F1"/>
    <w:rsid w:val="007F46F7"/>
    <w:rsid w:val="007F47A0"/>
    <w:rsid w:val="007F4867"/>
    <w:rsid w:val="007F48F2"/>
    <w:rsid w:val="007F4BAA"/>
    <w:rsid w:val="007F4E88"/>
    <w:rsid w:val="007F4ECD"/>
    <w:rsid w:val="007F5030"/>
    <w:rsid w:val="007F5054"/>
    <w:rsid w:val="007F50B0"/>
    <w:rsid w:val="007F513D"/>
    <w:rsid w:val="007F519E"/>
    <w:rsid w:val="007F545C"/>
    <w:rsid w:val="007F54AD"/>
    <w:rsid w:val="007F54CA"/>
    <w:rsid w:val="007F5581"/>
    <w:rsid w:val="007F5583"/>
    <w:rsid w:val="007F5666"/>
    <w:rsid w:val="007F58A3"/>
    <w:rsid w:val="007F5933"/>
    <w:rsid w:val="007F5943"/>
    <w:rsid w:val="007F5B01"/>
    <w:rsid w:val="007F5BAD"/>
    <w:rsid w:val="007F5BBF"/>
    <w:rsid w:val="007F5F47"/>
    <w:rsid w:val="007F5FBC"/>
    <w:rsid w:val="007F603E"/>
    <w:rsid w:val="007F61F3"/>
    <w:rsid w:val="007F63EB"/>
    <w:rsid w:val="007F6B50"/>
    <w:rsid w:val="007F6C14"/>
    <w:rsid w:val="007F6DF7"/>
    <w:rsid w:val="007F6FD3"/>
    <w:rsid w:val="007F70D7"/>
    <w:rsid w:val="007F7246"/>
    <w:rsid w:val="007F7365"/>
    <w:rsid w:val="007F7457"/>
    <w:rsid w:val="007F7581"/>
    <w:rsid w:val="007F772E"/>
    <w:rsid w:val="007F78B4"/>
    <w:rsid w:val="007F7B16"/>
    <w:rsid w:val="007F7C13"/>
    <w:rsid w:val="007F7D5F"/>
    <w:rsid w:val="007F7EAA"/>
    <w:rsid w:val="007F7EDF"/>
    <w:rsid w:val="0080033D"/>
    <w:rsid w:val="00800382"/>
    <w:rsid w:val="00800488"/>
    <w:rsid w:val="008004C3"/>
    <w:rsid w:val="008004E9"/>
    <w:rsid w:val="00800560"/>
    <w:rsid w:val="008006B8"/>
    <w:rsid w:val="00800B72"/>
    <w:rsid w:val="00800CAA"/>
    <w:rsid w:val="00800CBF"/>
    <w:rsid w:val="00800EC7"/>
    <w:rsid w:val="00800FD2"/>
    <w:rsid w:val="00801105"/>
    <w:rsid w:val="00801227"/>
    <w:rsid w:val="00801341"/>
    <w:rsid w:val="00801849"/>
    <w:rsid w:val="00801977"/>
    <w:rsid w:val="008019C4"/>
    <w:rsid w:val="00801C2C"/>
    <w:rsid w:val="0080216E"/>
    <w:rsid w:val="008022A7"/>
    <w:rsid w:val="008022F9"/>
    <w:rsid w:val="008023C5"/>
    <w:rsid w:val="0080258E"/>
    <w:rsid w:val="00802780"/>
    <w:rsid w:val="0080281A"/>
    <w:rsid w:val="0080286E"/>
    <w:rsid w:val="00802938"/>
    <w:rsid w:val="00802B09"/>
    <w:rsid w:val="00802B5F"/>
    <w:rsid w:val="00802C8E"/>
    <w:rsid w:val="00802D8C"/>
    <w:rsid w:val="00802DEB"/>
    <w:rsid w:val="00802FC1"/>
    <w:rsid w:val="00803081"/>
    <w:rsid w:val="00803500"/>
    <w:rsid w:val="008037B8"/>
    <w:rsid w:val="00803C4A"/>
    <w:rsid w:val="00803D19"/>
    <w:rsid w:val="00803D9F"/>
    <w:rsid w:val="00803EA7"/>
    <w:rsid w:val="00804206"/>
    <w:rsid w:val="0080429E"/>
    <w:rsid w:val="008043DA"/>
    <w:rsid w:val="0080447A"/>
    <w:rsid w:val="0080472A"/>
    <w:rsid w:val="008049BB"/>
    <w:rsid w:val="00804B40"/>
    <w:rsid w:val="00804C9D"/>
    <w:rsid w:val="00804DCA"/>
    <w:rsid w:val="00804DD9"/>
    <w:rsid w:val="00804FE2"/>
    <w:rsid w:val="00805009"/>
    <w:rsid w:val="00805065"/>
    <w:rsid w:val="008050F8"/>
    <w:rsid w:val="008055F4"/>
    <w:rsid w:val="00805B6A"/>
    <w:rsid w:val="00805F9D"/>
    <w:rsid w:val="00805FF6"/>
    <w:rsid w:val="00806085"/>
    <w:rsid w:val="00806339"/>
    <w:rsid w:val="00806982"/>
    <w:rsid w:val="00806A36"/>
    <w:rsid w:val="00806BAC"/>
    <w:rsid w:val="00807112"/>
    <w:rsid w:val="00807368"/>
    <w:rsid w:val="008075D5"/>
    <w:rsid w:val="00807D50"/>
    <w:rsid w:val="00807DCE"/>
    <w:rsid w:val="00807EB8"/>
    <w:rsid w:val="00807EDB"/>
    <w:rsid w:val="00807F3E"/>
    <w:rsid w:val="008101D8"/>
    <w:rsid w:val="0081035F"/>
    <w:rsid w:val="0081050B"/>
    <w:rsid w:val="008107D1"/>
    <w:rsid w:val="008108D3"/>
    <w:rsid w:val="008108D5"/>
    <w:rsid w:val="00810906"/>
    <w:rsid w:val="00810960"/>
    <w:rsid w:val="008109A0"/>
    <w:rsid w:val="00810D6A"/>
    <w:rsid w:val="00810DEA"/>
    <w:rsid w:val="008112F5"/>
    <w:rsid w:val="0081144A"/>
    <w:rsid w:val="0081166A"/>
    <w:rsid w:val="008116C6"/>
    <w:rsid w:val="00811783"/>
    <w:rsid w:val="008119EC"/>
    <w:rsid w:val="00811B03"/>
    <w:rsid w:val="00811D14"/>
    <w:rsid w:val="00811D75"/>
    <w:rsid w:val="00812297"/>
    <w:rsid w:val="008122B7"/>
    <w:rsid w:val="00812651"/>
    <w:rsid w:val="0081267A"/>
    <w:rsid w:val="008126C2"/>
    <w:rsid w:val="0081282F"/>
    <w:rsid w:val="008129F2"/>
    <w:rsid w:val="00812B4D"/>
    <w:rsid w:val="00812C90"/>
    <w:rsid w:val="00812F24"/>
    <w:rsid w:val="00812F8F"/>
    <w:rsid w:val="00813121"/>
    <w:rsid w:val="0081326D"/>
    <w:rsid w:val="008133C6"/>
    <w:rsid w:val="008137EE"/>
    <w:rsid w:val="008139EF"/>
    <w:rsid w:val="00813A11"/>
    <w:rsid w:val="00813C21"/>
    <w:rsid w:val="00813D8B"/>
    <w:rsid w:val="00813E83"/>
    <w:rsid w:val="00813EA5"/>
    <w:rsid w:val="00814160"/>
    <w:rsid w:val="00814558"/>
    <w:rsid w:val="00814C14"/>
    <w:rsid w:val="00814C63"/>
    <w:rsid w:val="00814C6F"/>
    <w:rsid w:val="00814DFE"/>
    <w:rsid w:val="00814E72"/>
    <w:rsid w:val="00814F0B"/>
    <w:rsid w:val="00815281"/>
    <w:rsid w:val="00815488"/>
    <w:rsid w:val="00815535"/>
    <w:rsid w:val="00815D2A"/>
    <w:rsid w:val="00815FE0"/>
    <w:rsid w:val="00815FEB"/>
    <w:rsid w:val="008161FE"/>
    <w:rsid w:val="00816650"/>
    <w:rsid w:val="00816CED"/>
    <w:rsid w:val="00816D2D"/>
    <w:rsid w:val="00816DE1"/>
    <w:rsid w:val="008171A5"/>
    <w:rsid w:val="00817305"/>
    <w:rsid w:val="00817525"/>
    <w:rsid w:val="0081757F"/>
    <w:rsid w:val="0081761D"/>
    <w:rsid w:val="008177F3"/>
    <w:rsid w:val="008178D0"/>
    <w:rsid w:val="00817958"/>
    <w:rsid w:val="00817B4A"/>
    <w:rsid w:val="00817B4C"/>
    <w:rsid w:val="00817B95"/>
    <w:rsid w:val="00817BE3"/>
    <w:rsid w:val="00817C0A"/>
    <w:rsid w:val="00817ECC"/>
    <w:rsid w:val="00817FF3"/>
    <w:rsid w:val="00820088"/>
    <w:rsid w:val="00820217"/>
    <w:rsid w:val="00820329"/>
    <w:rsid w:val="00820464"/>
    <w:rsid w:val="0082049C"/>
    <w:rsid w:val="00820568"/>
    <w:rsid w:val="00820578"/>
    <w:rsid w:val="0082067F"/>
    <w:rsid w:val="008207A8"/>
    <w:rsid w:val="00820A4F"/>
    <w:rsid w:val="00820C12"/>
    <w:rsid w:val="00820D40"/>
    <w:rsid w:val="008211A7"/>
    <w:rsid w:val="008212F6"/>
    <w:rsid w:val="0082147C"/>
    <w:rsid w:val="008215CA"/>
    <w:rsid w:val="00821696"/>
    <w:rsid w:val="00821742"/>
    <w:rsid w:val="008219A8"/>
    <w:rsid w:val="00821C38"/>
    <w:rsid w:val="00821D8A"/>
    <w:rsid w:val="00821E32"/>
    <w:rsid w:val="00821E3E"/>
    <w:rsid w:val="00821EF1"/>
    <w:rsid w:val="00822053"/>
    <w:rsid w:val="00822179"/>
    <w:rsid w:val="00822240"/>
    <w:rsid w:val="008223AD"/>
    <w:rsid w:val="00822499"/>
    <w:rsid w:val="008224BE"/>
    <w:rsid w:val="008224F6"/>
    <w:rsid w:val="008228D4"/>
    <w:rsid w:val="00822AA5"/>
    <w:rsid w:val="00822B09"/>
    <w:rsid w:val="00822C7E"/>
    <w:rsid w:val="00822D77"/>
    <w:rsid w:val="00822E63"/>
    <w:rsid w:val="00822EDA"/>
    <w:rsid w:val="00822F8B"/>
    <w:rsid w:val="00823155"/>
    <w:rsid w:val="0082333C"/>
    <w:rsid w:val="00823878"/>
    <w:rsid w:val="00823BDD"/>
    <w:rsid w:val="00823DDF"/>
    <w:rsid w:val="00824115"/>
    <w:rsid w:val="008241A4"/>
    <w:rsid w:val="00824243"/>
    <w:rsid w:val="00824305"/>
    <w:rsid w:val="008243D3"/>
    <w:rsid w:val="00824442"/>
    <w:rsid w:val="00824519"/>
    <w:rsid w:val="008245DE"/>
    <w:rsid w:val="008246A8"/>
    <w:rsid w:val="008248D0"/>
    <w:rsid w:val="00824BF2"/>
    <w:rsid w:val="00824C36"/>
    <w:rsid w:val="00824DE4"/>
    <w:rsid w:val="00825036"/>
    <w:rsid w:val="00825100"/>
    <w:rsid w:val="008253CF"/>
    <w:rsid w:val="0082580D"/>
    <w:rsid w:val="00825840"/>
    <w:rsid w:val="00825882"/>
    <w:rsid w:val="00825BB3"/>
    <w:rsid w:val="00825BC1"/>
    <w:rsid w:val="00825BC7"/>
    <w:rsid w:val="00825C7E"/>
    <w:rsid w:val="00825CE4"/>
    <w:rsid w:val="00825F2E"/>
    <w:rsid w:val="00825F60"/>
    <w:rsid w:val="00825FB9"/>
    <w:rsid w:val="0082603D"/>
    <w:rsid w:val="008261DB"/>
    <w:rsid w:val="0082628E"/>
    <w:rsid w:val="008262B8"/>
    <w:rsid w:val="008262CA"/>
    <w:rsid w:val="00826392"/>
    <w:rsid w:val="0082665E"/>
    <w:rsid w:val="008266FE"/>
    <w:rsid w:val="00826A1E"/>
    <w:rsid w:val="00826A37"/>
    <w:rsid w:val="00826DA4"/>
    <w:rsid w:val="00826E99"/>
    <w:rsid w:val="00827106"/>
    <w:rsid w:val="00827514"/>
    <w:rsid w:val="0082753D"/>
    <w:rsid w:val="008276B2"/>
    <w:rsid w:val="0082770B"/>
    <w:rsid w:val="008277DD"/>
    <w:rsid w:val="00827960"/>
    <w:rsid w:val="00827AD5"/>
    <w:rsid w:val="00830019"/>
    <w:rsid w:val="0083028F"/>
    <w:rsid w:val="00830294"/>
    <w:rsid w:val="0083042E"/>
    <w:rsid w:val="0083056E"/>
    <w:rsid w:val="008307C2"/>
    <w:rsid w:val="008309EA"/>
    <w:rsid w:val="0083142A"/>
    <w:rsid w:val="008314F4"/>
    <w:rsid w:val="008316D7"/>
    <w:rsid w:val="00831BB3"/>
    <w:rsid w:val="00831D3E"/>
    <w:rsid w:val="00831E18"/>
    <w:rsid w:val="00831F55"/>
    <w:rsid w:val="00831FEA"/>
    <w:rsid w:val="00832093"/>
    <w:rsid w:val="008323B3"/>
    <w:rsid w:val="0083245B"/>
    <w:rsid w:val="008326A9"/>
    <w:rsid w:val="008329C9"/>
    <w:rsid w:val="00832C43"/>
    <w:rsid w:val="00832D58"/>
    <w:rsid w:val="00832E8F"/>
    <w:rsid w:val="00832ED2"/>
    <w:rsid w:val="008330A1"/>
    <w:rsid w:val="00833239"/>
    <w:rsid w:val="008334D9"/>
    <w:rsid w:val="0083351B"/>
    <w:rsid w:val="008336F8"/>
    <w:rsid w:val="00833A41"/>
    <w:rsid w:val="00833A99"/>
    <w:rsid w:val="00833AAD"/>
    <w:rsid w:val="00833CF3"/>
    <w:rsid w:val="00833E58"/>
    <w:rsid w:val="00833E7C"/>
    <w:rsid w:val="00833F97"/>
    <w:rsid w:val="00834130"/>
    <w:rsid w:val="00834217"/>
    <w:rsid w:val="008342A6"/>
    <w:rsid w:val="008347A5"/>
    <w:rsid w:val="00834958"/>
    <w:rsid w:val="008349B7"/>
    <w:rsid w:val="00834B13"/>
    <w:rsid w:val="00834CE3"/>
    <w:rsid w:val="00834E5A"/>
    <w:rsid w:val="00834E77"/>
    <w:rsid w:val="008350EB"/>
    <w:rsid w:val="00835181"/>
    <w:rsid w:val="00835195"/>
    <w:rsid w:val="00835290"/>
    <w:rsid w:val="00835325"/>
    <w:rsid w:val="008356D0"/>
    <w:rsid w:val="00835773"/>
    <w:rsid w:val="008358E3"/>
    <w:rsid w:val="008359E0"/>
    <w:rsid w:val="00835B1B"/>
    <w:rsid w:val="00835D7B"/>
    <w:rsid w:val="00835DC2"/>
    <w:rsid w:val="008361F7"/>
    <w:rsid w:val="00836929"/>
    <w:rsid w:val="00836B0B"/>
    <w:rsid w:val="00836CAE"/>
    <w:rsid w:val="00836D04"/>
    <w:rsid w:val="00836D51"/>
    <w:rsid w:val="00836D7E"/>
    <w:rsid w:val="00836E01"/>
    <w:rsid w:val="00836FAC"/>
    <w:rsid w:val="008371C2"/>
    <w:rsid w:val="0083730A"/>
    <w:rsid w:val="00837397"/>
    <w:rsid w:val="00837446"/>
    <w:rsid w:val="00837452"/>
    <w:rsid w:val="00837658"/>
    <w:rsid w:val="0083776A"/>
    <w:rsid w:val="0083779E"/>
    <w:rsid w:val="00837837"/>
    <w:rsid w:val="008378BE"/>
    <w:rsid w:val="008379DA"/>
    <w:rsid w:val="00837AB2"/>
    <w:rsid w:val="00837C71"/>
    <w:rsid w:val="00837FD7"/>
    <w:rsid w:val="00840064"/>
    <w:rsid w:val="008400C2"/>
    <w:rsid w:val="0084013A"/>
    <w:rsid w:val="00840846"/>
    <w:rsid w:val="0084088B"/>
    <w:rsid w:val="0084093B"/>
    <w:rsid w:val="008409C9"/>
    <w:rsid w:val="00840AAB"/>
    <w:rsid w:val="00840AB8"/>
    <w:rsid w:val="00840C69"/>
    <w:rsid w:val="00840DF4"/>
    <w:rsid w:val="00840E22"/>
    <w:rsid w:val="00841328"/>
    <w:rsid w:val="008413C1"/>
    <w:rsid w:val="00841416"/>
    <w:rsid w:val="008414D4"/>
    <w:rsid w:val="0084160E"/>
    <w:rsid w:val="00841CFF"/>
    <w:rsid w:val="008420A2"/>
    <w:rsid w:val="008420D0"/>
    <w:rsid w:val="008420E5"/>
    <w:rsid w:val="008423C6"/>
    <w:rsid w:val="00842570"/>
    <w:rsid w:val="00842614"/>
    <w:rsid w:val="0084265F"/>
    <w:rsid w:val="00842A1D"/>
    <w:rsid w:val="00842B1F"/>
    <w:rsid w:val="00842B29"/>
    <w:rsid w:val="00842C16"/>
    <w:rsid w:val="00842D40"/>
    <w:rsid w:val="00842DD0"/>
    <w:rsid w:val="008432CD"/>
    <w:rsid w:val="00843504"/>
    <w:rsid w:val="00843706"/>
    <w:rsid w:val="00843E9D"/>
    <w:rsid w:val="00844303"/>
    <w:rsid w:val="0084448E"/>
    <w:rsid w:val="008448AB"/>
    <w:rsid w:val="008448C4"/>
    <w:rsid w:val="00844B82"/>
    <w:rsid w:val="00844C87"/>
    <w:rsid w:val="00844D92"/>
    <w:rsid w:val="00844E67"/>
    <w:rsid w:val="00844F91"/>
    <w:rsid w:val="00844FD3"/>
    <w:rsid w:val="00845144"/>
    <w:rsid w:val="00845212"/>
    <w:rsid w:val="008453AA"/>
    <w:rsid w:val="008454FE"/>
    <w:rsid w:val="008456DE"/>
    <w:rsid w:val="00845842"/>
    <w:rsid w:val="008459D0"/>
    <w:rsid w:val="008459EB"/>
    <w:rsid w:val="00845AF5"/>
    <w:rsid w:val="00845D4D"/>
    <w:rsid w:val="00845F2F"/>
    <w:rsid w:val="00845F5D"/>
    <w:rsid w:val="00845F8B"/>
    <w:rsid w:val="008461FE"/>
    <w:rsid w:val="008462A0"/>
    <w:rsid w:val="008462E8"/>
    <w:rsid w:val="00846307"/>
    <w:rsid w:val="0084651C"/>
    <w:rsid w:val="00846850"/>
    <w:rsid w:val="00846852"/>
    <w:rsid w:val="0084689E"/>
    <w:rsid w:val="00846AA9"/>
    <w:rsid w:val="00846D6A"/>
    <w:rsid w:val="00846E71"/>
    <w:rsid w:val="008470AC"/>
    <w:rsid w:val="00847104"/>
    <w:rsid w:val="008472A9"/>
    <w:rsid w:val="008473A4"/>
    <w:rsid w:val="008473D5"/>
    <w:rsid w:val="008473E7"/>
    <w:rsid w:val="008473EA"/>
    <w:rsid w:val="00847441"/>
    <w:rsid w:val="00847479"/>
    <w:rsid w:val="0084783D"/>
    <w:rsid w:val="00847A2D"/>
    <w:rsid w:val="00847BA3"/>
    <w:rsid w:val="00847D55"/>
    <w:rsid w:val="00847DE1"/>
    <w:rsid w:val="00847DEB"/>
    <w:rsid w:val="00847EE3"/>
    <w:rsid w:val="00850147"/>
    <w:rsid w:val="008501AF"/>
    <w:rsid w:val="0085020F"/>
    <w:rsid w:val="008507A0"/>
    <w:rsid w:val="00850880"/>
    <w:rsid w:val="00850946"/>
    <w:rsid w:val="00850B63"/>
    <w:rsid w:val="00850BF8"/>
    <w:rsid w:val="00850C96"/>
    <w:rsid w:val="00850DE5"/>
    <w:rsid w:val="0085109B"/>
    <w:rsid w:val="00851191"/>
    <w:rsid w:val="008511E9"/>
    <w:rsid w:val="0085133C"/>
    <w:rsid w:val="0085142E"/>
    <w:rsid w:val="008514A7"/>
    <w:rsid w:val="008515FF"/>
    <w:rsid w:val="0085180F"/>
    <w:rsid w:val="00851928"/>
    <w:rsid w:val="00851C8E"/>
    <w:rsid w:val="00851E90"/>
    <w:rsid w:val="0085216F"/>
    <w:rsid w:val="008522A2"/>
    <w:rsid w:val="00852603"/>
    <w:rsid w:val="0085278F"/>
    <w:rsid w:val="00852868"/>
    <w:rsid w:val="0085287D"/>
    <w:rsid w:val="00852BD5"/>
    <w:rsid w:val="00852C03"/>
    <w:rsid w:val="00852D63"/>
    <w:rsid w:val="00852F5A"/>
    <w:rsid w:val="00852F6E"/>
    <w:rsid w:val="00852FEF"/>
    <w:rsid w:val="008530CD"/>
    <w:rsid w:val="0085320B"/>
    <w:rsid w:val="0085329F"/>
    <w:rsid w:val="008532DA"/>
    <w:rsid w:val="00853316"/>
    <w:rsid w:val="00853323"/>
    <w:rsid w:val="008536E9"/>
    <w:rsid w:val="00853829"/>
    <w:rsid w:val="00853B62"/>
    <w:rsid w:val="00853CC9"/>
    <w:rsid w:val="00854057"/>
    <w:rsid w:val="00854341"/>
    <w:rsid w:val="00854354"/>
    <w:rsid w:val="0085438A"/>
    <w:rsid w:val="00854425"/>
    <w:rsid w:val="008544E1"/>
    <w:rsid w:val="008545E8"/>
    <w:rsid w:val="008547A2"/>
    <w:rsid w:val="008549CA"/>
    <w:rsid w:val="00854A5F"/>
    <w:rsid w:val="00854A7D"/>
    <w:rsid w:val="00854B44"/>
    <w:rsid w:val="00854E21"/>
    <w:rsid w:val="00854E34"/>
    <w:rsid w:val="0085503C"/>
    <w:rsid w:val="008552E0"/>
    <w:rsid w:val="008554EC"/>
    <w:rsid w:val="008556B1"/>
    <w:rsid w:val="0085578C"/>
    <w:rsid w:val="008559B6"/>
    <w:rsid w:val="00855BB5"/>
    <w:rsid w:val="00855C11"/>
    <w:rsid w:val="008560DE"/>
    <w:rsid w:val="00856191"/>
    <w:rsid w:val="008562E8"/>
    <w:rsid w:val="00856336"/>
    <w:rsid w:val="00856397"/>
    <w:rsid w:val="008564D7"/>
    <w:rsid w:val="008566BC"/>
    <w:rsid w:val="00856769"/>
    <w:rsid w:val="00856996"/>
    <w:rsid w:val="00856AFD"/>
    <w:rsid w:val="00856B5B"/>
    <w:rsid w:val="00856B7C"/>
    <w:rsid w:val="00856BAC"/>
    <w:rsid w:val="00856FAB"/>
    <w:rsid w:val="00856FB4"/>
    <w:rsid w:val="008570A9"/>
    <w:rsid w:val="00857212"/>
    <w:rsid w:val="0085759A"/>
    <w:rsid w:val="00857830"/>
    <w:rsid w:val="00857A03"/>
    <w:rsid w:val="00857FEA"/>
    <w:rsid w:val="00860104"/>
    <w:rsid w:val="008602CB"/>
    <w:rsid w:val="00860474"/>
    <w:rsid w:val="00860549"/>
    <w:rsid w:val="008608F2"/>
    <w:rsid w:val="00860BC4"/>
    <w:rsid w:val="00860FDC"/>
    <w:rsid w:val="0086100E"/>
    <w:rsid w:val="008610C8"/>
    <w:rsid w:val="00861159"/>
    <w:rsid w:val="008611F2"/>
    <w:rsid w:val="00861321"/>
    <w:rsid w:val="00861383"/>
    <w:rsid w:val="0086146B"/>
    <w:rsid w:val="008615DD"/>
    <w:rsid w:val="008617D8"/>
    <w:rsid w:val="008619D8"/>
    <w:rsid w:val="00861B74"/>
    <w:rsid w:val="00861B8D"/>
    <w:rsid w:val="00861D6C"/>
    <w:rsid w:val="00861E68"/>
    <w:rsid w:val="00862078"/>
    <w:rsid w:val="008623AB"/>
    <w:rsid w:val="00862469"/>
    <w:rsid w:val="00862487"/>
    <w:rsid w:val="00862804"/>
    <w:rsid w:val="00862E4E"/>
    <w:rsid w:val="00862EAC"/>
    <w:rsid w:val="00862F82"/>
    <w:rsid w:val="008630D6"/>
    <w:rsid w:val="008630DB"/>
    <w:rsid w:val="008631C7"/>
    <w:rsid w:val="0086335B"/>
    <w:rsid w:val="008633A0"/>
    <w:rsid w:val="00863448"/>
    <w:rsid w:val="008636F5"/>
    <w:rsid w:val="00863720"/>
    <w:rsid w:val="00863794"/>
    <w:rsid w:val="00863889"/>
    <w:rsid w:val="00863A33"/>
    <w:rsid w:val="00863C04"/>
    <w:rsid w:val="00863C98"/>
    <w:rsid w:val="00863E93"/>
    <w:rsid w:val="00864095"/>
    <w:rsid w:val="008644AC"/>
    <w:rsid w:val="008644C9"/>
    <w:rsid w:val="008648C8"/>
    <w:rsid w:val="008649D8"/>
    <w:rsid w:val="00864A81"/>
    <w:rsid w:val="00864AEE"/>
    <w:rsid w:val="00864B5E"/>
    <w:rsid w:val="00864B8A"/>
    <w:rsid w:val="00864B8F"/>
    <w:rsid w:val="00864CC3"/>
    <w:rsid w:val="00864E23"/>
    <w:rsid w:val="00864F48"/>
    <w:rsid w:val="00865478"/>
    <w:rsid w:val="008656A9"/>
    <w:rsid w:val="008657BB"/>
    <w:rsid w:val="00865AF9"/>
    <w:rsid w:val="00865B02"/>
    <w:rsid w:val="00865B2A"/>
    <w:rsid w:val="00865C86"/>
    <w:rsid w:val="00865CE3"/>
    <w:rsid w:val="00865CE8"/>
    <w:rsid w:val="00865CEB"/>
    <w:rsid w:val="00865E95"/>
    <w:rsid w:val="00865F89"/>
    <w:rsid w:val="00866136"/>
    <w:rsid w:val="00866754"/>
    <w:rsid w:val="0086680B"/>
    <w:rsid w:val="00866889"/>
    <w:rsid w:val="00866A45"/>
    <w:rsid w:val="00866BCC"/>
    <w:rsid w:val="00866C8B"/>
    <w:rsid w:val="0086729F"/>
    <w:rsid w:val="0086750B"/>
    <w:rsid w:val="00867710"/>
    <w:rsid w:val="008677F5"/>
    <w:rsid w:val="00867A98"/>
    <w:rsid w:val="00867ACD"/>
    <w:rsid w:val="00867B13"/>
    <w:rsid w:val="00867CC7"/>
    <w:rsid w:val="00867D4E"/>
    <w:rsid w:val="00867F59"/>
    <w:rsid w:val="0086992D"/>
    <w:rsid w:val="0087009E"/>
    <w:rsid w:val="00870173"/>
    <w:rsid w:val="00870350"/>
    <w:rsid w:val="00870377"/>
    <w:rsid w:val="0087054A"/>
    <w:rsid w:val="008707C5"/>
    <w:rsid w:val="00870C1D"/>
    <w:rsid w:val="00870EEF"/>
    <w:rsid w:val="008711EA"/>
    <w:rsid w:val="00871316"/>
    <w:rsid w:val="008714F4"/>
    <w:rsid w:val="0087155D"/>
    <w:rsid w:val="00871563"/>
    <w:rsid w:val="008715FC"/>
    <w:rsid w:val="0087163D"/>
    <w:rsid w:val="00871B75"/>
    <w:rsid w:val="00871BAA"/>
    <w:rsid w:val="00871C30"/>
    <w:rsid w:val="00871D2A"/>
    <w:rsid w:val="00872098"/>
    <w:rsid w:val="008720B5"/>
    <w:rsid w:val="00872677"/>
    <w:rsid w:val="008726B9"/>
    <w:rsid w:val="00872AF5"/>
    <w:rsid w:val="00872B96"/>
    <w:rsid w:val="00872C23"/>
    <w:rsid w:val="00872E10"/>
    <w:rsid w:val="00872E3D"/>
    <w:rsid w:val="00872E76"/>
    <w:rsid w:val="00873191"/>
    <w:rsid w:val="00873214"/>
    <w:rsid w:val="008733C8"/>
    <w:rsid w:val="00873751"/>
    <w:rsid w:val="00873754"/>
    <w:rsid w:val="008737D5"/>
    <w:rsid w:val="00873811"/>
    <w:rsid w:val="0087381A"/>
    <w:rsid w:val="00873895"/>
    <w:rsid w:val="00873912"/>
    <w:rsid w:val="00873944"/>
    <w:rsid w:val="0087399E"/>
    <w:rsid w:val="00873AAE"/>
    <w:rsid w:val="00873C12"/>
    <w:rsid w:val="00873C5F"/>
    <w:rsid w:val="00873DF7"/>
    <w:rsid w:val="00873E69"/>
    <w:rsid w:val="00873F8E"/>
    <w:rsid w:val="00874137"/>
    <w:rsid w:val="008746DE"/>
    <w:rsid w:val="00874F9B"/>
    <w:rsid w:val="008751CB"/>
    <w:rsid w:val="008752DD"/>
    <w:rsid w:val="00875358"/>
    <w:rsid w:val="008753C6"/>
    <w:rsid w:val="00875434"/>
    <w:rsid w:val="008754B3"/>
    <w:rsid w:val="00875639"/>
    <w:rsid w:val="008758DB"/>
    <w:rsid w:val="00875BAC"/>
    <w:rsid w:val="00875C3B"/>
    <w:rsid w:val="00875C6B"/>
    <w:rsid w:val="00875D0D"/>
    <w:rsid w:val="00875F49"/>
    <w:rsid w:val="00876245"/>
    <w:rsid w:val="00876312"/>
    <w:rsid w:val="00876315"/>
    <w:rsid w:val="0087636F"/>
    <w:rsid w:val="00876488"/>
    <w:rsid w:val="00876830"/>
    <w:rsid w:val="00876871"/>
    <w:rsid w:val="008769FE"/>
    <w:rsid w:val="00876A3B"/>
    <w:rsid w:val="00876E3A"/>
    <w:rsid w:val="00877281"/>
    <w:rsid w:val="0087753B"/>
    <w:rsid w:val="00877820"/>
    <w:rsid w:val="008778F7"/>
    <w:rsid w:val="00877966"/>
    <w:rsid w:val="008779B5"/>
    <w:rsid w:val="00877B9F"/>
    <w:rsid w:val="00877C06"/>
    <w:rsid w:val="00877C29"/>
    <w:rsid w:val="00877C4D"/>
    <w:rsid w:val="00877DB3"/>
    <w:rsid w:val="00877ECB"/>
    <w:rsid w:val="00880056"/>
    <w:rsid w:val="008804AB"/>
    <w:rsid w:val="008805A6"/>
    <w:rsid w:val="00880672"/>
    <w:rsid w:val="008806DD"/>
    <w:rsid w:val="00880882"/>
    <w:rsid w:val="008809D4"/>
    <w:rsid w:val="00880A42"/>
    <w:rsid w:val="00880BB2"/>
    <w:rsid w:val="00880C54"/>
    <w:rsid w:val="00880CAA"/>
    <w:rsid w:val="00880E67"/>
    <w:rsid w:val="00880F44"/>
    <w:rsid w:val="0088106C"/>
    <w:rsid w:val="008810CC"/>
    <w:rsid w:val="008810D9"/>
    <w:rsid w:val="008811AE"/>
    <w:rsid w:val="008811F0"/>
    <w:rsid w:val="00881252"/>
    <w:rsid w:val="008813B4"/>
    <w:rsid w:val="0088156D"/>
    <w:rsid w:val="008815E0"/>
    <w:rsid w:val="008817A6"/>
    <w:rsid w:val="00881A45"/>
    <w:rsid w:val="00881AE0"/>
    <w:rsid w:val="00882831"/>
    <w:rsid w:val="0088292A"/>
    <w:rsid w:val="00882AED"/>
    <w:rsid w:val="00882E00"/>
    <w:rsid w:val="008833D2"/>
    <w:rsid w:val="0088341D"/>
    <w:rsid w:val="008834C1"/>
    <w:rsid w:val="00883738"/>
    <w:rsid w:val="008837C7"/>
    <w:rsid w:val="00883929"/>
    <w:rsid w:val="008839C0"/>
    <w:rsid w:val="00883EF3"/>
    <w:rsid w:val="00883F16"/>
    <w:rsid w:val="00884058"/>
    <w:rsid w:val="008840C0"/>
    <w:rsid w:val="00884123"/>
    <w:rsid w:val="00884137"/>
    <w:rsid w:val="0088428C"/>
    <w:rsid w:val="008844DD"/>
    <w:rsid w:val="00884627"/>
    <w:rsid w:val="008848FF"/>
    <w:rsid w:val="008849BE"/>
    <w:rsid w:val="008849D9"/>
    <w:rsid w:val="008849DE"/>
    <w:rsid w:val="00884BEB"/>
    <w:rsid w:val="00884D14"/>
    <w:rsid w:val="00884DB3"/>
    <w:rsid w:val="00884E12"/>
    <w:rsid w:val="00885008"/>
    <w:rsid w:val="00885017"/>
    <w:rsid w:val="00885507"/>
    <w:rsid w:val="0088569B"/>
    <w:rsid w:val="00885736"/>
    <w:rsid w:val="0088586F"/>
    <w:rsid w:val="00885A55"/>
    <w:rsid w:val="00885C51"/>
    <w:rsid w:val="00885E30"/>
    <w:rsid w:val="00885F35"/>
    <w:rsid w:val="00885F92"/>
    <w:rsid w:val="008860AB"/>
    <w:rsid w:val="008860CC"/>
    <w:rsid w:val="00886692"/>
    <w:rsid w:val="008869C5"/>
    <w:rsid w:val="00886D6E"/>
    <w:rsid w:val="00886EFF"/>
    <w:rsid w:val="00887286"/>
    <w:rsid w:val="00887369"/>
    <w:rsid w:val="0088745B"/>
    <w:rsid w:val="00887801"/>
    <w:rsid w:val="00887954"/>
    <w:rsid w:val="00887C72"/>
    <w:rsid w:val="00887DC1"/>
    <w:rsid w:val="00887E6F"/>
    <w:rsid w:val="00887FE0"/>
    <w:rsid w:val="00890268"/>
    <w:rsid w:val="00890758"/>
    <w:rsid w:val="008909B7"/>
    <w:rsid w:val="00890CEE"/>
    <w:rsid w:val="00890EBC"/>
    <w:rsid w:val="008910F4"/>
    <w:rsid w:val="0089112A"/>
    <w:rsid w:val="0089121B"/>
    <w:rsid w:val="008912C0"/>
    <w:rsid w:val="00891320"/>
    <w:rsid w:val="008914B2"/>
    <w:rsid w:val="008914F5"/>
    <w:rsid w:val="0089161D"/>
    <w:rsid w:val="00891756"/>
    <w:rsid w:val="00891764"/>
    <w:rsid w:val="00891D35"/>
    <w:rsid w:val="00891D57"/>
    <w:rsid w:val="00891DE0"/>
    <w:rsid w:val="0089217C"/>
    <w:rsid w:val="008921D8"/>
    <w:rsid w:val="00892264"/>
    <w:rsid w:val="0089232F"/>
    <w:rsid w:val="00892450"/>
    <w:rsid w:val="00892751"/>
    <w:rsid w:val="00892805"/>
    <w:rsid w:val="0089296C"/>
    <w:rsid w:val="00892984"/>
    <w:rsid w:val="0089307C"/>
    <w:rsid w:val="0089339B"/>
    <w:rsid w:val="008933A0"/>
    <w:rsid w:val="00893483"/>
    <w:rsid w:val="008935DF"/>
    <w:rsid w:val="00893835"/>
    <w:rsid w:val="008939E5"/>
    <w:rsid w:val="00893BD4"/>
    <w:rsid w:val="00893D61"/>
    <w:rsid w:val="00893E7B"/>
    <w:rsid w:val="00893F2B"/>
    <w:rsid w:val="00893FD6"/>
    <w:rsid w:val="0089401A"/>
    <w:rsid w:val="00894259"/>
    <w:rsid w:val="00894565"/>
    <w:rsid w:val="00894CAC"/>
    <w:rsid w:val="00894E9E"/>
    <w:rsid w:val="00894FB3"/>
    <w:rsid w:val="00895237"/>
    <w:rsid w:val="008952A4"/>
    <w:rsid w:val="00895331"/>
    <w:rsid w:val="0089550F"/>
    <w:rsid w:val="00895AE3"/>
    <w:rsid w:val="00895CEF"/>
    <w:rsid w:val="00895E96"/>
    <w:rsid w:val="00895EBB"/>
    <w:rsid w:val="00896158"/>
    <w:rsid w:val="00896265"/>
    <w:rsid w:val="008963CC"/>
    <w:rsid w:val="00896732"/>
    <w:rsid w:val="00896A23"/>
    <w:rsid w:val="00896B2D"/>
    <w:rsid w:val="00896C66"/>
    <w:rsid w:val="00896E5E"/>
    <w:rsid w:val="0089702C"/>
    <w:rsid w:val="00897054"/>
    <w:rsid w:val="00897114"/>
    <w:rsid w:val="0089719B"/>
    <w:rsid w:val="0089722D"/>
    <w:rsid w:val="0089731E"/>
    <w:rsid w:val="008973A9"/>
    <w:rsid w:val="008978D2"/>
    <w:rsid w:val="0089795E"/>
    <w:rsid w:val="00897A06"/>
    <w:rsid w:val="00897B83"/>
    <w:rsid w:val="00897C9C"/>
    <w:rsid w:val="00897D1B"/>
    <w:rsid w:val="00897F4E"/>
    <w:rsid w:val="008A0127"/>
    <w:rsid w:val="008A0148"/>
    <w:rsid w:val="008A0177"/>
    <w:rsid w:val="008A02F1"/>
    <w:rsid w:val="008A051C"/>
    <w:rsid w:val="008A0730"/>
    <w:rsid w:val="008A09CC"/>
    <w:rsid w:val="008A0C10"/>
    <w:rsid w:val="008A0F58"/>
    <w:rsid w:val="008A10ED"/>
    <w:rsid w:val="008A1155"/>
    <w:rsid w:val="008A1395"/>
    <w:rsid w:val="008A14FF"/>
    <w:rsid w:val="008A160F"/>
    <w:rsid w:val="008A16C8"/>
    <w:rsid w:val="008A1750"/>
    <w:rsid w:val="008A1970"/>
    <w:rsid w:val="008A197D"/>
    <w:rsid w:val="008A19FE"/>
    <w:rsid w:val="008A1ACD"/>
    <w:rsid w:val="008A1EB9"/>
    <w:rsid w:val="008A20C7"/>
    <w:rsid w:val="008A20E6"/>
    <w:rsid w:val="008A2710"/>
    <w:rsid w:val="008A28A0"/>
    <w:rsid w:val="008A2BDE"/>
    <w:rsid w:val="008A2BF3"/>
    <w:rsid w:val="008A2CAA"/>
    <w:rsid w:val="008A33A1"/>
    <w:rsid w:val="008A3599"/>
    <w:rsid w:val="008A388D"/>
    <w:rsid w:val="008A39A4"/>
    <w:rsid w:val="008A39BD"/>
    <w:rsid w:val="008A3CBA"/>
    <w:rsid w:val="008A3E69"/>
    <w:rsid w:val="008A3EA6"/>
    <w:rsid w:val="008A4030"/>
    <w:rsid w:val="008A413E"/>
    <w:rsid w:val="008A4460"/>
    <w:rsid w:val="008A4505"/>
    <w:rsid w:val="008A4558"/>
    <w:rsid w:val="008A46F4"/>
    <w:rsid w:val="008A48A3"/>
    <w:rsid w:val="008A4B18"/>
    <w:rsid w:val="008A4B54"/>
    <w:rsid w:val="008A4BA1"/>
    <w:rsid w:val="008A506D"/>
    <w:rsid w:val="008A512D"/>
    <w:rsid w:val="008A5224"/>
    <w:rsid w:val="008A5561"/>
    <w:rsid w:val="008A56EB"/>
    <w:rsid w:val="008A5802"/>
    <w:rsid w:val="008A59B3"/>
    <w:rsid w:val="008A59D3"/>
    <w:rsid w:val="008A5B09"/>
    <w:rsid w:val="008A5C3A"/>
    <w:rsid w:val="008A5C7E"/>
    <w:rsid w:val="008A5F94"/>
    <w:rsid w:val="008A5FCE"/>
    <w:rsid w:val="008A6145"/>
    <w:rsid w:val="008A629A"/>
    <w:rsid w:val="008A6739"/>
    <w:rsid w:val="008A6C36"/>
    <w:rsid w:val="008A6EDA"/>
    <w:rsid w:val="008A720D"/>
    <w:rsid w:val="008A7496"/>
    <w:rsid w:val="008A763E"/>
    <w:rsid w:val="008A7A10"/>
    <w:rsid w:val="008A7B14"/>
    <w:rsid w:val="008A7E60"/>
    <w:rsid w:val="008A7E73"/>
    <w:rsid w:val="008A7FF1"/>
    <w:rsid w:val="008B00C9"/>
    <w:rsid w:val="008B00CE"/>
    <w:rsid w:val="008B02E6"/>
    <w:rsid w:val="008B034E"/>
    <w:rsid w:val="008B03F7"/>
    <w:rsid w:val="008B04EB"/>
    <w:rsid w:val="008B0541"/>
    <w:rsid w:val="008B062B"/>
    <w:rsid w:val="008B07D9"/>
    <w:rsid w:val="008B08BA"/>
    <w:rsid w:val="008B0A16"/>
    <w:rsid w:val="008B0CA0"/>
    <w:rsid w:val="008B0D8D"/>
    <w:rsid w:val="008B0F82"/>
    <w:rsid w:val="008B0FDF"/>
    <w:rsid w:val="008B112D"/>
    <w:rsid w:val="008B11B0"/>
    <w:rsid w:val="008B12AD"/>
    <w:rsid w:val="008B12BF"/>
    <w:rsid w:val="008B151D"/>
    <w:rsid w:val="008B1540"/>
    <w:rsid w:val="008B15DE"/>
    <w:rsid w:val="008B1B5B"/>
    <w:rsid w:val="008B1D3A"/>
    <w:rsid w:val="008B1D41"/>
    <w:rsid w:val="008B1E65"/>
    <w:rsid w:val="008B1F2B"/>
    <w:rsid w:val="008B2078"/>
    <w:rsid w:val="008B26EF"/>
    <w:rsid w:val="008B2BA7"/>
    <w:rsid w:val="008B2E29"/>
    <w:rsid w:val="008B2F90"/>
    <w:rsid w:val="008B30D7"/>
    <w:rsid w:val="008B30E6"/>
    <w:rsid w:val="008B318D"/>
    <w:rsid w:val="008B31FD"/>
    <w:rsid w:val="008B337B"/>
    <w:rsid w:val="008B3384"/>
    <w:rsid w:val="008B3386"/>
    <w:rsid w:val="008B3393"/>
    <w:rsid w:val="008B347B"/>
    <w:rsid w:val="008B34F7"/>
    <w:rsid w:val="008B3524"/>
    <w:rsid w:val="008B35A1"/>
    <w:rsid w:val="008B35AC"/>
    <w:rsid w:val="008B36C4"/>
    <w:rsid w:val="008B38B8"/>
    <w:rsid w:val="008B3BD7"/>
    <w:rsid w:val="008B3E72"/>
    <w:rsid w:val="008B3EE7"/>
    <w:rsid w:val="008B3EFE"/>
    <w:rsid w:val="008B3F8D"/>
    <w:rsid w:val="008B426A"/>
    <w:rsid w:val="008B4281"/>
    <w:rsid w:val="008B4861"/>
    <w:rsid w:val="008B4989"/>
    <w:rsid w:val="008B49B5"/>
    <w:rsid w:val="008B4CE4"/>
    <w:rsid w:val="008B4DCA"/>
    <w:rsid w:val="008B4E14"/>
    <w:rsid w:val="008B50D5"/>
    <w:rsid w:val="008B51FF"/>
    <w:rsid w:val="008B534B"/>
    <w:rsid w:val="008B53A4"/>
    <w:rsid w:val="008B54B2"/>
    <w:rsid w:val="008B54BD"/>
    <w:rsid w:val="008B54CD"/>
    <w:rsid w:val="008B553D"/>
    <w:rsid w:val="008B5553"/>
    <w:rsid w:val="008B5806"/>
    <w:rsid w:val="008B5A09"/>
    <w:rsid w:val="008B5B97"/>
    <w:rsid w:val="008B5D37"/>
    <w:rsid w:val="008B60B4"/>
    <w:rsid w:val="008B6461"/>
    <w:rsid w:val="008B64CE"/>
    <w:rsid w:val="008B64DE"/>
    <w:rsid w:val="008B658A"/>
    <w:rsid w:val="008B67D2"/>
    <w:rsid w:val="008B6852"/>
    <w:rsid w:val="008B6BA4"/>
    <w:rsid w:val="008B6BE1"/>
    <w:rsid w:val="008B6C90"/>
    <w:rsid w:val="008B6CAA"/>
    <w:rsid w:val="008B7080"/>
    <w:rsid w:val="008B70D4"/>
    <w:rsid w:val="008B73C3"/>
    <w:rsid w:val="008B7450"/>
    <w:rsid w:val="008B7470"/>
    <w:rsid w:val="008B7697"/>
    <w:rsid w:val="008B774D"/>
    <w:rsid w:val="008B7856"/>
    <w:rsid w:val="008B7F1B"/>
    <w:rsid w:val="008B7F45"/>
    <w:rsid w:val="008B7F6D"/>
    <w:rsid w:val="008C0014"/>
    <w:rsid w:val="008C016C"/>
    <w:rsid w:val="008C01E0"/>
    <w:rsid w:val="008C045E"/>
    <w:rsid w:val="008C0556"/>
    <w:rsid w:val="008C05F3"/>
    <w:rsid w:val="008C0689"/>
    <w:rsid w:val="008C0794"/>
    <w:rsid w:val="008C09DE"/>
    <w:rsid w:val="008C0AA8"/>
    <w:rsid w:val="008C0B35"/>
    <w:rsid w:val="008C0BFA"/>
    <w:rsid w:val="008C10BC"/>
    <w:rsid w:val="008C1662"/>
    <w:rsid w:val="008C178C"/>
    <w:rsid w:val="008C1A27"/>
    <w:rsid w:val="008C1A68"/>
    <w:rsid w:val="008C1AC5"/>
    <w:rsid w:val="008C1CC8"/>
    <w:rsid w:val="008C1CE2"/>
    <w:rsid w:val="008C1E45"/>
    <w:rsid w:val="008C1F5A"/>
    <w:rsid w:val="008C20B4"/>
    <w:rsid w:val="008C2411"/>
    <w:rsid w:val="008C2494"/>
    <w:rsid w:val="008C25B0"/>
    <w:rsid w:val="008C2603"/>
    <w:rsid w:val="008C261D"/>
    <w:rsid w:val="008C2673"/>
    <w:rsid w:val="008C26E8"/>
    <w:rsid w:val="008C277F"/>
    <w:rsid w:val="008C278D"/>
    <w:rsid w:val="008C296D"/>
    <w:rsid w:val="008C2AE2"/>
    <w:rsid w:val="008C2B9A"/>
    <w:rsid w:val="008C2C0F"/>
    <w:rsid w:val="008C2C33"/>
    <w:rsid w:val="008C2C40"/>
    <w:rsid w:val="008C2D99"/>
    <w:rsid w:val="008C3099"/>
    <w:rsid w:val="008C35CD"/>
    <w:rsid w:val="008C3658"/>
    <w:rsid w:val="008C3774"/>
    <w:rsid w:val="008C3AC7"/>
    <w:rsid w:val="008C3C5D"/>
    <w:rsid w:val="008C3CEF"/>
    <w:rsid w:val="008C3D16"/>
    <w:rsid w:val="008C3D1D"/>
    <w:rsid w:val="008C3D74"/>
    <w:rsid w:val="008C40C6"/>
    <w:rsid w:val="008C40F4"/>
    <w:rsid w:val="008C44A4"/>
    <w:rsid w:val="008C44AB"/>
    <w:rsid w:val="008C4715"/>
    <w:rsid w:val="008C492A"/>
    <w:rsid w:val="008C4972"/>
    <w:rsid w:val="008C49FF"/>
    <w:rsid w:val="008C4A4D"/>
    <w:rsid w:val="008C4CA5"/>
    <w:rsid w:val="008C4E74"/>
    <w:rsid w:val="008C5157"/>
    <w:rsid w:val="008C5232"/>
    <w:rsid w:val="008C5300"/>
    <w:rsid w:val="008C544C"/>
    <w:rsid w:val="008C54E3"/>
    <w:rsid w:val="008C54EB"/>
    <w:rsid w:val="008C55CA"/>
    <w:rsid w:val="008C56E7"/>
    <w:rsid w:val="008C578F"/>
    <w:rsid w:val="008C580B"/>
    <w:rsid w:val="008C58ED"/>
    <w:rsid w:val="008C5A47"/>
    <w:rsid w:val="008C5B6E"/>
    <w:rsid w:val="008C5C83"/>
    <w:rsid w:val="008C5CFE"/>
    <w:rsid w:val="008C5D12"/>
    <w:rsid w:val="008C5D6E"/>
    <w:rsid w:val="008C5FBF"/>
    <w:rsid w:val="008C6002"/>
    <w:rsid w:val="008C650A"/>
    <w:rsid w:val="008C6543"/>
    <w:rsid w:val="008C6547"/>
    <w:rsid w:val="008C68FC"/>
    <w:rsid w:val="008C6BBF"/>
    <w:rsid w:val="008C6C74"/>
    <w:rsid w:val="008C70A0"/>
    <w:rsid w:val="008C71CD"/>
    <w:rsid w:val="008C7235"/>
    <w:rsid w:val="008C73B3"/>
    <w:rsid w:val="008C778D"/>
    <w:rsid w:val="008C77A0"/>
    <w:rsid w:val="008C7940"/>
    <w:rsid w:val="008C7B88"/>
    <w:rsid w:val="008C7D8B"/>
    <w:rsid w:val="008D00C5"/>
    <w:rsid w:val="008D0190"/>
    <w:rsid w:val="008D0447"/>
    <w:rsid w:val="008D067B"/>
    <w:rsid w:val="008D06AA"/>
    <w:rsid w:val="008D079E"/>
    <w:rsid w:val="008D0A53"/>
    <w:rsid w:val="008D0C1B"/>
    <w:rsid w:val="008D0D9C"/>
    <w:rsid w:val="008D0DF4"/>
    <w:rsid w:val="008D105A"/>
    <w:rsid w:val="008D10E5"/>
    <w:rsid w:val="008D10FE"/>
    <w:rsid w:val="008D112B"/>
    <w:rsid w:val="008D1694"/>
    <w:rsid w:val="008D17E9"/>
    <w:rsid w:val="008D186D"/>
    <w:rsid w:val="008D1B12"/>
    <w:rsid w:val="008D219E"/>
    <w:rsid w:val="008D21CA"/>
    <w:rsid w:val="008D232D"/>
    <w:rsid w:val="008D27A9"/>
    <w:rsid w:val="008D2894"/>
    <w:rsid w:val="008D28FD"/>
    <w:rsid w:val="008D2AE8"/>
    <w:rsid w:val="008D2B4D"/>
    <w:rsid w:val="008D2CA9"/>
    <w:rsid w:val="008D2CF5"/>
    <w:rsid w:val="008D2DD2"/>
    <w:rsid w:val="008D2EB3"/>
    <w:rsid w:val="008D2F7D"/>
    <w:rsid w:val="008D33E5"/>
    <w:rsid w:val="008D34F9"/>
    <w:rsid w:val="008D3811"/>
    <w:rsid w:val="008D3AEA"/>
    <w:rsid w:val="008D3B58"/>
    <w:rsid w:val="008D3B59"/>
    <w:rsid w:val="008D3C5A"/>
    <w:rsid w:val="008D3E80"/>
    <w:rsid w:val="008D4022"/>
    <w:rsid w:val="008D403F"/>
    <w:rsid w:val="008D419B"/>
    <w:rsid w:val="008D43A8"/>
    <w:rsid w:val="008D460A"/>
    <w:rsid w:val="008D46E1"/>
    <w:rsid w:val="008D46EA"/>
    <w:rsid w:val="008D473C"/>
    <w:rsid w:val="008D496B"/>
    <w:rsid w:val="008D4B28"/>
    <w:rsid w:val="008D4F93"/>
    <w:rsid w:val="008D5429"/>
    <w:rsid w:val="008D544B"/>
    <w:rsid w:val="008D5544"/>
    <w:rsid w:val="008D556D"/>
    <w:rsid w:val="008D564A"/>
    <w:rsid w:val="008D56E2"/>
    <w:rsid w:val="008D57D8"/>
    <w:rsid w:val="008D57F8"/>
    <w:rsid w:val="008D5832"/>
    <w:rsid w:val="008D58BA"/>
    <w:rsid w:val="008D5C67"/>
    <w:rsid w:val="008D5EC3"/>
    <w:rsid w:val="008D6064"/>
    <w:rsid w:val="008D6239"/>
    <w:rsid w:val="008D62BF"/>
    <w:rsid w:val="008D6542"/>
    <w:rsid w:val="008D66DD"/>
    <w:rsid w:val="008D6728"/>
    <w:rsid w:val="008D6947"/>
    <w:rsid w:val="008D6B4A"/>
    <w:rsid w:val="008D6C50"/>
    <w:rsid w:val="008D6C9B"/>
    <w:rsid w:val="008D6CC6"/>
    <w:rsid w:val="008D6FD5"/>
    <w:rsid w:val="008D70C0"/>
    <w:rsid w:val="008D7248"/>
    <w:rsid w:val="008D746B"/>
    <w:rsid w:val="008D7BCC"/>
    <w:rsid w:val="008D7D66"/>
    <w:rsid w:val="008D7E69"/>
    <w:rsid w:val="008E01DD"/>
    <w:rsid w:val="008E0340"/>
    <w:rsid w:val="008E0554"/>
    <w:rsid w:val="008E065D"/>
    <w:rsid w:val="008E086F"/>
    <w:rsid w:val="008E096E"/>
    <w:rsid w:val="008E0A38"/>
    <w:rsid w:val="008E0BCC"/>
    <w:rsid w:val="008E0BD9"/>
    <w:rsid w:val="008E0C4A"/>
    <w:rsid w:val="008E0D39"/>
    <w:rsid w:val="008E0DE5"/>
    <w:rsid w:val="008E1021"/>
    <w:rsid w:val="008E1162"/>
    <w:rsid w:val="008E132A"/>
    <w:rsid w:val="008E1584"/>
    <w:rsid w:val="008E16E5"/>
    <w:rsid w:val="008E1732"/>
    <w:rsid w:val="008E1778"/>
    <w:rsid w:val="008E1780"/>
    <w:rsid w:val="008E1849"/>
    <w:rsid w:val="008E1856"/>
    <w:rsid w:val="008E1A03"/>
    <w:rsid w:val="008E1AFD"/>
    <w:rsid w:val="008E1B21"/>
    <w:rsid w:val="008E1E59"/>
    <w:rsid w:val="008E1F42"/>
    <w:rsid w:val="008E2095"/>
    <w:rsid w:val="008E216B"/>
    <w:rsid w:val="008E22DD"/>
    <w:rsid w:val="008E2484"/>
    <w:rsid w:val="008E25CA"/>
    <w:rsid w:val="008E272A"/>
    <w:rsid w:val="008E2B00"/>
    <w:rsid w:val="008E2BE4"/>
    <w:rsid w:val="008E2C90"/>
    <w:rsid w:val="008E2F5B"/>
    <w:rsid w:val="008E32D9"/>
    <w:rsid w:val="008E33EB"/>
    <w:rsid w:val="008E3652"/>
    <w:rsid w:val="008E37AF"/>
    <w:rsid w:val="008E37BC"/>
    <w:rsid w:val="008E3D56"/>
    <w:rsid w:val="008E3D61"/>
    <w:rsid w:val="008E402A"/>
    <w:rsid w:val="008E4483"/>
    <w:rsid w:val="008E4555"/>
    <w:rsid w:val="008E45E4"/>
    <w:rsid w:val="008E4634"/>
    <w:rsid w:val="008E4692"/>
    <w:rsid w:val="008E4695"/>
    <w:rsid w:val="008E4802"/>
    <w:rsid w:val="008E4BEA"/>
    <w:rsid w:val="008E4BFC"/>
    <w:rsid w:val="008E4DA6"/>
    <w:rsid w:val="008E4E18"/>
    <w:rsid w:val="008E5291"/>
    <w:rsid w:val="008E53F2"/>
    <w:rsid w:val="008E54CC"/>
    <w:rsid w:val="008E55EF"/>
    <w:rsid w:val="008E57C4"/>
    <w:rsid w:val="008E5ADF"/>
    <w:rsid w:val="008E5C98"/>
    <w:rsid w:val="008E600F"/>
    <w:rsid w:val="008E61D2"/>
    <w:rsid w:val="008E632B"/>
    <w:rsid w:val="008E63F1"/>
    <w:rsid w:val="008E644E"/>
    <w:rsid w:val="008E6451"/>
    <w:rsid w:val="008E6825"/>
    <w:rsid w:val="008E6E58"/>
    <w:rsid w:val="008E7000"/>
    <w:rsid w:val="008E71FD"/>
    <w:rsid w:val="008E732A"/>
    <w:rsid w:val="008E73BA"/>
    <w:rsid w:val="008E73DF"/>
    <w:rsid w:val="008E742A"/>
    <w:rsid w:val="008E7546"/>
    <w:rsid w:val="008E765C"/>
    <w:rsid w:val="008E771B"/>
    <w:rsid w:val="008E7873"/>
    <w:rsid w:val="008E798C"/>
    <w:rsid w:val="008E7ACD"/>
    <w:rsid w:val="008E7B89"/>
    <w:rsid w:val="008E7BFB"/>
    <w:rsid w:val="008E7D71"/>
    <w:rsid w:val="008E7D95"/>
    <w:rsid w:val="008E7FAD"/>
    <w:rsid w:val="008F0006"/>
    <w:rsid w:val="008F0307"/>
    <w:rsid w:val="008F030D"/>
    <w:rsid w:val="008F048C"/>
    <w:rsid w:val="008F0600"/>
    <w:rsid w:val="008F0616"/>
    <w:rsid w:val="008F0721"/>
    <w:rsid w:val="008F072C"/>
    <w:rsid w:val="008F094F"/>
    <w:rsid w:val="008F0BDA"/>
    <w:rsid w:val="008F0CE4"/>
    <w:rsid w:val="008F0DD4"/>
    <w:rsid w:val="008F10F8"/>
    <w:rsid w:val="008F123E"/>
    <w:rsid w:val="008F1543"/>
    <w:rsid w:val="008F16B0"/>
    <w:rsid w:val="008F175D"/>
    <w:rsid w:val="008F1918"/>
    <w:rsid w:val="008F1988"/>
    <w:rsid w:val="008F19B5"/>
    <w:rsid w:val="008F1C9B"/>
    <w:rsid w:val="008F1DB2"/>
    <w:rsid w:val="008F1DC8"/>
    <w:rsid w:val="008F2061"/>
    <w:rsid w:val="008F20AF"/>
    <w:rsid w:val="008F21A8"/>
    <w:rsid w:val="008F22A1"/>
    <w:rsid w:val="008F26B9"/>
    <w:rsid w:val="008F2824"/>
    <w:rsid w:val="008F28B7"/>
    <w:rsid w:val="008F2D78"/>
    <w:rsid w:val="008F2FCF"/>
    <w:rsid w:val="008F3052"/>
    <w:rsid w:val="008F311B"/>
    <w:rsid w:val="008F358F"/>
    <w:rsid w:val="008F38B7"/>
    <w:rsid w:val="008F39DE"/>
    <w:rsid w:val="008F3C28"/>
    <w:rsid w:val="008F3CA2"/>
    <w:rsid w:val="008F3F1D"/>
    <w:rsid w:val="008F4106"/>
    <w:rsid w:val="008F43DC"/>
    <w:rsid w:val="008F4559"/>
    <w:rsid w:val="008F459C"/>
    <w:rsid w:val="008F4730"/>
    <w:rsid w:val="008F485A"/>
    <w:rsid w:val="008F4A03"/>
    <w:rsid w:val="008F4BB1"/>
    <w:rsid w:val="008F4D5C"/>
    <w:rsid w:val="008F4D60"/>
    <w:rsid w:val="008F512A"/>
    <w:rsid w:val="008F51B9"/>
    <w:rsid w:val="008F53F4"/>
    <w:rsid w:val="008F553E"/>
    <w:rsid w:val="008F56AB"/>
    <w:rsid w:val="008F5989"/>
    <w:rsid w:val="008F59BD"/>
    <w:rsid w:val="008F59C2"/>
    <w:rsid w:val="008F5A01"/>
    <w:rsid w:val="008F5D85"/>
    <w:rsid w:val="008F5E87"/>
    <w:rsid w:val="008F5E93"/>
    <w:rsid w:val="008F6429"/>
    <w:rsid w:val="008F647D"/>
    <w:rsid w:val="008F664F"/>
    <w:rsid w:val="008F683F"/>
    <w:rsid w:val="008F6841"/>
    <w:rsid w:val="008F69C9"/>
    <w:rsid w:val="008F6B43"/>
    <w:rsid w:val="008F6C27"/>
    <w:rsid w:val="008F6E56"/>
    <w:rsid w:val="008F6F38"/>
    <w:rsid w:val="008F710E"/>
    <w:rsid w:val="008F74AD"/>
    <w:rsid w:val="008F7721"/>
    <w:rsid w:val="008F7A65"/>
    <w:rsid w:val="008F7C23"/>
    <w:rsid w:val="008F7C2C"/>
    <w:rsid w:val="008F7EAD"/>
    <w:rsid w:val="008F7FC3"/>
    <w:rsid w:val="009000F8"/>
    <w:rsid w:val="009001BD"/>
    <w:rsid w:val="009002A1"/>
    <w:rsid w:val="009002FA"/>
    <w:rsid w:val="00900346"/>
    <w:rsid w:val="00900380"/>
    <w:rsid w:val="009003F2"/>
    <w:rsid w:val="009007FC"/>
    <w:rsid w:val="00900A0E"/>
    <w:rsid w:val="00900B60"/>
    <w:rsid w:val="00900CDA"/>
    <w:rsid w:val="00900E47"/>
    <w:rsid w:val="00901510"/>
    <w:rsid w:val="00901574"/>
    <w:rsid w:val="009015C1"/>
    <w:rsid w:val="00901915"/>
    <w:rsid w:val="00901BF8"/>
    <w:rsid w:val="00901C4A"/>
    <w:rsid w:val="0090207C"/>
    <w:rsid w:val="009021F6"/>
    <w:rsid w:val="009025AC"/>
    <w:rsid w:val="0090264C"/>
    <w:rsid w:val="0090269F"/>
    <w:rsid w:val="00902895"/>
    <w:rsid w:val="00902917"/>
    <w:rsid w:val="00902920"/>
    <w:rsid w:val="00902C83"/>
    <w:rsid w:val="00902D14"/>
    <w:rsid w:val="00902FB5"/>
    <w:rsid w:val="00903115"/>
    <w:rsid w:val="009035F7"/>
    <w:rsid w:val="009036A2"/>
    <w:rsid w:val="009036B3"/>
    <w:rsid w:val="00903A60"/>
    <w:rsid w:val="00903B4D"/>
    <w:rsid w:val="00903B96"/>
    <w:rsid w:val="00903C4C"/>
    <w:rsid w:val="00903E12"/>
    <w:rsid w:val="00903E63"/>
    <w:rsid w:val="00903F85"/>
    <w:rsid w:val="00904277"/>
    <w:rsid w:val="00904306"/>
    <w:rsid w:val="009043AD"/>
    <w:rsid w:val="00904546"/>
    <w:rsid w:val="00904551"/>
    <w:rsid w:val="009046BD"/>
    <w:rsid w:val="00904784"/>
    <w:rsid w:val="00904B4A"/>
    <w:rsid w:val="00904BF8"/>
    <w:rsid w:val="00904F66"/>
    <w:rsid w:val="00904F75"/>
    <w:rsid w:val="009051E0"/>
    <w:rsid w:val="0090520C"/>
    <w:rsid w:val="00905291"/>
    <w:rsid w:val="00905333"/>
    <w:rsid w:val="00905347"/>
    <w:rsid w:val="009056EA"/>
    <w:rsid w:val="0090575C"/>
    <w:rsid w:val="0090585F"/>
    <w:rsid w:val="00905992"/>
    <w:rsid w:val="00905A7C"/>
    <w:rsid w:val="00905A83"/>
    <w:rsid w:val="00905EE6"/>
    <w:rsid w:val="00906036"/>
    <w:rsid w:val="009060ED"/>
    <w:rsid w:val="009060FA"/>
    <w:rsid w:val="0090619D"/>
    <w:rsid w:val="0090627C"/>
    <w:rsid w:val="009065E4"/>
    <w:rsid w:val="009068E5"/>
    <w:rsid w:val="00906C1A"/>
    <w:rsid w:val="00906D48"/>
    <w:rsid w:val="00906D63"/>
    <w:rsid w:val="00906F5B"/>
    <w:rsid w:val="009070E7"/>
    <w:rsid w:val="0090732F"/>
    <w:rsid w:val="0090735D"/>
    <w:rsid w:val="00907523"/>
    <w:rsid w:val="00907B22"/>
    <w:rsid w:val="00907CDE"/>
    <w:rsid w:val="00907DBF"/>
    <w:rsid w:val="00907DC8"/>
    <w:rsid w:val="00907F15"/>
    <w:rsid w:val="00907F9B"/>
    <w:rsid w:val="0090C90D"/>
    <w:rsid w:val="009102B3"/>
    <w:rsid w:val="0091052C"/>
    <w:rsid w:val="00910EE3"/>
    <w:rsid w:val="00910F1C"/>
    <w:rsid w:val="0091126C"/>
    <w:rsid w:val="0091138E"/>
    <w:rsid w:val="00911486"/>
    <w:rsid w:val="009118C3"/>
    <w:rsid w:val="00911BA2"/>
    <w:rsid w:val="00911D21"/>
    <w:rsid w:val="00911DB3"/>
    <w:rsid w:val="00911FC1"/>
    <w:rsid w:val="00911FE2"/>
    <w:rsid w:val="009123CB"/>
    <w:rsid w:val="00912482"/>
    <w:rsid w:val="009124A4"/>
    <w:rsid w:val="009124AC"/>
    <w:rsid w:val="00912745"/>
    <w:rsid w:val="00912891"/>
    <w:rsid w:val="00912A4C"/>
    <w:rsid w:val="00912B05"/>
    <w:rsid w:val="00912BBA"/>
    <w:rsid w:val="00912C5B"/>
    <w:rsid w:val="00912FCD"/>
    <w:rsid w:val="00912FF2"/>
    <w:rsid w:val="0091360A"/>
    <w:rsid w:val="00913988"/>
    <w:rsid w:val="00913B96"/>
    <w:rsid w:val="00913BC1"/>
    <w:rsid w:val="00913FA8"/>
    <w:rsid w:val="00914163"/>
    <w:rsid w:val="0091418B"/>
    <w:rsid w:val="009142E3"/>
    <w:rsid w:val="009143E5"/>
    <w:rsid w:val="0091441F"/>
    <w:rsid w:val="00914506"/>
    <w:rsid w:val="00914828"/>
    <w:rsid w:val="00914932"/>
    <w:rsid w:val="00914C9A"/>
    <w:rsid w:val="00914DD0"/>
    <w:rsid w:val="00914DF6"/>
    <w:rsid w:val="00914E39"/>
    <w:rsid w:val="00915084"/>
    <w:rsid w:val="009150E1"/>
    <w:rsid w:val="0091523D"/>
    <w:rsid w:val="00915491"/>
    <w:rsid w:val="009154BB"/>
    <w:rsid w:val="009154DB"/>
    <w:rsid w:val="009155D8"/>
    <w:rsid w:val="009155E2"/>
    <w:rsid w:val="0091561B"/>
    <w:rsid w:val="00915714"/>
    <w:rsid w:val="00915747"/>
    <w:rsid w:val="0091586E"/>
    <w:rsid w:val="00915922"/>
    <w:rsid w:val="00915CC9"/>
    <w:rsid w:val="00915CDF"/>
    <w:rsid w:val="00915D06"/>
    <w:rsid w:val="00915DFB"/>
    <w:rsid w:val="00915F62"/>
    <w:rsid w:val="009160D1"/>
    <w:rsid w:val="009162BA"/>
    <w:rsid w:val="0091630B"/>
    <w:rsid w:val="009163D1"/>
    <w:rsid w:val="009163FF"/>
    <w:rsid w:val="00916462"/>
    <w:rsid w:val="0091646C"/>
    <w:rsid w:val="009164D7"/>
    <w:rsid w:val="009166FB"/>
    <w:rsid w:val="00916716"/>
    <w:rsid w:val="0091690C"/>
    <w:rsid w:val="00916991"/>
    <w:rsid w:val="009169D5"/>
    <w:rsid w:val="00916F39"/>
    <w:rsid w:val="00916F95"/>
    <w:rsid w:val="0091729C"/>
    <w:rsid w:val="009174AC"/>
    <w:rsid w:val="009174BB"/>
    <w:rsid w:val="00917552"/>
    <w:rsid w:val="009175D2"/>
    <w:rsid w:val="009176A1"/>
    <w:rsid w:val="009176C8"/>
    <w:rsid w:val="00917738"/>
    <w:rsid w:val="009177D3"/>
    <w:rsid w:val="009179ED"/>
    <w:rsid w:val="00917A83"/>
    <w:rsid w:val="00917B05"/>
    <w:rsid w:val="00917BE5"/>
    <w:rsid w:val="00917C08"/>
    <w:rsid w:val="00917CE5"/>
    <w:rsid w:val="00917F22"/>
    <w:rsid w:val="00917F25"/>
    <w:rsid w:val="00917FA6"/>
    <w:rsid w:val="009202A8"/>
    <w:rsid w:val="009203E9"/>
    <w:rsid w:val="00920678"/>
    <w:rsid w:val="009206A4"/>
    <w:rsid w:val="009209D2"/>
    <w:rsid w:val="00920A27"/>
    <w:rsid w:val="00920C04"/>
    <w:rsid w:val="00920D4B"/>
    <w:rsid w:val="00920E1A"/>
    <w:rsid w:val="00920E93"/>
    <w:rsid w:val="00921167"/>
    <w:rsid w:val="00921273"/>
    <w:rsid w:val="009212D3"/>
    <w:rsid w:val="0092132B"/>
    <w:rsid w:val="00921872"/>
    <w:rsid w:val="00921AB7"/>
    <w:rsid w:val="00921B70"/>
    <w:rsid w:val="00921B71"/>
    <w:rsid w:val="00921B9C"/>
    <w:rsid w:val="00921C13"/>
    <w:rsid w:val="00921C5C"/>
    <w:rsid w:val="0092212D"/>
    <w:rsid w:val="009221BF"/>
    <w:rsid w:val="00922261"/>
    <w:rsid w:val="0092231F"/>
    <w:rsid w:val="0092241B"/>
    <w:rsid w:val="00922531"/>
    <w:rsid w:val="0092268A"/>
    <w:rsid w:val="009226DD"/>
    <w:rsid w:val="0092273B"/>
    <w:rsid w:val="00922754"/>
    <w:rsid w:val="0092280F"/>
    <w:rsid w:val="00922A07"/>
    <w:rsid w:val="00922A41"/>
    <w:rsid w:val="00922ADF"/>
    <w:rsid w:val="00922B97"/>
    <w:rsid w:val="00922F13"/>
    <w:rsid w:val="00922FD6"/>
    <w:rsid w:val="0092324A"/>
    <w:rsid w:val="009232B7"/>
    <w:rsid w:val="0092332E"/>
    <w:rsid w:val="009233C4"/>
    <w:rsid w:val="009233E4"/>
    <w:rsid w:val="00923474"/>
    <w:rsid w:val="0092388D"/>
    <w:rsid w:val="009238D2"/>
    <w:rsid w:val="009239C0"/>
    <w:rsid w:val="00923A4B"/>
    <w:rsid w:val="00923AFE"/>
    <w:rsid w:val="00923D40"/>
    <w:rsid w:val="00923FE6"/>
    <w:rsid w:val="00924026"/>
    <w:rsid w:val="00924138"/>
    <w:rsid w:val="009244D4"/>
    <w:rsid w:val="009245A4"/>
    <w:rsid w:val="0092466B"/>
    <w:rsid w:val="0092475C"/>
    <w:rsid w:val="00924787"/>
    <w:rsid w:val="009247D0"/>
    <w:rsid w:val="009248BA"/>
    <w:rsid w:val="0092494C"/>
    <w:rsid w:val="00924A6D"/>
    <w:rsid w:val="00924A78"/>
    <w:rsid w:val="00924B3E"/>
    <w:rsid w:val="00924D1D"/>
    <w:rsid w:val="00924EAA"/>
    <w:rsid w:val="0092517A"/>
    <w:rsid w:val="009251BC"/>
    <w:rsid w:val="00925273"/>
    <w:rsid w:val="009256B0"/>
    <w:rsid w:val="009257D5"/>
    <w:rsid w:val="009257EF"/>
    <w:rsid w:val="00925894"/>
    <w:rsid w:val="009258BE"/>
    <w:rsid w:val="00925921"/>
    <w:rsid w:val="00925AC7"/>
    <w:rsid w:val="00925C2B"/>
    <w:rsid w:val="00925EBE"/>
    <w:rsid w:val="009260E4"/>
    <w:rsid w:val="009260EA"/>
    <w:rsid w:val="009261F1"/>
    <w:rsid w:val="009263C7"/>
    <w:rsid w:val="009264D9"/>
    <w:rsid w:val="0092653D"/>
    <w:rsid w:val="009266C7"/>
    <w:rsid w:val="00926913"/>
    <w:rsid w:val="0092697B"/>
    <w:rsid w:val="00926A59"/>
    <w:rsid w:val="00926CB8"/>
    <w:rsid w:val="00927160"/>
    <w:rsid w:val="00927252"/>
    <w:rsid w:val="00927302"/>
    <w:rsid w:val="00927331"/>
    <w:rsid w:val="009273FB"/>
    <w:rsid w:val="009275CC"/>
    <w:rsid w:val="00927CEE"/>
    <w:rsid w:val="00927DEC"/>
    <w:rsid w:val="00927E51"/>
    <w:rsid w:val="00927EAF"/>
    <w:rsid w:val="00927EE5"/>
    <w:rsid w:val="00930195"/>
    <w:rsid w:val="009301B8"/>
    <w:rsid w:val="00930504"/>
    <w:rsid w:val="0093054D"/>
    <w:rsid w:val="00930582"/>
    <w:rsid w:val="009308C7"/>
    <w:rsid w:val="009309D2"/>
    <w:rsid w:val="00930A9F"/>
    <w:rsid w:val="00930C24"/>
    <w:rsid w:val="00930CEC"/>
    <w:rsid w:val="00930D01"/>
    <w:rsid w:val="00930F12"/>
    <w:rsid w:val="00930F8A"/>
    <w:rsid w:val="00931024"/>
    <w:rsid w:val="009310C6"/>
    <w:rsid w:val="00931551"/>
    <w:rsid w:val="00931A5E"/>
    <w:rsid w:val="00931CF0"/>
    <w:rsid w:val="00931CFE"/>
    <w:rsid w:val="00931E26"/>
    <w:rsid w:val="00931E5D"/>
    <w:rsid w:val="00931ED9"/>
    <w:rsid w:val="0093201D"/>
    <w:rsid w:val="009323CA"/>
    <w:rsid w:val="00932422"/>
    <w:rsid w:val="00932434"/>
    <w:rsid w:val="00932558"/>
    <w:rsid w:val="00932A45"/>
    <w:rsid w:val="00932CD5"/>
    <w:rsid w:val="009331EB"/>
    <w:rsid w:val="0093336E"/>
    <w:rsid w:val="009333BA"/>
    <w:rsid w:val="00933475"/>
    <w:rsid w:val="0093361C"/>
    <w:rsid w:val="00933690"/>
    <w:rsid w:val="0093386B"/>
    <w:rsid w:val="009338B2"/>
    <w:rsid w:val="009339FE"/>
    <w:rsid w:val="00933A1E"/>
    <w:rsid w:val="00933ACC"/>
    <w:rsid w:val="00933ADD"/>
    <w:rsid w:val="00933B33"/>
    <w:rsid w:val="00933DD9"/>
    <w:rsid w:val="00933EE0"/>
    <w:rsid w:val="00934044"/>
    <w:rsid w:val="00934050"/>
    <w:rsid w:val="00934082"/>
    <w:rsid w:val="0093419D"/>
    <w:rsid w:val="009341B5"/>
    <w:rsid w:val="009343A5"/>
    <w:rsid w:val="0093451E"/>
    <w:rsid w:val="00934724"/>
    <w:rsid w:val="0093476D"/>
    <w:rsid w:val="00934808"/>
    <w:rsid w:val="00934D34"/>
    <w:rsid w:val="00934D45"/>
    <w:rsid w:val="00934F3F"/>
    <w:rsid w:val="00934FEF"/>
    <w:rsid w:val="00935081"/>
    <w:rsid w:val="00935138"/>
    <w:rsid w:val="0093517B"/>
    <w:rsid w:val="00935369"/>
    <w:rsid w:val="00935455"/>
    <w:rsid w:val="009355D0"/>
    <w:rsid w:val="00935724"/>
    <w:rsid w:val="0093576D"/>
    <w:rsid w:val="009357A3"/>
    <w:rsid w:val="00935A10"/>
    <w:rsid w:val="00935A25"/>
    <w:rsid w:val="00935A8E"/>
    <w:rsid w:val="00935B09"/>
    <w:rsid w:val="00935EF1"/>
    <w:rsid w:val="00935EF9"/>
    <w:rsid w:val="00935F4B"/>
    <w:rsid w:val="00935F7A"/>
    <w:rsid w:val="00935FCA"/>
    <w:rsid w:val="009360A5"/>
    <w:rsid w:val="00936102"/>
    <w:rsid w:val="0093613C"/>
    <w:rsid w:val="00936361"/>
    <w:rsid w:val="009365B4"/>
    <w:rsid w:val="009365CA"/>
    <w:rsid w:val="009367B9"/>
    <w:rsid w:val="009367E3"/>
    <w:rsid w:val="00936961"/>
    <w:rsid w:val="009369A8"/>
    <w:rsid w:val="00936B48"/>
    <w:rsid w:val="00936CAC"/>
    <w:rsid w:val="009370F9"/>
    <w:rsid w:val="009372BC"/>
    <w:rsid w:val="009376E1"/>
    <w:rsid w:val="009377C0"/>
    <w:rsid w:val="009378C8"/>
    <w:rsid w:val="009378F8"/>
    <w:rsid w:val="00937985"/>
    <w:rsid w:val="00937C12"/>
    <w:rsid w:val="00940212"/>
    <w:rsid w:val="0094023A"/>
    <w:rsid w:val="009402E9"/>
    <w:rsid w:val="009403E9"/>
    <w:rsid w:val="00940814"/>
    <w:rsid w:val="00940DBF"/>
    <w:rsid w:val="00940F91"/>
    <w:rsid w:val="00940FC2"/>
    <w:rsid w:val="00941093"/>
    <w:rsid w:val="0094128A"/>
    <w:rsid w:val="009412B7"/>
    <w:rsid w:val="009412E0"/>
    <w:rsid w:val="009413C3"/>
    <w:rsid w:val="00941486"/>
    <w:rsid w:val="0094174F"/>
    <w:rsid w:val="0094195A"/>
    <w:rsid w:val="009419A0"/>
    <w:rsid w:val="00941CE3"/>
    <w:rsid w:val="0094232D"/>
    <w:rsid w:val="009423F9"/>
    <w:rsid w:val="0094253A"/>
    <w:rsid w:val="00942A60"/>
    <w:rsid w:val="00942AB6"/>
    <w:rsid w:val="00942B82"/>
    <w:rsid w:val="00942B89"/>
    <w:rsid w:val="00942CEF"/>
    <w:rsid w:val="00942DD9"/>
    <w:rsid w:val="00942F25"/>
    <w:rsid w:val="00942F67"/>
    <w:rsid w:val="00943256"/>
    <w:rsid w:val="00943324"/>
    <w:rsid w:val="009436E9"/>
    <w:rsid w:val="009439D9"/>
    <w:rsid w:val="00943BDA"/>
    <w:rsid w:val="00943CFA"/>
    <w:rsid w:val="00943D4B"/>
    <w:rsid w:val="00943DE8"/>
    <w:rsid w:val="00943E0E"/>
    <w:rsid w:val="00943E89"/>
    <w:rsid w:val="00943FE7"/>
    <w:rsid w:val="00943FE8"/>
    <w:rsid w:val="00944202"/>
    <w:rsid w:val="00944343"/>
    <w:rsid w:val="009443A3"/>
    <w:rsid w:val="00944405"/>
    <w:rsid w:val="0094442B"/>
    <w:rsid w:val="00944868"/>
    <w:rsid w:val="00944F08"/>
    <w:rsid w:val="00944FC4"/>
    <w:rsid w:val="00945014"/>
    <w:rsid w:val="00945232"/>
    <w:rsid w:val="00945537"/>
    <w:rsid w:val="0094562D"/>
    <w:rsid w:val="00945701"/>
    <w:rsid w:val="00945730"/>
    <w:rsid w:val="009459FA"/>
    <w:rsid w:val="00945CA1"/>
    <w:rsid w:val="00945EAA"/>
    <w:rsid w:val="00945F02"/>
    <w:rsid w:val="009461D8"/>
    <w:rsid w:val="00946256"/>
    <w:rsid w:val="00946534"/>
    <w:rsid w:val="009467B8"/>
    <w:rsid w:val="0094694A"/>
    <w:rsid w:val="009469EE"/>
    <w:rsid w:val="00946A68"/>
    <w:rsid w:val="00946BEF"/>
    <w:rsid w:val="00946C7D"/>
    <w:rsid w:val="00946CEC"/>
    <w:rsid w:val="00946DF6"/>
    <w:rsid w:val="00946FD2"/>
    <w:rsid w:val="0094721C"/>
    <w:rsid w:val="009472FB"/>
    <w:rsid w:val="00947300"/>
    <w:rsid w:val="009473D4"/>
    <w:rsid w:val="0094762D"/>
    <w:rsid w:val="0094777F"/>
    <w:rsid w:val="009478FE"/>
    <w:rsid w:val="00947C9E"/>
    <w:rsid w:val="00947CCF"/>
    <w:rsid w:val="00947D58"/>
    <w:rsid w:val="00947D9F"/>
    <w:rsid w:val="00947E3A"/>
    <w:rsid w:val="00947F7F"/>
    <w:rsid w:val="00947F86"/>
    <w:rsid w:val="00950142"/>
    <w:rsid w:val="009505D9"/>
    <w:rsid w:val="00950610"/>
    <w:rsid w:val="0095069B"/>
    <w:rsid w:val="0095080D"/>
    <w:rsid w:val="0095088E"/>
    <w:rsid w:val="00950991"/>
    <w:rsid w:val="009509ED"/>
    <w:rsid w:val="00950A20"/>
    <w:rsid w:val="00950A68"/>
    <w:rsid w:val="00950D8E"/>
    <w:rsid w:val="00950D96"/>
    <w:rsid w:val="00950FED"/>
    <w:rsid w:val="009510E5"/>
    <w:rsid w:val="00951221"/>
    <w:rsid w:val="0095139B"/>
    <w:rsid w:val="009514B8"/>
    <w:rsid w:val="009514EE"/>
    <w:rsid w:val="009515B8"/>
    <w:rsid w:val="00951637"/>
    <w:rsid w:val="00951865"/>
    <w:rsid w:val="00951A9E"/>
    <w:rsid w:val="00951BC3"/>
    <w:rsid w:val="00951BFF"/>
    <w:rsid w:val="00951E6C"/>
    <w:rsid w:val="0095232A"/>
    <w:rsid w:val="009523C6"/>
    <w:rsid w:val="00952580"/>
    <w:rsid w:val="009526B6"/>
    <w:rsid w:val="009527E1"/>
    <w:rsid w:val="009527F1"/>
    <w:rsid w:val="00952A36"/>
    <w:rsid w:val="00952AA4"/>
    <w:rsid w:val="00952B0D"/>
    <w:rsid w:val="00952B14"/>
    <w:rsid w:val="00952D60"/>
    <w:rsid w:val="00952D78"/>
    <w:rsid w:val="00952EEE"/>
    <w:rsid w:val="00953135"/>
    <w:rsid w:val="009531D1"/>
    <w:rsid w:val="00953287"/>
    <w:rsid w:val="009532F7"/>
    <w:rsid w:val="0095345D"/>
    <w:rsid w:val="009535D9"/>
    <w:rsid w:val="0095381A"/>
    <w:rsid w:val="00953916"/>
    <w:rsid w:val="00953B7F"/>
    <w:rsid w:val="00953BB0"/>
    <w:rsid w:val="00953D06"/>
    <w:rsid w:val="00953D1C"/>
    <w:rsid w:val="00953F3B"/>
    <w:rsid w:val="009543C4"/>
    <w:rsid w:val="00954454"/>
    <w:rsid w:val="00954483"/>
    <w:rsid w:val="00954576"/>
    <w:rsid w:val="0095459F"/>
    <w:rsid w:val="00954BC7"/>
    <w:rsid w:val="00954BD2"/>
    <w:rsid w:val="00954E6A"/>
    <w:rsid w:val="00954EF7"/>
    <w:rsid w:val="009550B2"/>
    <w:rsid w:val="009556CB"/>
    <w:rsid w:val="0095589A"/>
    <w:rsid w:val="00955B24"/>
    <w:rsid w:val="00955FE8"/>
    <w:rsid w:val="00956255"/>
    <w:rsid w:val="009563D3"/>
    <w:rsid w:val="009564BE"/>
    <w:rsid w:val="00956577"/>
    <w:rsid w:val="0095687F"/>
    <w:rsid w:val="00956A09"/>
    <w:rsid w:val="00956BD2"/>
    <w:rsid w:val="00956DF1"/>
    <w:rsid w:val="00956E20"/>
    <w:rsid w:val="00956E6D"/>
    <w:rsid w:val="00956EA5"/>
    <w:rsid w:val="00956FAE"/>
    <w:rsid w:val="00956FD6"/>
    <w:rsid w:val="00957031"/>
    <w:rsid w:val="0095742F"/>
    <w:rsid w:val="00957561"/>
    <w:rsid w:val="00957722"/>
    <w:rsid w:val="00957819"/>
    <w:rsid w:val="0095799F"/>
    <w:rsid w:val="00957E1E"/>
    <w:rsid w:val="00957EC1"/>
    <w:rsid w:val="00957F3B"/>
    <w:rsid w:val="00957F6E"/>
    <w:rsid w:val="009600A2"/>
    <w:rsid w:val="009601C8"/>
    <w:rsid w:val="009601D8"/>
    <w:rsid w:val="009601DA"/>
    <w:rsid w:val="0096020B"/>
    <w:rsid w:val="0096025B"/>
    <w:rsid w:val="0096063A"/>
    <w:rsid w:val="00960701"/>
    <w:rsid w:val="00960855"/>
    <w:rsid w:val="00960864"/>
    <w:rsid w:val="00960B08"/>
    <w:rsid w:val="00960B7D"/>
    <w:rsid w:val="00960D34"/>
    <w:rsid w:val="00960DA6"/>
    <w:rsid w:val="00960EFC"/>
    <w:rsid w:val="00960F3F"/>
    <w:rsid w:val="009610CE"/>
    <w:rsid w:val="0096113B"/>
    <w:rsid w:val="00961204"/>
    <w:rsid w:val="00961489"/>
    <w:rsid w:val="00961596"/>
    <w:rsid w:val="009618B4"/>
    <w:rsid w:val="009619FA"/>
    <w:rsid w:val="00961A67"/>
    <w:rsid w:val="00961C8E"/>
    <w:rsid w:val="00961F59"/>
    <w:rsid w:val="00962050"/>
    <w:rsid w:val="00962100"/>
    <w:rsid w:val="0096216C"/>
    <w:rsid w:val="0096222E"/>
    <w:rsid w:val="0096226D"/>
    <w:rsid w:val="009626E2"/>
    <w:rsid w:val="009628FF"/>
    <w:rsid w:val="00962986"/>
    <w:rsid w:val="00962B6A"/>
    <w:rsid w:val="00963162"/>
    <w:rsid w:val="00963319"/>
    <w:rsid w:val="009636A1"/>
    <w:rsid w:val="0096371F"/>
    <w:rsid w:val="00963754"/>
    <w:rsid w:val="0096396D"/>
    <w:rsid w:val="00963AE9"/>
    <w:rsid w:val="00963B12"/>
    <w:rsid w:val="00963D21"/>
    <w:rsid w:val="00963DA7"/>
    <w:rsid w:val="0096426B"/>
    <w:rsid w:val="009642D1"/>
    <w:rsid w:val="0096445A"/>
    <w:rsid w:val="009646B3"/>
    <w:rsid w:val="009647BB"/>
    <w:rsid w:val="009647D3"/>
    <w:rsid w:val="00964934"/>
    <w:rsid w:val="00964A74"/>
    <w:rsid w:val="00964C3E"/>
    <w:rsid w:val="00964D49"/>
    <w:rsid w:val="00964F93"/>
    <w:rsid w:val="009651DA"/>
    <w:rsid w:val="00965236"/>
    <w:rsid w:val="0096532D"/>
    <w:rsid w:val="0096534D"/>
    <w:rsid w:val="009654F8"/>
    <w:rsid w:val="0096558D"/>
    <w:rsid w:val="00965662"/>
    <w:rsid w:val="00965686"/>
    <w:rsid w:val="00965744"/>
    <w:rsid w:val="009657A6"/>
    <w:rsid w:val="009657E6"/>
    <w:rsid w:val="00965827"/>
    <w:rsid w:val="00965873"/>
    <w:rsid w:val="00965A73"/>
    <w:rsid w:val="00965AA3"/>
    <w:rsid w:val="00965C6E"/>
    <w:rsid w:val="00965D34"/>
    <w:rsid w:val="0096625F"/>
    <w:rsid w:val="009662EF"/>
    <w:rsid w:val="009663C9"/>
    <w:rsid w:val="00966416"/>
    <w:rsid w:val="00966672"/>
    <w:rsid w:val="009666CC"/>
    <w:rsid w:val="009668BB"/>
    <w:rsid w:val="009669B8"/>
    <w:rsid w:val="00966A04"/>
    <w:rsid w:val="00966ACB"/>
    <w:rsid w:val="00966ACF"/>
    <w:rsid w:val="00966B74"/>
    <w:rsid w:val="00966F19"/>
    <w:rsid w:val="00966FE8"/>
    <w:rsid w:val="00967108"/>
    <w:rsid w:val="00967473"/>
    <w:rsid w:val="00967632"/>
    <w:rsid w:val="0096767A"/>
    <w:rsid w:val="00967998"/>
    <w:rsid w:val="00967ADE"/>
    <w:rsid w:val="009704EB"/>
    <w:rsid w:val="00970527"/>
    <w:rsid w:val="009705D5"/>
    <w:rsid w:val="00970770"/>
    <w:rsid w:val="009707B6"/>
    <w:rsid w:val="0097093A"/>
    <w:rsid w:val="00970943"/>
    <w:rsid w:val="00970989"/>
    <w:rsid w:val="00970AB5"/>
    <w:rsid w:val="00970BC6"/>
    <w:rsid w:val="00970C28"/>
    <w:rsid w:val="00970C3C"/>
    <w:rsid w:val="00970D11"/>
    <w:rsid w:val="00970E34"/>
    <w:rsid w:val="00970E5A"/>
    <w:rsid w:val="00971096"/>
    <w:rsid w:val="009710E6"/>
    <w:rsid w:val="0097143A"/>
    <w:rsid w:val="009716A2"/>
    <w:rsid w:val="009716C3"/>
    <w:rsid w:val="00971896"/>
    <w:rsid w:val="0097190B"/>
    <w:rsid w:val="0097199F"/>
    <w:rsid w:val="009719AF"/>
    <w:rsid w:val="00971A54"/>
    <w:rsid w:val="00971EDD"/>
    <w:rsid w:val="00971F0B"/>
    <w:rsid w:val="009721BC"/>
    <w:rsid w:val="00972210"/>
    <w:rsid w:val="0097221E"/>
    <w:rsid w:val="00972226"/>
    <w:rsid w:val="009722E5"/>
    <w:rsid w:val="00972843"/>
    <w:rsid w:val="00972A17"/>
    <w:rsid w:val="00972B0F"/>
    <w:rsid w:val="00972B4D"/>
    <w:rsid w:val="00972CFF"/>
    <w:rsid w:val="00972E8B"/>
    <w:rsid w:val="00972FA2"/>
    <w:rsid w:val="009730FA"/>
    <w:rsid w:val="0097329E"/>
    <w:rsid w:val="009733A6"/>
    <w:rsid w:val="00973467"/>
    <w:rsid w:val="00973493"/>
    <w:rsid w:val="009734D2"/>
    <w:rsid w:val="0097356B"/>
    <w:rsid w:val="0097357F"/>
    <w:rsid w:val="00973646"/>
    <w:rsid w:val="00973690"/>
    <w:rsid w:val="00973986"/>
    <w:rsid w:val="0097399D"/>
    <w:rsid w:val="00973ABE"/>
    <w:rsid w:val="00973C8E"/>
    <w:rsid w:val="00973D64"/>
    <w:rsid w:val="00973DB6"/>
    <w:rsid w:val="00973E37"/>
    <w:rsid w:val="00973F0F"/>
    <w:rsid w:val="00973F23"/>
    <w:rsid w:val="00974023"/>
    <w:rsid w:val="00974112"/>
    <w:rsid w:val="0097458C"/>
    <w:rsid w:val="009745E2"/>
    <w:rsid w:val="00974667"/>
    <w:rsid w:val="0097474E"/>
    <w:rsid w:val="009747D1"/>
    <w:rsid w:val="00974809"/>
    <w:rsid w:val="0097480A"/>
    <w:rsid w:val="0097498C"/>
    <w:rsid w:val="00974B61"/>
    <w:rsid w:val="00974C26"/>
    <w:rsid w:val="00974DE7"/>
    <w:rsid w:val="00975243"/>
    <w:rsid w:val="009752AE"/>
    <w:rsid w:val="00975336"/>
    <w:rsid w:val="00975453"/>
    <w:rsid w:val="00975832"/>
    <w:rsid w:val="00975A2E"/>
    <w:rsid w:val="00975ACE"/>
    <w:rsid w:val="00975B3C"/>
    <w:rsid w:val="00975C3F"/>
    <w:rsid w:val="00975D5E"/>
    <w:rsid w:val="00975FAB"/>
    <w:rsid w:val="009760D3"/>
    <w:rsid w:val="009762A0"/>
    <w:rsid w:val="0097633B"/>
    <w:rsid w:val="009766F6"/>
    <w:rsid w:val="0097670F"/>
    <w:rsid w:val="0097698E"/>
    <w:rsid w:val="00976A73"/>
    <w:rsid w:val="00977401"/>
    <w:rsid w:val="00977465"/>
    <w:rsid w:val="00977530"/>
    <w:rsid w:val="00977838"/>
    <w:rsid w:val="009778B8"/>
    <w:rsid w:val="00977A48"/>
    <w:rsid w:val="00977BC0"/>
    <w:rsid w:val="00977F20"/>
    <w:rsid w:val="009800DE"/>
    <w:rsid w:val="009801D3"/>
    <w:rsid w:val="0098053C"/>
    <w:rsid w:val="00980621"/>
    <w:rsid w:val="00980675"/>
    <w:rsid w:val="0098075D"/>
    <w:rsid w:val="0098092D"/>
    <w:rsid w:val="00980B8F"/>
    <w:rsid w:val="0098132D"/>
    <w:rsid w:val="009813DD"/>
    <w:rsid w:val="009814AC"/>
    <w:rsid w:val="00981578"/>
    <w:rsid w:val="00981606"/>
    <w:rsid w:val="00981621"/>
    <w:rsid w:val="009816BD"/>
    <w:rsid w:val="009819D1"/>
    <w:rsid w:val="00981B86"/>
    <w:rsid w:val="00982224"/>
    <w:rsid w:val="00982393"/>
    <w:rsid w:val="0098278D"/>
    <w:rsid w:val="00982849"/>
    <w:rsid w:val="009828B8"/>
    <w:rsid w:val="00982AA6"/>
    <w:rsid w:val="00982C73"/>
    <w:rsid w:val="00982CDC"/>
    <w:rsid w:val="009830E7"/>
    <w:rsid w:val="0098318A"/>
    <w:rsid w:val="00983280"/>
    <w:rsid w:val="009834F5"/>
    <w:rsid w:val="009835C7"/>
    <w:rsid w:val="00983604"/>
    <w:rsid w:val="0098364E"/>
    <w:rsid w:val="00983755"/>
    <w:rsid w:val="009837FA"/>
    <w:rsid w:val="00983933"/>
    <w:rsid w:val="00983B47"/>
    <w:rsid w:val="00983B6D"/>
    <w:rsid w:val="00983BF4"/>
    <w:rsid w:val="00983D0D"/>
    <w:rsid w:val="00984039"/>
    <w:rsid w:val="009840A7"/>
    <w:rsid w:val="009841D1"/>
    <w:rsid w:val="009843DC"/>
    <w:rsid w:val="00984506"/>
    <w:rsid w:val="0098476B"/>
    <w:rsid w:val="00984774"/>
    <w:rsid w:val="0098485B"/>
    <w:rsid w:val="00984956"/>
    <w:rsid w:val="0098498E"/>
    <w:rsid w:val="009849D0"/>
    <w:rsid w:val="00984A9A"/>
    <w:rsid w:val="00984C10"/>
    <w:rsid w:val="00984CD3"/>
    <w:rsid w:val="00984CF2"/>
    <w:rsid w:val="00984DFE"/>
    <w:rsid w:val="00984EC9"/>
    <w:rsid w:val="00984EDD"/>
    <w:rsid w:val="00985089"/>
    <w:rsid w:val="009853DF"/>
    <w:rsid w:val="0098555E"/>
    <w:rsid w:val="0098560C"/>
    <w:rsid w:val="00985666"/>
    <w:rsid w:val="00985891"/>
    <w:rsid w:val="00985C5B"/>
    <w:rsid w:val="00985D20"/>
    <w:rsid w:val="00985FD0"/>
    <w:rsid w:val="00985FDA"/>
    <w:rsid w:val="0098616A"/>
    <w:rsid w:val="00986200"/>
    <w:rsid w:val="00986572"/>
    <w:rsid w:val="00986836"/>
    <w:rsid w:val="009868CF"/>
    <w:rsid w:val="009868E7"/>
    <w:rsid w:val="009868EC"/>
    <w:rsid w:val="00986901"/>
    <w:rsid w:val="00986988"/>
    <w:rsid w:val="00986AC3"/>
    <w:rsid w:val="00986D46"/>
    <w:rsid w:val="00986FB7"/>
    <w:rsid w:val="00987125"/>
    <w:rsid w:val="00987191"/>
    <w:rsid w:val="009872CE"/>
    <w:rsid w:val="00987496"/>
    <w:rsid w:val="00987835"/>
    <w:rsid w:val="00987892"/>
    <w:rsid w:val="009879CD"/>
    <w:rsid w:val="00987A32"/>
    <w:rsid w:val="00987ACE"/>
    <w:rsid w:val="00987E89"/>
    <w:rsid w:val="00987FB1"/>
    <w:rsid w:val="00990030"/>
    <w:rsid w:val="009908AB"/>
    <w:rsid w:val="00990A6E"/>
    <w:rsid w:val="00990A78"/>
    <w:rsid w:val="00990CF0"/>
    <w:rsid w:val="00990D18"/>
    <w:rsid w:val="00990EA0"/>
    <w:rsid w:val="00990FB5"/>
    <w:rsid w:val="009910F6"/>
    <w:rsid w:val="00991273"/>
    <w:rsid w:val="009912C5"/>
    <w:rsid w:val="009913D6"/>
    <w:rsid w:val="009915DE"/>
    <w:rsid w:val="009916D0"/>
    <w:rsid w:val="0099174B"/>
    <w:rsid w:val="009917F1"/>
    <w:rsid w:val="00991861"/>
    <w:rsid w:val="00991D45"/>
    <w:rsid w:val="00991F4F"/>
    <w:rsid w:val="009923FA"/>
    <w:rsid w:val="00992562"/>
    <w:rsid w:val="009925C7"/>
    <w:rsid w:val="00992600"/>
    <w:rsid w:val="009926C7"/>
    <w:rsid w:val="009926ED"/>
    <w:rsid w:val="009928A4"/>
    <w:rsid w:val="00992AFD"/>
    <w:rsid w:val="00992D76"/>
    <w:rsid w:val="00992DBC"/>
    <w:rsid w:val="00992E49"/>
    <w:rsid w:val="00992E55"/>
    <w:rsid w:val="00992F42"/>
    <w:rsid w:val="00992F4E"/>
    <w:rsid w:val="0099393C"/>
    <w:rsid w:val="00993988"/>
    <w:rsid w:val="009939CD"/>
    <w:rsid w:val="00993A1E"/>
    <w:rsid w:val="00993A34"/>
    <w:rsid w:val="00993A81"/>
    <w:rsid w:val="00993B25"/>
    <w:rsid w:val="00993DCB"/>
    <w:rsid w:val="00993F68"/>
    <w:rsid w:val="0099430D"/>
    <w:rsid w:val="0099437B"/>
    <w:rsid w:val="009943B1"/>
    <w:rsid w:val="00994513"/>
    <w:rsid w:val="0099483F"/>
    <w:rsid w:val="009949EE"/>
    <w:rsid w:val="00994A83"/>
    <w:rsid w:val="00994F1E"/>
    <w:rsid w:val="00994FBC"/>
    <w:rsid w:val="00994FE4"/>
    <w:rsid w:val="009950DB"/>
    <w:rsid w:val="0099513A"/>
    <w:rsid w:val="0099513D"/>
    <w:rsid w:val="009952B3"/>
    <w:rsid w:val="00995667"/>
    <w:rsid w:val="00995730"/>
    <w:rsid w:val="0099574B"/>
    <w:rsid w:val="00995FD1"/>
    <w:rsid w:val="00996344"/>
    <w:rsid w:val="009963D0"/>
    <w:rsid w:val="00996473"/>
    <w:rsid w:val="009968FA"/>
    <w:rsid w:val="00996B1A"/>
    <w:rsid w:val="00996B76"/>
    <w:rsid w:val="00996E11"/>
    <w:rsid w:val="00996F04"/>
    <w:rsid w:val="00996F95"/>
    <w:rsid w:val="00996F96"/>
    <w:rsid w:val="009972E0"/>
    <w:rsid w:val="00997541"/>
    <w:rsid w:val="00997542"/>
    <w:rsid w:val="0099758A"/>
    <w:rsid w:val="0099781D"/>
    <w:rsid w:val="00997AB1"/>
    <w:rsid w:val="00997B2C"/>
    <w:rsid w:val="00997B37"/>
    <w:rsid w:val="00997E95"/>
    <w:rsid w:val="00997F36"/>
    <w:rsid w:val="00997F81"/>
    <w:rsid w:val="00997F8E"/>
    <w:rsid w:val="00997FCD"/>
    <w:rsid w:val="009A0137"/>
    <w:rsid w:val="009A0197"/>
    <w:rsid w:val="009A0209"/>
    <w:rsid w:val="009A02DC"/>
    <w:rsid w:val="009A058F"/>
    <w:rsid w:val="009A0824"/>
    <w:rsid w:val="009A097F"/>
    <w:rsid w:val="009A0ADB"/>
    <w:rsid w:val="009A0BC8"/>
    <w:rsid w:val="009A0E95"/>
    <w:rsid w:val="009A0EC1"/>
    <w:rsid w:val="009A102C"/>
    <w:rsid w:val="009A1116"/>
    <w:rsid w:val="009A133C"/>
    <w:rsid w:val="009A1421"/>
    <w:rsid w:val="009A14B6"/>
    <w:rsid w:val="009A19C7"/>
    <w:rsid w:val="009A19F7"/>
    <w:rsid w:val="009A1A62"/>
    <w:rsid w:val="009A1CCC"/>
    <w:rsid w:val="009A1D23"/>
    <w:rsid w:val="009A1D72"/>
    <w:rsid w:val="009A1E5D"/>
    <w:rsid w:val="009A1E63"/>
    <w:rsid w:val="009A21A6"/>
    <w:rsid w:val="009A2453"/>
    <w:rsid w:val="009A2493"/>
    <w:rsid w:val="009A2502"/>
    <w:rsid w:val="009A26E2"/>
    <w:rsid w:val="009A2B1A"/>
    <w:rsid w:val="009A2D7F"/>
    <w:rsid w:val="009A2E47"/>
    <w:rsid w:val="009A2F1C"/>
    <w:rsid w:val="009A2F65"/>
    <w:rsid w:val="009A324A"/>
    <w:rsid w:val="009A3396"/>
    <w:rsid w:val="009A33CD"/>
    <w:rsid w:val="009A3834"/>
    <w:rsid w:val="009A387E"/>
    <w:rsid w:val="009A38A9"/>
    <w:rsid w:val="009A3BB3"/>
    <w:rsid w:val="009A3E1E"/>
    <w:rsid w:val="009A3E54"/>
    <w:rsid w:val="009A3FB7"/>
    <w:rsid w:val="009A4120"/>
    <w:rsid w:val="009A41C5"/>
    <w:rsid w:val="009A429F"/>
    <w:rsid w:val="009A433E"/>
    <w:rsid w:val="009A4369"/>
    <w:rsid w:val="009A4660"/>
    <w:rsid w:val="009A4919"/>
    <w:rsid w:val="009A493A"/>
    <w:rsid w:val="009A4D25"/>
    <w:rsid w:val="009A4F53"/>
    <w:rsid w:val="009A50B7"/>
    <w:rsid w:val="009A5116"/>
    <w:rsid w:val="009A5144"/>
    <w:rsid w:val="009A5397"/>
    <w:rsid w:val="009A55CA"/>
    <w:rsid w:val="009A56EA"/>
    <w:rsid w:val="009A5707"/>
    <w:rsid w:val="009A590F"/>
    <w:rsid w:val="009A5953"/>
    <w:rsid w:val="009A59FF"/>
    <w:rsid w:val="009A5D2C"/>
    <w:rsid w:val="009A5D81"/>
    <w:rsid w:val="009A61A6"/>
    <w:rsid w:val="009A625A"/>
    <w:rsid w:val="009A6260"/>
    <w:rsid w:val="009A6341"/>
    <w:rsid w:val="009A645D"/>
    <w:rsid w:val="009A64D0"/>
    <w:rsid w:val="009A69CA"/>
    <w:rsid w:val="009A6A1C"/>
    <w:rsid w:val="009A6A1D"/>
    <w:rsid w:val="009A6AA6"/>
    <w:rsid w:val="009A6B30"/>
    <w:rsid w:val="009A6BCA"/>
    <w:rsid w:val="009A6C90"/>
    <w:rsid w:val="009A6CAA"/>
    <w:rsid w:val="009A6E6C"/>
    <w:rsid w:val="009A6FE7"/>
    <w:rsid w:val="009A7054"/>
    <w:rsid w:val="009A70BB"/>
    <w:rsid w:val="009A7280"/>
    <w:rsid w:val="009A75FA"/>
    <w:rsid w:val="009A763B"/>
    <w:rsid w:val="009A7806"/>
    <w:rsid w:val="009A7905"/>
    <w:rsid w:val="009A7E70"/>
    <w:rsid w:val="009B018E"/>
    <w:rsid w:val="009B01C8"/>
    <w:rsid w:val="009B039B"/>
    <w:rsid w:val="009B04EA"/>
    <w:rsid w:val="009B068F"/>
    <w:rsid w:val="009B094B"/>
    <w:rsid w:val="009B0D9C"/>
    <w:rsid w:val="009B0DC1"/>
    <w:rsid w:val="009B0E8D"/>
    <w:rsid w:val="009B0F66"/>
    <w:rsid w:val="009B10D2"/>
    <w:rsid w:val="009B112A"/>
    <w:rsid w:val="009B128E"/>
    <w:rsid w:val="009B12B4"/>
    <w:rsid w:val="009B13D5"/>
    <w:rsid w:val="009B1516"/>
    <w:rsid w:val="009B158E"/>
    <w:rsid w:val="009B183E"/>
    <w:rsid w:val="009B1930"/>
    <w:rsid w:val="009B1953"/>
    <w:rsid w:val="009B1C33"/>
    <w:rsid w:val="009B1FC3"/>
    <w:rsid w:val="009B2029"/>
    <w:rsid w:val="009B20FE"/>
    <w:rsid w:val="009B2294"/>
    <w:rsid w:val="009B23E6"/>
    <w:rsid w:val="009B2597"/>
    <w:rsid w:val="009B268B"/>
    <w:rsid w:val="009B268C"/>
    <w:rsid w:val="009B2948"/>
    <w:rsid w:val="009B2B7C"/>
    <w:rsid w:val="009B2BC3"/>
    <w:rsid w:val="009B3088"/>
    <w:rsid w:val="009B31D7"/>
    <w:rsid w:val="009B32CE"/>
    <w:rsid w:val="009B33DD"/>
    <w:rsid w:val="009B366D"/>
    <w:rsid w:val="009B39BB"/>
    <w:rsid w:val="009B3B1D"/>
    <w:rsid w:val="009B3B5D"/>
    <w:rsid w:val="009B3BA6"/>
    <w:rsid w:val="009B3D4F"/>
    <w:rsid w:val="009B3D55"/>
    <w:rsid w:val="009B3EE7"/>
    <w:rsid w:val="009B41DC"/>
    <w:rsid w:val="009B44E8"/>
    <w:rsid w:val="009B4581"/>
    <w:rsid w:val="009B4678"/>
    <w:rsid w:val="009B4758"/>
    <w:rsid w:val="009B47F0"/>
    <w:rsid w:val="009B4812"/>
    <w:rsid w:val="009B488D"/>
    <w:rsid w:val="009B499A"/>
    <w:rsid w:val="009B4BEA"/>
    <w:rsid w:val="009B4F2C"/>
    <w:rsid w:val="009B51E6"/>
    <w:rsid w:val="009B52C5"/>
    <w:rsid w:val="009B5351"/>
    <w:rsid w:val="009B5629"/>
    <w:rsid w:val="009B5682"/>
    <w:rsid w:val="009B576F"/>
    <w:rsid w:val="009B589C"/>
    <w:rsid w:val="009B58F0"/>
    <w:rsid w:val="009B5942"/>
    <w:rsid w:val="009B5A19"/>
    <w:rsid w:val="009B5B67"/>
    <w:rsid w:val="009B5D59"/>
    <w:rsid w:val="009B6101"/>
    <w:rsid w:val="009B613D"/>
    <w:rsid w:val="009B61E1"/>
    <w:rsid w:val="009B647B"/>
    <w:rsid w:val="009B64D3"/>
    <w:rsid w:val="009B65A7"/>
    <w:rsid w:val="009B679B"/>
    <w:rsid w:val="009B6C23"/>
    <w:rsid w:val="009B6C5A"/>
    <w:rsid w:val="009B6D8D"/>
    <w:rsid w:val="009B6F55"/>
    <w:rsid w:val="009B717E"/>
    <w:rsid w:val="009B733C"/>
    <w:rsid w:val="009B766E"/>
    <w:rsid w:val="009B770B"/>
    <w:rsid w:val="009B7904"/>
    <w:rsid w:val="009B7CC8"/>
    <w:rsid w:val="009B7CE3"/>
    <w:rsid w:val="009B7CF3"/>
    <w:rsid w:val="009B7FD2"/>
    <w:rsid w:val="009C0044"/>
    <w:rsid w:val="009C01EA"/>
    <w:rsid w:val="009C0334"/>
    <w:rsid w:val="009C03FD"/>
    <w:rsid w:val="009C058A"/>
    <w:rsid w:val="009C05AD"/>
    <w:rsid w:val="009C08D3"/>
    <w:rsid w:val="009C0924"/>
    <w:rsid w:val="009C0C46"/>
    <w:rsid w:val="009C0E11"/>
    <w:rsid w:val="009C0E47"/>
    <w:rsid w:val="009C0EDA"/>
    <w:rsid w:val="009C112B"/>
    <w:rsid w:val="009C117D"/>
    <w:rsid w:val="009C13EF"/>
    <w:rsid w:val="009C1517"/>
    <w:rsid w:val="009C1593"/>
    <w:rsid w:val="009C15BB"/>
    <w:rsid w:val="009C17C3"/>
    <w:rsid w:val="009C1952"/>
    <w:rsid w:val="009C1ED7"/>
    <w:rsid w:val="009C2037"/>
    <w:rsid w:val="009C22E7"/>
    <w:rsid w:val="009C22F1"/>
    <w:rsid w:val="009C259C"/>
    <w:rsid w:val="009C26DB"/>
    <w:rsid w:val="009C2822"/>
    <w:rsid w:val="009C28D2"/>
    <w:rsid w:val="009C28ED"/>
    <w:rsid w:val="009C2DEF"/>
    <w:rsid w:val="009C2F57"/>
    <w:rsid w:val="009C3109"/>
    <w:rsid w:val="009C32EE"/>
    <w:rsid w:val="009C3396"/>
    <w:rsid w:val="009C33EE"/>
    <w:rsid w:val="009C3442"/>
    <w:rsid w:val="009C353F"/>
    <w:rsid w:val="009C3698"/>
    <w:rsid w:val="009C3738"/>
    <w:rsid w:val="009C3995"/>
    <w:rsid w:val="009C39F7"/>
    <w:rsid w:val="009C3AE8"/>
    <w:rsid w:val="009C3B01"/>
    <w:rsid w:val="009C3BBF"/>
    <w:rsid w:val="009C3C8F"/>
    <w:rsid w:val="009C3E49"/>
    <w:rsid w:val="009C3EBE"/>
    <w:rsid w:val="009C3FBA"/>
    <w:rsid w:val="009C40C8"/>
    <w:rsid w:val="009C41FC"/>
    <w:rsid w:val="009C4252"/>
    <w:rsid w:val="009C45FF"/>
    <w:rsid w:val="009C47C6"/>
    <w:rsid w:val="009C4AFC"/>
    <w:rsid w:val="009C4E16"/>
    <w:rsid w:val="009C4E71"/>
    <w:rsid w:val="009C4E7F"/>
    <w:rsid w:val="009C4F84"/>
    <w:rsid w:val="009C594C"/>
    <w:rsid w:val="009C5999"/>
    <w:rsid w:val="009C59B0"/>
    <w:rsid w:val="009C5ADC"/>
    <w:rsid w:val="009C5BBD"/>
    <w:rsid w:val="009C5DEE"/>
    <w:rsid w:val="009C61B4"/>
    <w:rsid w:val="009C61F6"/>
    <w:rsid w:val="009C652F"/>
    <w:rsid w:val="009C6668"/>
    <w:rsid w:val="009C6724"/>
    <w:rsid w:val="009C684C"/>
    <w:rsid w:val="009C6861"/>
    <w:rsid w:val="009C68A7"/>
    <w:rsid w:val="009C6CB5"/>
    <w:rsid w:val="009C6D1A"/>
    <w:rsid w:val="009C6DC1"/>
    <w:rsid w:val="009C6DEA"/>
    <w:rsid w:val="009C6E7A"/>
    <w:rsid w:val="009C6F40"/>
    <w:rsid w:val="009C6FCB"/>
    <w:rsid w:val="009C7402"/>
    <w:rsid w:val="009C79C3"/>
    <w:rsid w:val="009C7A03"/>
    <w:rsid w:val="009C7BDC"/>
    <w:rsid w:val="009C7CEA"/>
    <w:rsid w:val="009C7E36"/>
    <w:rsid w:val="009D0460"/>
    <w:rsid w:val="009D071C"/>
    <w:rsid w:val="009D0736"/>
    <w:rsid w:val="009D08ED"/>
    <w:rsid w:val="009D095F"/>
    <w:rsid w:val="009D0A84"/>
    <w:rsid w:val="009D0A9A"/>
    <w:rsid w:val="009D0B0C"/>
    <w:rsid w:val="009D0C75"/>
    <w:rsid w:val="009D0C8E"/>
    <w:rsid w:val="009D0D50"/>
    <w:rsid w:val="009D0ECA"/>
    <w:rsid w:val="009D0EDF"/>
    <w:rsid w:val="009D100F"/>
    <w:rsid w:val="009D1052"/>
    <w:rsid w:val="009D1290"/>
    <w:rsid w:val="009D1332"/>
    <w:rsid w:val="009D143E"/>
    <w:rsid w:val="009D17AE"/>
    <w:rsid w:val="009D17E7"/>
    <w:rsid w:val="009D19B5"/>
    <w:rsid w:val="009D1D83"/>
    <w:rsid w:val="009D1E48"/>
    <w:rsid w:val="009D25B0"/>
    <w:rsid w:val="009D2751"/>
    <w:rsid w:val="009D2826"/>
    <w:rsid w:val="009D2B96"/>
    <w:rsid w:val="009D2D28"/>
    <w:rsid w:val="009D2F4C"/>
    <w:rsid w:val="009D2F7C"/>
    <w:rsid w:val="009D2FED"/>
    <w:rsid w:val="009D30BC"/>
    <w:rsid w:val="009D31FC"/>
    <w:rsid w:val="009D33C2"/>
    <w:rsid w:val="009D34C5"/>
    <w:rsid w:val="009D375A"/>
    <w:rsid w:val="009D37C6"/>
    <w:rsid w:val="009D38A1"/>
    <w:rsid w:val="009D3A67"/>
    <w:rsid w:val="009D3AE4"/>
    <w:rsid w:val="009D3D9E"/>
    <w:rsid w:val="009D3DC7"/>
    <w:rsid w:val="009D3E04"/>
    <w:rsid w:val="009D3E52"/>
    <w:rsid w:val="009D3E96"/>
    <w:rsid w:val="009D3F69"/>
    <w:rsid w:val="009D3FE0"/>
    <w:rsid w:val="009D411F"/>
    <w:rsid w:val="009D41CE"/>
    <w:rsid w:val="009D4395"/>
    <w:rsid w:val="009D46AD"/>
    <w:rsid w:val="009D49C2"/>
    <w:rsid w:val="009D4C54"/>
    <w:rsid w:val="009D4EF4"/>
    <w:rsid w:val="009D52E5"/>
    <w:rsid w:val="009D54A5"/>
    <w:rsid w:val="009D561D"/>
    <w:rsid w:val="009D5673"/>
    <w:rsid w:val="009D5680"/>
    <w:rsid w:val="009D5D6B"/>
    <w:rsid w:val="009D5E19"/>
    <w:rsid w:val="009D6008"/>
    <w:rsid w:val="009D6190"/>
    <w:rsid w:val="009D624D"/>
    <w:rsid w:val="009D62B4"/>
    <w:rsid w:val="009D63F7"/>
    <w:rsid w:val="009D64D6"/>
    <w:rsid w:val="009D659E"/>
    <w:rsid w:val="009D65BD"/>
    <w:rsid w:val="009D6672"/>
    <w:rsid w:val="009D66FB"/>
    <w:rsid w:val="009D6BE1"/>
    <w:rsid w:val="009D6DF4"/>
    <w:rsid w:val="009D6E7F"/>
    <w:rsid w:val="009D70AD"/>
    <w:rsid w:val="009D72D7"/>
    <w:rsid w:val="009D7471"/>
    <w:rsid w:val="009D7483"/>
    <w:rsid w:val="009D75AC"/>
    <w:rsid w:val="009D7953"/>
    <w:rsid w:val="009D79DE"/>
    <w:rsid w:val="009D7EDF"/>
    <w:rsid w:val="009E0247"/>
    <w:rsid w:val="009E0560"/>
    <w:rsid w:val="009E06F8"/>
    <w:rsid w:val="009E0843"/>
    <w:rsid w:val="009E085C"/>
    <w:rsid w:val="009E0B60"/>
    <w:rsid w:val="009E0E76"/>
    <w:rsid w:val="009E1021"/>
    <w:rsid w:val="009E1081"/>
    <w:rsid w:val="009E10B7"/>
    <w:rsid w:val="009E11D2"/>
    <w:rsid w:val="009E1435"/>
    <w:rsid w:val="009E14E6"/>
    <w:rsid w:val="009E15DD"/>
    <w:rsid w:val="009E18FF"/>
    <w:rsid w:val="009E1942"/>
    <w:rsid w:val="009E1C8D"/>
    <w:rsid w:val="009E1D38"/>
    <w:rsid w:val="009E2255"/>
    <w:rsid w:val="009E2575"/>
    <w:rsid w:val="009E2786"/>
    <w:rsid w:val="009E28C8"/>
    <w:rsid w:val="009E2A0D"/>
    <w:rsid w:val="009E2BCF"/>
    <w:rsid w:val="009E2C5D"/>
    <w:rsid w:val="009E2E3D"/>
    <w:rsid w:val="009E2EC4"/>
    <w:rsid w:val="009E3293"/>
    <w:rsid w:val="009E3490"/>
    <w:rsid w:val="009E3530"/>
    <w:rsid w:val="009E390B"/>
    <w:rsid w:val="009E3D15"/>
    <w:rsid w:val="009E3D5A"/>
    <w:rsid w:val="009E442D"/>
    <w:rsid w:val="009E446A"/>
    <w:rsid w:val="009E455C"/>
    <w:rsid w:val="009E4591"/>
    <w:rsid w:val="009E45AD"/>
    <w:rsid w:val="009E4622"/>
    <w:rsid w:val="009E464B"/>
    <w:rsid w:val="009E4856"/>
    <w:rsid w:val="009E491F"/>
    <w:rsid w:val="009E496B"/>
    <w:rsid w:val="009E4970"/>
    <w:rsid w:val="009E498D"/>
    <w:rsid w:val="009E4A8D"/>
    <w:rsid w:val="009E4A8E"/>
    <w:rsid w:val="009E4AC0"/>
    <w:rsid w:val="009E4B74"/>
    <w:rsid w:val="009E4BF8"/>
    <w:rsid w:val="009E4C21"/>
    <w:rsid w:val="009E4C78"/>
    <w:rsid w:val="009E4CA3"/>
    <w:rsid w:val="009E4CD0"/>
    <w:rsid w:val="009E4D4E"/>
    <w:rsid w:val="009E4EFD"/>
    <w:rsid w:val="009E502D"/>
    <w:rsid w:val="009E540B"/>
    <w:rsid w:val="009E5452"/>
    <w:rsid w:val="009E554F"/>
    <w:rsid w:val="009E5650"/>
    <w:rsid w:val="009E565D"/>
    <w:rsid w:val="009E5684"/>
    <w:rsid w:val="009E5788"/>
    <w:rsid w:val="009E5856"/>
    <w:rsid w:val="009E58A6"/>
    <w:rsid w:val="009E58B7"/>
    <w:rsid w:val="009E5AF1"/>
    <w:rsid w:val="009E5B24"/>
    <w:rsid w:val="009E5C91"/>
    <w:rsid w:val="009E5DCF"/>
    <w:rsid w:val="009E5EAC"/>
    <w:rsid w:val="009E5FC5"/>
    <w:rsid w:val="009E607D"/>
    <w:rsid w:val="009E6157"/>
    <w:rsid w:val="009E6353"/>
    <w:rsid w:val="009E66F1"/>
    <w:rsid w:val="009E6A20"/>
    <w:rsid w:val="009E6A34"/>
    <w:rsid w:val="009E6AE1"/>
    <w:rsid w:val="009E6AF6"/>
    <w:rsid w:val="009E6B4D"/>
    <w:rsid w:val="009E6CB5"/>
    <w:rsid w:val="009E6D03"/>
    <w:rsid w:val="009E6DA3"/>
    <w:rsid w:val="009E6F08"/>
    <w:rsid w:val="009E7015"/>
    <w:rsid w:val="009E7081"/>
    <w:rsid w:val="009E72E9"/>
    <w:rsid w:val="009E7684"/>
    <w:rsid w:val="009E76D3"/>
    <w:rsid w:val="009E793B"/>
    <w:rsid w:val="009E7C71"/>
    <w:rsid w:val="009E7C78"/>
    <w:rsid w:val="009E7CDC"/>
    <w:rsid w:val="009E7D5C"/>
    <w:rsid w:val="009E7E0C"/>
    <w:rsid w:val="009E7F8F"/>
    <w:rsid w:val="009E9589"/>
    <w:rsid w:val="009F0481"/>
    <w:rsid w:val="009F0663"/>
    <w:rsid w:val="009F077B"/>
    <w:rsid w:val="009F0C35"/>
    <w:rsid w:val="009F0D8D"/>
    <w:rsid w:val="009F0FA4"/>
    <w:rsid w:val="009F1022"/>
    <w:rsid w:val="009F1150"/>
    <w:rsid w:val="009F1195"/>
    <w:rsid w:val="009F1220"/>
    <w:rsid w:val="009F1266"/>
    <w:rsid w:val="009F1493"/>
    <w:rsid w:val="009F14E9"/>
    <w:rsid w:val="009F161E"/>
    <w:rsid w:val="009F1831"/>
    <w:rsid w:val="009F18C6"/>
    <w:rsid w:val="009F18CB"/>
    <w:rsid w:val="009F1A3C"/>
    <w:rsid w:val="009F1C28"/>
    <w:rsid w:val="009F1DE9"/>
    <w:rsid w:val="009F1EA7"/>
    <w:rsid w:val="009F2073"/>
    <w:rsid w:val="009F215A"/>
    <w:rsid w:val="009F2828"/>
    <w:rsid w:val="009F28BD"/>
    <w:rsid w:val="009F29D0"/>
    <w:rsid w:val="009F2A65"/>
    <w:rsid w:val="009F2AD4"/>
    <w:rsid w:val="009F2C05"/>
    <w:rsid w:val="009F2CB4"/>
    <w:rsid w:val="009F2CD2"/>
    <w:rsid w:val="009F2D39"/>
    <w:rsid w:val="009F2FDF"/>
    <w:rsid w:val="009F304B"/>
    <w:rsid w:val="009F3180"/>
    <w:rsid w:val="009F31A1"/>
    <w:rsid w:val="009F3508"/>
    <w:rsid w:val="009F3617"/>
    <w:rsid w:val="009F373C"/>
    <w:rsid w:val="009F3830"/>
    <w:rsid w:val="009F3965"/>
    <w:rsid w:val="009F3AE2"/>
    <w:rsid w:val="009F3B60"/>
    <w:rsid w:val="009F3B75"/>
    <w:rsid w:val="009F3D08"/>
    <w:rsid w:val="009F42BD"/>
    <w:rsid w:val="009F4354"/>
    <w:rsid w:val="009F43A4"/>
    <w:rsid w:val="009F4479"/>
    <w:rsid w:val="009F44EB"/>
    <w:rsid w:val="009F4912"/>
    <w:rsid w:val="009F4D97"/>
    <w:rsid w:val="009F4E1C"/>
    <w:rsid w:val="009F4E8C"/>
    <w:rsid w:val="009F5948"/>
    <w:rsid w:val="009F59A5"/>
    <w:rsid w:val="009F59AE"/>
    <w:rsid w:val="009F5A3C"/>
    <w:rsid w:val="009F5D93"/>
    <w:rsid w:val="009F5E6E"/>
    <w:rsid w:val="009F5F5D"/>
    <w:rsid w:val="009F5F94"/>
    <w:rsid w:val="009F602D"/>
    <w:rsid w:val="009F62B6"/>
    <w:rsid w:val="009F6392"/>
    <w:rsid w:val="009F63B3"/>
    <w:rsid w:val="009F668B"/>
    <w:rsid w:val="009F6760"/>
    <w:rsid w:val="009F67F9"/>
    <w:rsid w:val="009F6882"/>
    <w:rsid w:val="009F6BDF"/>
    <w:rsid w:val="009F6C11"/>
    <w:rsid w:val="009F6C3E"/>
    <w:rsid w:val="009F6FB6"/>
    <w:rsid w:val="009F6FEF"/>
    <w:rsid w:val="009F7026"/>
    <w:rsid w:val="009F702C"/>
    <w:rsid w:val="009F7114"/>
    <w:rsid w:val="009F773E"/>
    <w:rsid w:val="009F77F5"/>
    <w:rsid w:val="009F7A6B"/>
    <w:rsid w:val="009F7B14"/>
    <w:rsid w:val="009F7B8C"/>
    <w:rsid w:val="009F7BA4"/>
    <w:rsid w:val="00A00011"/>
    <w:rsid w:val="00A000D4"/>
    <w:rsid w:val="00A00129"/>
    <w:rsid w:val="00A00155"/>
    <w:rsid w:val="00A002E4"/>
    <w:rsid w:val="00A003EE"/>
    <w:rsid w:val="00A008C5"/>
    <w:rsid w:val="00A0092F"/>
    <w:rsid w:val="00A00953"/>
    <w:rsid w:val="00A00CFE"/>
    <w:rsid w:val="00A01182"/>
    <w:rsid w:val="00A012C7"/>
    <w:rsid w:val="00A01487"/>
    <w:rsid w:val="00A017F2"/>
    <w:rsid w:val="00A0181C"/>
    <w:rsid w:val="00A01856"/>
    <w:rsid w:val="00A019EE"/>
    <w:rsid w:val="00A01A55"/>
    <w:rsid w:val="00A01A98"/>
    <w:rsid w:val="00A01BB1"/>
    <w:rsid w:val="00A01BC6"/>
    <w:rsid w:val="00A01DFF"/>
    <w:rsid w:val="00A01F5C"/>
    <w:rsid w:val="00A020EE"/>
    <w:rsid w:val="00A024B6"/>
    <w:rsid w:val="00A0266F"/>
    <w:rsid w:val="00A0280B"/>
    <w:rsid w:val="00A028D8"/>
    <w:rsid w:val="00A02A66"/>
    <w:rsid w:val="00A02C0F"/>
    <w:rsid w:val="00A03193"/>
    <w:rsid w:val="00A03307"/>
    <w:rsid w:val="00A033C9"/>
    <w:rsid w:val="00A033D3"/>
    <w:rsid w:val="00A03471"/>
    <w:rsid w:val="00A03718"/>
    <w:rsid w:val="00A03803"/>
    <w:rsid w:val="00A038C4"/>
    <w:rsid w:val="00A038D3"/>
    <w:rsid w:val="00A03D7B"/>
    <w:rsid w:val="00A03E04"/>
    <w:rsid w:val="00A03FF9"/>
    <w:rsid w:val="00A0415C"/>
    <w:rsid w:val="00A042E8"/>
    <w:rsid w:val="00A043D9"/>
    <w:rsid w:val="00A0455C"/>
    <w:rsid w:val="00A045EB"/>
    <w:rsid w:val="00A0461A"/>
    <w:rsid w:val="00A04696"/>
    <w:rsid w:val="00A0470B"/>
    <w:rsid w:val="00A0479E"/>
    <w:rsid w:val="00A047A8"/>
    <w:rsid w:val="00A047E7"/>
    <w:rsid w:val="00A0487E"/>
    <w:rsid w:val="00A04D22"/>
    <w:rsid w:val="00A04FD6"/>
    <w:rsid w:val="00A0509C"/>
    <w:rsid w:val="00A052CC"/>
    <w:rsid w:val="00A05562"/>
    <w:rsid w:val="00A055BB"/>
    <w:rsid w:val="00A055D1"/>
    <w:rsid w:val="00A055F6"/>
    <w:rsid w:val="00A05739"/>
    <w:rsid w:val="00A0576F"/>
    <w:rsid w:val="00A0579E"/>
    <w:rsid w:val="00A058EB"/>
    <w:rsid w:val="00A05B96"/>
    <w:rsid w:val="00A05D1B"/>
    <w:rsid w:val="00A062A8"/>
    <w:rsid w:val="00A064E7"/>
    <w:rsid w:val="00A067B7"/>
    <w:rsid w:val="00A06804"/>
    <w:rsid w:val="00A06867"/>
    <w:rsid w:val="00A06945"/>
    <w:rsid w:val="00A06B94"/>
    <w:rsid w:val="00A06E38"/>
    <w:rsid w:val="00A06EA3"/>
    <w:rsid w:val="00A06EDE"/>
    <w:rsid w:val="00A06F12"/>
    <w:rsid w:val="00A06F5D"/>
    <w:rsid w:val="00A07233"/>
    <w:rsid w:val="00A07411"/>
    <w:rsid w:val="00A074E4"/>
    <w:rsid w:val="00A075FA"/>
    <w:rsid w:val="00A07662"/>
    <w:rsid w:val="00A07682"/>
    <w:rsid w:val="00A07697"/>
    <w:rsid w:val="00A07971"/>
    <w:rsid w:val="00A079E9"/>
    <w:rsid w:val="00A079F1"/>
    <w:rsid w:val="00A07D22"/>
    <w:rsid w:val="00A07D24"/>
    <w:rsid w:val="00A07DF1"/>
    <w:rsid w:val="00A07E26"/>
    <w:rsid w:val="00A1039E"/>
    <w:rsid w:val="00A10584"/>
    <w:rsid w:val="00A105D5"/>
    <w:rsid w:val="00A106F9"/>
    <w:rsid w:val="00A10836"/>
    <w:rsid w:val="00A108E1"/>
    <w:rsid w:val="00A10EE7"/>
    <w:rsid w:val="00A1113C"/>
    <w:rsid w:val="00A11563"/>
    <w:rsid w:val="00A11B07"/>
    <w:rsid w:val="00A11C96"/>
    <w:rsid w:val="00A11C9F"/>
    <w:rsid w:val="00A11D2B"/>
    <w:rsid w:val="00A11DF9"/>
    <w:rsid w:val="00A11F9E"/>
    <w:rsid w:val="00A1211C"/>
    <w:rsid w:val="00A1211F"/>
    <w:rsid w:val="00A12252"/>
    <w:rsid w:val="00A1228F"/>
    <w:rsid w:val="00A12350"/>
    <w:rsid w:val="00A12371"/>
    <w:rsid w:val="00A12423"/>
    <w:rsid w:val="00A124B2"/>
    <w:rsid w:val="00A1254B"/>
    <w:rsid w:val="00A12795"/>
    <w:rsid w:val="00A1281F"/>
    <w:rsid w:val="00A1285D"/>
    <w:rsid w:val="00A128DF"/>
    <w:rsid w:val="00A1292A"/>
    <w:rsid w:val="00A1293A"/>
    <w:rsid w:val="00A12955"/>
    <w:rsid w:val="00A12D30"/>
    <w:rsid w:val="00A1324B"/>
    <w:rsid w:val="00A133D2"/>
    <w:rsid w:val="00A13411"/>
    <w:rsid w:val="00A13437"/>
    <w:rsid w:val="00A134C3"/>
    <w:rsid w:val="00A13566"/>
    <w:rsid w:val="00A135A9"/>
    <w:rsid w:val="00A1360D"/>
    <w:rsid w:val="00A137F1"/>
    <w:rsid w:val="00A13802"/>
    <w:rsid w:val="00A13879"/>
    <w:rsid w:val="00A13A69"/>
    <w:rsid w:val="00A13A9C"/>
    <w:rsid w:val="00A13CEE"/>
    <w:rsid w:val="00A13DC3"/>
    <w:rsid w:val="00A13E06"/>
    <w:rsid w:val="00A14172"/>
    <w:rsid w:val="00A14243"/>
    <w:rsid w:val="00A14394"/>
    <w:rsid w:val="00A14455"/>
    <w:rsid w:val="00A145E9"/>
    <w:rsid w:val="00A14625"/>
    <w:rsid w:val="00A146C2"/>
    <w:rsid w:val="00A14748"/>
    <w:rsid w:val="00A14A33"/>
    <w:rsid w:val="00A14A58"/>
    <w:rsid w:val="00A14B39"/>
    <w:rsid w:val="00A150DB"/>
    <w:rsid w:val="00A15131"/>
    <w:rsid w:val="00A15506"/>
    <w:rsid w:val="00A15553"/>
    <w:rsid w:val="00A16006"/>
    <w:rsid w:val="00A16077"/>
    <w:rsid w:val="00A161D8"/>
    <w:rsid w:val="00A16210"/>
    <w:rsid w:val="00A162B4"/>
    <w:rsid w:val="00A16338"/>
    <w:rsid w:val="00A165BA"/>
    <w:rsid w:val="00A16769"/>
    <w:rsid w:val="00A16799"/>
    <w:rsid w:val="00A16913"/>
    <w:rsid w:val="00A169B8"/>
    <w:rsid w:val="00A16AA2"/>
    <w:rsid w:val="00A16ABB"/>
    <w:rsid w:val="00A16AC3"/>
    <w:rsid w:val="00A16AD7"/>
    <w:rsid w:val="00A16ADE"/>
    <w:rsid w:val="00A16B52"/>
    <w:rsid w:val="00A16B5E"/>
    <w:rsid w:val="00A16E17"/>
    <w:rsid w:val="00A16E61"/>
    <w:rsid w:val="00A17433"/>
    <w:rsid w:val="00A174CA"/>
    <w:rsid w:val="00A1772E"/>
    <w:rsid w:val="00A17893"/>
    <w:rsid w:val="00A178F7"/>
    <w:rsid w:val="00A17962"/>
    <w:rsid w:val="00A17C6E"/>
    <w:rsid w:val="00A17E72"/>
    <w:rsid w:val="00A17F06"/>
    <w:rsid w:val="00A20204"/>
    <w:rsid w:val="00A202FA"/>
    <w:rsid w:val="00A2039E"/>
    <w:rsid w:val="00A2043C"/>
    <w:rsid w:val="00A20607"/>
    <w:rsid w:val="00A2069B"/>
    <w:rsid w:val="00A207CE"/>
    <w:rsid w:val="00A207E6"/>
    <w:rsid w:val="00A208D8"/>
    <w:rsid w:val="00A20942"/>
    <w:rsid w:val="00A20FCA"/>
    <w:rsid w:val="00A2104A"/>
    <w:rsid w:val="00A2125C"/>
    <w:rsid w:val="00A212E8"/>
    <w:rsid w:val="00A21462"/>
    <w:rsid w:val="00A21541"/>
    <w:rsid w:val="00A2169F"/>
    <w:rsid w:val="00A21A87"/>
    <w:rsid w:val="00A21B50"/>
    <w:rsid w:val="00A21F72"/>
    <w:rsid w:val="00A22024"/>
    <w:rsid w:val="00A22088"/>
    <w:rsid w:val="00A2248B"/>
    <w:rsid w:val="00A22563"/>
    <w:rsid w:val="00A22704"/>
    <w:rsid w:val="00A2283D"/>
    <w:rsid w:val="00A22975"/>
    <w:rsid w:val="00A229A0"/>
    <w:rsid w:val="00A229E1"/>
    <w:rsid w:val="00A22AFA"/>
    <w:rsid w:val="00A22EB7"/>
    <w:rsid w:val="00A22F46"/>
    <w:rsid w:val="00A2364E"/>
    <w:rsid w:val="00A23675"/>
    <w:rsid w:val="00A236FB"/>
    <w:rsid w:val="00A237C0"/>
    <w:rsid w:val="00A2384D"/>
    <w:rsid w:val="00A238CE"/>
    <w:rsid w:val="00A23966"/>
    <w:rsid w:val="00A23AE5"/>
    <w:rsid w:val="00A23B1A"/>
    <w:rsid w:val="00A23D1F"/>
    <w:rsid w:val="00A23D2F"/>
    <w:rsid w:val="00A2400A"/>
    <w:rsid w:val="00A24114"/>
    <w:rsid w:val="00A24151"/>
    <w:rsid w:val="00A24191"/>
    <w:rsid w:val="00A24272"/>
    <w:rsid w:val="00A24298"/>
    <w:rsid w:val="00A242D4"/>
    <w:rsid w:val="00A242E1"/>
    <w:rsid w:val="00A243E4"/>
    <w:rsid w:val="00A24591"/>
    <w:rsid w:val="00A245D1"/>
    <w:rsid w:val="00A247B6"/>
    <w:rsid w:val="00A24913"/>
    <w:rsid w:val="00A24DA4"/>
    <w:rsid w:val="00A24EFB"/>
    <w:rsid w:val="00A25145"/>
    <w:rsid w:val="00A25445"/>
    <w:rsid w:val="00A2545E"/>
    <w:rsid w:val="00A256B8"/>
    <w:rsid w:val="00A2570E"/>
    <w:rsid w:val="00A2576F"/>
    <w:rsid w:val="00A257F9"/>
    <w:rsid w:val="00A25B63"/>
    <w:rsid w:val="00A25C9F"/>
    <w:rsid w:val="00A25D19"/>
    <w:rsid w:val="00A26021"/>
    <w:rsid w:val="00A2603B"/>
    <w:rsid w:val="00A2604A"/>
    <w:rsid w:val="00A260D3"/>
    <w:rsid w:val="00A26256"/>
    <w:rsid w:val="00A266F9"/>
    <w:rsid w:val="00A268F3"/>
    <w:rsid w:val="00A2691A"/>
    <w:rsid w:val="00A26ACA"/>
    <w:rsid w:val="00A26ADE"/>
    <w:rsid w:val="00A26C59"/>
    <w:rsid w:val="00A26D49"/>
    <w:rsid w:val="00A26EA9"/>
    <w:rsid w:val="00A26EF1"/>
    <w:rsid w:val="00A26F1C"/>
    <w:rsid w:val="00A272F8"/>
    <w:rsid w:val="00A276F4"/>
    <w:rsid w:val="00A27718"/>
    <w:rsid w:val="00A27761"/>
    <w:rsid w:val="00A27966"/>
    <w:rsid w:val="00A27CFC"/>
    <w:rsid w:val="00A27E87"/>
    <w:rsid w:val="00A30054"/>
    <w:rsid w:val="00A301EF"/>
    <w:rsid w:val="00A301F8"/>
    <w:rsid w:val="00A3020A"/>
    <w:rsid w:val="00A30A5D"/>
    <w:rsid w:val="00A30ABE"/>
    <w:rsid w:val="00A30B99"/>
    <w:rsid w:val="00A30C34"/>
    <w:rsid w:val="00A30C3F"/>
    <w:rsid w:val="00A30D9F"/>
    <w:rsid w:val="00A30DEA"/>
    <w:rsid w:val="00A30E32"/>
    <w:rsid w:val="00A30F50"/>
    <w:rsid w:val="00A31010"/>
    <w:rsid w:val="00A3105B"/>
    <w:rsid w:val="00A313AA"/>
    <w:rsid w:val="00A3150C"/>
    <w:rsid w:val="00A3151B"/>
    <w:rsid w:val="00A317BC"/>
    <w:rsid w:val="00A31A38"/>
    <w:rsid w:val="00A31B5D"/>
    <w:rsid w:val="00A31B70"/>
    <w:rsid w:val="00A31D03"/>
    <w:rsid w:val="00A31D10"/>
    <w:rsid w:val="00A31D21"/>
    <w:rsid w:val="00A31E3C"/>
    <w:rsid w:val="00A32068"/>
    <w:rsid w:val="00A325A1"/>
    <w:rsid w:val="00A3262A"/>
    <w:rsid w:val="00A326CA"/>
    <w:rsid w:val="00A32818"/>
    <w:rsid w:val="00A32ADE"/>
    <w:rsid w:val="00A32AE0"/>
    <w:rsid w:val="00A32BD7"/>
    <w:rsid w:val="00A32C8C"/>
    <w:rsid w:val="00A32CB9"/>
    <w:rsid w:val="00A32D21"/>
    <w:rsid w:val="00A33239"/>
    <w:rsid w:val="00A33270"/>
    <w:rsid w:val="00A33377"/>
    <w:rsid w:val="00A3347D"/>
    <w:rsid w:val="00A336C9"/>
    <w:rsid w:val="00A338EA"/>
    <w:rsid w:val="00A33B9F"/>
    <w:rsid w:val="00A33D43"/>
    <w:rsid w:val="00A33E24"/>
    <w:rsid w:val="00A33F79"/>
    <w:rsid w:val="00A33F98"/>
    <w:rsid w:val="00A3414B"/>
    <w:rsid w:val="00A341F3"/>
    <w:rsid w:val="00A343A8"/>
    <w:rsid w:val="00A343B4"/>
    <w:rsid w:val="00A343FD"/>
    <w:rsid w:val="00A34475"/>
    <w:rsid w:val="00A34570"/>
    <w:rsid w:val="00A34588"/>
    <w:rsid w:val="00A3472B"/>
    <w:rsid w:val="00A347EE"/>
    <w:rsid w:val="00A34A14"/>
    <w:rsid w:val="00A34AD3"/>
    <w:rsid w:val="00A34C19"/>
    <w:rsid w:val="00A34C1D"/>
    <w:rsid w:val="00A34FEE"/>
    <w:rsid w:val="00A35076"/>
    <w:rsid w:val="00A353CA"/>
    <w:rsid w:val="00A3555D"/>
    <w:rsid w:val="00A356B2"/>
    <w:rsid w:val="00A35862"/>
    <w:rsid w:val="00A35D82"/>
    <w:rsid w:val="00A35E5F"/>
    <w:rsid w:val="00A35FA3"/>
    <w:rsid w:val="00A36044"/>
    <w:rsid w:val="00A361AE"/>
    <w:rsid w:val="00A362D4"/>
    <w:rsid w:val="00A36317"/>
    <w:rsid w:val="00A36321"/>
    <w:rsid w:val="00A36387"/>
    <w:rsid w:val="00A363F1"/>
    <w:rsid w:val="00A364E0"/>
    <w:rsid w:val="00A366DF"/>
    <w:rsid w:val="00A36ABA"/>
    <w:rsid w:val="00A36ADE"/>
    <w:rsid w:val="00A36DB7"/>
    <w:rsid w:val="00A37013"/>
    <w:rsid w:val="00A37180"/>
    <w:rsid w:val="00A371F2"/>
    <w:rsid w:val="00A3724D"/>
    <w:rsid w:val="00A372FF"/>
    <w:rsid w:val="00A374E6"/>
    <w:rsid w:val="00A37908"/>
    <w:rsid w:val="00A37929"/>
    <w:rsid w:val="00A379D9"/>
    <w:rsid w:val="00A37A27"/>
    <w:rsid w:val="00A37A60"/>
    <w:rsid w:val="00A37BF9"/>
    <w:rsid w:val="00A37E10"/>
    <w:rsid w:val="00A37E87"/>
    <w:rsid w:val="00A37EF0"/>
    <w:rsid w:val="00A400B3"/>
    <w:rsid w:val="00A4010A"/>
    <w:rsid w:val="00A404A9"/>
    <w:rsid w:val="00A405B8"/>
    <w:rsid w:val="00A40733"/>
    <w:rsid w:val="00A40754"/>
    <w:rsid w:val="00A40A23"/>
    <w:rsid w:val="00A40BAF"/>
    <w:rsid w:val="00A40DCD"/>
    <w:rsid w:val="00A41025"/>
    <w:rsid w:val="00A4104D"/>
    <w:rsid w:val="00A4132B"/>
    <w:rsid w:val="00A417A6"/>
    <w:rsid w:val="00A417B4"/>
    <w:rsid w:val="00A417C2"/>
    <w:rsid w:val="00A4193B"/>
    <w:rsid w:val="00A41A0E"/>
    <w:rsid w:val="00A41C80"/>
    <w:rsid w:val="00A41CC0"/>
    <w:rsid w:val="00A41D26"/>
    <w:rsid w:val="00A4224F"/>
    <w:rsid w:val="00A42498"/>
    <w:rsid w:val="00A42613"/>
    <w:rsid w:val="00A427E9"/>
    <w:rsid w:val="00A4290D"/>
    <w:rsid w:val="00A42A34"/>
    <w:rsid w:val="00A42D74"/>
    <w:rsid w:val="00A42F26"/>
    <w:rsid w:val="00A43A5B"/>
    <w:rsid w:val="00A43CCB"/>
    <w:rsid w:val="00A43DEF"/>
    <w:rsid w:val="00A43E7E"/>
    <w:rsid w:val="00A43EAA"/>
    <w:rsid w:val="00A43F0A"/>
    <w:rsid w:val="00A43FB2"/>
    <w:rsid w:val="00A44095"/>
    <w:rsid w:val="00A4452F"/>
    <w:rsid w:val="00A4487C"/>
    <w:rsid w:val="00A4493C"/>
    <w:rsid w:val="00A44B41"/>
    <w:rsid w:val="00A44B94"/>
    <w:rsid w:val="00A44DFC"/>
    <w:rsid w:val="00A45157"/>
    <w:rsid w:val="00A454DF"/>
    <w:rsid w:val="00A45958"/>
    <w:rsid w:val="00A45983"/>
    <w:rsid w:val="00A45AC9"/>
    <w:rsid w:val="00A45B32"/>
    <w:rsid w:val="00A45BD7"/>
    <w:rsid w:val="00A45CFA"/>
    <w:rsid w:val="00A45E38"/>
    <w:rsid w:val="00A45FB9"/>
    <w:rsid w:val="00A460C2"/>
    <w:rsid w:val="00A46456"/>
    <w:rsid w:val="00A46556"/>
    <w:rsid w:val="00A4698A"/>
    <w:rsid w:val="00A46996"/>
    <w:rsid w:val="00A46BCD"/>
    <w:rsid w:val="00A46C06"/>
    <w:rsid w:val="00A46D82"/>
    <w:rsid w:val="00A46DD0"/>
    <w:rsid w:val="00A46F73"/>
    <w:rsid w:val="00A47192"/>
    <w:rsid w:val="00A47478"/>
    <w:rsid w:val="00A474E9"/>
    <w:rsid w:val="00A47550"/>
    <w:rsid w:val="00A47554"/>
    <w:rsid w:val="00A47716"/>
    <w:rsid w:val="00A47793"/>
    <w:rsid w:val="00A47814"/>
    <w:rsid w:val="00A478B9"/>
    <w:rsid w:val="00A47A93"/>
    <w:rsid w:val="00A47B6C"/>
    <w:rsid w:val="00A47BDA"/>
    <w:rsid w:val="00A47CE4"/>
    <w:rsid w:val="00A47EBD"/>
    <w:rsid w:val="00A47EF5"/>
    <w:rsid w:val="00A500ED"/>
    <w:rsid w:val="00A50547"/>
    <w:rsid w:val="00A5067C"/>
    <w:rsid w:val="00A50750"/>
    <w:rsid w:val="00A508BB"/>
    <w:rsid w:val="00A508D3"/>
    <w:rsid w:val="00A50BDF"/>
    <w:rsid w:val="00A50D97"/>
    <w:rsid w:val="00A51004"/>
    <w:rsid w:val="00A51148"/>
    <w:rsid w:val="00A513C5"/>
    <w:rsid w:val="00A51725"/>
    <w:rsid w:val="00A517DD"/>
    <w:rsid w:val="00A51952"/>
    <w:rsid w:val="00A523EF"/>
    <w:rsid w:val="00A527A4"/>
    <w:rsid w:val="00A52C8A"/>
    <w:rsid w:val="00A52D89"/>
    <w:rsid w:val="00A52E36"/>
    <w:rsid w:val="00A52F7D"/>
    <w:rsid w:val="00A52FB3"/>
    <w:rsid w:val="00A5305B"/>
    <w:rsid w:val="00A53188"/>
    <w:rsid w:val="00A534EE"/>
    <w:rsid w:val="00A538AC"/>
    <w:rsid w:val="00A53ACE"/>
    <w:rsid w:val="00A53BE7"/>
    <w:rsid w:val="00A53CB4"/>
    <w:rsid w:val="00A5416E"/>
    <w:rsid w:val="00A541C2"/>
    <w:rsid w:val="00A542CA"/>
    <w:rsid w:val="00A543EC"/>
    <w:rsid w:val="00A544DB"/>
    <w:rsid w:val="00A545C4"/>
    <w:rsid w:val="00A54799"/>
    <w:rsid w:val="00A54887"/>
    <w:rsid w:val="00A548F7"/>
    <w:rsid w:val="00A54C19"/>
    <w:rsid w:val="00A54D1A"/>
    <w:rsid w:val="00A54D7F"/>
    <w:rsid w:val="00A54E70"/>
    <w:rsid w:val="00A54F16"/>
    <w:rsid w:val="00A54F2D"/>
    <w:rsid w:val="00A550B2"/>
    <w:rsid w:val="00A55125"/>
    <w:rsid w:val="00A55227"/>
    <w:rsid w:val="00A55232"/>
    <w:rsid w:val="00A55356"/>
    <w:rsid w:val="00A55393"/>
    <w:rsid w:val="00A555A0"/>
    <w:rsid w:val="00A555A9"/>
    <w:rsid w:val="00A555F1"/>
    <w:rsid w:val="00A55647"/>
    <w:rsid w:val="00A557B5"/>
    <w:rsid w:val="00A557DB"/>
    <w:rsid w:val="00A55814"/>
    <w:rsid w:val="00A55B8C"/>
    <w:rsid w:val="00A55BB4"/>
    <w:rsid w:val="00A55D5A"/>
    <w:rsid w:val="00A55E78"/>
    <w:rsid w:val="00A56239"/>
    <w:rsid w:val="00A562FC"/>
    <w:rsid w:val="00A563A4"/>
    <w:rsid w:val="00A564DB"/>
    <w:rsid w:val="00A5661D"/>
    <w:rsid w:val="00A566DA"/>
    <w:rsid w:val="00A567B0"/>
    <w:rsid w:val="00A56882"/>
    <w:rsid w:val="00A56A8B"/>
    <w:rsid w:val="00A56C01"/>
    <w:rsid w:val="00A56FC9"/>
    <w:rsid w:val="00A5703D"/>
    <w:rsid w:val="00A572A2"/>
    <w:rsid w:val="00A57307"/>
    <w:rsid w:val="00A573ED"/>
    <w:rsid w:val="00A57721"/>
    <w:rsid w:val="00A577DE"/>
    <w:rsid w:val="00A57CF9"/>
    <w:rsid w:val="00A57D29"/>
    <w:rsid w:val="00A57D2B"/>
    <w:rsid w:val="00A57E1E"/>
    <w:rsid w:val="00A57F6D"/>
    <w:rsid w:val="00A57FD7"/>
    <w:rsid w:val="00A60030"/>
    <w:rsid w:val="00A60045"/>
    <w:rsid w:val="00A60213"/>
    <w:rsid w:val="00A604F2"/>
    <w:rsid w:val="00A60567"/>
    <w:rsid w:val="00A60A2D"/>
    <w:rsid w:val="00A60CC9"/>
    <w:rsid w:val="00A60D04"/>
    <w:rsid w:val="00A60EE9"/>
    <w:rsid w:val="00A6100E"/>
    <w:rsid w:val="00A6101D"/>
    <w:rsid w:val="00A6108A"/>
    <w:rsid w:val="00A61119"/>
    <w:rsid w:val="00A613CD"/>
    <w:rsid w:val="00A61616"/>
    <w:rsid w:val="00A6172A"/>
    <w:rsid w:val="00A61806"/>
    <w:rsid w:val="00A61835"/>
    <w:rsid w:val="00A618BB"/>
    <w:rsid w:val="00A61A22"/>
    <w:rsid w:val="00A61B4A"/>
    <w:rsid w:val="00A61B4B"/>
    <w:rsid w:val="00A61F64"/>
    <w:rsid w:val="00A61F76"/>
    <w:rsid w:val="00A62178"/>
    <w:rsid w:val="00A62183"/>
    <w:rsid w:val="00A62570"/>
    <w:rsid w:val="00A625B3"/>
    <w:rsid w:val="00A62615"/>
    <w:rsid w:val="00A62837"/>
    <w:rsid w:val="00A6294D"/>
    <w:rsid w:val="00A629B2"/>
    <w:rsid w:val="00A629D2"/>
    <w:rsid w:val="00A62A2F"/>
    <w:rsid w:val="00A62BD7"/>
    <w:rsid w:val="00A62E9A"/>
    <w:rsid w:val="00A62FD3"/>
    <w:rsid w:val="00A63772"/>
    <w:rsid w:val="00A63860"/>
    <w:rsid w:val="00A63A3B"/>
    <w:rsid w:val="00A63A52"/>
    <w:rsid w:val="00A63D8A"/>
    <w:rsid w:val="00A63EBC"/>
    <w:rsid w:val="00A64104"/>
    <w:rsid w:val="00A641B8"/>
    <w:rsid w:val="00A644AF"/>
    <w:rsid w:val="00A64530"/>
    <w:rsid w:val="00A6484A"/>
    <w:rsid w:val="00A64973"/>
    <w:rsid w:val="00A64979"/>
    <w:rsid w:val="00A64986"/>
    <w:rsid w:val="00A64995"/>
    <w:rsid w:val="00A64996"/>
    <w:rsid w:val="00A64A4D"/>
    <w:rsid w:val="00A64C7C"/>
    <w:rsid w:val="00A6510E"/>
    <w:rsid w:val="00A6516B"/>
    <w:rsid w:val="00A652BD"/>
    <w:rsid w:val="00A65419"/>
    <w:rsid w:val="00A6547B"/>
    <w:rsid w:val="00A654C8"/>
    <w:rsid w:val="00A6582C"/>
    <w:rsid w:val="00A65944"/>
    <w:rsid w:val="00A65CF0"/>
    <w:rsid w:val="00A65DFA"/>
    <w:rsid w:val="00A65EA6"/>
    <w:rsid w:val="00A6605C"/>
    <w:rsid w:val="00A6619F"/>
    <w:rsid w:val="00A6650A"/>
    <w:rsid w:val="00A66670"/>
    <w:rsid w:val="00A66767"/>
    <w:rsid w:val="00A66938"/>
    <w:rsid w:val="00A6694C"/>
    <w:rsid w:val="00A66A5D"/>
    <w:rsid w:val="00A66AA7"/>
    <w:rsid w:val="00A66B91"/>
    <w:rsid w:val="00A66CA5"/>
    <w:rsid w:val="00A66E75"/>
    <w:rsid w:val="00A67227"/>
    <w:rsid w:val="00A67247"/>
    <w:rsid w:val="00A67285"/>
    <w:rsid w:val="00A672E2"/>
    <w:rsid w:val="00A67725"/>
    <w:rsid w:val="00A67949"/>
    <w:rsid w:val="00A67D93"/>
    <w:rsid w:val="00A67E47"/>
    <w:rsid w:val="00A67FE0"/>
    <w:rsid w:val="00A7011F"/>
    <w:rsid w:val="00A70311"/>
    <w:rsid w:val="00A70360"/>
    <w:rsid w:val="00A703AD"/>
    <w:rsid w:val="00A7048E"/>
    <w:rsid w:val="00A704B6"/>
    <w:rsid w:val="00A7087F"/>
    <w:rsid w:val="00A70921"/>
    <w:rsid w:val="00A70B81"/>
    <w:rsid w:val="00A70C66"/>
    <w:rsid w:val="00A70D37"/>
    <w:rsid w:val="00A70EF1"/>
    <w:rsid w:val="00A70F08"/>
    <w:rsid w:val="00A70F2D"/>
    <w:rsid w:val="00A70F76"/>
    <w:rsid w:val="00A7123E"/>
    <w:rsid w:val="00A7124D"/>
    <w:rsid w:val="00A717B0"/>
    <w:rsid w:val="00A71903"/>
    <w:rsid w:val="00A71992"/>
    <w:rsid w:val="00A719A2"/>
    <w:rsid w:val="00A71C5A"/>
    <w:rsid w:val="00A72029"/>
    <w:rsid w:val="00A721C0"/>
    <w:rsid w:val="00A72326"/>
    <w:rsid w:val="00A7258D"/>
    <w:rsid w:val="00A725BE"/>
    <w:rsid w:val="00A72B9B"/>
    <w:rsid w:val="00A72D80"/>
    <w:rsid w:val="00A72FF6"/>
    <w:rsid w:val="00A730B7"/>
    <w:rsid w:val="00A730BB"/>
    <w:rsid w:val="00A733AC"/>
    <w:rsid w:val="00A734CE"/>
    <w:rsid w:val="00A7376F"/>
    <w:rsid w:val="00A738F7"/>
    <w:rsid w:val="00A73BBB"/>
    <w:rsid w:val="00A73C48"/>
    <w:rsid w:val="00A73CDB"/>
    <w:rsid w:val="00A73D52"/>
    <w:rsid w:val="00A7421D"/>
    <w:rsid w:val="00A7427F"/>
    <w:rsid w:val="00A744C9"/>
    <w:rsid w:val="00A74719"/>
    <w:rsid w:val="00A7477D"/>
    <w:rsid w:val="00A74807"/>
    <w:rsid w:val="00A74832"/>
    <w:rsid w:val="00A749B7"/>
    <w:rsid w:val="00A74D57"/>
    <w:rsid w:val="00A74E6C"/>
    <w:rsid w:val="00A75469"/>
    <w:rsid w:val="00A754A4"/>
    <w:rsid w:val="00A757B7"/>
    <w:rsid w:val="00A757D7"/>
    <w:rsid w:val="00A75820"/>
    <w:rsid w:val="00A75C29"/>
    <w:rsid w:val="00A75DA6"/>
    <w:rsid w:val="00A75EA4"/>
    <w:rsid w:val="00A75EB3"/>
    <w:rsid w:val="00A76012"/>
    <w:rsid w:val="00A76024"/>
    <w:rsid w:val="00A76061"/>
    <w:rsid w:val="00A76407"/>
    <w:rsid w:val="00A764C7"/>
    <w:rsid w:val="00A7658B"/>
    <w:rsid w:val="00A766A7"/>
    <w:rsid w:val="00A76817"/>
    <w:rsid w:val="00A76A07"/>
    <w:rsid w:val="00A76A75"/>
    <w:rsid w:val="00A76B34"/>
    <w:rsid w:val="00A76B47"/>
    <w:rsid w:val="00A76BE4"/>
    <w:rsid w:val="00A76C2F"/>
    <w:rsid w:val="00A76C6D"/>
    <w:rsid w:val="00A76FF3"/>
    <w:rsid w:val="00A771AE"/>
    <w:rsid w:val="00A777C3"/>
    <w:rsid w:val="00A77824"/>
    <w:rsid w:val="00A77C52"/>
    <w:rsid w:val="00A77CA4"/>
    <w:rsid w:val="00A77CBF"/>
    <w:rsid w:val="00A77D2C"/>
    <w:rsid w:val="00A77DB8"/>
    <w:rsid w:val="00A77DD5"/>
    <w:rsid w:val="00A77F1B"/>
    <w:rsid w:val="00A77F25"/>
    <w:rsid w:val="00A77F4F"/>
    <w:rsid w:val="00A8003D"/>
    <w:rsid w:val="00A80494"/>
    <w:rsid w:val="00A8053A"/>
    <w:rsid w:val="00A805AB"/>
    <w:rsid w:val="00A805CB"/>
    <w:rsid w:val="00A806DD"/>
    <w:rsid w:val="00A806F5"/>
    <w:rsid w:val="00A80843"/>
    <w:rsid w:val="00A8095F"/>
    <w:rsid w:val="00A80A5D"/>
    <w:rsid w:val="00A80B45"/>
    <w:rsid w:val="00A80B70"/>
    <w:rsid w:val="00A80F64"/>
    <w:rsid w:val="00A80F77"/>
    <w:rsid w:val="00A811CE"/>
    <w:rsid w:val="00A81210"/>
    <w:rsid w:val="00A8132E"/>
    <w:rsid w:val="00A8181B"/>
    <w:rsid w:val="00A81A2B"/>
    <w:rsid w:val="00A81E4B"/>
    <w:rsid w:val="00A82028"/>
    <w:rsid w:val="00A82057"/>
    <w:rsid w:val="00A8218F"/>
    <w:rsid w:val="00A82338"/>
    <w:rsid w:val="00A8279B"/>
    <w:rsid w:val="00A828BB"/>
    <w:rsid w:val="00A82B7C"/>
    <w:rsid w:val="00A82B87"/>
    <w:rsid w:val="00A82BE8"/>
    <w:rsid w:val="00A82C72"/>
    <w:rsid w:val="00A82D10"/>
    <w:rsid w:val="00A82EE9"/>
    <w:rsid w:val="00A8318C"/>
    <w:rsid w:val="00A831C3"/>
    <w:rsid w:val="00A8321A"/>
    <w:rsid w:val="00A83298"/>
    <w:rsid w:val="00A832D7"/>
    <w:rsid w:val="00A83811"/>
    <w:rsid w:val="00A83D85"/>
    <w:rsid w:val="00A83DC0"/>
    <w:rsid w:val="00A83E1C"/>
    <w:rsid w:val="00A83F7C"/>
    <w:rsid w:val="00A84236"/>
    <w:rsid w:val="00A84655"/>
    <w:rsid w:val="00A847CF"/>
    <w:rsid w:val="00A8481C"/>
    <w:rsid w:val="00A84ED8"/>
    <w:rsid w:val="00A84FB5"/>
    <w:rsid w:val="00A852F7"/>
    <w:rsid w:val="00A85534"/>
    <w:rsid w:val="00A85696"/>
    <w:rsid w:val="00A85875"/>
    <w:rsid w:val="00A85B73"/>
    <w:rsid w:val="00A85E96"/>
    <w:rsid w:val="00A85ED1"/>
    <w:rsid w:val="00A8602B"/>
    <w:rsid w:val="00A860FE"/>
    <w:rsid w:val="00A86194"/>
    <w:rsid w:val="00A8628B"/>
    <w:rsid w:val="00A86331"/>
    <w:rsid w:val="00A86453"/>
    <w:rsid w:val="00A86803"/>
    <w:rsid w:val="00A868E4"/>
    <w:rsid w:val="00A8691F"/>
    <w:rsid w:val="00A86ACA"/>
    <w:rsid w:val="00A86ADA"/>
    <w:rsid w:val="00A86C79"/>
    <w:rsid w:val="00A86D3C"/>
    <w:rsid w:val="00A86DBE"/>
    <w:rsid w:val="00A87387"/>
    <w:rsid w:val="00A874E1"/>
    <w:rsid w:val="00A87674"/>
    <w:rsid w:val="00A87755"/>
    <w:rsid w:val="00A87757"/>
    <w:rsid w:val="00A87942"/>
    <w:rsid w:val="00A87AFF"/>
    <w:rsid w:val="00A87BA7"/>
    <w:rsid w:val="00A87C21"/>
    <w:rsid w:val="00A87D0E"/>
    <w:rsid w:val="00A87DED"/>
    <w:rsid w:val="00A87EC6"/>
    <w:rsid w:val="00A87EC7"/>
    <w:rsid w:val="00A90016"/>
    <w:rsid w:val="00A9016E"/>
    <w:rsid w:val="00A901B2"/>
    <w:rsid w:val="00A902AC"/>
    <w:rsid w:val="00A90578"/>
    <w:rsid w:val="00A9070E"/>
    <w:rsid w:val="00A90766"/>
    <w:rsid w:val="00A907AC"/>
    <w:rsid w:val="00A907B0"/>
    <w:rsid w:val="00A90988"/>
    <w:rsid w:val="00A90A11"/>
    <w:rsid w:val="00A90F8E"/>
    <w:rsid w:val="00A91397"/>
    <w:rsid w:val="00A91462"/>
    <w:rsid w:val="00A917BF"/>
    <w:rsid w:val="00A9187A"/>
    <w:rsid w:val="00A91CF7"/>
    <w:rsid w:val="00A91FA7"/>
    <w:rsid w:val="00A9211E"/>
    <w:rsid w:val="00A923DD"/>
    <w:rsid w:val="00A92511"/>
    <w:rsid w:val="00A927DD"/>
    <w:rsid w:val="00A92A50"/>
    <w:rsid w:val="00A92AEC"/>
    <w:rsid w:val="00A92BC4"/>
    <w:rsid w:val="00A92E20"/>
    <w:rsid w:val="00A92FC3"/>
    <w:rsid w:val="00A92FC5"/>
    <w:rsid w:val="00A93039"/>
    <w:rsid w:val="00A9342E"/>
    <w:rsid w:val="00A9386C"/>
    <w:rsid w:val="00A93982"/>
    <w:rsid w:val="00A93D00"/>
    <w:rsid w:val="00A93FA0"/>
    <w:rsid w:val="00A94077"/>
    <w:rsid w:val="00A9424D"/>
    <w:rsid w:val="00A946FA"/>
    <w:rsid w:val="00A94AE0"/>
    <w:rsid w:val="00A94D35"/>
    <w:rsid w:val="00A94DBC"/>
    <w:rsid w:val="00A94F1E"/>
    <w:rsid w:val="00A94F77"/>
    <w:rsid w:val="00A9506F"/>
    <w:rsid w:val="00A950BA"/>
    <w:rsid w:val="00A9516D"/>
    <w:rsid w:val="00A95229"/>
    <w:rsid w:val="00A952AE"/>
    <w:rsid w:val="00A9539F"/>
    <w:rsid w:val="00A953B7"/>
    <w:rsid w:val="00A95449"/>
    <w:rsid w:val="00A956EE"/>
    <w:rsid w:val="00A9575B"/>
    <w:rsid w:val="00A95972"/>
    <w:rsid w:val="00A96033"/>
    <w:rsid w:val="00A960C3"/>
    <w:rsid w:val="00A96127"/>
    <w:rsid w:val="00A961FE"/>
    <w:rsid w:val="00A9633A"/>
    <w:rsid w:val="00A96360"/>
    <w:rsid w:val="00A963A4"/>
    <w:rsid w:val="00A963E4"/>
    <w:rsid w:val="00A964C1"/>
    <w:rsid w:val="00A964ED"/>
    <w:rsid w:val="00A9680A"/>
    <w:rsid w:val="00A96898"/>
    <w:rsid w:val="00A9689A"/>
    <w:rsid w:val="00A968AA"/>
    <w:rsid w:val="00A96A03"/>
    <w:rsid w:val="00A96C8B"/>
    <w:rsid w:val="00A96D90"/>
    <w:rsid w:val="00A96DD4"/>
    <w:rsid w:val="00A96E3F"/>
    <w:rsid w:val="00A96E58"/>
    <w:rsid w:val="00A96FC5"/>
    <w:rsid w:val="00A97059"/>
    <w:rsid w:val="00A971D2"/>
    <w:rsid w:val="00A9785E"/>
    <w:rsid w:val="00A9795D"/>
    <w:rsid w:val="00A97C71"/>
    <w:rsid w:val="00AA00B7"/>
    <w:rsid w:val="00AA0117"/>
    <w:rsid w:val="00AA0188"/>
    <w:rsid w:val="00AA01AF"/>
    <w:rsid w:val="00AA02C4"/>
    <w:rsid w:val="00AA0326"/>
    <w:rsid w:val="00AA0379"/>
    <w:rsid w:val="00AA0388"/>
    <w:rsid w:val="00AA0414"/>
    <w:rsid w:val="00AA0CE8"/>
    <w:rsid w:val="00AA0DF8"/>
    <w:rsid w:val="00AA0E98"/>
    <w:rsid w:val="00AA102D"/>
    <w:rsid w:val="00AA1292"/>
    <w:rsid w:val="00AA13CD"/>
    <w:rsid w:val="00AA15C8"/>
    <w:rsid w:val="00AA15CE"/>
    <w:rsid w:val="00AA1667"/>
    <w:rsid w:val="00AA1716"/>
    <w:rsid w:val="00AA1755"/>
    <w:rsid w:val="00AA17BE"/>
    <w:rsid w:val="00AA1E1D"/>
    <w:rsid w:val="00AA2060"/>
    <w:rsid w:val="00AA20A7"/>
    <w:rsid w:val="00AA211C"/>
    <w:rsid w:val="00AA21C2"/>
    <w:rsid w:val="00AA2315"/>
    <w:rsid w:val="00AA243D"/>
    <w:rsid w:val="00AA25D2"/>
    <w:rsid w:val="00AA29F6"/>
    <w:rsid w:val="00AA2A4E"/>
    <w:rsid w:val="00AA2B5F"/>
    <w:rsid w:val="00AA2CDE"/>
    <w:rsid w:val="00AA2E42"/>
    <w:rsid w:val="00AA2F62"/>
    <w:rsid w:val="00AA3288"/>
    <w:rsid w:val="00AA33CD"/>
    <w:rsid w:val="00AA340E"/>
    <w:rsid w:val="00AA34E9"/>
    <w:rsid w:val="00AA3653"/>
    <w:rsid w:val="00AA38D3"/>
    <w:rsid w:val="00AA3A98"/>
    <w:rsid w:val="00AA3AB4"/>
    <w:rsid w:val="00AA3B4B"/>
    <w:rsid w:val="00AA3D5E"/>
    <w:rsid w:val="00AA3D77"/>
    <w:rsid w:val="00AA3D7B"/>
    <w:rsid w:val="00AA3F79"/>
    <w:rsid w:val="00AA4227"/>
    <w:rsid w:val="00AA443B"/>
    <w:rsid w:val="00AA47FB"/>
    <w:rsid w:val="00AA48B5"/>
    <w:rsid w:val="00AA4CAA"/>
    <w:rsid w:val="00AA50BF"/>
    <w:rsid w:val="00AA5121"/>
    <w:rsid w:val="00AA5168"/>
    <w:rsid w:val="00AA5194"/>
    <w:rsid w:val="00AA52B4"/>
    <w:rsid w:val="00AA53DB"/>
    <w:rsid w:val="00AA545A"/>
    <w:rsid w:val="00AA54B4"/>
    <w:rsid w:val="00AA54CB"/>
    <w:rsid w:val="00AA5578"/>
    <w:rsid w:val="00AA5669"/>
    <w:rsid w:val="00AA576B"/>
    <w:rsid w:val="00AA578D"/>
    <w:rsid w:val="00AA58D4"/>
    <w:rsid w:val="00AA5926"/>
    <w:rsid w:val="00AA5A1E"/>
    <w:rsid w:val="00AA5A2A"/>
    <w:rsid w:val="00AA5ADB"/>
    <w:rsid w:val="00AA5CE8"/>
    <w:rsid w:val="00AA5DF0"/>
    <w:rsid w:val="00AA603A"/>
    <w:rsid w:val="00AA60DF"/>
    <w:rsid w:val="00AA63ED"/>
    <w:rsid w:val="00AA64E0"/>
    <w:rsid w:val="00AA67F7"/>
    <w:rsid w:val="00AA6E03"/>
    <w:rsid w:val="00AA6E27"/>
    <w:rsid w:val="00AA6E7B"/>
    <w:rsid w:val="00AA6EF7"/>
    <w:rsid w:val="00AA6F0B"/>
    <w:rsid w:val="00AA71EB"/>
    <w:rsid w:val="00AA722C"/>
    <w:rsid w:val="00AA730B"/>
    <w:rsid w:val="00AA7702"/>
    <w:rsid w:val="00AA7831"/>
    <w:rsid w:val="00AA78BE"/>
    <w:rsid w:val="00AA7977"/>
    <w:rsid w:val="00AA79E4"/>
    <w:rsid w:val="00AA7E7A"/>
    <w:rsid w:val="00AB01F2"/>
    <w:rsid w:val="00AB02D7"/>
    <w:rsid w:val="00AB0389"/>
    <w:rsid w:val="00AB04E7"/>
    <w:rsid w:val="00AB05A7"/>
    <w:rsid w:val="00AB05CD"/>
    <w:rsid w:val="00AB06BA"/>
    <w:rsid w:val="00AB074F"/>
    <w:rsid w:val="00AB0824"/>
    <w:rsid w:val="00AB0841"/>
    <w:rsid w:val="00AB093E"/>
    <w:rsid w:val="00AB0DC4"/>
    <w:rsid w:val="00AB0E97"/>
    <w:rsid w:val="00AB1031"/>
    <w:rsid w:val="00AB12C7"/>
    <w:rsid w:val="00AB143C"/>
    <w:rsid w:val="00AB17D3"/>
    <w:rsid w:val="00AB191A"/>
    <w:rsid w:val="00AB1AB4"/>
    <w:rsid w:val="00AB1D86"/>
    <w:rsid w:val="00AB2126"/>
    <w:rsid w:val="00AB2241"/>
    <w:rsid w:val="00AB23A4"/>
    <w:rsid w:val="00AB264B"/>
    <w:rsid w:val="00AB2814"/>
    <w:rsid w:val="00AB2A4E"/>
    <w:rsid w:val="00AB2AC1"/>
    <w:rsid w:val="00AB2AD8"/>
    <w:rsid w:val="00AB2BE5"/>
    <w:rsid w:val="00AB2F4F"/>
    <w:rsid w:val="00AB3155"/>
    <w:rsid w:val="00AB35C9"/>
    <w:rsid w:val="00AB36B2"/>
    <w:rsid w:val="00AB36F3"/>
    <w:rsid w:val="00AB376F"/>
    <w:rsid w:val="00AB37E1"/>
    <w:rsid w:val="00AB385F"/>
    <w:rsid w:val="00AB3888"/>
    <w:rsid w:val="00AB3962"/>
    <w:rsid w:val="00AB3B51"/>
    <w:rsid w:val="00AB3E29"/>
    <w:rsid w:val="00AB4170"/>
    <w:rsid w:val="00AB41A4"/>
    <w:rsid w:val="00AB42C8"/>
    <w:rsid w:val="00AB42D7"/>
    <w:rsid w:val="00AB4643"/>
    <w:rsid w:val="00AB4777"/>
    <w:rsid w:val="00AB483F"/>
    <w:rsid w:val="00AB4CC1"/>
    <w:rsid w:val="00AB4E68"/>
    <w:rsid w:val="00AB4E8A"/>
    <w:rsid w:val="00AB4FA0"/>
    <w:rsid w:val="00AB53A2"/>
    <w:rsid w:val="00AB57B5"/>
    <w:rsid w:val="00AB57FB"/>
    <w:rsid w:val="00AB599D"/>
    <w:rsid w:val="00AB5B4E"/>
    <w:rsid w:val="00AB5C14"/>
    <w:rsid w:val="00AB5C78"/>
    <w:rsid w:val="00AB5CA0"/>
    <w:rsid w:val="00AB5CA9"/>
    <w:rsid w:val="00AB5D23"/>
    <w:rsid w:val="00AB5D2D"/>
    <w:rsid w:val="00AB5F6D"/>
    <w:rsid w:val="00AB6749"/>
    <w:rsid w:val="00AB6992"/>
    <w:rsid w:val="00AB69EA"/>
    <w:rsid w:val="00AB6AFA"/>
    <w:rsid w:val="00AB6BC6"/>
    <w:rsid w:val="00AB6BE1"/>
    <w:rsid w:val="00AB6C82"/>
    <w:rsid w:val="00AB6C95"/>
    <w:rsid w:val="00AB6DAA"/>
    <w:rsid w:val="00AB6DF9"/>
    <w:rsid w:val="00AB6E54"/>
    <w:rsid w:val="00AB6EEC"/>
    <w:rsid w:val="00AB70B8"/>
    <w:rsid w:val="00AB7329"/>
    <w:rsid w:val="00AB7335"/>
    <w:rsid w:val="00AB7509"/>
    <w:rsid w:val="00AB751E"/>
    <w:rsid w:val="00AB78AE"/>
    <w:rsid w:val="00AB795A"/>
    <w:rsid w:val="00AB7970"/>
    <w:rsid w:val="00AB7C1A"/>
    <w:rsid w:val="00AB7E7F"/>
    <w:rsid w:val="00AB7EBA"/>
    <w:rsid w:val="00AC00E0"/>
    <w:rsid w:val="00AC01FB"/>
    <w:rsid w:val="00AC023A"/>
    <w:rsid w:val="00AC050F"/>
    <w:rsid w:val="00AC0703"/>
    <w:rsid w:val="00AC082E"/>
    <w:rsid w:val="00AC08DA"/>
    <w:rsid w:val="00AC0B86"/>
    <w:rsid w:val="00AC0E94"/>
    <w:rsid w:val="00AC147C"/>
    <w:rsid w:val="00AC154B"/>
    <w:rsid w:val="00AC1557"/>
    <w:rsid w:val="00AC1640"/>
    <w:rsid w:val="00AC1740"/>
    <w:rsid w:val="00AC177F"/>
    <w:rsid w:val="00AC18AC"/>
    <w:rsid w:val="00AC1A14"/>
    <w:rsid w:val="00AC1AD1"/>
    <w:rsid w:val="00AC1B07"/>
    <w:rsid w:val="00AC1D2F"/>
    <w:rsid w:val="00AC1DCC"/>
    <w:rsid w:val="00AC1F0D"/>
    <w:rsid w:val="00AC2022"/>
    <w:rsid w:val="00AC223F"/>
    <w:rsid w:val="00AC23D6"/>
    <w:rsid w:val="00AC2576"/>
    <w:rsid w:val="00AC261B"/>
    <w:rsid w:val="00AC2793"/>
    <w:rsid w:val="00AC28B9"/>
    <w:rsid w:val="00AC2A57"/>
    <w:rsid w:val="00AC2EF4"/>
    <w:rsid w:val="00AC2F00"/>
    <w:rsid w:val="00AC2F2B"/>
    <w:rsid w:val="00AC3169"/>
    <w:rsid w:val="00AC321B"/>
    <w:rsid w:val="00AC336A"/>
    <w:rsid w:val="00AC34DD"/>
    <w:rsid w:val="00AC3694"/>
    <w:rsid w:val="00AC3701"/>
    <w:rsid w:val="00AC3796"/>
    <w:rsid w:val="00AC37EC"/>
    <w:rsid w:val="00AC3ADA"/>
    <w:rsid w:val="00AC3C15"/>
    <w:rsid w:val="00AC3CDB"/>
    <w:rsid w:val="00AC3ECD"/>
    <w:rsid w:val="00AC3FE1"/>
    <w:rsid w:val="00AC414F"/>
    <w:rsid w:val="00AC4171"/>
    <w:rsid w:val="00AC42C1"/>
    <w:rsid w:val="00AC43A0"/>
    <w:rsid w:val="00AC43BA"/>
    <w:rsid w:val="00AC4508"/>
    <w:rsid w:val="00AC4673"/>
    <w:rsid w:val="00AC4857"/>
    <w:rsid w:val="00AC4A76"/>
    <w:rsid w:val="00AC4AB1"/>
    <w:rsid w:val="00AC4B69"/>
    <w:rsid w:val="00AC4BB5"/>
    <w:rsid w:val="00AC4F0F"/>
    <w:rsid w:val="00AC5186"/>
    <w:rsid w:val="00AC52B3"/>
    <w:rsid w:val="00AC5326"/>
    <w:rsid w:val="00AC5B5D"/>
    <w:rsid w:val="00AC630F"/>
    <w:rsid w:val="00AC667E"/>
    <w:rsid w:val="00AC6745"/>
    <w:rsid w:val="00AC69E1"/>
    <w:rsid w:val="00AC6B81"/>
    <w:rsid w:val="00AC6BB9"/>
    <w:rsid w:val="00AC6C0F"/>
    <w:rsid w:val="00AC6CF5"/>
    <w:rsid w:val="00AC6D1A"/>
    <w:rsid w:val="00AC6D75"/>
    <w:rsid w:val="00AC6D83"/>
    <w:rsid w:val="00AC6E3F"/>
    <w:rsid w:val="00AC6E66"/>
    <w:rsid w:val="00AC6EC7"/>
    <w:rsid w:val="00AC70A7"/>
    <w:rsid w:val="00AC70B7"/>
    <w:rsid w:val="00AC7320"/>
    <w:rsid w:val="00AC7473"/>
    <w:rsid w:val="00AC762D"/>
    <w:rsid w:val="00AC799A"/>
    <w:rsid w:val="00AC7AD5"/>
    <w:rsid w:val="00AC7B85"/>
    <w:rsid w:val="00AC7E11"/>
    <w:rsid w:val="00AC7EBE"/>
    <w:rsid w:val="00AD0045"/>
    <w:rsid w:val="00AD04BA"/>
    <w:rsid w:val="00AD0796"/>
    <w:rsid w:val="00AD0B52"/>
    <w:rsid w:val="00AD0B7F"/>
    <w:rsid w:val="00AD0BB6"/>
    <w:rsid w:val="00AD0E43"/>
    <w:rsid w:val="00AD0F01"/>
    <w:rsid w:val="00AD0F40"/>
    <w:rsid w:val="00AD1110"/>
    <w:rsid w:val="00AD1152"/>
    <w:rsid w:val="00AD11B5"/>
    <w:rsid w:val="00AD148B"/>
    <w:rsid w:val="00AD14CD"/>
    <w:rsid w:val="00AD16B5"/>
    <w:rsid w:val="00AD182B"/>
    <w:rsid w:val="00AD1B60"/>
    <w:rsid w:val="00AD1E34"/>
    <w:rsid w:val="00AD1F03"/>
    <w:rsid w:val="00AD20D5"/>
    <w:rsid w:val="00AD244B"/>
    <w:rsid w:val="00AD27D1"/>
    <w:rsid w:val="00AD27FD"/>
    <w:rsid w:val="00AD2895"/>
    <w:rsid w:val="00AD28D5"/>
    <w:rsid w:val="00AD29A6"/>
    <w:rsid w:val="00AD2FC7"/>
    <w:rsid w:val="00AD30A7"/>
    <w:rsid w:val="00AD32D9"/>
    <w:rsid w:val="00AD35C7"/>
    <w:rsid w:val="00AD36B6"/>
    <w:rsid w:val="00AD3AEB"/>
    <w:rsid w:val="00AD3C87"/>
    <w:rsid w:val="00AD41F2"/>
    <w:rsid w:val="00AD4325"/>
    <w:rsid w:val="00AD435F"/>
    <w:rsid w:val="00AD44FB"/>
    <w:rsid w:val="00AD4610"/>
    <w:rsid w:val="00AD46DD"/>
    <w:rsid w:val="00AD47EA"/>
    <w:rsid w:val="00AD48DF"/>
    <w:rsid w:val="00AD4964"/>
    <w:rsid w:val="00AD4968"/>
    <w:rsid w:val="00AD4CE1"/>
    <w:rsid w:val="00AD4F44"/>
    <w:rsid w:val="00AD4FD7"/>
    <w:rsid w:val="00AD5185"/>
    <w:rsid w:val="00AD5264"/>
    <w:rsid w:val="00AD5342"/>
    <w:rsid w:val="00AD55E9"/>
    <w:rsid w:val="00AD55FE"/>
    <w:rsid w:val="00AD56D8"/>
    <w:rsid w:val="00AD579F"/>
    <w:rsid w:val="00AD5802"/>
    <w:rsid w:val="00AD5920"/>
    <w:rsid w:val="00AD5C59"/>
    <w:rsid w:val="00AD5D21"/>
    <w:rsid w:val="00AD5DFC"/>
    <w:rsid w:val="00AD5F7F"/>
    <w:rsid w:val="00AD5FC8"/>
    <w:rsid w:val="00AD613A"/>
    <w:rsid w:val="00AD65D9"/>
    <w:rsid w:val="00AD6665"/>
    <w:rsid w:val="00AD6B16"/>
    <w:rsid w:val="00AD6C3F"/>
    <w:rsid w:val="00AD6F02"/>
    <w:rsid w:val="00AD7111"/>
    <w:rsid w:val="00AD72AF"/>
    <w:rsid w:val="00AD7477"/>
    <w:rsid w:val="00AD77DA"/>
    <w:rsid w:val="00AD77FB"/>
    <w:rsid w:val="00AD7828"/>
    <w:rsid w:val="00AD7981"/>
    <w:rsid w:val="00AD7A39"/>
    <w:rsid w:val="00AD7B9B"/>
    <w:rsid w:val="00AD7BAD"/>
    <w:rsid w:val="00AD7C68"/>
    <w:rsid w:val="00AD7DB8"/>
    <w:rsid w:val="00AD7E24"/>
    <w:rsid w:val="00AD7FFC"/>
    <w:rsid w:val="00AE01C6"/>
    <w:rsid w:val="00AE026B"/>
    <w:rsid w:val="00AE06AA"/>
    <w:rsid w:val="00AE06CC"/>
    <w:rsid w:val="00AE06E4"/>
    <w:rsid w:val="00AE070E"/>
    <w:rsid w:val="00AE088D"/>
    <w:rsid w:val="00AE0C15"/>
    <w:rsid w:val="00AE0CE2"/>
    <w:rsid w:val="00AE0DD1"/>
    <w:rsid w:val="00AE0E47"/>
    <w:rsid w:val="00AE0F51"/>
    <w:rsid w:val="00AE1155"/>
    <w:rsid w:val="00AE120B"/>
    <w:rsid w:val="00AE12C8"/>
    <w:rsid w:val="00AE17FD"/>
    <w:rsid w:val="00AE19F1"/>
    <w:rsid w:val="00AE1B06"/>
    <w:rsid w:val="00AE1C95"/>
    <w:rsid w:val="00AE1CF3"/>
    <w:rsid w:val="00AE1DD8"/>
    <w:rsid w:val="00AE1F88"/>
    <w:rsid w:val="00AE1FFC"/>
    <w:rsid w:val="00AE2154"/>
    <w:rsid w:val="00AE2229"/>
    <w:rsid w:val="00AE2353"/>
    <w:rsid w:val="00AE248F"/>
    <w:rsid w:val="00AE250F"/>
    <w:rsid w:val="00AE25C7"/>
    <w:rsid w:val="00AE27C2"/>
    <w:rsid w:val="00AE28F9"/>
    <w:rsid w:val="00AE2919"/>
    <w:rsid w:val="00AE2994"/>
    <w:rsid w:val="00AE2CC3"/>
    <w:rsid w:val="00AE2EFF"/>
    <w:rsid w:val="00AE3222"/>
    <w:rsid w:val="00AE332A"/>
    <w:rsid w:val="00AE35B4"/>
    <w:rsid w:val="00AE36DC"/>
    <w:rsid w:val="00AE394B"/>
    <w:rsid w:val="00AE3982"/>
    <w:rsid w:val="00AE3AF9"/>
    <w:rsid w:val="00AE3B32"/>
    <w:rsid w:val="00AE3C57"/>
    <w:rsid w:val="00AE3D26"/>
    <w:rsid w:val="00AE3DD9"/>
    <w:rsid w:val="00AE3E44"/>
    <w:rsid w:val="00AE4022"/>
    <w:rsid w:val="00AE405A"/>
    <w:rsid w:val="00AE4329"/>
    <w:rsid w:val="00AE4860"/>
    <w:rsid w:val="00AE4B28"/>
    <w:rsid w:val="00AE4C52"/>
    <w:rsid w:val="00AE4D7A"/>
    <w:rsid w:val="00AE4E16"/>
    <w:rsid w:val="00AE4E42"/>
    <w:rsid w:val="00AE51E9"/>
    <w:rsid w:val="00AE554E"/>
    <w:rsid w:val="00AE593D"/>
    <w:rsid w:val="00AE59FC"/>
    <w:rsid w:val="00AE5E2C"/>
    <w:rsid w:val="00AE61BE"/>
    <w:rsid w:val="00AE64AF"/>
    <w:rsid w:val="00AE66C8"/>
    <w:rsid w:val="00AE66E1"/>
    <w:rsid w:val="00AE69D9"/>
    <w:rsid w:val="00AE6AE1"/>
    <w:rsid w:val="00AE6B47"/>
    <w:rsid w:val="00AE6C20"/>
    <w:rsid w:val="00AE6F71"/>
    <w:rsid w:val="00AE6F8E"/>
    <w:rsid w:val="00AE71DE"/>
    <w:rsid w:val="00AE7296"/>
    <w:rsid w:val="00AE745B"/>
    <w:rsid w:val="00AE773D"/>
    <w:rsid w:val="00AE78BE"/>
    <w:rsid w:val="00AE78EA"/>
    <w:rsid w:val="00AE796A"/>
    <w:rsid w:val="00AE7A46"/>
    <w:rsid w:val="00AE7EEA"/>
    <w:rsid w:val="00AE7F0B"/>
    <w:rsid w:val="00AF0114"/>
    <w:rsid w:val="00AF01FF"/>
    <w:rsid w:val="00AF0457"/>
    <w:rsid w:val="00AF04A3"/>
    <w:rsid w:val="00AF04DC"/>
    <w:rsid w:val="00AF08D3"/>
    <w:rsid w:val="00AF0985"/>
    <w:rsid w:val="00AF0AEC"/>
    <w:rsid w:val="00AF0B9C"/>
    <w:rsid w:val="00AF0C08"/>
    <w:rsid w:val="00AF0E85"/>
    <w:rsid w:val="00AF0EBE"/>
    <w:rsid w:val="00AF0F48"/>
    <w:rsid w:val="00AF10A2"/>
    <w:rsid w:val="00AF11D4"/>
    <w:rsid w:val="00AF128C"/>
    <w:rsid w:val="00AF1375"/>
    <w:rsid w:val="00AF143D"/>
    <w:rsid w:val="00AF182C"/>
    <w:rsid w:val="00AF1859"/>
    <w:rsid w:val="00AF1B85"/>
    <w:rsid w:val="00AF1CA1"/>
    <w:rsid w:val="00AF1F24"/>
    <w:rsid w:val="00AF1F57"/>
    <w:rsid w:val="00AF22B1"/>
    <w:rsid w:val="00AF2597"/>
    <w:rsid w:val="00AF268F"/>
    <w:rsid w:val="00AF291D"/>
    <w:rsid w:val="00AF2BB1"/>
    <w:rsid w:val="00AF2C83"/>
    <w:rsid w:val="00AF2D43"/>
    <w:rsid w:val="00AF2E98"/>
    <w:rsid w:val="00AF2FAB"/>
    <w:rsid w:val="00AF32BB"/>
    <w:rsid w:val="00AF34A3"/>
    <w:rsid w:val="00AF3504"/>
    <w:rsid w:val="00AF355C"/>
    <w:rsid w:val="00AF3BDF"/>
    <w:rsid w:val="00AF3C04"/>
    <w:rsid w:val="00AF3C0D"/>
    <w:rsid w:val="00AF3D05"/>
    <w:rsid w:val="00AF3E24"/>
    <w:rsid w:val="00AF3F93"/>
    <w:rsid w:val="00AF40F7"/>
    <w:rsid w:val="00AF40FF"/>
    <w:rsid w:val="00AF4125"/>
    <w:rsid w:val="00AF42E1"/>
    <w:rsid w:val="00AF4462"/>
    <w:rsid w:val="00AF46C1"/>
    <w:rsid w:val="00AF470D"/>
    <w:rsid w:val="00AF4895"/>
    <w:rsid w:val="00AF4914"/>
    <w:rsid w:val="00AF4AFE"/>
    <w:rsid w:val="00AF4CB9"/>
    <w:rsid w:val="00AF4F16"/>
    <w:rsid w:val="00AF5007"/>
    <w:rsid w:val="00AF505C"/>
    <w:rsid w:val="00AF5186"/>
    <w:rsid w:val="00AF5342"/>
    <w:rsid w:val="00AF5396"/>
    <w:rsid w:val="00AF540F"/>
    <w:rsid w:val="00AF5499"/>
    <w:rsid w:val="00AF5CB0"/>
    <w:rsid w:val="00AF5D42"/>
    <w:rsid w:val="00AF5EE6"/>
    <w:rsid w:val="00AF5FAD"/>
    <w:rsid w:val="00AF609C"/>
    <w:rsid w:val="00AF6140"/>
    <w:rsid w:val="00AF6241"/>
    <w:rsid w:val="00AF6246"/>
    <w:rsid w:val="00AF627C"/>
    <w:rsid w:val="00AF6389"/>
    <w:rsid w:val="00AF6424"/>
    <w:rsid w:val="00AF643D"/>
    <w:rsid w:val="00AF6542"/>
    <w:rsid w:val="00AF66A9"/>
    <w:rsid w:val="00AF67DC"/>
    <w:rsid w:val="00AF6835"/>
    <w:rsid w:val="00AF683B"/>
    <w:rsid w:val="00AF690E"/>
    <w:rsid w:val="00AF6CB9"/>
    <w:rsid w:val="00AF6D34"/>
    <w:rsid w:val="00AF70FD"/>
    <w:rsid w:val="00AF724F"/>
    <w:rsid w:val="00AF733D"/>
    <w:rsid w:val="00AF74A5"/>
    <w:rsid w:val="00AF74D6"/>
    <w:rsid w:val="00AF75BC"/>
    <w:rsid w:val="00AF76E4"/>
    <w:rsid w:val="00AF77AA"/>
    <w:rsid w:val="00AF78A2"/>
    <w:rsid w:val="00AF78B3"/>
    <w:rsid w:val="00AF7A5C"/>
    <w:rsid w:val="00AF7B6E"/>
    <w:rsid w:val="00AF7C64"/>
    <w:rsid w:val="00AF7E4A"/>
    <w:rsid w:val="00AF7F19"/>
    <w:rsid w:val="00B0027F"/>
    <w:rsid w:val="00B005E2"/>
    <w:rsid w:val="00B007F3"/>
    <w:rsid w:val="00B0085C"/>
    <w:rsid w:val="00B008D1"/>
    <w:rsid w:val="00B009AF"/>
    <w:rsid w:val="00B00D23"/>
    <w:rsid w:val="00B00D5D"/>
    <w:rsid w:val="00B0108B"/>
    <w:rsid w:val="00B01383"/>
    <w:rsid w:val="00B01391"/>
    <w:rsid w:val="00B013D9"/>
    <w:rsid w:val="00B014AD"/>
    <w:rsid w:val="00B014CC"/>
    <w:rsid w:val="00B014EF"/>
    <w:rsid w:val="00B019DE"/>
    <w:rsid w:val="00B01A0E"/>
    <w:rsid w:val="00B01BAF"/>
    <w:rsid w:val="00B01E46"/>
    <w:rsid w:val="00B01F1D"/>
    <w:rsid w:val="00B02178"/>
    <w:rsid w:val="00B02191"/>
    <w:rsid w:val="00B02297"/>
    <w:rsid w:val="00B023D2"/>
    <w:rsid w:val="00B0254C"/>
    <w:rsid w:val="00B02579"/>
    <w:rsid w:val="00B026AA"/>
    <w:rsid w:val="00B0284A"/>
    <w:rsid w:val="00B02D2F"/>
    <w:rsid w:val="00B02D33"/>
    <w:rsid w:val="00B02DA9"/>
    <w:rsid w:val="00B02EC7"/>
    <w:rsid w:val="00B02EF1"/>
    <w:rsid w:val="00B02EF2"/>
    <w:rsid w:val="00B0303B"/>
    <w:rsid w:val="00B03164"/>
    <w:rsid w:val="00B03598"/>
    <w:rsid w:val="00B0359F"/>
    <w:rsid w:val="00B038CB"/>
    <w:rsid w:val="00B03A7F"/>
    <w:rsid w:val="00B03F72"/>
    <w:rsid w:val="00B03FC3"/>
    <w:rsid w:val="00B04216"/>
    <w:rsid w:val="00B04316"/>
    <w:rsid w:val="00B044C6"/>
    <w:rsid w:val="00B0454A"/>
    <w:rsid w:val="00B046CC"/>
    <w:rsid w:val="00B047E7"/>
    <w:rsid w:val="00B04973"/>
    <w:rsid w:val="00B04AD5"/>
    <w:rsid w:val="00B04BE1"/>
    <w:rsid w:val="00B04CAE"/>
    <w:rsid w:val="00B04F4F"/>
    <w:rsid w:val="00B05076"/>
    <w:rsid w:val="00B0508F"/>
    <w:rsid w:val="00B0510A"/>
    <w:rsid w:val="00B05198"/>
    <w:rsid w:val="00B05355"/>
    <w:rsid w:val="00B056CC"/>
    <w:rsid w:val="00B05824"/>
    <w:rsid w:val="00B05959"/>
    <w:rsid w:val="00B05AA7"/>
    <w:rsid w:val="00B05B20"/>
    <w:rsid w:val="00B05BCB"/>
    <w:rsid w:val="00B05CEE"/>
    <w:rsid w:val="00B05D14"/>
    <w:rsid w:val="00B05D5C"/>
    <w:rsid w:val="00B05EB9"/>
    <w:rsid w:val="00B05FB1"/>
    <w:rsid w:val="00B05FC5"/>
    <w:rsid w:val="00B061EF"/>
    <w:rsid w:val="00B062FA"/>
    <w:rsid w:val="00B0649B"/>
    <w:rsid w:val="00B066A6"/>
    <w:rsid w:val="00B068ED"/>
    <w:rsid w:val="00B06CFB"/>
    <w:rsid w:val="00B06D3F"/>
    <w:rsid w:val="00B06D88"/>
    <w:rsid w:val="00B06E68"/>
    <w:rsid w:val="00B06F86"/>
    <w:rsid w:val="00B06FB4"/>
    <w:rsid w:val="00B0706A"/>
    <w:rsid w:val="00B0738E"/>
    <w:rsid w:val="00B07492"/>
    <w:rsid w:val="00B07581"/>
    <w:rsid w:val="00B07587"/>
    <w:rsid w:val="00B07B0A"/>
    <w:rsid w:val="00B07BC5"/>
    <w:rsid w:val="00B07D5A"/>
    <w:rsid w:val="00B07F61"/>
    <w:rsid w:val="00B07F85"/>
    <w:rsid w:val="00B101B5"/>
    <w:rsid w:val="00B10614"/>
    <w:rsid w:val="00B10691"/>
    <w:rsid w:val="00B1082D"/>
    <w:rsid w:val="00B10A20"/>
    <w:rsid w:val="00B10CE9"/>
    <w:rsid w:val="00B10EF4"/>
    <w:rsid w:val="00B11012"/>
    <w:rsid w:val="00B11647"/>
    <w:rsid w:val="00B11649"/>
    <w:rsid w:val="00B116A4"/>
    <w:rsid w:val="00B116BF"/>
    <w:rsid w:val="00B11725"/>
    <w:rsid w:val="00B11764"/>
    <w:rsid w:val="00B11956"/>
    <w:rsid w:val="00B11965"/>
    <w:rsid w:val="00B11A1C"/>
    <w:rsid w:val="00B11B92"/>
    <w:rsid w:val="00B11FDD"/>
    <w:rsid w:val="00B12139"/>
    <w:rsid w:val="00B12571"/>
    <w:rsid w:val="00B125AB"/>
    <w:rsid w:val="00B126DF"/>
    <w:rsid w:val="00B129A8"/>
    <w:rsid w:val="00B12B77"/>
    <w:rsid w:val="00B12D05"/>
    <w:rsid w:val="00B12D8F"/>
    <w:rsid w:val="00B1335C"/>
    <w:rsid w:val="00B1362D"/>
    <w:rsid w:val="00B139E0"/>
    <w:rsid w:val="00B13A43"/>
    <w:rsid w:val="00B13C32"/>
    <w:rsid w:val="00B13D5C"/>
    <w:rsid w:val="00B140B2"/>
    <w:rsid w:val="00B141AA"/>
    <w:rsid w:val="00B142D1"/>
    <w:rsid w:val="00B144D8"/>
    <w:rsid w:val="00B145BD"/>
    <w:rsid w:val="00B145DC"/>
    <w:rsid w:val="00B14658"/>
    <w:rsid w:val="00B146B4"/>
    <w:rsid w:val="00B14A05"/>
    <w:rsid w:val="00B14A52"/>
    <w:rsid w:val="00B14B53"/>
    <w:rsid w:val="00B14CCB"/>
    <w:rsid w:val="00B15212"/>
    <w:rsid w:val="00B152F6"/>
    <w:rsid w:val="00B152FF"/>
    <w:rsid w:val="00B15330"/>
    <w:rsid w:val="00B1535A"/>
    <w:rsid w:val="00B15386"/>
    <w:rsid w:val="00B154F0"/>
    <w:rsid w:val="00B1581B"/>
    <w:rsid w:val="00B15952"/>
    <w:rsid w:val="00B15FCB"/>
    <w:rsid w:val="00B161A7"/>
    <w:rsid w:val="00B162E4"/>
    <w:rsid w:val="00B16333"/>
    <w:rsid w:val="00B163D9"/>
    <w:rsid w:val="00B16494"/>
    <w:rsid w:val="00B164E4"/>
    <w:rsid w:val="00B1661D"/>
    <w:rsid w:val="00B167B4"/>
    <w:rsid w:val="00B16900"/>
    <w:rsid w:val="00B169AA"/>
    <w:rsid w:val="00B169CD"/>
    <w:rsid w:val="00B16EDF"/>
    <w:rsid w:val="00B172BF"/>
    <w:rsid w:val="00B1742D"/>
    <w:rsid w:val="00B174CD"/>
    <w:rsid w:val="00B176EB"/>
    <w:rsid w:val="00B177A4"/>
    <w:rsid w:val="00B178BC"/>
    <w:rsid w:val="00B17926"/>
    <w:rsid w:val="00B179FF"/>
    <w:rsid w:val="00B17A63"/>
    <w:rsid w:val="00B17AD9"/>
    <w:rsid w:val="00B17B12"/>
    <w:rsid w:val="00B17B18"/>
    <w:rsid w:val="00B17CA9"/>
    <w:rsid w:val="00B17D0B"/>
    <w:rsid w:val="00B17D2A"/>
    <w:rsid w:val="00B17DA8"/>
    <w:rsid w:val="00B17E48"/>
    <w:rsid w:val="00B2011D"/>
    <w:rsid w:val="00B2012E"/>
    <w:rsid w:val="00B202C1"/>
    <w:rsid w:val="00B202EB"/>
    <w:rsid w:val="00B2057E"/>
    <w:rsid w:val="00B2076B"/>
    <w:rsid w:val="00B207A6"/>
    <w:rsid w:val="00B209D3"/>
    <w:rsid w:val="00B20A73"/>
    <w:rsid w:val="00B20B02"/>
    <w:rsid w:val="00B20B24"/>
    <w:rsid w:val="00B20B5F"/>
    <w:rsid w:val="00B20E98"/>
    <w:rsid w:val="00B210B6"/>
    <w:rsid w:val="00B211BD"/>
    <w:rsid w:val="00B212A0"/>
    <w:rsid w:val="00B214DB"/>
    <w:rsid w:val="00B215DC"/>
    <w:rsid w:val="00B21702"/>
    <w:rsid w:val="00B218A2"/>
    <w:rsid w:val="00B21AB5"/>
    <w:rsid w:val="00B21BB9"/>
    <w:rsid w:val="00B21C9D"/>
    <w:rsid w:val="00B21F8F"/>
    <w:rsid w:val="00B22096"/>
    <w:rsid w:val="00B22227"/>
    <w:rsid w:val="00B223CD"/>
    <w:rsid w:val="00B224D3"/>
    <w:rsid w:val="00B22517"/>
    <w:rsid w:val="00B22539"/>
    <w:rsid w:val="00B2254A"/>
    <w:rsid w:val="00B22838"/>
    <w:rsid w:val="00B22863"/>
    <w:rsid w:val="00B22BCE"/>
    <w:rsid w:val="00B22E04"/>
    <w:rsid w:val="00B2300A"/>
    <w:rsid w:val="00B23278"/>
    <w:rsid w:val="00B23428"/>
    <w:rsid w:val="00B23956"/>
    <w:rsid w:val="00B23A00"/>
    <w:rsid w:val="00B23A7A"/>
    <w:rsid w:val="00B23B21"/>
    <w:rsid w:val="00B23C2C"/>
    <w:rsid w:val="00B23C79"/>
    <w:rsid w:val="00B23FC7"/>
    <w:rsid w:val="00B240C0"/>
    <w:rsid w:val="00B2411B"/>
    <w:rsid w:val="00B24258"/>
    <w:rsid w:val="00B242C7"/>
    <w:rsid w:val="00B243AE"/>
    <w:rsid w:val="00B244D5"/>
    <w:rsid w:val="00B2456B"/>
    <w:rsid w:val="00B245AF"/>
    <w:rsid w:val="00B24891"/>
    <w:rsid w:val="00B248D3"/>
    <w:rsid w:val="00B2497C"/>
    <w:rsid w:val="00B255C3"/>
    <w:rsid w:val="00B258DA"/>
    <w:rsid w:val="00B25C49"/>
    <w:rsid w:val="00B25CFE"/>
    <w:rsid w:val="00B25E07"/>
    <w:rsid w:val="00B261D8"/>
    <w:rsid w:val="00B2623F"/>
    <w:rsid w:val="00B262C6"/>
    <w:rsid w:val="00B263B3"/>
    <w:rsid w:val="00B26589"/>
    <w:rsid w:val="00B26632"/>
    <w:rsid w:val="00B26863"/>
    <w:rsid w:val="00B26912"/>
    <w:rsid w:val="00B26E16"/>
    <w:rsid w:val="00B26F7C"/>
    <w:rsid w:val="00B26FB2"/>
    <w:rsid w:val="00B26FF3"/>
    <w:rsid w:val="00B27096"/>
    <w:rsid w:val="00B27779"/>
    <w:rsid w:val="00B27788"/>
    <w:rsid w:val="00B278BE"/>
    <w:rsid w:val="00B27A75"/>
    <w:rsid w:val="00B27B48"/>
    <w:rsid w:val="00B27BBC"/>
    <w:rsid w:val="00B27E44"/>
    <w:rsid w:val="00B27F2A"/>
    <w:rsid w:val="00B30029"/>
    <w:rsid w:val="00B3007F"/>
    <w:rsid w:val="00B300EC"/>
    <w:rsid w:val="00B30465"/>
    <w:rsid w:val="00B304ED"/>
    <w:rsid w:val="00B30A05"/>
    <w:rsid w:val="00B30AB1"/>
    <w:rsid w:val="00B30D73"/>
    <w:rsid w:val="00B30FF3"/>
    <w:rsid w:val="00B311DA"/>
    <w:rsid w:val="00B3124A"/>
    <w:rsid w:val="00B3133B"/>
    <w:rsid w:val="00B3144C"/>
    <w:rsid w:val="00B3145F"/>
    <w:rsid w:val="00B31802"/>
    <w:rsid w:val="00B3183E"/>
    <w:rsid w:val="00B31909"/>
    <w:rsid w:val="00B319BD"/>
    <w:rsid w:val="00B31B32"/>
    <w:rsid w:val="00B31CE1"/>
    <w:rsid w:val="00B31E83"/>
    <w:rsid w:val="00B31EC1"/>
    <w:rsid w:val="00B320A5"/>
    <w:rsid w:val="00B320CB"/>
    <w:rsid w:val="00B3221C"/>
    <w:rsid w:val="00B3229A"/>
    <w:rsid w:val="00B323F5"/>
    <w:rsid w:val="00B3243E"/>
    <w:rsid w:val="00B3248E"/>
    <w:rsid w:val="00B325F4"/>
    <w:rsid w:val="00B3260E"/>
    <w:rsid w:val="00B32BBE"/>
    <w:rsid w:val="00B32E37"/>
    <w:rsid w:val="00B32EA6"/>
    <w:rsid w:val="00B32ECF"/>
    <w:rsid w:val="00B32FAC"/>
    <w:rsid w:val="00B333C7"/>
    <w:rsid w:val="00B33490"/>
    <w:rsid w:val="00B33754"/>
    <w:rsid w:val="00B3382B"/>
    <w:rsid w:val="00B3398C"/>
    <w:rsid w:val="00B33B58"/>
    <w:rsid w:val="00B33B77"/>
    <w:rsid w:val="00B33B7A"/>
    <w:rsid w:val="00B33BF0"/>
    <w:rsid w:val="00B33D32"/>
    <w:rsid w:val="00B33E09"/>
    <w:rsid w:val="00B33FC2"/>
    <w:rsid w:val="00B34072"/>
    <w:rsid w:val="00B342E0"/>
    <w:rsid w:val="00B343CA"/>
    <w:rsid w:val="00B344F8"/>
    <w:rsid w:val="00B346D2"/>
    <w:rsid w:val="00B3474A"/>
    <w:rsid w:val="00B34ACA"/>
    <w:rsid w:val="00B34AF1"/>
    <w:rsid w:val="00B34D12"/>
    <w:rsid w:val="00B34F8D"/>
    <w:rsid w:val="00B351DF"/>
    <w:rsid w:val="00B353FE"/>
    <w:rsid w:val="00B354F2"/>
    <w:rsid w:val="00B3552A"/>
    <w:rsid w:val="00B355E4"/>
    <w:rsid w:val="00B35661"/>
    <w:rsid w:val="00B357E0"/>
    <w:rsid w:val="00B3582E"/>
    <w:rsid w:val="00B358B9"/>
    <w:rsid w:val="00B35A0A"/>
    <w:rsid w:val="00B35D83"/>
    <w:rsid w:val="00B35E5B"/>
    <w:rsid w:val="00B35EE5"/>
    <w:rsid w:val="00B3620E"/>
    <w:rsid w:val="00B36285"/>
    <w:rsid w:val="00B3633F"/>
    <w:rsid w:val="00B36377"/>
    <w:rsid w:val="00B36615"/>
    <w:rsid w:val="00B36779"/>
    <w:rsid w:val="00B3682B"/>
    <w:rsid w:val="00B36A30"/>
    <w:rsid w:val="00B36A6F"/>
    <w:rsid w:val="00B36B84"/>
    <w:rsid w:val="00B36B9A"/>
    <w:rsid w:val="00B36BA8"/>
    <w:rsid w:val="00B36CFA"/>
    <w:rsid w:val="00B36DC7"/>
    <w:rsid w:val="00B36DD5"/>
    <w:rsid w:val="00B36E99"/>
    <w:rsid w:val="00B36FC7"/>
    <w:rsid w:val="00B3705A"/>
    <w:rsid w:val="00B37247"/>
    <w:rsid w:val="00B3752A"/>
    <w:rsid w:val="00B37534"/>
    <w:rsid w:val="00B375C1"/>
    <w:rsid w:val="00B3761D"/>
    <w:rsid w:val="00B37658"/>
    <w:rsid w:val="00B376D3"/>
    <w:rsid w:val="00B376FB"/>
    <w:rsid w:val="00B37804"/>
    <w:rsid w:val="00B3786B"/>
    <w:rsid w:val="00B37954"/>
    <w:rsid w:val="00B37999"/>
    <w:rsid w:val="00B37AEF"/>
    <w:rsid w:val="00B37BDB"/>
    <w:rsid w:val="00B37CC9"/>
    <w:rsid w:val="00B401AA"/>
    <w:rsid w:val="00B401C7"/>
    <w:rsid w:val="00B4025F"/>
    <w:rsid w:val="00B403F8"/>
    <w:rsid w:val="00B404D0"/>
    <w:rsid w:val="00B40702"/>
    <w:rsid w:val="00B4092C"/>
    <w:rsid w:val="00B40A3E"/>
    <w:rsid w:val="00B40AE0"/>
    <w:rsid w:val="00B40DB5"/>
    <w:rsid w:val="00B40FD0"/>
    <w:rsid w:val="00B40FED"/>
    <w:rsid w:val="00B410E7"/>
    <w:rsid w:val="00B41136"/>
    <w:rsid w:val="00B41289"/>
    <w:rsid w:val="00B415A2"/>
    <w:rsid w:val="00B41869"/>
    <w:rsid w:val="00B4193D"/>
    <w:rsid w:val="00B41ADE"/>
    <w:rsid w:val="00B41C10"/>
    <w:rsid w:val="00B41DD6"/>
    <w:rsid w:val="00B41FD5"/>
    <w:rsid w:val="00B425E1"/>
    <w:rsid w:val="00B42A40"/>
    <w:rsid w:val="00B42F0A"/>
    <w:rsid w:val="00B42F28"/>
    <w:rsid w:val="00B43113"/>
    <w:rsid w:val="00B4314C"/>
    <w:rsid w:val="00B432DE"/>
    <w:rsid w:val="00B434E8"/>
    <w:rsid w:val="00B43693"/>
    <w:rsid w:val="00B4373B"/>
    <w:rsid w:val="00B4382B"/>
    <w:rsid w:val="00B439D6"/>
    <w:rsid w:val="00B43C84"/>
    <w:rsid w:val="00B44012"/>
    <w:rsid w:val="00B442B7"/>
    <w:rsid w:val="00B44326"/>
    <w:rsid w:val="00B4434E"/>
    <w:rsid w:val="00B44445"/>
    <w:rsid w:val="00B44640"/>
    <w:rsid w:val="00B4476F"/>
    <w:rsid w:val="00B44911"/>
    <w:rsid w:val="00B44C79"/>
    <w:rsid w:val="00B44E9C"/>
    <w:rsid w:val="00B44F02"/>
    <w:rsid w:val="00B44F29"/>
    <w:rsid w:val="00B44F97"/>
    <w:rsid w:val="00B45200"/>
    <w:rsid w:val="00B45326"/>
    <w:rsid w:val="00B45564"/>
    <w:rsid w:val="00B45626"/>
    <w:rsid w:val="00B4569C"/>
    <w:rsid w:val="00B4577A"/>
    <w:rsid w:val="00B4581B"/>
    <w:rsid w:val="00B4596E"/>
    <w:rsid w:val="00B45A54"/>
    <w:rsid w:val="00B45A70"/>
    <w:rsid w:val="00B45C86"/>
    <w:rsid w:val="00B45E53"/>
    <w:rsid w:val="00B45F31"/>
    <w:rsid w:val="00B463A8"/>
    <w:rsid w:val="00B46459"/>
    <w:rsid w:val="00B46845"/>
    <w:rsid w:val="00B46846"/>
    <w:rsid w:val="00B4687C"/>
    <w:rsid w:val="00B46885"/>
    <w:rsid w:val="00B46FFF"/>
    <w:rsid w:val="00B47160"/>
    <w:rsid w:val="00B471B8"/>
    <w:rsid w:val="00B472D9"/>
    <w:rsid w:val="00B47307"/>
    <w:rsid w:val="00B475FE"/>
    <w:rsid w:val="00B47926"/>
    <w:rsid w:val="00B47B36"/>
    <w:rsid w:val="00B47BBD"/>
    <w:rsid w:val="00B47D9D"/>
    <w:rsid w:val="00B50495"/>
    <w:rsid w:val="00B5062D"/>
    <w:rsid w:val="00B506A1"/>
    <w:rsid w:val="00B5077B"/>
    <w:rsid w:val="00B507A0"/>
    <w:rsid w:val="00B5085D"/>
    <w:rsid w:val="00B50C4E"/>
    <w:rsid w:val="00B50CED"/>
    <w:rsid w:val="00B50D25"/>
    <w:rsid w:val="00B50EDC"/>
    <w:rsid w:val="00B5103B"/>
    <w:rsid w:val="00B51670"/>
    <w:rsid w:val="00B516B1"/>
    <w:rsid w:val="00B5197F"/>
    <w:rsid w:val="00B51B4E"/>
    <w:rsid w:val="00B51D23"/>
    <w:rsid w:val="00B51ECF"/>
    <w:rsid w:val="00B51ED4"/>
    <w:rsid w:val="00B528DA"/>
    <w:rsid w:val="00B529EB"/>
    <w:rsid w:val="00B52B0F"/>
    <w:rsid w:val="00B52C17"/>
    <w:rsid w:val="00B52CE0"/>
    <w:rsid w:val="00B52E9F"/>
    <w:rsid w:val="00B53005"/>
    <w:rsid w:val="00B530B5"/>
    <w:rsid w:val="00B530F7"/>
    <w:rsid w:val="00B532C8"/>
    <w:rsid w:val="00B533B0"/>
    <w:rsid w:val="00B533FA"/>
    <w:rsid w:val="00B536CB"/>
    <w:rsid w:val="00B537E7"/>
    <w:rsid w:val="00B53809"/>
    <w:rsid w:val="00B53B96"/>
    <w:rsid w:val="00B53CE0"/>
    <w:rsid w:val="00B53D5B"/>
    <w:rsid w:val="00B53DB9"/>
    <w:rsid w:val="00B53E25"/>
    <w:rsid w:val="00B53EA7"/>
    <w:rsid w:val="00B53EB0"/>
    <w:rsid w:val="00B53F2B"/>
    <w:rsid w:val="00B5421B"/>
    <w:rsid w:val="00B54599"/>
    <w:rsid w:val="00B5479A"/>
    <w:rsid w:val="00B54813"/>
    <w:rsid w:val="00B54B0A"/>
    <w:rsid w:val="00B54B9D"/>
    <w:rsid w:val="00B550A9"/>
    <w:rsid w:val="00B55100"/>
    <w:rsid w:val="00B5512A"/>
    <w:rsid w:val="00B5513A"/>
    <w:rsid w:val="00B551EC"/>
    <w:rsid w:val="00B552A3"/>
    <w:rsid w:val="00B556F1"/>
    <w:rsid w:val="00B557DD"/>
    <w:rsid w:val="00B56006"/>
    <w:rsid w:val="00B56189"/>
    <w:rsid w:val="00B561DF"/>
    <w:rsid w:val="00B5623A"/>
    <w:rsid w:val="00B5647A"/>
    <w:rsid w:val="00B5657C"/>
    <w:rsid w:val="00B56582"/>
    <w:rsid w:val="00B56626"/>
    <w:rsid w:val="00B566E5"/>
    <w:rsid w:val="00B567D9"/>
    <w:rsid w:val="00B56D37"/>
    <w:rsid w:val="00B56D7A"/>
    <w:rsid w:val="00B56FB7"/>
    <w:rsid w:val="00B5704D"/>
    <w:rsid w:val="00B570B8"/>
    <w:rsid w:val="00B57267"/>
    <w:rsid w:val="00B573A0"/>
    <w:rsid w:val="00B5740D"/>
    <w:rsid w:val="00B574E5"/>
    <w:rsid w:val="00B5755A"/>
    <w:rsid w:val="00B5763B"/>
    <w:rsid w:val="00B576E4"/>
    <w:rsid w:val="00B577F7"/>
    <w:rsid w:val="00B579E4"/>
    <w:rsid w:val="00B57CB9"/>
    <w:rsid w:val="00B57E5E"/>
    <w:rsid w:val="00B57F6A"/>
    <w:rsid w:val="00B601F7"/>
    <w:rsid w:val="00B6027E"/>
    <w:rsid w:val="00B60494"/>
    <w:rsid w:val="00B6054C"/>
    <w:rsid w:val="00B605C9"/>
    <w:rsid w:val="00B60640"/>
    <w:rsid w:val="00B6066C"/>
    <w:rsid w:val="00B607AE"/>
    <w:rsid w:val="00B609B9"/>
    <w:rsid w:val="00B60AF1"/>
    <w:rsid w:val="00B60C1E"/>
    <w:rsid w:val="00B60ED7"/>
    <w:rsid w:val="00B60EEB"/>
    <w:rsid w:val="00B61030"/>
    <w:rsid w:val="00B6128A"/>
    <w:rsid w:val="00B61770"/>
    <w:rsid w:val="00B61B04"/>
    <w:rsid w:val="00B61B8F"/>
    <w:rsid w:val="00B61BA6"/>
    <w:rsid w:val="00B61C1C"/>
    <w:rsid w:val="00B61DCD"/>
    <w:rsid w:val="00B61E10"/>
    <w:rsid w:val="00B61E65"/>
    <w:rsid w:val="00B61F86"/>
    <w:rsid w:val="00B62056"/>
    <w:rsid w:val="00B620C5"/>
    <w:rsid w:val="00B62103"/>
    <w:rsid w:val="00B62156"/>
    <w:rsid w:val="00B621B4"/>
    <w:rsid w:val="00B622BF"/>
    <w:rsid w:val="00B62490"/>
    <w:rsid w:val="00B62655"/>
    <w:rsid w:val="00B628F5"/>
    <w:rsid w:val="00B629FB"/>
    <w:rsid w:val="00B62A32"/>
    <w:rsid w:val="00B62A3F"/>
    <w:rsid w:val="00B62B11"/>
    <w:rsid w:val="00B62B5A"/>
    <w:rsid w:val="00B62B69"/>
    <w:rsid w:val="00B6300B"/>
    <w:rsid w:val="00B630AF"/>
    <w:rsid w:val="00B6315B"/>
    <w:rsid w:val="00B6328B"/>
    <w:rsid w:val="00B632C7"/>
    <w:rsid w:val="00B6362F"/>
    <w:rsid w:val="00B636CB"/>
    <w:rsid w:val="00B6376B"/>
    <w:rsid w:val="00B6376F"/>
    <w:rsid w:val="00B63C58"/>
    <w:rsid w:val="00B63E30"/>
    <w:rsid w:val="00B63F54"/>
    <w:rsid w:val="00B63F74"/>
    <w:rsid w:val="00B64402"/>
    <w:rsid w:val="00B644E6"/>
    <w:rsid w:val="00B648CD"/>
    <w:rsid w:val="00B64A44"/>
    <w:rsid w:val="00B64BA9"/>
    <w:rsid w:val="00B64BF9"/>
    <w:rsid w:val="00B64C37"/>
    <w:rsid w:val="00B64C44"/>
    <w:rsid w:val="00B64C48"/>
    <w:rsid w:val="00B64DC2"/>
    <w:rsid w:val="00B64F7F"/>
    <w:rsid w:val="00B6501D"/>
    <w:rsid w:val="00B650D3"/>
    <w:rsid w:val="00B65725"/>
    <w:rsid w:val="00B65DB0"/>
    <w:rsid w:val="00B65DCD"/>
    <w:rsid w:val="00B65E2C"/>
    <w:rsid w:val="00B65F76"/>
    <w:rsid w:val="00B65FC9"/>
    <w:rsid w:val="00B6609B"/>
    <w:rsid w:val="00B6639E"/>
    <w:rsid w:val="00B6646F"/>
    <w:rsid w:val="00B6653A"/>
    <w:rsid w:val="00B66746"/>
    <w:rsid w:val="00B667D8"/>
    <w:rsid w:val="00B668DD"/>
    <w:rsid w:val="00B669B2"/>
    <w:rsid w:val="00B66A91"/>
    <w:rsid w:val="00B66ABA"/>
    <w:rsid w:val="00B66D7F"/>
    <w:rsid w:val="00B66EA8"/>
    <w:rsid w:val="00B66F38"/>
    <w:rsid w:val="00B67106"/>
    <w:rsid w:val="00B67188"/>
    <w:rsid w:val="00B67224"/>
    <w:rsid w:val="00B67376"/>
    <w:rsid w:val="00B673B6"/>
    <w:rsid w:val="00B67554"/>
    <w:rsid w:val="00B676A1"/>
    <w:rsid w:val="00B67744"/>
    <w:rsid w:val="00B67933"/>
    <w:rsid w:val="00B67961"/>
    <w:rsid w:val="00B67A0F"/>
    <w:rsid w:val="00B67DFC"/>
    <w:rsid w:val="00B70030"/>
    <w:rsid w:val="00B7040B"/>
    <w:rsid w:val="00B70437"/>
    <w:rsid w:val="00B7052A"/>
    <w:rsid w:val="00B706C2"/>
    <w:rsid w:val="00B70ADD"/>
    <w:rsid w:val="00B70DE0"/>
    <w:rsid w:val="00B710B7"/>
    <w:rsid w:val="00B7116D"/>
    <w:rsid w:val="00B71295"/>
    <w:rsid w:val="00B71305"/>
    <w:rsid w:val="00B713D7"/>
    <w:rsid w:val="00B71710"/>
    <w:rsid w:val="00B7171E"/>
    <w:rsid w:val="00B71738"/>
    <w:rsid w:val="00B71739"/>
    <w:rsid w:val="00B71B8E"/>
    <w:rsid w:val="00B71D13"/>
    <w:rsid w:val="00B71D3A"/>
    <w:rsid w:val="00B71FA2"/>
    <w:rsid w:val="00B72063"/>
    <w:rsid w:val="00B721AF"/>
    <w:rsid w:val="00B723BA"/>
    <w:rsid w:val="00B72815"/>
    <w:rsid w:val="00B72B78"/>
    <w:rsid w:val="00B72C16"/>
    <w:rsid w:val="00B72D0B"/>
    <w:rsid w:val="00B730BC"/>
    <w:rsid w:val="00B73192"/>
    <w:rsid w:val="00B7348C"/>
    <w:rsid w:val="00B7353C"/>
    <w:rsid w:val="00B735B7"/>
    <w:rsid w:val="00B73641"/>
    <w:rsid w:val="00B73B01"/>
    <w:rsid w:val="00B73B7E"/>
    <w:rsid w:val="00B73C85"/>
    <w:rsid w:val="00B73F9E"/>
    <w:rsid w:val="00B741AA"/>
    <w:rsid w:val="00B74223"/>
    <w:rsid w:val="00B74304"/>
    <w:rsid w:val="00B746FA"/>
    <w:rsid w:val="00B7472E"/>
    <w:rsid w:val="00B747F3"/>
    <w:rsid w:val="00B74800"/>
    <w:rsid w:val="00B74816"/>
    <w:rsid w:val="00B7487A"/>
    <w:rsid w:val="00B7489A"/>
    <w:rsid w:val="00B748E4"/>
    <w:rsid w:val="00B748F4"/>
    <w:rsid w:val="00B749D2"/>
    <w:rsid w:val="00B74D66"/>
    <w:rsid w:val="00B74E78"/>
    <w:rsid w:val="00B74F3E"/>
    <w:rsid w:val="00B7500F"/>
    <w:rsid w:val="00B750DA"/>
    <w:rsid w:val="00B75108"/>
    <w:rsid w:val="00B75321"/>
    <w:rsid w:val="00B754FC"/>
    <w:rsid w:val="00B75530"/>
    <w:rsid w:val="00B75700"/>
    <w:rsid w:val="00B7584A"/>
    <w:rsid w:val="00B75860"/>
    <w:rsid w:val="00B75D0B"/>
    <w:rsid w:val="00B7615D"/>
    <w:rsid w:val="00B761AF"/>
    <w:rsid w:val="00B761F6"/>
    <w:rsid w:val="00B7645E"/>
    <w:rsid w:val="00B765B1"/>
    <w:rsid w:val="00B76627"/>
    <w:rsid w:val="00B7677E"/>
    <w:rsid w:val="00B769D2"/>
    <w:rsid w:val="00B76B8D"/>
    <w:rsid w:val="00B76C4D"/>
    <w:rsid w:val="00B76FB4"/>
    <w:rsid w:val="00B77123"/>
    <w:rsid w:val="00B771AD"/>
    <w:rsid w:val="00B773A6"/>
    <w:rsid w:val="00B775F0"/>
    <w:rsid w:val="00B7764E"/>
    <w:rsid w:val="00B7788B"/>
    <w:rsid w:val="00B77892"/>
    <w:rsid w:val="00B778A0"/>
    <w:rsid w:val="00B77DC2"/>
    <w:rsid w:val="00B77F5E"/>
    <w:rsid w:val="00B8019B"/>
    <w:rsid w:val="00B8028C"/>
    <w:rsid w:val="00B8071D"/>
    <w:rsid w:val="00B807B1"/>
    <w:rsid w:val="00B807DA"/>
    <w:rsid w:val="00B809EE"/>
    <w:rsid w:val="00B80AE0"/>
    <w:rsid w:val="00B80B4E"/>
    <w:rsid w:val="00B80B72"/>
    <w:rsid w:val="00B80BEB"/>
    <w:rsid w:val="00B80C05"/>
    <w:rsid w:val="00B80EBA"/>
    <w:rsid w:val="00B80FFB"/>
    <w:rsid w:val="00B81037"/>
    <w:rsid w:val="00B8110F"/>
    <w:rsid w:val="00B81323"/>
    <w:rsid w:val="00B81356"/>
    <w:rsid w:val="00B81379"/>
    <w:rsid w:val="00B814FD"/>
    <w:rsid w:val="00B8184C"/>
    <w:rsid w:val="00B8184F"/>
    <w:rsid w:val="00B818BF"/>
    <w:rsid w:val="00B81AAF"/>
    <w:rsid w:val="00B81D4A"/>
    <w:rsid w:val="00B81D92"/>
    <w:rsid w:val="00B81F4B"/>
    <w:rsid w:val="00B82058"/>
    <w:rsid w:val="00B820F1"/>
    <w:rsid w:val="00B82164"/>
    <w:rsid w:val="00B82362"/>
    <w:rsid w:val="00B82457"/>
    <w:rsid w:val="00B8246E"/>
    <w:rsid w:val="00B8278C"/>
    <w:rsid w:val="00B82961"/>
    <w:rsid w:val="00B82EAA"/>
    <w:rsid w:val="00B83053"/>
    <w:rsid w:val="00B8307B"/>
    <w:rsid w:val="00B83095"/>
    <w:rsid w:val="00B83344"/>
    <w:rsid w:val="00B8351C"/>
    <w:rsid w:val="00B836E5"/>
    <w:rsid w:val="00B837C3"/>
    <w:rsid w:val="00B83A6C"/>
    <w:rsid w:val="00B83D2B"/>
    <w:rsid w:val="00B83D98"/>
    <w:rsid w:val="00B83E18"/>
    <w:rsid w:val="00B83EF5"/>
    <w:rsid w:val="00B8424D"/>
    <w:rsid w:val="00B84262"/>
    <w:rsid w:val="00B845AA"/>
    <w:rsid w:val="00B845E5"/>
    <w:rsid w:val="00B847B7"/>
    <w:rsid w:val="00B8489E"/>
    <w:rsid w:val="00B848F7"/>
    <w:rsid w:val="00B84A2D"/>
    <w:rsid w:val="00B84C3C"/>
    <w:rsid w:val="00B84E9C"/>
    <w:rsid w:val="00B84EA2"/>
    <w:rsid w:val="00B84F65"/>
    <w:rsid w:val="00B851E2"/>
    <w:rsid w:val="00B85245"/>
    <w:rsid w:val="00B85300"/>
    <w:rsid w:val="00B853C1"/>
    <w:rsid w:val="00B854B6"/>
    <w:rsid w:val="00B855B1"/>
    <w:rsid w:val="00B85736"/>
    <w:rsid w:val="00B85822"/>
    <w:rsid w:val="00B85E77"/>
    <w:rsid w:val="00B85F09"/>
    <w:rsid w:val="00B85F97"/>
    <w:rsid w:val="00B85FCF"/>
    <w:rsid w:val="00B860A0"/>
    <w:rsid w:val="00B86193"/>
    <w:rsid w:val="00B8630A"/>
    <w:rsid w:val="00B8662E"/>
    <w:rsid w:val="00B86662"/>
    <w:rsid w:val="00B86670"/>
    <w:rsid w:val="00B86888"/>
    <w:rsid w:val="00B86983"/>
    <w:rsid w:val="00B86CF2"/>
    <w:rsid w:val="00B87094"/>
    <w:rsid w:val="00B87231"/>
    <w:rsid w:val="00B8742E"/>
    <w:rsid w:val="00B87594"/>
    <w:rsid w:val="00B87A91"/>
    <w:rsid w:val="00B87D26"/>
    <w:rsid w:val="00B87D72"/>
    <w:rsid w:val="00B87E41"/>
    <w:rsid w:val="00B90118"/>
    <w:rsid w:val="00B9014E"/>
    <w:rsid w:val="00B9028C"/>
    <w:rsid w:val="00B904D1"/>
    <w:rsid w:val="00B9056C"/>
    <w:rsid w:val="00B906D3"/>
    <w:rsid w:val="00B90C75"/>
    <w:rsid w:val="00B90D55"/>
    <w:rsid w:val="00B90EAE"/>
    <w:rsid w:val="00B9115F"/>
    <w:rsid w:val="00B912A1"/>
    <w:rsid w:val="00B913A3"/>
    <w:rsid w:val="00B91450"/>
    <w:rsid w:val="00B916D2"/>
    <w:rsid w:val="00B917E6"/>
    <w:rsid w:val="00B91BAC"/>
    <w:rsid w:val="00B91CC2"/>
    <w:rsid w:val="00B92017"/>
    <w:rsid w:val="00B922B4"/>
    <w:rsid w:val="00B92368"/>
    <w:rsid w:val="00B9241A"/>
    <w:rsid w:val="00B9252B"/>
    <w:rsid w:val="00B92655"/>
    <w:rsid w:val="00B92675"/>
    <w:rsid w:val="00B92678"/>
    <w:rsid w:val="00B9298C"/>
    <w:rsid w:val="00B929EE"/>
    <w:rsid w:val="00B92BDE"/>
    <w:rsid w:val="00B92D6D"/>
    <w:rsid w:val="00B92D9D"/>
    <w:rsid w:val="00B92DC4"/>
    <w:rsid w:val="00B93121"/>
    <w:rsid w:val="00B9318D"/>
    <w:rsid w:val="00B933EA"/>
    <w:rsid w:val="00B936D6"/>
    <w:rsid w:val="00B93763"/>
    <w:rsid w:val="00B93833"/>
    <w:rsid w:val="00B93AF9"/>
    <w:rsid w:val="00B93B98"/>
    <w:rsid w:val="00B93BD7"/>
    <w:rsid w:val="00B93C6E"/>
    <w:rsid w:val="00B93E29"/>
    <w:rsid w:val="00B93F03"/>
    <w:rsid w:val="00B93F32"/>
    <w:rsid w:val="00B93F3B"/>
    <w:rsid w:val="00B93F92"/>
    <w:rsid w:val="00B93FD6"/>
    <w:rsid w:val="00B9409C"/>
    <w:rsid w:val="00B943A7"/>
    <w:rsid w:val="00B944EC"/>
    <w:rsid w:val="00B9463A"/>
    <w:rsid w:val="00B946E3"/>
    <w:rsid w:val="00B94BC1"/>
    <w:rsid w:val="00B94C72"/>
    <w:rsid w:val="00B94EF7"/>
    <w:rsid w:val="00B94F4E"/>
    <w:rsid w:val="00B95177"/>
    <w:rsid w:val="00B95547"/>
    <w:rsid w:val="00B95C40"/>
    <w:rsid w:val="00B95FEB"/>
    <w:rsid w:val="00B96354"/>
    <w:rsid w:val="00B9639B"/>
    <w:rsid w:val="00B9654D"/>
    <w:rsid w:val="00B9662E"/>
    <w:rsid w:val="00B96685"/>
    <w:rsid w:val="00B96698"/>
    <w:rsid w:val="00B96981"/>
    <w:rsid w:val="00B96A9F"/>
    <w:rsid w:val="00B96EEB"/>
    <w:rsid w:val="00B96FCC"/>
    <w:rsid w:val="00B977DB"/>
    <w:rsid w:val="00B978FD"/>
    <w:rsid w:val="00B979D2"/>
    <w:rsid w:val="00B97AE7"/>
    <w:rsid w:val="00BA0009"/>
    <w:rsid w:val="00BA006E"/>
    <w:rsid w:val="00BA03F1"/>
    <w:rsid w:val="00BA04DB"/>
    <w:rsid w:val="00BA051D"/>
    <w:rsid w:val="00BA08BC"/>
    <w:rsid w:val="00BA096A"/>
    <w:rsid w:val="00BA0A20"/>
    <w:rsid w:val="00BA107A"/>
    <w:rsid w:val="00BA11BA"/>
    <w:rsid w:val="00BA12B0"/>
    <w:rsid w:val="00BA1318"/>
    <w:rsid w:val="00BA13AF"/>
    <w:rsid w:val="00BA1453"/>
    <w:rsid w:val="00BA14DD"/>
    <w:rsid w:val="00BA1576"/>
    <w:rsid w:val="00BA19CE"/>
    <w:rsid w:val="00BA1AD9"/>
    <w:rsid w:val="00BA1B4A"/>
    <w:rsid w:val="00BA1FC3"/>
    <w:rsid w:val="00BA20A0"/>
    <w:rsid w:val="00BA226A"/>
    <w:rsid w:val="00BA2442"/>
    <w:rsid w:val="00BA2500"/>
    <w:rsid w:val="00BA2564"/>
    <w:rsid w:val="00BA2AF4"/>
    <w:rsid w:val="00BA2B75"/>
    <w:rsid w:val="00BA2E44"/>
    <w:rsid w:val="00BA2F75"/>
    <w:rsid w:val="00BA3057"/>
    <w:rsid w:val="00BA325F"/>
    <w:rsid w:val="00BA33AC"/>
    <w:rsid w:val="00BA3418"/>
    <w:rsid w:val="00BA3473"/>
    <w:rsid w:val="00BA3725"/>
    <w:rsid w:val="00BA3921"/>
    <w:rsid w:val="00BA3932"/>
    <w:rsid w:val="00BA39E6"/>
    <w:rsid w:val="00BA3B6B"/>
    <w:rsid w:val="00BA3D6C"/>
    <w:rsid w:val="00BA3EB8"/>
    <w:rsid w:val="00BA3F67"/>
    <w:rsid w:val="00BA4066"/>
    <w:rsid w:val="00BA40AD"/>
    <w:rsid w:val="00BA43F4"/>
    <w:rsid w:val="00BA44B6"/>
    <w:rsid w:val="00BA462C"/>
    <w:rsid w:val="00BA4738"/>
    <w:rsid w:val="00BA4830"/>
    <w:rsid w:val="00BA4963"/>
    <w:rsid w:val="00BA4AB1"/>
    <w:rsid w:val="00BA4CB6"/>
    <w:rsid w:val="00BA4CD5"/>
    <w:rsid w:val="00BA4DC5"/>
    <w:rsid w:val="00BA4FE6"/>
    <w:rsid w:val="00BA50B2"/>
    <w:rsid w:val="00BA5168"/>
    <w:rsid w:val="00BA5181"/>
    <w:rsid w:val="00BA51B3"/>
    <w:rsid w:val="00BA532D"/>
    <w:rsid w:val="00BA53F5"/>
    <w:rsid w:val="00BA56A1"/>
    <w:rsid w:val="00BA56EA"/>
    <w:rsid w:val="00BA58F9"/>
    <w:rsid w:val="00BA5971"/>
    <w:rsid w:val="00BA5C66"/>
    <w:rsid w:val="00BA602C"/>
    <w:rsid w:val="00BA6215"/>
    <w:rsid w:val="00BA62D3"/>
    <w:rsid w:val="00BA6727"/>
    <w:rsid w:val="00BA679A"/>
    <w:rsid w:val="00BA67BC"/>
    <w:rsid w:val="00BA6894"/>
    <w:rsid w:val="00BA68EF"/>
    <w:rsid w:val="00BA6B89"/>
    <w:rsid w:val="00BA6C66"/>
    <w:rsid w:val="00BA6DBD"/>
    <w:rsid w:val="00BA6F1C"/>
    <w:rsid w:val="00BA713B"/>
    <w:rsid w:val="00BA7586"/>
    <w:rsid w:val="00BA78CC"/>
    <w:rsid w:val="00BA7C8C"/>
    <w:rsid w:val="00BA7DB7"/>
    <w:rsid w:val="00BA7F94"/>
    <w:rsid w:val="00BA7FA6"/>
    <w:rsid w:val="00BA7FDD"/>
    <w:rsid w:val="00BA7FE7"/>
    <w:rsid w:val="00BB00B9"/>
    <w:rsid w:val="00BB010E"/>
    <w:rsid w:val="00BB02D8"/>
    <w:rsid w:val="00BB03D3"/>
    <w:rsid w:val="00BB03E1"/>
    <w:rsid w:val="00BB0407"/>
    <w:rsid w:val="00BB0576"/>
    <w:rsid w:val="00BB05A8"/>
    <w:rsid w:val="00BB072E"/>
    <w:rsid w:val="00BB0740"/>
    <w:rsid w:val="00BB09C7"/>
    <w:rsid w:val="00BB0D80"/>
    <w:rsid w:val="00BB0ECE"/>
    <w:rsid w:val="00BB113A"/>
    <w:rsid w:val="00BB1330"/>
    <w:rsid w:val="00BB14B1"/>
    <w:rsid w:val="00BB1650"/>
    <w:rsid w:val="00BB1ACD"/>
    <w:rsid w:val="00BB1D7C"/>
    <w:rsid w:val="00BB1E8C"/>
    <w:rsid w:val="00BB1F74"/>
    <w:rsid w:val="00BB1F89"/>
    <w:rsid w:val="00BB2064"/>
    <w:rsid w:val="00BB22AF"/>
    <w:rsid w:val="00BB252A"/>
    <w:rsid w:val="00BB2588"/>
    <w:rsid w:val="00BB2690"/>
    <w:rsid w:val="00BB26C9"/>
    <w:rsid w:val="00BB2A2D"/>
    <w:rsid w:val="00BB2C9C"/>
    <w:rsid w:val="00BB2CEA"/>
    <w:rsid w:val="00BB3015"/>
    <w:rsid w:val="00BB3183"/>
    <w:rsid w:val="00BB33B4"/>
    <w:rsid w:val="00BB3657"/>
    <w:rsid w:val="00BB36DF"/>
    <w:rsid w:val="00BB3C32"/>
    <w:rsid w:val="00BB3F24"/>
    <w:rsid w:val="00BB40A6"/>
    <w:rsid w:val="00BB41D7"/>
    <w:rsid w:val="00BB4208"/>
    <w:rsid w:val="00BB4232"/>
    <w:rsid w:val="00BB4391"/>
    <w:rsid w:val="00BB4632"/>
    <w:rsid w:val="00BB483B"/>
    <w:rsid w:val="00BB4858"/>
    <w:rsid w:val="00BB485B"/>
    <w:rsid w:val="00BB489A"/>
    <w:rsid w:val="00BB4989"/>
    <w:rsid w:val="00BB4BA7"/>
    <w:rsid w:val="00BB4C7A"/>
    <w:rsid w:val="00BB4FD2"/>
    <w:rsid w:val="00BB5193"/>
    <w:rsid w:val="00BB51CE"/>
    <w:rsid w:val="00BB55AE"/>
    <w:rsid w:val="00BB569E"/>
    <w:rsid w:val="00BB58E6"/>
    <w:rsid w:val="00BB59D6"/>
    <w:rsid w:val="00BB5AB5"/>
    <w:rsid w:val="00BB5B3B"/>
    <w:rsid w:val="00BB5D07"/>
    <w:rsid w:val="00BB5D6D"/>
    <w:rsid w:val="00BB6159"/>
    <w:rsid w:val="00BB61ED"/>
    <w:rsid w:val="00BB6294"/>
    <w:rsid w:val="00BB6325"/>
    <w:rsid w:val="00BB63BF"/>
    <w:rsid w:val="00BB64CB"/>
    <w:rsid w:val="00BB65AB"/>
    <w:rsid w:val="00BB66B5"/>
    <w:rsid w:val="00BB6A80"/>
    <w:rsid w:val="00BB6BEB"/>
    <w:rsid w:val="00BB6CB3"/>
    <w:rsid w:val="00BB704D"/>
    <w:rsid w:val="00BB7307"/>
    <w:rsid w:val="00BB7558"/>
    <w:rsid w:val="00BB759D"/>
    <w:rsid w:val="00BB76D8"/>
    <w:rsid w:val="00BB76FC"/>
    <w:rsid w:val="00BB7766"/>
    <w:rsid w:val="00BB7867"/>
    <w:rsid w:val="00BB79DC"/>
    <w:rsid w:val="00BB7B20"/>
    <w:rsid w:val="00BB7CFB"/>
    <w:rsid w:val="00BB87C0"/>
    <w:rsid w:val="00BC0135"/>
    <w:rsid w:val="00BC024D"/>
    <w:rsid w:val="00BC0366"/>
    <w:rsid w:val="00BC037C"/>
    <w:rsid w:val="00BC03E9"/>
    <w:rsid w:val="00BC0470"/>
    <w:rsid w:val="00BC0A66"/>
    <w:rsid w:val="00BC0A91"/>
    <w:rsid w:val="00BC0BCC"/>
    <w:rsid w:val="00BC0C75"/>
    <w:rsid w:val="00BC0F2F"/>
    <w:rsid w:val="00BC1041"/>
    <w:rsid w:val="00BC15E5"/>
    <w:rsid w:val="00BC16F1"/>
    <w:rsid w:val="00BC19C3"/>
    <w:rsid w:val="00BC19FB"/>
    <w:rsid w:val="00BC1A50"/>
    <w:rsid w:val="00BC1B98"/>
    <w:rsid w:val="00BC1C76"/>
    <w:rsid w:val="00BC1EA5"/>
    <w:rsid w:val="00BC1ED4"/>
    <w:rsid w:val="00BC22BE"/>
    <w:rsid w:val="00BC23C8"/>
    <w:rsid w:val="00BC23E8"/>
    <w:rsid w:val="00BC2504"/>
    <w:rsid w:val="00BC259A"/>
    <w:rsid w:val="00BC25F0"/>
    <w:rsid w:val="00BC2754"/>
    <w:rsid w:val="00BC2AFB"/>
    <w:rsid w:val="00BC2E30"/>
    <w:rsid w:val="00BC2ECA"/>
    <w:rsid w:val="00BC2EDF"/>
    <w:rsid w:val="00BC2FD5"/>
    <w:rsid w:val="00BC3012"/>
    <w:rsid w:val="00BC309B"/>
    <w:rsid w:val="00BC31C8"/>
    <w:rsid w:val="00BC325C"/>
    <w:rsid w:val="00BC3333"/>
    <w:rsid w:val="00BC333A"/>
    <w:rsid w:val="00BC37CD"/>
    <w:rsid w:val="00BC3889"/>
    <w:rsid w:val="00BC3A5B"/>
    <w:rsid w:val="00BC3D6F"/>
    <w:rsid w:val="00BC41B9"/>
    <w:rsid w:val="00BC41F7"/>
    <w:rsid w:val="00BC444D"/>
    <w:rsid w:val="00BC4575"/>
    <w:rsid w:val="00BC45EB"/>
    <w:rsid w:val="00BC4903"/>
    <w:rsid w:val="00BC4A81"/>
    <w:rsid w:val="00BC4C0E"/>
    <w:rsid w:val="00BC4CD6"/>
    <w:rsid w:val="00BC4D7A"/>
    <w:rsid w:val="00BC4E35"/>
    <w:rsid w:val="00BC4E5A"/>
    <w:rsid w:val="00BC5011"/>
    <w:rsid w:val="00BC53A1"/>
    <w:rsid w:val="00BC58BA"/>
    <w:rsid w:val="00BC5A75"/>
    <w:rsid w:val="00BC5C02"/>
    <w:rsid w:val="00BC5D3A"/>
    <w:rsid w:val="00BC5DD3"/>
    <w:rsid w:val="00BC5FCD"/>
    <w:rsid w:val="00BC61F1"/>
    <w:rsid w:val="00BC6337"/>
    <w:rsid w:val="00BC6491"/>
    <w:rsid w:val="00BC6601"/>
    <w:rsid w:val="00BC66FB"/>
    <w:rsid w:val="00BC6828"/>
    <w:rsid w:val="00BC693E"/>
    <w:rsid w:val="00BC69E6"/>
    <w:rsid w:val="00BC6A87"/>
    <w:rsid w:val="00BC6AAD"/>
    <w:rsid w:val="00BC6AB3"/>
    <w:rsid w:val="00BC6DDD"/>
    <w:rsid w:val="00BC6E1D"/>
    <w:rsid w:val="00BC7007"/>
    <w:rsid w:val="00BC72A5"/>
    <w:rsid w:val="00BC7466"/>
    <w:rsid w:val="00BC77A5"/>
    <w:rsid w:val="00BC7E3C"/>
    <w:rsid w:val="00BC7F3C"/>
    <w:rsid w:val="00BC7FE4"/>
    <w:rsid w:val="00BD0422"/>
    <w:rsid w:val="00BD0536"/>
    <w:rsid w:val="00BD0823"/>
    <w:rsid w:val="00BD08A7"/>
    <w:rsid w:val="00BD08C0"/>
    <w:rsid w:val="00BD08EA"/>
    <w:rsid w:val="00BD09AB"/>
    <w:rsid w:val="00BD0B24"/>
    <w:rsid w:val="00BD0B3E"/>
    <w:rsid w:val="00BD0C90"/>
    <w:rsid w:val="00BD0F82"/>
    <w:rsid w:val="00BD1191"/>
    <w:rsid w:val="00BD145C"/>
    <w:rsid w:val="00BD14D1"/>
    <w:rsid w:val="00BD16A2"/>
    <w:rsid w:val="00BD17D7"/>
    <w:rsid w:val="00BD1878"/>
    <w:rsid w:val="00BD19A6"/>
    <w:rsid w:val="00BD1BB7"/>
    <w:rsid w:val="00BD1D84"/>
    <w:rsid w:val="00BD2287"/>
    <w:rsid w:val="00BD23BC"/>
    <w:rsid w:val="00BD26AD"/>
    <w:rsid w:val="00BD2962"/>
    <w:rsid w:val="00BD29C4"/>
    <w:rsid w:val="00BD2B88"/>
    <w:rsid w:val="00BD2D8B"/>
    <w:rsid w:val="00BD3414"/>
    <w:rsid w:val="00BD36D9"/>
    <w:rsid w:val="00BD36F7"/>
    <w:rsid w:val="00BD3805"/>
    <w:rsid w:val="00BD3829"/>
    <w:rsid w:val="00BD3859"/>
    <w:rsid w:val="00BD388F"/>
    <w:rsid w:val="00BD38BF"/>
    <w:rsid w:val="00BD3907"/>
    <w:rsid w:val="00BD39C3"/>
    <w:rsid w:val="00BD3CCC"/>
    <w:rsid w:val="00BD3D55"/>
    <w:rsid w:val="00BD3D58"/>
    <w:rsid w:val="00BD3FE9"/>
    <w:rsid w:val="00BD40DD"/>
    <w:rsid w:val="00BD429D"/>
    <w:rsid w:val="00BD42A1"/>
    <w:rsid w:val="00BD4576"/>
    <w:rsid w:val="00BD493B"/>
    <w:rsid w:val="00BD4A2A"/>
    <w:rsid w:val="00BD4AE0"/>
    <w:rsid w:val="00BD4D23"/>
    <w:rsid w:val="00BD4F3B"/>
    <w:rsid w:val="00BD5344"/>
    <w:rsid w:val="00BD53E2"/>
    <w:rsid w:val="00BD552A"/>
    <w:rsid w:val="00BD5668"/>
    <w:rsid w:val="00BD56DC"/>
    <w:rsid w:val="00BD5733"/>
    <w:rsid w:val="00BD5766"/>
    <w:rsid w:val="00BD5BDD"/>
    <w:rsid w:val="00BD5F64"/>
    <w:rsid w:val="00BD5FC9"/>
    <w:rsid w:val="00BD6056"/>
    <w:rsid w:val="00BD61EC"/>
    <w:rsid w:val="00BD64B4"/>
    <w:rsid w:val="00BD6651"/>
    <w:rsid w:val="00BD6673"/>
    <w:rsid w:val="00BD68B1"/>
    <w:rsid w:val="00BD68C1"/>
    <w:rsid w:val="00BD6BA0"/>
    <w:rsid w:val="00BD6BD3"/>
    <w:rsid w:val="00BD6EDC"/>
    <w:rsid w:val="00BD6F06"/>
    <w:rsid w:val="00BD7145"/>
    <w:rsid w:val="00BD732D"/>
    <w:rsid w:val="00BD7430"/>
    <w:rsid w:val="00BD770D"/>
    <w:rsid w:val="00BD7779"/>
    <w:rsid w:val="00BD78D7"/>
    <w:rsid w:val="00BD78DA"/>
    <w:rsid w:val="00BD7958"/>
    <w:rsid w:val="00BD7988"/>
    <w:rsid w:val="00BD7999"/>
    <w:rsid w:val="00BD7AAB"/>
    <w:rsid w:val="00BD7C4E"/>
    <w:rsid w:val="00BD7C8F"/>
    <w:rsid w:val="00BD7CA5"/>
    <w:rsid w:val="00BD7CD7"/>
    <w:rsid w:val="00BD7EDE"/>
    <w:rsid w:val="00BD7F65"/>
    <w:rsid w:val="00BE03A8"/>
    <w:rsid w:val="00BE03D8"/>
    <w:rsid w:val="00BE0470"/>
    <w:rsid w:val="00BE0613"/>
    <w:rsid w:val="00BE069A"/>
    <w:rsid w:val="00BE0730"/>
    <w:rsid w:val="00BE076B"/>
    <w:rsid w:val="00BE08B8"/>
    <w:rsid w:val="00BE0A87"/>
    <w:rsid w:val="00BE0B78"/>
    <w:rsid w:val="00BE0DF4"/>
    <w:rsid w:val="00BE1122"/>
    <w:rsid w:val="00BE1257"/>
    <w:rsid w:val="00BE147B"/>
    <w:rsid w:val="00BE14D1"/>
    <w:rsid w:val="00BE16C1"/>
    <w:rsid w:val="00BE1798"/>
    <w:rsid w:val="00BE184E"/>
    <w:rsid w:val="00BE1A41"/>
    <w:rsid w:val="00BE1C0A"/>
    <w:rsid w:val="00BE1E67"/>
    <w:rsid w:val="00BE1FA3"/>
    <w:rsid w:val="00BE209B"/>
    <w:rsid w:val="00BE20B2"/>
    <w:rsid w:val="00BE225D"/>
    <w:rsid w:val="00BE259A"/>
    <w:rsid w:val="00BE26FD"/>
    <w:rsid w:val="00BE2813"/>
    <w:rsid w:val="00BE2991"/>
    <w:rsid w:val="00BE2B67"/>
    <w:rsid w:val="00BE32EF"/>
    <w:rsid w:val="00BE36E0"/>
    <w:rsid w:val="00BE36E7"/>
    <w:rsid w:val="00BE38F0"/>
    <w:rsid w:val="00BE3905"/>
    <w:rsid w:val="00BE3B4C"/>
    <w:rsid w:val="00BE3C25"/>
    <w:rsid w:val="00BE3CAE"/>
    <w:rsid w:val="00BE3E06"/>
    <w:rsid w:val="00BE3F05"/>
    <w:rsid w:val="00BE3F86"/>
    <w:rsid w:val="00BE44D6"/>
    <w:rsid w:val="00BE467E"/>
    <w:rsid w:val="00BE48FB"/>
    <w:rsid w:val="00BE4946"/>
    <w:rsid w:val="00BE4A2C"/>
    <w:rsid w:val="00BE4ADF"/>
    <w:rsid w:val="00BE4C13"/>
    <w:rsid w:val="00BE4C6C"/>
    <w:rsid w:val="00BE4DDF"/>
    <w:rsid w:val="00BE4E40"/>
    <w:rsid w:val="00BE4EB3"/>
    <w:rsid w:val="00BE4F97"/>
    <w:rsid w:val="00BE508B"/>
    <w:rsid w:val="00BE524E"/>
    <w:rsid w:val="00BE563F"/>
    <w:rsid w:val="00BE568E"/>
    <w:rsid w:val="00BE594A"/>
    <w:rsid w:val="00BE5DBA"/>
    <w:rsid w:val="00BE5E1C"/>
    <w:rsid w:val="00BE5FCE"/>
    <w:rsid w:val="00BE61BB"/>
    <w:rsid w:val="00BE6475"/>
    <w:rsid w:val="00BE65A7"/>
    <w:rsid w:val="00BE68CC"/>
    <w:rsid w:val="00BE6A36"/>
    <w:rsid w:val="00BE6BE8"/>
    <w:rsid w:val="00BE6FF9"/>
    <w:rsid w:val="00BE7104"/>
    <w:rsid w:val="00BE72A3"/>
    <w:rsid w:val="00BE73EF"/>
    <w:rsid w:val="00BE74F3"/>
    <w:rsid w:val="00BE7515"/>
    <w:rsid w:val="00BE775C"/>
    <w:rsid w:val="00BE77CC"/>
    <w:rsid w:val="00BE77F5"/>
    <w:rsid w:val="00BE7CD1"/>
    <w:rsid w:val="00BE7D38"/>
    <w:rsid w:val="00BE7DFE"/>
    <w:rsid w:val="00BE7F71"/>
    <w:rsid w:val="00BF01E5"/>
    <w:rsid w:val="00BF068D"/>
    <w:rsid w:val="00BF0E1E"/>
    <w:rsid w:val="00BF0EA4"/>
    <w:rsid w:val="00BF10D5"/>
    <w:rsid w:val="00BF111F"/>
    <w:rsid w:val="00BF1346"/>
    <w:rsid w:val="00BF14B1"/>
    <w:rsid w:val="00BF15DB"/>
    <w:rsid w:val="00BF1706"/>
    <w:rsid w:val="00BF184F"/>
    <w:rsid w:val="00BF1A31"/>
    <w:rsid w:val="00BF1BF1"/>
    <w:rsid w:val="00BF1DF9"/>
    <w:rsid w:val="00BF22AF"/>
    <w:rsid w:val="00BF2393"/>
    <w:rsid w:val="00BF24A1"/>
    <w:rsid w:val="00BF2539"/>
    <w:rsid w:val="00BF254D"/>
    <w:rsid w:val="00BF272F"/>
    <w:rsid w:val="00BF28CF"/>
    <w:rsid w:val="00BF29DB"/>
    <w:rsid w:val="00BF2BF5"/>
    <w:rsid w:val="00BF2D2D"/>
    <w:rsid w:val="00BF2DBA"/>
    <w:rsid w:val="00BF32FF"/>
    <w:rsid w:val="00BF3459"/>
    <w:rsid w:val="00BF3607"/>
    <w:rsid w:val="00BF37B1"/>
    <w:rsid w:val="00BF3ACB"/>
    <w:rsid w:val="00BF3ADA"/>
    <w:rsid w:val="00BF3B7B"/>
    <w:rsid w:val="00BF3DC7"/>
    <w:rsid w:val="00BF3F30"/>
    <w:rsid w:val="00BF3F8C"/>
    <w:rsid w:val="00BF41D5"/>
    <w:rsid w:val="00BF4231"/>
    <w:rsid w:val="00BF4276"/>
    <w:rsid w:val="00BF4562"/>
    <w:rsid w:val="00BF474C"/>
    <w:rsid w:val="00BF48EC"/>
    <w:rsid w:val="00BF4976"/>
    <w:rsid w:val="00BF49BA"/>
    <w:rsid w:val="00BF4F50"/>
    <w:rsid w:val="00BF5050"/>
    <w:rsid w:val="00BF5508"/>
    <w:rsid w:val="00BF556D"/>
    <w:rsid w:val="00BF575C"/>
    <w:rsid w:val="00BF5B22"/>
    <w:rsid w:val="00BF5C3F"/>
    <w:rsid w:val="00BF5D93"/>
    <w:rsid w:val="00BF5EC9"/>
    <w:rsid w:val="00BF5FC5"/>
    <w:rsid w:val="00BF6094"/>
    <w:rsid w:val="00BF61FD"/>
    <w:rsid w:val="00BF636C"/>
    <w:rsid w:val="00BF6464"/>
    <w:rsid w:val="00BF65A5"/>
    <w:rsid w:val="00BF66F8"/>
    <w:rsid w:val="00BF6749"/>
    <w:rsid w:val="00BF6907"/>
    <w:rsid w:val="00BF6932"/>
    <w:rsid w:val="00BF6958"/>
    <w:rsid w:val="00BF6A69"/>
    <w:rsid w:val="00BF6BB6"/>
    <w:rsid w:val="00BF6BF3"/>
    <w:rsid w:val="00BF6C00"/>
    <w:rsid w:val="00BF6C2F"/>
    <w:rsid w:val="00BF6DF4"/>
    <w:rsid w:val="00BF6E62"/>
    <w:rsid w:val="00BF6EB7"/>
    <w:rsid w:val="00BF705A"/>
    <w:rsid w:val="00BF710F"/>
    <w:rsid w:val="00BF73C8"/>
    <w:rsid w:val="00BF74AD"/>
    <w:rsid w:val="00BF7B0B"/>
    <w:rsid w:val="00BF7C8F"/>
    <w:rsid w:val="00BF7D43"/>
    <w:rsid w:val="00BF7E91"/>
    <w:rsid w:val="00BF7F50"/>
    <w:rsid w:val="00C00105"/>
    <w:rsid w:val="00C00257"/>
    <w:rsid w:val="00C00295"/>
    <w:rsid w:val="00C002BA"/>
    <w:rsid w:val="00C002E2"/>
    <w:rsid w:val="00C003C6"/>
    <w:rsid w:val="00C0044C"/>
    <w:rsid w:val="00C00609"/>
    <w:rsid w:val="00C0061B"/>
    <w:rsid w:val="00C00627"/>
    <w:rsid w:val="00C00B6C"/>
    <w:rsid w:val="00C00BA9"/>
    <w:rsid w:val="00C00CA3"/>
    <w:rsid w:val="00C01084"/>
    <w:rsid w:val="00C01227"/>
    <w:rsid w:val="00C012EA"/>
    <w:rsid w:val="00C013E5"/>
    <w:rsid w:val="00C01614"/>
    <w:rsid w:val="00C01BC6"/>
    <w:rsid w:val="00C01BC8"/>
    <w:rsid w:val="00C01CFD"/>
    <w:rsid w:val="00C01ED9"/>
    <w:rsid w:val="00C01F3F"/>
    <w:rsid w:val="00C020D2"/>
    <w:rsid w:val="00C021AF"/>
    <w:rsid w:val="00C022EC"/>
    <w:rsid w:val="00C022F5"/>
    <w:rsid w:val="00C0248A"/>
    <w:rsid w:val="00C025E1"/>
    <w:rsid w:val="00C0290C"/>
    <w:rsid w:val="00C02AC6"/>
    <w:rsid w:val="00C02C1B"/>
    <w:rsid w:val="00C02D41"/>
    <w:rsid w:val="00C02DAC"/>
    <w:rsid w:val="00C02F5D"/>
    <w:rsid w:val="00C030CE"/>
    <w:rsid w:val="00C033A4"/>
    <w:rsid w:val="00C035FB"/>
    <w:rsid w:val="00C0362F"/>
    <w:rsid w:val="00C036D6"/>
    <w:rsid w:val="00C03A0B"/>
    <w:rsid w:val="00C03CAA"/>
    <w:rsid w:val="00C03D8D"/>
    <w:rsid w:val="00C03E14"/>
    <w:rsid w:val="00C0415B"/>
    <w:rsid w:val="00C041D0"/>
    <w:rsid w:val="00C041E4"/>
    <w:rsid w:val="00C044F9"/>
    <w:rsid w:val="00C04790"/>
    <w:rsid w:val="00C0493E"/>
    <w:rsid w:val="00C04E34"/>
    <w:rsid w:val="00C04E5C"/>
    <w:rsid w:val="00C0518B"/>
    <w:rsid w:val="00C051CF"/>
    <w:rsid w:val="00C0520A"/>
    <w:rsid w:val="00C054D1"/>
    <w:rsid w:val="00C055EC"/>
    <w:rsid w:val="00C05728"/>
    <w:rsid w:val="00C058F6"/>
    <w:rsid w:val="00C0595B"/>
    <w:rsid w:val="00C05A6E"/>
    <w:rsid w:val="00C05D56"/>
    <w:rsid w:val="00C05E04"/>
    <w:rsid w:val="00C05E0F"/>
    <w:rsid w:val="00C061FD"/>
    <w:rsid w:val="00C06238"/>
    <w:rsid w:val="00C0629C"/>
    <w:rsid w:val="00C0647E"/>
    <w:rsid w:val="00C06930"/>
    <w:rsid w:val="00C06C32"/>
    <w:rsid w:val="00C06C7B"/>
    <w:rsid w:val="00C06E5D"/>
    <w:rsid w:val="00C06EF2"/>
    <w:rsid w:val="00C06FE4"/>
    <w:rsid w:val="00C071FD"/>
    <w:rsid w:val="00C073B0"/>
    <w:rsid w:val="00C075E4"/>
    <w:rsid w:val="00C075FF"/>
    <w:rsid w:val="00C077A2"/>
    <w:rsid w:val="00C078DE"/>
    <w:rsid w:val="00C07A01"/>
    <w:rsid w:val="00C07A26"/>
    <w:rsid w:val="00C07C9D"/>
    <w:rsid w:val="00C07CEC"/>
    <w:rsid w:val="00C10149"/>
    <w:rsid w:val="00C103E8"/>
    <w:rsid w:val="00C10675"/>
    <w:rsid w:val="00C10946"/>
    <w:rsid w:val="00C10A91"/>
    <w:rsid w:val="00C10C6D"/>
    <w:rsid w:val="00C10F1B"/>
    <w:rsid w:val="00C1106C"/>
    <w:rsid w:val="00C1121D"/>
    <w:rsid w:val="00C1128E"/>
    <w:rsid w:val="00C11377"/>
    <w:rsid w:val="00C11659"/>
    <w:rsid w:val="00C1198A"/>
    <w:rsid w:val="00C119FD"/>
    <w:rsid w:val="00C11AF0"/>
    <w:rsid w:val="00C11B91"/>
    <w:rsid w:val="00C11BA9"/>
    <w:rsid w:val="00C11E27"/>
    <w:rsid w:val="00C11E4C"/>
    <w:rsid w:val="00C11EAF"/>
    <w:rsid w:val="00C1241D"/>
    <w:rsid w:val="00C124E9"/>
    <w:rsid w:val="00C12AD9"/>
    <w:rsid w:val="00C12BB1"/>
    <w:rsid w:val="00C12DA1"/>
    <w:rsid w:val="00C12EE1"/>
    <w:rsid w:val="00C12F8B"/>
    <w:rsid w:val="00C12FD4"/>
    <w:rsid w:val="00C13138"/>
    <w:rsid w:val="00C1331D"/>
    <w:rsid w:val="00C13362"/>
    <w:rsid w:val="00C13434"/>
    <w:rsid w:val="00C1355C"/>
    <w:rsid w:val="00C13C7A"/>
    <w:rsid w:val="00C13D9A"/>
    <w:rsid w:val="00C13E0F"/>
    <w:rsid w:val="00C13E67"/>
    <w:rsid w:val="00C13E91"/>
    <w:rsid w:val="00C140C7"/>
    <w:rsid w:val="00C1459A"/>
    <w:rsid w:val="00C14BF4"/>
    <w:rsid w:val="00C14C21"/>
    <w:rsid w:val="00C14EB0"/>
    <w:rsid w:val="00C150EA"/>
    <w:rsid w:val="00C15231"/>
    <w:rsid w:val="00C15315"/>
    <w:rsid w:val="00C1556F"/>
    <w:rsid w:val="00C158F6"/>
    <w:rsid w:val="00C15AD0"/>
    <w:rsid w:val="00C15C44"/>
    <w:rsid w:val="00C15C9F"/>
    <w:rsid w:val="00C15EAD"/>
    <w:rsid w:val="00C15F38"/>
    <w:rsid w:val="00C164D6"/>
    <w:rsid w:val="00C165C7"/>
    <w:rsid w:val="00C166FB"/>
    <w:rsid w:val="00C167F4"/>
    <w:rsid w:val="00C16847"/>
    <w:rsid w:val="00C17023"/>
    <w:rsid w:val="00C171DA"/>
    <w:rsid w:val="00C171DE"/>
    <w:rsid w:val="00C1728A"/>
    <w:rsid w:val="00C17552"/>
    <w:rsid w:val="00C17553"/>
    <w:rsid w:val="00C17555"/>
    <w:rsid w:val="00C17604"/>
    <w:rsid w:val="00C17653"/>
    <w:rsid w:val="00C17665"/>
    <w:rsid w:val="00C177A0"/>
    <w:rsid w:val="00C17873"/>
    <w:rsid w:val="00C17912"/>
    <w:rsid w:val="00C17E7A"/>
    <w:rsid w:val="00C17F07"/>
    <w:rsid w:val="00C17F65"/>
    <w:rsid w:val="00C17F87"/>
    <w:rsid w:val="00C18FE1"/>
    <w:rsid w:val="00C20003"/>
    <w:rsid w:val="00C20046"/>
    <w:rsid w:val="00C20213"/>
    <w:rsid w:val="00C20463"/>
    <w:rsid w:val="00C205D1"/>
    <w:rsid w:val="00C20686"/>
    <w:rsid w:val="00C20755"/>
    <w:rsid w:val="00C2089C"/>
    <w:rsid w:val="00C20A5B"/>
    <w:rsid w:val="00C20B34"/>
    <w:rsid w:val="00C20BA4"/>
    <w:rsid w:val="00C20CE5"/>
    <w:rsid w:val="00C20D73"/>
    <w:rsid w:val="00C20EA0"/>
    <w:rsid w:val="00C20F92"/>
    <w:rsid w:val="00C210D4"/>
    <w:rsid w:val="00C211B5"/>
    <w:rsid w:val="00C212EA"/>
    <w:rsid w:val="00C2137A"/>
    <w:rsid w:val="00C2148E"/>
    <w:rsid w:val="00C2165E"/>
    <w:rsid w:val="00C21794"/>
    <w:rsid w:val="00C217BC"/>
    <w:rsid w:val="00C217CD"/>
    <w:rsid w:val="00C21B8E"/>
    <w:rsid w:val="00C21BE1"/>
    <w:rsid w:val="00C21D31"/>
    <w:rsid w:val="00C21E8C"/>
    <w:rsid w:val="00C21FE6"/>
    <w:rsid w:val="00C22321"/>
    <w:rsid w:val="00C2241F"/>
    <w:rsid w:val="00C224DE"/>
    <w:rsid w:val="00C225CF"/>
    <w:rsid w:val="00C225FD"/>
    <w:rsid w:val="00C2289B"/>
    <w:rsid w:val="00C228F6"/>
    <w:rsid w:val="00C229B0"/>
    <w:rsid w:val="00C22B77"/>
    <w:rsid w:val="00C22C0F"/>
    <w:rsid w:val="00C23448"/>
    <w:rsid w:val="00C236D1"/>
    <w:rsid w:val="00C23736"/>
    <w:rsid w:val="00C2373C"/>
    <w:rsid w:val="00C2374A"/>
    <w:rsid w:val="00C23855"/>
    <w:rsid w:val="00C238A6"/>
    <w:rsid w:val="00C2391C"/>
    <w:rsid w:val="00C23A9F"/>
    <w:rsid w:val="00C23B6E"/>
    <w:rsid w:val="00C23B6F"/>
    <w:rsid w:val="00C23D89"/>
    <w:rsid w:val="00C23E40"/>
    <w:rsid w:val="00C23EC9"/>
    <w:rsid w:val="00C23F87"/>
    <w:rsid w:val="00C24352"/>
    <w:rsid w:val="00C24494"/>
    <w:rsid w:val="00C246DE"/>
    <w:rsid w:val="00C24933"/>
    <w:rsid w:val="00C24B02"/>
    <w:rsid w:val="00C24D17"/>
    <w:rsid w:val="00C24F34"/>
    <w:rsid w:val="00C24FBA"/>
    <w:rsid w:val="00C2501D"/>
    <w:rsid w:val="00C250AC"/>
    <w:rsid w:val="00C25127"/>
    <w:rsid w:val="00C251D0"/>
    <w:rsid w:val="00C252C6"/>
    <w:rsid w:val="00C252D0"/>
    <w:rsid w:val="00C25451"/>
    <w:rsid w:val="00C255D3"/>
    <w:rsid w:val="00C255D6"/>
    <w:rsid w:val="00C257C2"/>
    <w:rsid w:val="00C25885"/>
    <w:rsid w:val="00C25887"/>
    <w:rsid w:val="00C258F9"/>
    <w:rsid w:val="00C25A51"/>
    <w:rsid w:val="00C25C9F"/>
    <w:rsid w:val="00C25CCC"/>
    <w:rsid w:val="00C25D6D"/>
    <w:rsid w:val="00C25E91"/>
    <w:rsid w:val="00C25F0F"/>
    <w:rsid w:val="00C261D2"/>
    <w:rsid w:val="00C26204"/>
    <w:rsid w:val="00C26446"/>
    <w:rsid w:val="00C2687A"/>
    <w:rsid w:val="00C26AB0"/>
    <w:rsid w:val="00C26B48"/>
    <w:rsid w:val="00C26D2B"/>
    <w:rsid w:val="00C26DBA"/>
    <w:rsid w:val="00C26E0C"/>
    <w:rsid w:val="00C2703B"/>
    <w:rsid w:val="00C27456"/>
    <w:rsid w:val="00C27547"/>
    <w:rsid w:val="00C27615"/>
    <w:rsid w:val="00C2798D"/>
    <w:rsid w:val="00C27A84"/>
    <w:rsid w:val="00C27B14"/>
    <w:rsid w:val="00C27C62"/>
    <w:rsid w:val="00C27E79"/>
    <w:rsid w:val="00C27EEB"/>
    <w:rsid w:val="00C27FFA"/>
    <w:rsid w:val="00C301FE"/>
    <w:rsid w:val="00C303BD"/>
    <w:rsid w:val="00C30523"/>
    <w:rsid w:val="00C3079C"/>
    <w:rsid w:val="00C307CE"/>
    <w:rsid w:val="00C30A35"/>
    <w:rsid w:val="00C30AC5"/>
    <w:rsid w:val="00C30C5A"/>
    <w:rsid w:val="00C30E01"/>
    <w:rsid w:val="00C3103D"/>
    <w:rsid w:val="00C310D0"/>
    <w:rsid w:val="00C31438"/>
    <w:rsid w:val="00C314F1"/>
    <w:rsid w:val="00C31A25"/>
    <w:rsid w:val="00C31AD7"/>
    <w:rsid w:val="00C31CD2"/>
    <w:rsid w:val="00C31DC3"/>
    <w:rsid w:val="00C31E29"/>
    <w:rsid w:val="00C31F1B"/>
    <w:rsid w:val="00C31F52"/>
    <w:rsid w:val="00C3202F"/>
    <w:rsid w:val="00C32473"/>
    <w:rsid w:val="00C32A1A"/>
    <w:rsid w:val="00C32A52"/>
    <w:rsid w:val="00C32CAD"/>
    <w:rsid w:val="00C32D2A"/>
    <w:rsid w:val="00C32D6C"/>
    <w:rsid w:val="00C32E44"/>
    <w:rsid w:val="00C32E48"/>
    <w:rsid w:val="00C32E8E"/>
    <w:rsid w:val="00C32F1F"/>
    <w:rsid w:val="00C3311E"/>
    <w:rsid w:val="00C334BF"/>
    <w:rsid w:val="00C336BE"/>
    <w:rsid w:val="00C33814"/>
    <w:rsid w:val="00C33A05"/>
    <w:rsid w:val="00C33A51"/>
    <w:rsid w:val="00C33B1E"/>
    <w:rsid w:val="00C33B88"/>
    <w:rsid w:val="00C33C4D"/>
    <w:rsid w:val="00C33D66"/>
    <w:rsid w:val="00C33E70"/>
    <w:rsid w:val="00C33E9A"/>
    <w:rsid w:val="00C33F1C"/>
    <w:rsid w:val="00C3410F"/>
    <w:rsid w:val="00C342FC"/>
    <w:rsid w:val="00C34364"/>
    <w:rsid w:val="00C34479"/>
    <w:rsid w:val="00C3472E"/>
    <w:rsid w:val="00C3478D"/>
    <w:rsid w:val="00C34B01"/>
    <w:rsid w:val="00C34C2A"/>
    <w:rsid w:val="00C34C93"/>
    <w:rsid w:val="00C34CC8"/>
    <w:rsid w:val="00C34D97"/>
    <w:rsid w:val="00C35197"/>
    <w:rsid w:val="00C354E6"/>
    <w:rsid w:val="00C356FF"/>
    <w:rsid w:val="00C35A44"/>
    <w:rsid w:val="00C35D47"/>
    <w:rsid w:val="00C36074"/>
    <w:rsid w:val="00C362EB"/>
    <w:rsid w:val="00C3634A"/>
    <w:rsid w:val="00C36830"/>
    <w:rsid w:val="00C3687D"/>
    <w:rsid w:val="00C36903"/>
    <w:rsid w:val="00C369A1"/>
    <w:rsid w:val="00C36C40"/>
    <w:rsid w:val="00C36C7C"/>
    <w:rsid w:val="00C36EE1"/>
    <w:rsid w:val="00C36FDE"/>
    <w:rsid w:val="00C36FF2"/>
    <w:rsid w:val="00C37162"/>
    <w:rsid w:val="00C3730C"/>
    <w:rsid w:val="00C373C4"/>
    <w:rsid w:val="00C3757C"/>
    <w:rsid w:val="00C3761E"/>
    <w:rsid w:val="00C376B9"/>
    <w:rsid w:val="00C378A1"/>
    <w:rsid w:val="00C378AA"/>
    <w:rsid w:val="00C379A9"/>
    <w:rsid w:val="00C37A11"/>
    <w:rsid w:val="00C37D13"/>
    <w:rsid w:val="00C37E09"/>
    <w:rsid w:val="00C37F66"/>
    <w:rsid w:val="00C40150"/>
    <w:rsid w:val="00C403B5"/>
    <w:rsid w:val="00C40622"/>
    <w:rsid w:val="00C40634"/>
    <w:rsid w:val="00C4071C"/>
    <w:rsid w:val="00C40846"/>
    <w:rsid w:val="00C4085A"/>
    <w:rsid w:val="00C40C65"/>
    <w:rsid w:val="00C40F2E"/>
    <w:rsid w:val="00C40F35"/>
    <w:rsid w:val="00C41516"/>
    <w:rsid w:val="00C41573"/>
    <w:rsid w:val="00C418BC"/>
    <w:rsid w:val="00C419B1"/>
    <w:rsid w:val="00C41A60"/>
    <w:rsid w:val="00C41B95"/>
    <w:rsid w:val="00C41CB3"/>
    <w:rsid w:val="00C41F1B"/>
    <w:rsid w:val="00C42057"/>
    <w:rsid w:val="00C420FF"/>
    <w:rsid w:val="00C42198"/>
    <w:rsid w:val="00C42283"/>
    <w:rsid w:val="00C42308"/>
    <w:rsid w:val="00C4244C"/>
    <w:rsid w:val="00C425A4"/>
    <w:rsid w:val="00C426D9"/>
    <w:rsid w:val="00C4282B"/>
    <w:rsid w:val="00C4289C"/>
    <w:rsid w:val="00C42BFB"/>
    <w:rsid w:val="00C42CA6"/>
    <w:rsid w:val="00C430F8"/>
    <w:rsid w:val="00C43111"/>
    <w:rsid w:val="00C431E4"/>
    <w:rsid w:val="00C435E1"/>
    <w:rsid w:val="00C4373C"/>
    <w:rsid w:val="00C43778"/>
    <w:rsid w:val="00C438B0"/>
    <w:rsid w:val="00C43A65"/>
    <w:rsid w:val="00C43B25"/>
    <w:rsid w:val="00C43B4F"/>
    <w:rsid w:val="00C4407F"/>
    <w:rsid w:val="00C443BB"/>
    <w:rsid w:val="00C44490"/>
    <w:rsid w:val="00C44523"/>
    <w:rsid w:val="00C4465B"/>
    <w:rsid w:val="00C448F6"/>
    <w:rsid w:val="00C44EE1"/>
    <w:rsid w:val="00C452E0"/>
    <w:rsid w:val="00C45581"/>
    <w:rsid w:val="00C4589A"/>
    <w:rsid w:val="00C459C1"/>
    <w:rsid w:val="00C459EE"/>
    <w:rsid w:val="00C45B14"/>
    <w:rsid w:val="00C45B8E"/>
    <w:rsid w:val="00C45C68"/>
    <w:rsid w:val="00C45E41"/>
    <w:rsid w:val="00C45EEA"/>
    <w:rsid w:val="00C45F41"/>
    <w:rsid w:val="00C4620A"/>
    <w:rsid w:val="00C462FD"/>
    <w:rsid w:val="00C46606"/>
    <w:rsid w:val="00C466AB"/>
    <w:rsid w:val="00C4670B"/>
    <w:rsid w:val="00C46836"/>
    <w:rsid w:val="00C469AC"/>
    <w:rsid w:val="00C46A4C"/>
    <w:rsid w:val="00C46B1C"/>
    <w:rsid w:val="00C46B42"/>
    <w:rsid w:val="00C46BC1"/>
    <w:rsid w:val="00C46D1F"/>
    <w:rsid w:val="00C46E9B"/>
    <w:rsid w:val="00C470EB"/>
    <w:rsid w:val="00C474A0"/>
    <w:rsid w:val="00C474B0"/>
    <w:rsid w:val="00C4752F"/>
    <w:rsid w:val="00C47C7C"/>
    <w:rsid w:val="00C47C85"/>
    <w:rsid w:val="00C47CD5"/>
    <w:rsid w:val="00C47E21"/>
    <w:rsid w:val="00C501C5"/>
    <w:rsid w:val="00C50420"/>
    <w:rsid w:val="00C50422"/>
    <w:rsid w:val="00C504F4"/>
    <w:rsid w:val="00C5072F"/>
    <w:rsid w:val="00C50806"/>
    <w:rsid w:val="00C50AE5"/>
    <w:rsid w:val="00C50AEC"/>
    <w:rsid w:val="00C50B37"/>
    <w:rsid w:val="00C50F6D"/>
    <w:rsid w:val="00C50F7B"/>
    <w:rsid w:val="00C50FF0"/>
    <w:rsid w:val="00C51169"/>
    <w:rsid w:val="00C51220"/>
    <w:rsid w:val="00C512C2"/>
    <w:rsid w:val="00C513AD"/>
    <w:rsid w:val="00C5149B"/>
    <w:rsid w:val="00C514F1"/>
    <w:rsid w:val="00C51579"/>
    <w:rsid w:val="00C51773"/>
    <w:rsid w:val="00C5182C"/>
    <w:rsid w:val="00C51AD6"/>
    <w:rsid w:val="00C51AF1"/>
    <w:rsid w:val="00C51B20"/>
    <w:rsid w:val="00C51C78"/>
    <w:rsid w:val="00C51D24"/>
    <w:rsid w:val="00C51D3D"/>
    <w:rsid w:val="00C51E22"/>
    <w:rsid w:val="00C520F0"/>
    <w:rsid w:val="00C521C2"/>
    <w:rsid w:val="00C524DA"/>
    <w:rsid w:val="00C5253C"/>
    <w:rsid w:val="00C52555"/>
    <w:rsid w:val="00C52589"/>
    <w:rsid w:val="00C525FB"/>
    <w:rsid w:val="00C52732"/>
    <w:rsid w:val="00C527B2"/>
    <w:rsid w:val="00C52833"/>
    <w:rsid w:val="00C5289C"/>
    <w:rsid w:val="00C52971"/>
    <w:rsid w:val="00C52AF2"/>
    <w:rsid w:val="00C52B4E"/>
    <w:rsid w:val="00C52BD0"/>
    <w:rsid w:val="00C52EE2"/>
    <w:rsid w:val="00C52F0D"/>
    <w:rsid w:val="00C53125"/>
    <w:rsid w:val="00C5335F"/>
    <w:rsid w:val="00C533C5"/>
    <w:rsid w:val="00C53476"/>
    <w:rsid w:val="00C53878"/>
    <w:rsid w:val="00C53988"/>
    <w:rsid w:val="00C539AA"/>
    <w:rsid w:val="00C53AD0"/>
    <w:rsid w:val="00C53CB5"/>
    <w:rsid w:val="00C53F6F"/>
    <w:rsid w:val="00C54066"/>
    <w:rsid w:val="00C5406A"/>
    <w:rsid w:val="00C54605"/>
    <w:rsid w:val="00C5477F"/>
    <w:rsid w:val="00C54810"/>
    <w:rsid w:val="00C548EE"/>
    <w:rsid w:val="00C54A33"/>
    <w:rsid w:val="00C550E0"/>
    <w:rsid w:val="00C55325"/>
    <w:rsid w:val="00C5536D"/>
    <w:rsid w:val="00C5585E"/>
    <w:rsid w:val="00C559B7"/>
    <w:rsid w:val="00C55A75"/>
    <w:rsid w:val="00C55B5B"/>
    <w:rsid w:val="00C55B72"/>
    <w:rsid w:val="00C55E31"/>
    <w:rsid w:val="00C563EE"/>
    <w:rsid w:val="00C56AF6"/>
    <w:rsid w:val="00C56C1B"/>
    <w:rsid w:val="00C56DE6"/>
    <w:rsid w:val="00C56E3D"/>
    <w:rsid w:val="00C56F35"/>
    <w:rsid w:val="00C5703E"/>
    <w:rsid w:val="00C5720C"/>
    <w:rsid w:val="00C57293"/>
    <w:rsid w:val="00C5734E"/>
    <w:rsid w:val="00C57489"/>
    <w:rsid w:val="00C57B32"/>
    <w:rsid w:val="00C57BCE"/>
    <w:rsid w:val="00C57BEA"/>
    <w:rsid w:val="00C57C82"/>
    <w:rsid w:val="00C57DAE"/>
    <w:rsid w:val="00C57F16"/>
    <w:rsid w:val="00C6001B"/>
    <w:rsid w:val="00C600E4"/>
    <w:rsid w:val="00C60347"/>
    <w:rsid w:val="00C603FA"/>
    <w:rsid w:val="00C60587"/>
    <w:rsid w:val="00C607C7"/>
    <w:rsid w:val="00C607E3"/>
    <w:rsid w:val="00C60A09"/>
    <w:rsid w:val="00C60B3F"/>
    <w:rsid w:val="00C610DE"/>
    <w:rsid w:val="00C61283"/>
    <w:rsid w:val="00C61397"/>
    <w:rsid w:val="00C615BF"/>
    <w:rsid w:val="00C619DE"/>
    <w:rsid w:val="00C61B39"/>
    <w:rsid w:val="00C61B9F"/>
    <w:rsid w:val="00C61C99"/>
    <w:rsid w:val="00C61CD5"/>
    <w:rsid w:val="00C61E12"/>
    <w:rsid w:val="00C61F17"/>
    <w:rsid w:val="00C61F52"/>
    <w:rsid w:val="00C61FC6"/>
    <w:rsid w:val="00C623D2"/>
    <w:rsid w:val="00C6276C"/>
    <w:rsid w:val="00C627CA"/>
    <w:rsid w:val="00C627D7"/>
    <w:rsid w:val="00C62D0A"/>
    <w:rsid w:val="00C62DE1"/>
    <w:rsid w:val="00C62E6E"/>
    <w:rsid w:val="00C6302B"/>
    <w:rsid w:val="00C631AA"/>
    <w:rsid w:val="00C631D2"/>
    <w:rsid w:val="00C631DB"/>
    <w:rsid w:val="00C632B5"/>
    <w:rsid w:val="00C632FE"/>
    <w:rsid w:val="00C633AC"/>
    <w:rsid w:val="00C63620"/>
    <w:rsid w:val="00C636E2"/>
    <w:rsid w:val="00C63781"/>
    <w:rsid w:val="00C639CB"/>
    <w:rsid w:val="00C63B8A"/>
    <w:rsid w:val="00C63D73"/>
    <w:rsid w:val="00C63DEF"/>
    <w:rsid w:val="00C63FB2"/>
    <w:rsid w:val="00C640BB"/>
    <w:rsid w:val="00C640DB"/>
    <w:rsid w:val="00C64131"/>
    <w:rsid w:val="00C641E9"/>
    <w:rsid w:val="00C6422D"/>
    <w:rsid w:val="00C64302"/>
    <w:rsid w:val="00C644F8"/>
    <w:rsid w:val="00C6484A"/>
    <w:rsid w:val="00C64C29"/>
    <w:rsid w:val="00C65287"/>
    <w:rsid w:val="00C652D7"/>
    <w:rsid w:val="00C65384"/>
    <w:rsid w:val="00C65884"/>
    <w:rsid w:val="00C65AB3"/>
    <w:rsid w:val="00C65B1D"/>
    <w:rsid w:val="00C65BB3"/>
    <w:rsid w:val="00C65D4F"/>
    <w:rsid w:val="00C65DA8"/>
    <w:rsid w:val="00C65E8F"/>
    <w:rsid w:val="00C663F7"/>
    <w:rsid w:val="00C66521"/>
    <w:rsid w:val="00C66522"/>
    <w:rsid w:val="00C66690"/>
    <w:rsid w:val="00C66798"/>
    <w:rsid w:val="00C66847"/>
    <w:rsid w:val="00C6687A"/>
    <w:rsid w:val="00C66915"/>
    <w:rsid w:val="00C66A2B"/>
    <w:rsid w:val="00C66C8F"/>
    <w:rsid w:val="00C66EB1"/>
    <w:rsid w:val="00C675BD"/>
    <w:rsid w:val="00C675F7"/>
    <w:rsid w:val="00C67F4F"/>
    <w:rsid w:val="00C67FFE"/>
    <w:rsid w:val="00C70340"/>
    <w:rsid w:val="00C70349"/>
    <w:rsid w:val="00C70366"/>
    <w:rsid w:val="00C705F3"/>
    <w:rsid w:val="00C70829"/>
    <w:rsid w:val="00C70941"/>
    <w:rsid w:val="00C70AB1"/>
    <w:rsid w:val="00C70B0F"/>
    <w:rsid w:val="00C70DB1"/>
    <w:rsid w:val="00C71040"/>
    <w:rsid w:val="00C710E3"/>
    <w:rsid w:val="00C712B5"/>
    <w:rsid w:val="00C7132E"/>
    <w:rsid w:val="00C71983"/>
    <w:rsid w:val="00C71B61"/>
    <w:rsid w:val="00C71DBD"/>
    <w:rsid w:val="00C71E62"/>
    <w:rsid w:val="00C71FB6"/>
    <w:rsid w:val="00C72062"/>
    <w:rsid w:val="00C720EA"/>
    <w:rsid w:val="00C72142"/>
    <w:rsid w:val="00C72240"/>
    <w:rsid w:val="00C7233A"/>
    <w:rsid w:val="00C726B4"/>
    <w:rsid w:val="00C7270B"/>
    <w:rsid w:val="00C727E4"/>
    <w:rsid w:val="00C728DE"/>
    <w:rsid w:val="00C729FD"/>
    <w:rsid w:val="00C72A17"/>
    <w:rsid w:val="00C72A4C"/>
    <w:rsid w:val="00C72C06"/>
    <w:rsid w:val="00C72D04"/>
    <w:rsid w:val="00C72E1E"/>
    <w:rsid w:val="00C72F36"/>
    <w:rsid w:val="00C72FFB"/>
    <w:rsid w:val="00C734E4"/>
    <w:rsid w:val="00C73718"/>
    <w:rsid w:val="00C7381D"/>
    <w:rsid w:val="00C73849"/>
    <w:rsid w:val="00C73B44"/>
    <w:rsid w:val="00C73B96"/>
    <w:rsid w:val="00C73E34"/>
    <w:rsid w:val="00C73E3B"/>
    <w:rsid w:val="00C73EE8"/>
    <w:rsid w:val="00C740D8"/>
    <w:rsid w:val="00C7428C"/>
    <w:rsid w:val="00C747B5"/>
    <w:rsid w:val="00C74934"/>
    <w:rsid w:val="00C74B23"/>
    <w:rsid w:val="00C74D52"/>
    <w:rsid w:val="00C74DE1"/>
    <w:rsid w:val="00C74ED5"/>
    <w:rsid w:val="00C74FA0"/>
    <w:rsid w:val="00C74FB0"/>
    <w:rsid w:val="00C75054"/>
    <w:rsid w:val="00C750DF"/>
    <w:rsid w:val="00C752C7"/>
    <w:rsid w:val="00C754D7"/>
    <w:rsid w:val="00C756FF"/>
    <w:rsid w:val="00C7583B"/>
    <w:rsid w:val="00C758B0"/>
    <w:rsid w:val="00C758EF"/>
    <w:rsid w:val="00C75995"/>
    <w:rsid w:val="00C75A41"/>
    <w:rsid w:val="00C75B17"/>
    <w:rsid w:val="00C75B36"/>
    <w:rsid w:val="00C75BBF"/>
    <w:rsid w:val="00C75DD1"/>
    <w:rsid w:val="00C75FBF"/>
    <w:rsid w:val="00C75FD5"/>
    <w:rsid w:val="00C76013"/>
    <w:rsid w:val="00C76079"/>
    <w:rsid w:val="00C7609F"/>
    <w:rsid w:val="00C7616F"/>
    <w:rsid w:val="00C763AD"/>
    <w:rsid w:val="00C764FF"/>
    <w:rsid w:val="00C7656B"/>
    <w:rsid w:val="00C765DB"/>
    <w:rsid w:val="00C765DD"/>
    <w:rsid w:val="00C7684D"/>
    <w:rsid w:val="00C7696F"/>
    <w:rsid w:val="00C76A2F"/>
    <w:rsid w:val="00C76C07"/>
    <w:rsid w:val="00C76CB3"/>
    <w:rsid w:val="00C76E58"/>
    <w:rsid w:val="00C76EBD"/>
    <w:rsid w:val="00C76EF2"/>
    <w:rsid w:val="00C76F75"/>
    <w:rsid w:val="00C76FBD"/>
    <w:rsid w:val="00C77298"/>
    <w:rsid w:val="00C77312"/>
    <w:rsid w:val="00C77380"/>
    <w:rsid w:val="00C77653"/>
    <w:rsid w:val="00C77661"/>
    <w:rsid w:val="00C7770D"/>
    <w:rsid w:val="00C7791E"/>
    <w:rsid w:val="00C779FE"/>
    <w:rsid w:val="00C779FF"/>
    <w:rsid w:val="00C77A43"/>
    <w:rsid w:val="00C77A5E"/>
    <w:rsid w:val="00C77B74"/>
    <w:rsid w:val="00C77D61"/>
    <w:rsid w:val="00C77E7E"/>
    <w:rsid w:val="00C8009C"/>
    <w:rsid w:val="00C80105"/>
    <w:rsid w:val="00C8030B"/>
    <w:rsid w:val="00C8031B"/>
    <w:rsid w:val="00C80490"/>
    <w:rsid w:val="00C80649"/>
    <w:rsid w:val="00C80796"/>
    <w:rsid w:val="00C80896"/>
    <w:rsid w:val="00C808FB"/>
    <w:rsid w:val="00C80AA6"/>
    <w:rsid w:val="00C80D06"/>
    <w:rsid w:val="00C80D7D"/>
    <w:rsid w:val="00C80E81"/>
    <w:rsid w:val="00C81034"/>
    <w:rsid w:val="00C810C2"/>
    <w:rsid w:val="00C810CC"/>
    <w:rsid w:val="00C8161F"/>
    <w:rsid w:val="00C81908"/>
    <w:rsid w:val="00C819AA"/>
    <w:rsid w:val="00C819EE"/>
    <w:rsid w:val="00C820DD"/>
    <w:rsid w:val="00C822B3"/>
    <w:rsid w:val="00C8269B"/>
    <w:rsid w:val="00C82BB8"/>
    <w:rsid w:val="00C82C19"/>
    <w:rsid w:val="00C82E1F"/>
    <w:rsid w:val="00C83193"/>
    <w:rsid w:val="00C8353F"/>
    <w:rsid w:val="00C83726"/>
    <w:rsid w:val="00C838A1"/>
    <w:rsid w:val="00C8392A"/>
    <w:rsid w:val="00C83A14"/>
    <w:rsid w:val="00C83BDF"/>
    <w:rsid w:val="00C83BE7"/>
    <w:rsid w:val="00C83F17"/>
    <w:rsid w:val="00C840AE"/>
    <w:rsid w:val="00C840F4"/>
    <w:rsid w:val="00C844D3"/>
    <w:rsid w:val="00C849B2"/>
    <w:rsid w:val="00C84A5E"/>
    <w:rsid w:val="00C84BCD"/>
    <w:rsid w:val="00C84C3D"/>
    <w:rsid w:val="00C84D01"/>
    <w:rsid w:val="00C84D26"/>
    <w:rsid w:val="00C84D5F"/>
    <w:rsid w:val="00C84DA0"/>
    <w:rsid w:val="00C84DC0"/>
    <w:rsid w:val="00C84E44"/>
    <w:rsid w:val="00C84FB7"/>
    <w:rsid w:val="00C8501A"/>
    <w:rsid w:val="00C8504B"/>
    <w:rsid w:val="00C852DB"/>
    <w:rsid w:val="00C852DD"/>
    <w:rsid w:val="00C853B1"/>
    <w:rsid w:val="00C856AA"/>
    <w:rsid w:val="00C85A0A"/>
    <w:rsid w:val="00C85A93"/>
    <w:rsid w:val="00C85D48"/>
    <w:rsid w:val="00C85FFA"/>
    <w:rsid w:val="00C8615E"/>
    <w:rsid w:val="00C8623C"/>
    <w:rsid w:val="00C8633F"/>
    <w:rsid w:val="00C863A8"/>
    <w:rsid w:val="00C863DF"/>
    <w:rsid w:val="00C8653E"/>
    <w:rsid w:val="00C86691"/>
    <w:rsid w:val="00C8695A"/>
    <w:rsid w:val="00C86C4C"/>
    <w:rsid w:val="00C86F3A"/>
    <w:rsid w:val="00C8729D"/>
    <w:rsid w:val="00C87423"/>
    <w:rsid w:val="00C874C1"/>
    <w:rsid w:val="00C87651"/>
    <w:rsid w:val="00C878DE"/>
    <w:rsid w:val="00C878F4"/>
    <w:rsid w:val="00C878F8"/>
    <w:rsid w:val="00C87A77"/>
    <w:rsid w:val="00C87B18"/>
    <w:rsid w:val="00C87BFE"/>
    <w:rsid w:val="00C87DD7"/>
    <w:rsid w:val="00C87E6C"/>
    <w:rsid w:val="00C87EC0"/>
    <w:rsid w:val="00C87EC1"/>
    <w:rsid w:val="00C901D9"/>
    <w:rsid w:val="00C9030C"/>
    <w:rsid w:val="00C903B1"/>
    <w:rsid w:val="00C90415"/>
    <w:rsid w:val="00C906F4"/>
    <w:rsid w:val="00C907C0"/>
    <w:rsid w:val="00C90803"/>
    <w:rsid w:val="00C90899"/>
    <w:rsid w:val="00C908A6"/>
    <w:rsid w:val="00C9092A"/>
    <w:rsid w:val="00C90D41"/>
    <w:rsid w:val="00C90F7A"/>
    <w:rsid w:val="00C910DD"/>
    <w:rsid w:val="00C9122A"/>
    <w:rsid w:val="00C9176B"/>
    <w:rsid w:val="00C917F6"/>
    <w:rsid w:val="00C91990"/>
    <w:rsid w:val="00C91B6B"/>
    <w:rsid w:val="00C91D9C"/>
    <w:rsid w:val="00C91F4F"/>
    <w:rsid w:val="00C91F7F"/>
    <w:rsid w:val="00C9204B"/>
    <w:rsid w:val="00C922C2"/>
    <w:rsid w:val="00C929A3"/>
    <w:rsid w:val="00C92E6A"/>
    <w:rsid w:val="00C92F61"/>
    <w:rsid w:val="00C933A4"/>
    <w:rsid w:val="00C9367A"/>
    <w:rsid w:val="00C937FF"/>
    <w:rsid w:val="00C9393D"/>
    <w:rsid w:val="00C9395F"/>
    <w:rsid w:val="00C93A45"/>
    <w:rsid w:val="00C93BB9"/>
    <w:rsid w:val="00C93EF1"/>
    <w:rsid w:val="00C93F57"/>
    <w:rsid w:val="00C94032"/>
    <w:rsid w:val="00C943A3"/>
    <w:rsid w:val="00C94652"/>
    <w:rsid w:val="00C94690"/>
    <w:rsid w:val="00C948C4"/>
    <w:rsid w:val="00C94B13"/>
    <w:rsid w:val="00C94B67"/>
    <w:rsid w:val="00C94B96"/>
    <w:rsid w:val="00C94C00"/>
    <w:rsid w:val="00C94D0B"/>
    <w:rsid w:val="00C94D3B"/>
    <w:rsid w:val="00C9515E"/>
    <w:rsid w:val="00C951BA"/>
    <w:rsid w:val="00C956E2"/>
    <w:rsid w:val="00C95730"/>
    <w:rsid w:val="00C95753"/>
    <w:rsid w:val="00C9589D"/>
    <w:rsid w:val="00C958FC"/>
    <w:rsid w:val="00C95952"/>
    <w:rsid w:val="00C959EA"/>
    <w:rsid w:val="00C95A88"/>
    <w:rsid w:val="00C95B11"/>
    <w:rsid w:val="00C95F54"/>
    <w:rsid w:val="00C9600E"/>
    <w:rsid w:val="00C96420"/>
    <w:rsid w:val="00C965AA"/>
    <w:rsid w:val="00C96609"/>
    <w:rsid w:val="00C96938"/>
    <w:rsid w:val="00C96B0A"/>
    <w:rsid w:val="00C96CC3"/>
    <w:rsid w:val="00C96D09"/>
    <w:rsid w:val="00C96E04"/>
    <w:rsid w:val="00C97268"/>
    <w:rsid w:val="00C9735D"/>
    <w:rsid w:val="00C97613"/>
    <w:rsid w:val="00C978A9"/>
    <w:rsid w:val="00C9797A"/>
    <w:rsid w:val="00C979EB"/>
    <w:rsid w:val="00C97F3E"/>
    <w:rsid w:val="00CA0450"/>
    <w:rsid w:val="00CA04E2"/>
    <w:rsid w:val="00CA04FD"/>
    <w:rsid w:val="00CA0572"/>
    <w:rsid w:val="00CA05D3"/>
    <w:rsid w:val="00CA06A6"/>
    <w:rsid w:val="00CA0AB6"/>
    <w:rsid w:val="00CA0ABF"/>
    <w:rsid w:val="00CA0C1B"/>
    <w:rsid w:val="00CA0C3B"/>
    <w:rsid w:val="00CA0CDF"/>
    <w:rsid w:val="00CA0DB3"/>
    <w:rsid w:val="00CA0E76"/>
    <w:rsid w:val="00CA10DD"/>
    <w:rsid w:val="00CA11A5"/>
    <w:rsid w:val="00CA11FA"/>
    <w:rsid w:val="00CA1294"/>
    <w:rsid w:val="00CA1608"/>
    <w:rsid w:val="00CA16BC"/>
    <w:rsid w:val="00CA1713"/>
    <w:rsid w:val="00CA184B"/>
    <w:rsid w:val="00CA1D09"/>
    <w:rsid w:val="00CA1D21"/>
    <w:rsid w:val="00CA1D30"/>
    <w:rsid w:val="00CA1E48"/>
    <w:rsid w:val="00CA1F31"/>
    <w:rsid w:val="00CA25B6"/>
    <w:rsid w:val="00CA2769"/>
    <w:rsid w:val="00CA2A49"/>
    <w:rsid w:val="00CA2A60"/>
    <w:rsid w:val="00CA2AA9"/>
    <w:rsid w:val="00CA2D19"/>
    <w:rsid w:val="00CA2E0B"/>
    <w:rsid w:val="00CA2EB3"/>
    <w:rsid w:val="00CA2F5F"/>
    <w:rsid w:val="00CA2FEE"/>
    <w:rsid w:val="00CA31BD"/>
    <w:rsid w:val="00CA339A"/>
    <w:rsid w:val="00CA3526"/>
    <w:rsid w:val="00CA37E2"/>
    <w:rsid w:val="00CA38D3"/>
    <w:rsid w:val="00CA3A0F"/>
    <w:rsid w:val="00CA3AC6"/>
    <w:rsid w:val="00CA3AF1"/>
    <w:rsid w:val="00CA3B1A"/>
    <w:rsid w:val="00CA3BC6"/>
    <w:rsid w:val="00CA3BDC"/>
    <w:rsid w:val="00CA3DF2"/>
    <w:rsid w:val="00CA3E67"/>
    <w:rsid w:val="00CA4057"/>
    <w:rsid w:val="00CA4067"/>
    <w:rsid w:val="00CA40F2"/>
    <w:rsid w:val="00CA4239"/>
    <w:rsid w:val="00CA43A8"/>
    <w:rsid w:val="00CA44D1"/>
    <w:rsid w:val="00CA471D"/>
    <w:rsid w:val="00CA475C"/>
    <w:rsid w:val="00CA47E2"/>
    <w:rsid w:val="00CA4892"/>
    <w:rsid w:val="00CA4A2C"/>
    <w:rsid w:val="00CA4DF6"/>
    <w:rsid w:val="00CA5050"/>
    <w:rsid w:val="00CA51E3"/>
    <w:rsid w:val="00CA5245"/>
    <w:rsid w:val="00CA529B"/>
    <w:rsid w:val="00CA52D4"/>
    <w:rsid w:val="00CA53FF"/>
    <w:rsid w:val="00CA5474"/>
    <w:rsid w:val="00CA551C"/>
    <w:rsid w:val="00CA587C"/>
    <w:rsid w:val="00CA58B7"/>
    <w:rsid w:val="00CA58BB"/>
    <w:rsid w:val="00CA5C21"/>
    <w:rsid w:val="00CA5F10"/>
    <w:rsid w:val="00CA5F25"/>
    <w:rsid w:val="00CA60D2"/>
    <w:rsid w:val="00CA61DA"/>
    <w:rsid w:val="00CA633A"/>
    <w:rsid w:val="00CA6412"/>
    <w:rsid w:val="00CA6598"/>
    <w:rsid w:val="00CA6704"/>
    <w:rsid w:val="00CA6807"/>
    <w:rsid w:val="00CA690C"/>
    <w:rsid w:val="00CA69A2"/>
    <w:rsid w:val="00CA69F5"/>
    <w:rsid w:val="00CA6EA1"/>
    <w:rsid w:val="00CA6F77"/>
    <w:rsid w:val="00CA71C4"/>
    <w:rsid w:val="00CA74D9"/>
    <w:rsid w:val="00CA774D"/>
    <w:rsid w:val="00CA7BC0"/>
    <w:rsid w:val="00CA7CE7"/>
    <w:rsid w:val="00CB0029"/>
    <w:rsid w:val="00CB00C8"/>
    <w:rsid w:val="00CB018E"/>
    <w:rsid w:val="00CB01B5"/>
    <w:rsid w:val="00CB0234"/>
    <w:rsid w:val="00CB02B4"/>
    <w:rsid w:val="00CB0910"/>
    <w:rsid w:val="00CB09DE"/>
    <w:rsid w:val="00CB0C06"/>
    <w:rsid w:val="00CB0D3C"/>
    <w:rsid w:val="00CB0D77"/>
    <w:rsid w:val="00CB0E40"/>
    <w:rsid w:val="00CB1206"/>
    <w:rsid w:val="00CB13F4"/>
    <w:rsid w:val="00CB1623"/>
    <w:rsid w:val="00CB187F"/>
    <w:rsid w:val="00CB1931"/>
    <w:rsid w:val="00CB1A25"/>
    <w:rsid w:val="00CB214C"/>
    <w:rsid w:val="00CB22C2"/>
    <w:rsid w:val="00CB2588"/>
    <w:rsid w:val="00CB2605"/>
    <w:rsid w:val="00CB27B1"/>
    <w:rsid w:val="00CB2C7F"/>
    <w:rsid w:val="00CB2E31"/>
    <w:rsid w:val="00CB2F19"/>
    <w:rsid w:val="00CB306B"/>
    <w:rsid w:val="00CB32F6"/>
    <w:rsid w:val="00CB3C82"/>
    <w:rsid w:val="00CB3E3A"/>
    <w:rsid w:val="00CB3E5B"/>
    <w:rsid w:val="00CB3E7D"/>
    <w:rsid w:val="00CB3EC4"/>
    <w:rsid w:val="00CB431A"/>
    <w:rsid w:val="00CB438B"/>
    <w:rsid w:val="00CB4603"/>
    <w:rsid w:val="00CB462B"/>
    <w:rsid w:val="00CB46CC"/>
    <w:rsid w:val="00CB4AD2"/>
    <w:rsid w:val="00CB4ADA"/>
    <w:rsid w:val="00CB4D42"/>
    <w:rsid w:val="00CB4E5D"/>
    <w:rsid w:val="00CB5008"/>
    <w:rsid w:val="00CB5099"/>
    <w:rsid w:val="00CB5153"/>
    <w:rsid w:val="00CB526E"/>
    <w:rsid w:val="00CB53B3"/>
    <w:rsid w:val="00CB545B"/>
    <w:rsid w:val="00CB5526"/>
    <w:rsid w:val="00CB56F0"/>
    <w:rsid w:val="00CB5945"/>
    <w:rsid w:val="00CB598C"/>
    <w:rsid w:val="00CB5A74"/>
    <w:rsid w:val="00CB5AF5"/>
    <w:rsid w:val="00CB5B1C"/>
    <w:rsid w:val="00CB5BC5"/>
    <w:rsid w:val="00CB5E59"/>
    <w:rsid w:val="00CB5E74"/>
    <w:rsid w:val="00CB5F30"/>
    <w:rsid w:val="00CB6068"/>
    <w:rsid w:val="00CB624F"/>
    <w:rsid w:val="00CB637C"/>
    <w:rsid w:val="00CB64F9"/>
    <w:rsid w:val="00CB6659"/>
    <w:rsid w:val="00CB66EE"/>
    <w:rsid w:val="00CB6714"/>
    <w:rsid w:val="00CB674A"/>
    <w:rsid w:val="00CB69B8"/>
    <w:rsid w:val="00CB69C6"/>
    <w:rsid w:val="00CB6A31"/>
    <w:rsid w:val="00CB6E53"/>
    <w:rsid w:val="00CB6F0E"/>
    <w:rsid w:val="00CB6F64"/>
    <w:rsid w:val="00CB7063"/>
    <w:rsid w:val="00CB724F"/>
    <w:rsid w:val="00CB728F"/>
    <w:rsid w:val="00CB7481"/>
    <w:rsid w:val="00CB77FA"/>
    <w:rsid w:val="00CB7831"/>
    <w:rsid w:val="00CB78E3"/>
    <w:rsid w:val="00CB7A7A"/>
    <w:rsid w:val="00CB7AD2"/>
    <w:rsid w:val="00CB7D00"/>
    <w:rsid w:val="00CC02AB"/>
    <w:rsid w:val="00CC02B8"/>
    <w:rsid w:val="00CC0312"/>
    <w:rsid w:val="00CC0376"/>
    <w:rsid w:val="00CC0485"/>
    <w:rsid w:val="00CC0810"/>
    <w:rsid w:val="00CC097E"/>
    <w:rsid w:val="00CC0B09"/>
    <w:rsid w:val="00CC0FB3"/>
    <w:rsid w:val="00CC1075"/>
    <w:rsid w:val="00CC10B2"/>
    <w:rsid w:val="00CC1323"/>
    <w:rsid w:val="00CC14BD"/>
    <w:rsid w:val="00CC15D0"/>
    <w:rsid w:val="00CC164A"/>
    <w:rsid w:val="00CC16F5"/>
    <w:rsid w:val="00CC181E"/>
    <w:rsid w:val="00CC1926"/>
    <w:rsid w:val="00CC1AFE"/>
    <w:rsid w:val="00CC1BE8"/>
    <w:rsid w:val="00CC1EFA"/>
    <w:rsid w:val="00CC1F5E"/>
    <w:rsid w:val="00CC1F70"/>
    <w:rsid w:val="00CC20D6"/>
    <w:rsid w:val="00CC210D"/>
    <w:rsid w:val="00CC24AF"/>
    <w:rsid w:val="00CC2554"/>
    <w:rsid w:val="00CC29B9"/>
    <w:rsid w:val="00CC29CE"/>
    <w:rsid w:val="00CC2A91"/>
    <w:rsid w:val="00CC2A95"/>
    <w:rsid w:val="00CC2CB0"/>
    <w:rsid w:val="00CC2F0A"/>
    <w:rsid w:val="00CC30FB"/>
    <w:rsid w:val="00CC3180"/>
    <w:rsid w:val="00CC324A"/>
    <w:rsid w:val="00CC353B"/>
    <w:rsid w:val="00CC3615"/>
    <w:rsid w:val="00CC3756"/>
    <w:rsid w:val="00CC38BF"/>
    <w:rsid w:val="00CC3B19"/>
    <w:rsid w:val="00CC3B43"/>
    <w:rsid w:val="00CC3BAD"/>
    <w:rsid w:val="00CC3D56"/>
    <w:rsid w:val="00CC3EA3"/>
    <w:rsid w:val="00CC4039"/>
    <w:rsid w:val="00CC41C3"/>
    <w:rsid w:val="00CC45C0"/>
    <w:rsid w:val="00CC4620"/>
    <w:rsid w:val="00CC48B9"/>
    <w:rsid w:val="00CC49EC"/>
    <w:rsid w:val="00CC4A1E"/>
    <w:rsid w:val="00CC4CE2"/>
    <w:rsid w:val="00CC4D3E"/>
    <w:rsid w:val="00CC4F14"/>
    <w:rsid w:val="00CC52B6"/>
    <w:rsid w:val="00CC546F"/>
    <w:rsid w:val="00CC558F"/>
    <w:rsid w:val="00CC567D"/>
    <w:rsid w:val="00CC57B4"/>
    <w:rsid w:val="00CC582F"/>
    <w:rsid w:val="00CC5C8C"/>
    <w:rsid w:val="00CC5CA4"/>
    <w:rsid w:val="00CC5CB7"/>
    <w:rsid w:val="00CC5D93"/>
    <w:rsid w:val="00CC5DC7"/>
    <w:rsid w:val="00CC5EA5"/>
    <w:rsid w:val="00CC5F36"/>
    <w:rsid w:val="00CC5F9D"/>
    <w:rsid w:val="00CC62BD"/>
    <w:rsid w:val="00CC653E"/>
    <w:rsid w:val="00CC664C"/>
    <w:rsid w:val="00CC6845"/>
    <w:rsid w:val="00CC68B1"/>
    <w:rsid w:val="00CC697A"/>
    <w:rsid w:val="00CC69AF"/>
    <w:rsid w:val="00CC6B49"/>
    <w:rsid w:val="00CC6B91"/>
    <w:rsid w:val="00CC6C02"/>
    <w:rsid w:val="00CC6C60"/>
    <w:rsid w:val="00CC6CE9"/>
    <w:rsid w:val="00CC7028"/>
    <w:rsid w:val="00CC71DF"/>
    <w:rsid w:val="00CC773E"/>
    <w:rsid w:val="00CC777E"/>
    <w:rsid w:val="00CC7C66"/>
    <w:rsid w:val="00CC7CE9"/>
    <w:rsid w:val="00CC7E7E"/>
    <w:rsid w:val="00CD01D4"/>
    <w:rsid w:val="00CD0639"/>
    <w:rsid w:val="00CD0750"/>
    <w:rsid w:val="00CD078B"/>
    <w:rsid w:val="00CD09FB"/>
    <w:rsid w:val="00CD0A7E"/>
    <w:rsid w:val="00CD0BA6"/>
    <w:rsid w:val="00CD0DAD"/>
    <w:rsid w:val="00CD0F3A"/>
    <w:rsid w:val="00CD0F4B"/>
    <w:rsid w:val="00CD0FE6"/>
    <w:rsid w:val="00CD1110"/>
    <w:rsid w:val="00CD1476"/>
    <w:rsid w:val="00CD159A"/>
    <w:rsid w:val="00CD165C"/>
    <w:rsid w:val="00CD16EF"/>
    <w:rsid w:val="00CD17F3"/>
    <w:rsid w:val="00CD18A6"/>
    <w:rsid w:val="00CD18FF"/>
    <w:rsid w:val="00CD193A"/>
    <w:rsid w:val="00CD1A50"/>
    <w:rsid w:val="00CD1C5C"/>
    <w:rsid w:val="00CD1C60"/>
    <w:rsid w:val="00CD1D47"/>
    <w:rsid w:val="00CD1E2D"/>
    <w:rsid w:val="00CD1F0E"/>
    <w:rsid w:val="00CD2537"/>
    <w:rsid w:val="00CD25C9"/>
    <w:rsid w:val="00CD25F3"/>
    <w:rsid w:val="00CD26AB"/>
    <w:rsid w:val="00CD2741"/>
    <w:rsid w:val="00CD285A"/>
    <w:rsid w:val="00CD2895"/>
    <w:rsid w:val="00CD2B0D"/>
    <w:rsid w:val="00CD2B2D"/>
    <w:rsid w:val="00CD2F05"/>
    <w:rsid w:val="00CD2FDA"/>
    <w:rsid w:val="00CD303C"/>
    <w:rsid w:val="00CD32F2"/>
    <w:rsid w:val="00CD33C1"/>
    <w:rsid w:val="00CD35D1"/>
    <w:rsid w:val="00CD3630"/>
    <w:rsid w:val="00CD363C"/>
    <w:rsid w:val="00CD38B9"/>
    <w:rsid w:val="00CD3BDD"/>
    <w:rsid w:val="00CD3C00"/>
    <w:rsid w:val="00CD3E27"/>
    <w:rsid w:val="00CD407C"/>
    <w:rsid w:val="00CD40B0"/>
    <w:rsid w:val="00CD421A"/>
    <w:rsid w:val="00CD4499"/>
    <w:rsid w:val="00CD4582"/>
    <w:rsid w:val="00CD4592"/>
    <w:rsid w:val="00CD4723"/>
    <w:rsid w:val="00CD485E"/>
    <w:rsid w:val="00CD488D"/>
    <w:rsid w:val="00CD48B3"/>
    <w:rsid w:val="00CD4962"/>
    <w:rsid w:val="00CD4986"/>
    <w:rsid w:val="00CD49B0"/>
    <w:rsid w:val="00CD49FE"/>
    <w:rsid w:val="00CD4D75"/>
    <w:rsid w:val="00CD4F43"/>
    <w:rsid w:val="00CD4F5B"/>
    <w:rsid w:val="00CD520D"/>
    <w:rsid w:val="00CD5217"/>
    <w:rsid w:val="00CD5475"/>
    <w:rsid w:val="00CD5517"/>
    <w:rsid w:val="00CD5985"/>
    <w:rsid w:val="00CD59BE"/>
    <w:rsid w:val="00CD5B4E"/>
    <w:rsid w:val="00CD5CAA"/>
    <w:rsid w:val="00CD5DD7"/>
    <w:rsid w:val="00CD61C0"/>
    <w:rsid w:val="00CD6495"/>
    <w:rsid w:val="00CD649C"/>
    <w:rsid w:val="00CD64DC"/>
    <w:rsid w:val="00CD653C"/>
    <w:rsid w:val="00CD677E"/>
    <w:rsid w:val="00CD6788"/>
    <w:rsid w:val="00CD68D9"/>
    <w:rsid w:val="00CD6A9E"/>
    <w:rsid w:val="00CD6AAA"/>
    <w:rsid w:val="00CD6D7F"/>
    <w:rsid w:val="00CD6D85"/>
    <w:rsid w:val="00CD6EF2"/>
    <w:rsid w:val="00CD6FB4"/>
    <w:rsid w:val="00CD7006"/>
    <w:rsid w:val="00CD70EE"/>
    <w:rsid w:val="00CD7126"/>
    <w:rsid w:val="00CD729F"/>
    <w:rsid w:val="00CD734D"/>
    <w:rsid w:val="00CD7377"/>
    <w:rsid w:val="00CD7382"/>
    <w:rsid w:val="00CD73E7"/>
    <w:rsid w:val="00CD7A2B"/>
    <w:rsid w:val="00CD7B32"/>
    <w:rsid w:val="00CD7BBD"/>
    <w:rsid w:val="00CD7D78"/>
    <w:rsid w:val="00CD7E62"/>
    <w:rsid w:val="00CD7EA0"/>
    <w:rsid w:val="00CD7F59"/>
    <w:rsid w:val="00CE02F4"/>
    <w:rsid w:val="00CE0395"/>
    <w:rsid w:val="00CE04BA"/>
    <w:rsid w:val="00CE054C"/>
    <w:rsid w:val="00CE05F7"/>
    <w:rsid w:val="00CE06E3"/>
    <w:rsid w:val="00CE078C"/>
    <w:rsid w:val="00CE0935"/>
    <w:rsid w:val="00CE0A66"/>
    <w:rsid w:val="00CE0C94"/>
    <w:rsid w:val="00CE0EBB"/>
    <w:rsid w:val="00CE0FBA"/>
    <w:rsid w:val="00CE1193"/>
    <w:rsid w:val="00CE11E4"/>
    <w:rsid w:val="00CE130F"/>
    <w:rsid w:val="00CE151C"/>
    <w:rsid w:val="00CE15DD"/>
    <w:rsid w:val="00CE1739"/>
    <w:rsid w:val="00CE17E9"/>
    <w:rsid w:val="00CE1982"/>
    <w:rsid w:val="00CE19A8"/>
    <w:rsid w:val="00CE1A09"/>
    <w:rsid w:val="00CE1A4F"/>
    <w:rsid w:val="00CE1B2C"/>
    <w:rsid w:val="00CE1C2F"/>
    <w:rsid w:val="00CE1DA1"/>
    <w:rsid w:val="00CE1E48"/>
    <w:rsid w:val="00CE1EF8"/>
    <w:rsid w:val="00CE1F27"/>
    <w:rsid w:val="00CE1FAB"/>
    <w:rsid w:val="00CE24FE"/>
    <w:rsid w:val="00CE2523"/>
    <w:rsid w:val="00CE264D"/>
    <w:rsid w:val="00CE275D"/>
    <w:rsid w:val="00CE281D"/>
    <w:rsid w:val="00CE2856"/>
    <w:rsid w:val="00CE2868"/>
    <w:rsid w:val="00CE29BC"/>
    <w:rsid w:val="00CE2DE1"/>
    <w:rsid w:val="00CE326C"/>
    <w:rsid w:val="00CE34F3"/>
    <w:rsid w:val="00CE3592"/>
    <w:rsid w:val="00CE36D6"/>
    <w:rsid w:val="00CE38E9"/>
    <w:rsid w:val="00CE3C66"/>
    <w:rsid w:val="00CE3C75"/>
    <w:rsid w:val="00CE3F38"/>
    <w:rsid w:val="00CE3FCC"/>
    <w:rsid w:val="00CE42B0"/>
    <w:rsid w:val="00CE42E9"/>
    <w:rsid w:val="00CE44D2"/>
    <w:rsid w:val="00CE463E"/>
    <w:rsid w:val="00CE488D"/>
    <w:rsid w:val="00CE4A8C"/>
    <w:rsid w:val="00CE4E0B"/>
    <w:rsid w:val="00CE4FEE"/>
    <w:rsid w:val="00CE50D9"/>
    <w:rsid w:val="00CE536D"/>
    <w:rsid w:val="00CE54A0"/>
    <w:rsid w:val="00CE5803"/>
    <w:rsid w:val="00CE5B2E"/>
    <w:rsid w:val="00CE5BB6"/>
    <w:rsid w:val="00CE5CF3"/>
    <w:rsid w:val="00CE5D08"/>
    <w:rsid w:val="00CE5DA8"/>
    <w:rsid w:val="00CE5DD4"/>
    <w:rsid w:val="00CE615C"/>
    <w:rsid w:val="00CE64C3"/>
    <w:rsid w:val="00CE64E8"/>
    <w:rsid w:val="00CE65A1"/>
    <w:rsid w:val="00CE66E3"/>
    <w:rsid w:val="00CE67B4"/>
    <w:rsid w:val="00CE68A8"/>
    <w:rsid w:val="00CE68DF"/>
    <w:rsid w:val="00CE68E4"/>
    <w:rsid w:val="00CE6A54"/>
    <w:rsid w:val="00CE6A6B"/>
    <w:rsid w:val="00CE6C89"/>
    <w:rsid w:val="00CE6DAC"/>
    <w:rsid w:val="00CE6EDC"/>
    <w:rsid w:val="00CE6F3A"/>
    <w:rsid w:val="00CE6F84"/>
    <w:rsid w:val="00CE7075"/>
    <w:rsid w:val="00CE7150"/>
    <w:rsid w:val="00CE7267"/>
    <w:rsid w:val="00CE7379"/>
    <w:rsid w:val="00CE739F"/>
    <w:rsid w:val="00CE7517"/>
    <w:rsid w:val="00CE7581"/>
    <w:rsid w:val="00CE75CC"/>
    <w:rsid w:val="00CE76D8"/>
    <w:rsid w:val="00CE78F2"/>
    <w:rsid w:val="00CE7996"/>
    <w:rsid w:val="00CE7A7D"/>
    <w:rsid w:val="00CE7F61"/>
    <w:rsid w:val="00CF02B2"/>
    <w:rsid w:val="00CF051C"/>
    <w:rsid w:val="00CF0588"/>
    <w:rsid w:val="00CF05DC"/>
    <w:rsid w:val="00CF072D"/>
    <w:rsid w:val="00CF0A0B"/>
    <w:rsid w:val="00CF0D13"/>
    <w:rsid w:val="00CF0DC1"/>
    <w:rsid w:val="00CF0FB7"/>
    <w:rsid w:val="00CF1039"/>
    <w:rsid w:val="00CF1088"/>
    <w:rsid w:val="00CF1477"/>
    <w:rsid w:val="00CF166F"/>
    <w:rsid w:val="00CF17D0"/>
    <w:rsid w:val="00CF1895"/>
    <w:rsid w:val="00CF193E"/>
    <w:rsid w:val="00CF1AFC"/>
    <w:rsid w:val="00CF1B08"/>
    <w:rsid w:val="00CF1B7F"/>
    <w:rsid w:val="00CF1C4C"/>
    <w:rsid w:val="00CF1D1D"/>
    <w:rsid w:val="00CF2035"/>
    <w:rsid w:val="00CF208C"/>
    <w:rsid w:val="00CF20D9"/>
    <w:rsid w:val="00CF24D0"/>
    <w:rsid w:val="00CF257C"/>
    <w:rsid w:val="00CF25BF"/>
    <w:rsid w:val="00CF2819"/>
    <w:rsid w:val="00CF2856"/>
    <w:rsid w:val="00CF2D9F"/>
    <w:rsid w:val="00CF2F3D"/>
    <w:rsid w:val="00CF3030"/>
    <w:rsid w:val="00CF32AF"/>
    <w:rsid w:val="00CF3479"/>
    <w:rsid w:val="00CF37DF"/>
    <w:rsid w:val="00CF3899"/>
    <w:rsid w:val="00CF38AA"/>
    <w:rsid w:val="00CF3A09"/>
    <w:rsid w:val="00CF3BCF"/>
    <w:rsid w:val="00CF3C3B"/>
    <w:rsid w:val="00CF3DAB"/>
    <w:rsid w:val="00CF3EF8"/>
    <w:rsid w:val="00CF4093"/>
    <w:rsid w:val="00CF445F"/>
    <w:rsid w:val="00CF4530"/>
    <w:rsid w:val="00CF463C"/>
    <w:rsid w:val="00CF47A8"/>
    <w:rsid w:val="00CF480C"/>
    <w:rsid w:val="00CF48EA"/>
    <w:rsid w:val="00CF49D1"/>
    <w:rsid w:val="00CF4A60"/>
    <w:rsid w:val="00CF4B2D"/>
    <w:rsid w:val="00CF4C62"/>
    <w:rsid w:val="00CF4DAA"/>
    <w:rsid w:val="00CF4DE4"/>
    <w:rsid w:val="00CF4F7F"/>
    <w:rsid w:val="00CF5142"/>
    <w:rsid w:val="00CF520B"/>
    <w:rsid w:val="00CF539B"/>
    <w:rsid w:val="00CF5446"/>
    <w:rsid w:val="00CF546F"/>
    <w:rsid w:val="00CF5947"/>
    <w:rsid w:val="00CF5AFB"/>
    <w:rsid w:val="00CF5B09"/>
    <w:rsid w:val="00CF5C35"/>
    <w:rsid w:val="00CF5C68"/>
    <w:rsid w:val="00CF5D1A"/>
    <w:rsid w:val="00CF5D21"/>
    <w:rsid w:val="00CF5DDD"/>
    <w:rsid w:val="00CF5E17"/>
    <w:rsid w:val="00CF6887"/>
    <w:rsid w:val="00CF689C"/>
    <w:rsid w:val="00CF6B66"/>
    <w:rsid w:val="00CF6CA3"/>
    <w:rsid w:val="00CF6F81"/>
    <w:rsid w:val="00CF701D"/>
    <w:rsid w:val="00CF7258"/>
    <w:rsid w:val="00CF72F1"/>
    <w:rsid w:val="00CF73B7"/>
    <w:rsid w:val="00CF74B7"/>
    <w:rsid w:val="00CF77DD"/>
    <w:rsid w:val="00CF7A6F"/>
    <w:rsid w:val="00CF7B21"/>
    <w:rsid w:val="00CF7E14"/>
    <w:rsid w:val="00D000FB"/>
    <w:rsid w:val="00D0012A"/>
    <w:rsid w:val="00D002E8"/>
    <w:rsid w:val="00D003BA"/>
    <w:rsid w:val="00D0040E"/>
    <w:rsid w:val="00D0054F"/>
    <w:rsid w:val="00D007C4"/>
    <w:rsid w:val="00D007DB"/>
    <w:rsid w:val="00D00DE7"/>
    <w:rsid w:val="00D00E22"/>
    <w:rsid w:val="00D00E7D"/>
    <w:rsid w:val="00D010A8"/>
    <w:rsid w:val="00D010FF"/>
    <w:rsid w:val="00D012D2"/>
    <w:rsid w:val="00D0144B"/>
    <w:rsid w:val="00D01604"/>
    <w:rsid w:val="00D0178E"/>
    <w:rsid w:val="00D01A63"/>
    <w:rsid w:val="00D01B5D"/>
    <w:rsid w:val="00D0209F"/>
    <w:rsid w:val="00D022D5"/>
    <w:rsid w:val="00D024E3"/>
    <w:rsid w:val="00D02575"/>
    <w:rsid w:val="00D025BF"/>
    <w:rsid w:val="00D026A5"/>
    <w:rsid w:val="00D026C9"/>
    <w:rsid w:val="00D0289E"/>
    <w:rsid w:val="00D0299C"/>
    <w:rsid w:val="00D02A6C"/>
    <w:rsid w:val="00D02AE6"/>
    <w:rsid w:val="00D02C1C"/>
    <w:rsid w:val="00D03009"/>
    <w:rsid w:val="00D030B5"/>
    <w:rsid w:val="00D0339F"/>
    <w:rsid w:val="00D037B4"/>
    <w:rsid w:val="00D039E6"/>
    <w:rsid w:val="00D03A55"/>
    <w:rsid w:val="00D03B7E"/>
    <w:rsid w:val="00D03DDE"/>
    <w:rsid w:val="00D03EAA"/>
    <w:rsid w:val="00D03F63"/>
    <w:rsid w:val="00D04523"/>
    <w:rsid w:val="00D04669"/>
    <w:rsid w:val="00D04678"/>
    <w:rsid w:val="00D04867"/>
    <w:rsid w:val="00D048B8"/>
    <w:rsid w:val="00D04B1F"/>
    <w:rsid w:val="00D04C90"/>
    <w:rsid w:val="00D04C92"/>
    <w:rsid w:val="00D04CD2"/>
    <w:rsid w:val="00D04FD8"/>
    <w:rsid w:val="00D050A3"/>
    <w:rsid w:val="00D050B1"/>
    <w:rsid w:val="00D054A5"/>
    <w:rsid w:val="00D0562F"/>
    <w:rsid w:val="00D0592A"/>
    <w:rsid w:val="00D05A19"/>
    <w:rsid w:val="00D05B43"/>
    <w:rsid w:val="00D05C07"/>
    <w:rsid w:val="00D05C31"/>
    <w:rsid w:val="00D05CB9"/>
    <w:rsid w:val="00D05D21"/>
    <w:rsid w:val="00D05ED5"/>
    <w:rsid w:val="00D06647"/>
    <w:rsid w:val="00D0684C"/>
    <w:rsid w:val="00D06C64"/>
    <w:rsid w:val="00D06CE5"/>
    <w:rsid w:val="00D07165"/>
    <w:rsid w:val="00D07180"/>
    <w:rsid w:val="00D074B3"/>
    <w:rsid w:val="00D07620"/>
    <w:rsid w:val="00D0764E"/>
    <w:rsid w:val="00D076DD"/>
    <w:rsid w:val="00D0776D"/>
    <w:rsid w:val="00D077C8"/>
    <w:rsid w:val="00D078E5"/>
    <w:rsid w:val="00D07CCF"/>
    <w:rsid w:val="00D07DD5"/>
    <w:rsid w:val="00D07E59"/>
    <w:rsid w:val="00D07E98"/>
    <w:rsid w:val="00D07FB4"/>
    <w:rsid w:val="00D10075"/>
    <w:rsid w:val="00D103EA"/>
    <w:rsid w:val="00D1053E"/>
    <w:rsid w:val="00D1061C"/>
    <w:rsid w:val="00D108A0"/>
    <w:rsid w:val="00D10F8A"/>
    <w:rsid w:val="00D11316"/>
    <w:rsid w:val="00D113F4"/>
    <w:rsid w:val="00D1146D"/>
    <w:rsid w:val="00D11773"/>
    <w:rsid w:val="00D11A83"/>
    <w:rsid w:val="00D11AAA"/>
    <w:rsid w:val="00D11DCE"/>
    <w:rsid w:val="00D11EAD"/>
    <w:rsid w:val="00D11F9B"/>
    <w:rsid w:val="00D11FF9"/>
    <w:rsid w:val="00D121A6"/>
    <w:rsid w:val="00D12342"/>
    <w:rsid w:val="00D123DA"/>
    <w:rsid w:val="00D1249D"/>
    <w:rsid w:val="00D125EB"/>
    <w:rsid w:val="00D12992"/>
    <w:rsid w:val="00D12A37"/>
    <w:rsid w:val="00D12C7C"/>
    <w:rsid w:val="00D12C85"/>
    <w:rsid w:val="00D12EBA"/>
    <w:rsid w:val="00D12F86"/>
    <w:rsid w:val="00D13079"/>
    <w:rsid w:val="00D131B9"/>
    <w:rsid w:val="00D132E1"/>
    <w:rsid w:val="00D134E3"/>
    <w:rsid w:val="00D1370B"/>
    <w:rsid w:val="00D1376C"/>
    <w:rsid w:val="00D137E7"/>
    <w:rsid w:val="00D13B39"/>
    <w:rsid w:val="00D13B52"/>
    <w:rsid w:val="00D13DDC"/>
    <w:rsid w:val="00D140A6"/>
    <w:rsid w:val="00D141C3"/>
    <w:rsid w:val="00D142BC"/>
    <w:rsid w:val="00D144FD"/>
    <w:rsid w:val="00D14601"/>
    <w:rsid w:val="00D148A5"/>
    <w:rsid w:val="00D1499A"/>
    <w:rsid w:val="00D14A3C"/>
    <w:rsid w:val="00D14C0C"/>
    <w:rsid w:val="00D14E06"/>
    <w:rsid w:val="00D14F0C"/>
    <w:rsid w:val="00D14F9E"/>
    <w:rsid w:val="00D156A1"/>
    <w:rsid w:val="00D1571D"/>
    <w:rsid w:val="00D1573D"/>
    <w:rsid w:val="00D159EF"/>
    <w:rsid w:val="00D15B1C"/>
    <w:rsid w:val="00D15BE9"/>
    <w:rsid w:val="00D15C27"/>
    <w:rsid w:val="00D15C6A"/>
    <w:rsid w:val="00D15C8C"/>
    <w:rsid w:val="00D15FA7"/>
    <w:rsid w:val="00D1633F"/>
    <w:rsid w:val="00D163F8"/>
    <w:rsid w:val="00D164A1"/>
    <w:rsid w:val="00D16811"/>
    <w:rsid w:val="00D1686E"/>
    <w:rsid w:val="00D16890"/>
    <w:rsid w:val="00D169DD"/>
    <w:rsid w:val="00D16DB0"/>
    <w:rsid w:val="00D16DC1"/>
    <w:rsid w:val="00D16F0E"/>
    <w:rsid w:val="00D17124"/>
    <w:rsid w:val="00D171EC"/>
    <w:rsid w:val="00D172FC"/>
    <w:rsid w:val="00D174A5"/>
    <w:rsid w:val="00D175CF"/>
    <w:rsid w:val="00D175E6"/>
    <w:rsid w:val="00D176CA"/>
    <w:rsid w:val="00D17805"/>
    <w:rsid w:val="00D1780C"/>
    <w:rsid w:val="00D1786F"/>
    <w:rsid w:val="00D17B6C"/>
    <w:rsid w:val="00D17C26"/>
    <w:rsid w:val="00D17CB7"/>
    <w:rsid w:val="00D201FC"/>
    <w:rsid w:val="00D20241"/>
    <w:rsid w:val="00D203B3"/>
    <w:rsid w:val="00D203EE"/>
    <w:rsid w:val="00D20536"/>
    <w:rsid w:val="00D20620"/>
    <w:rsid w:val="00D2072E"/>
    <w:rsid w:val="00D20869"/>
    <w:rsid w:val="00D20A27"/>
    <w:rsid w:val="00D20B23"/>
    <w:rsid w:val="00D20E05"/>
    <w:rsid w:val="00D20E0E"/>
    <w:rsid w:val="00D210ED"/>
    <w:rsid w:val="00D21111"/>
    <w:rsid w:val="00D211E7"/>
    <w:rsid w:val="00D215A5"/>
    <w:rsid w:val="00D2189D"/>
    <w:rsid w:val="00D21B29"/>
    <w:rsid w:val="00D21D35"/>
    <w:rsid w:val="00D21DC0"/>
    <w:rsid w:val="00D220E0"/>
    <w:rsid w:val="00D223CF"/>
    <w:rsid w:val="00D224E9"/>
    <w:rsid w:val="00D22A1B"/>
    <w:rsid w:val="00D22CB7"/>
    <w:rsid w:val="00D230FF"/>
    <w:rsid w:val="00D2312C"/>
    <w:rsid w:val="00D232BB"/>
    <w:rsid w:val="00D23365"/>
    <w:rsid w:val="00D233F0"/>
    <w:rsid w:val="00D23C5A"/>
    <w:rsid w:val="00D23CB5"/>
    <w:rsid w:val="00D23DC1"/>
    <w:rsid w:val="00D23DE8"/>
    <w:rsid w:val="00D24062"/>
    <w:rsid w:val="00D243C0"/>
    <w:rsid w:val="00D24421"/>
    <w:rsid w:val="00D24515"/>
    <w:rsid w:val="00D2460F"/>
    <w:rsid w:val="00D24686"/>
    <w:rsid w:val="00D24952"/>
    <w:rsid w:val="00D24A04"/>
    <w:rsid w:val="00D24DED"/>
    <w:rsid w:val="00D251C8"/>
    <w:rsid w:val="00D252BF"/>
    <w:rsid w:val="00D257F3"/>
    <w:rsid w:val="00D25A5C"/>
    <w:rsid w:val="00D25BE4"/>
    <w:rsid w:val="00D25CA6"/>
    <w:rsid w:val="00D25E49"/>
    <w:rsid w:val="00D260E9"/>
    <w:rsid w:val="00D263D5"/>
    <w:rsid w:val="00D264D1"/>
    <w:rsid w:val="00D265BD"/>
    <w:rsid w:val="00D26728"/>
    <w:rsid w:val="00D267A7"/>
    <w:rsid w:val="00D268EA"/>
    <w:rsid w:val="00D26D6D"/>
    <w:rsid w:val="00D27127"/>
    <w:rsid w:val="00D27151"/>
    <w:rsid w:val="00D278DC"/>
    <w:rsid w:val="00D27969"/>
    <w:rsid w:val="00D27999"/>
    <w:rsid w:val="00D27A7E"/>
    <w:rsid w:val="00D27AC4"/>
    <w:rsid w:val="00D27C60"/>
    <w:rsid w:val="00D27CEB"/>
    <w:rsid w:val="00D300FD"/>
    <w:rsid w:val="00D301C8"/>
    <w:rsid w:val="00D302AE"/>
    <w:rsid w:val="00D30306"/>
    <w:rsid w:val="00D3034D"/>
    <w:rsid w:val="00D3057B"/>
    <w:rsid w:val="00D305A1"/>
    <w:rsid w:val="00D3060B"/>
    <w:rsid w:val="00D30658"/>
    <w:rsid w:val="00D3065A"/>
    <w:rsid w:val="00D3079D"/>
    <w:rsid w:val="00D30B6F"/>
    <w:rsid w:val="00D30BF7"/>
    <w:rsid w:val="00D30C6C"/>
    <w:rsid w:val="00D30EC4"/>
    <w:rsid w:val="00D30FF4"/>
    <w:rsid w:val="00D313DA"/>
    <w:rsid w:val="00D31516"/>
    <w:rsid w:val="00D31560"/>
    <w:rsid w:val="00D315D5"/>
    <w:rsid w:val="00D31B08"/>
    <w:rsid w:val="00D31B61"/>
    <w:rsid w:val="00D31FC8"/>
    <w:rsid w:val="00D32015"/>
    <w:rsid w:val="00D321A7"/>
    <w:rsid w:val="00D321B9"/>
    <w:rsid w:val="00D321C8"/>
    <w:rsid w:val="00D323AF"/>
    <w:rsid w:val="00D3251D"/>
    <w:rsid w:val="00D327AA"/>
    <w:rsid w:val="00D3283B"/>
    <w:rsid w:val="00D328F3"/>
    <w:rsid w:val="00D3296A"/>
    <w:rsid w:val="00D32BA8"/>
    <w:rsid w:val="00D32DD0"/>
    <w:rsid w:val="00D330BA"/>
    <w:rsid w:val="00D331C1"/>
    <w:rsid w:val="00D33214"/>
    <w:rsid w:val="00D33457"/>
    <w:rsid w:val="00D334D6"/>
    <w:rsid w:val="00D33512"/>
    <w:rsid w:val="00D33545"/>
    <w:rsid w:val="00D33568"/>
    <w:rsid w:val="00D3358E"/>
    <w:rsid w:val="00D3381B"/>
    <w:rsid w:val="00D33928"/>
    <w:rsid w:val="00D33ABE"/>
    <w:rsid w:val="00D33CDE"/>
    <w:rsid w:val="00D341FB"/>
    <w:rsid w:val="00D34209"/>
    <w:rsid w:val="00D344EC"/>
    <w:rsid w:val="00D344F9"/>
    <w:rsid w:val="00D34635"/>
    <w:rsid w:val="00D34744"/>
    <w:rsid w:val="00D348C1"/>
    <w:rsid w:val="00D34B42"/>
    <w:rsid w:val="00D34BA4"/>
    <w:rsid w:val="00D34CA7"/>
    <w:rsid w:val="00D34CD0"/>
    <w:rsid w:val="00D34D51"/>
    <w:rsid w:val="00D34D8E"/>
    <w:rsid w:val="00D34D92"/>
    <w:rsid w:val="00D34E35"/>
    <w:rsid w:val="00D34ED7"/>
    <w:rsid w:val="00D35210"/>
    <w:rsid w:val="00D3524F"/>
    <w:rsid w:val="00D352CC"/>
    <w:rsid w:val="00D35368"/>
    <w:rsid w:val="00D35478"/>
    <w:rsid w:val="00D3548C"/>
    <w:rsid w:val="00D35541"/>
    <w:rsid w:val="00D355CD"/>
    <w:rsid w:val="00D35636"/>
    <w:rsid w:val="00D3598C"/>
    <w:rsid w:val="00D35BCB"/>
    <w:rsid w:val="00D35C0B"/>
    <w:rsid w:val="00D35E10"/>
    <w:rsid w:val="00D35F58"/>
    <w:rsid w:val="00D36326"/>
    <w:rsid w:val="00D3638C"/>
    <w:rsid w:val="00D3638F"/>
    <w:rsid w:val="00D3639F"/>
    <w:rsid w:val="00D3651E"/>
    <w:rsid w:val="00D36566"/>
    <w:rsid w:val="00D365EB"/>
    <w:rsid w:val="00D36655"/>
    <w:rsid w:val="00D366AC"/>
    <w:rsid w:val="00D36759"/>
    <w:rsid w:val="00D3675A"/>
    <w:rsid w:val="00D3680A"/>
    <w:rsid w:val="00D36818"/>
    <w:rsid w:val="00D3692A"/>
    <w:rsid w:val="00D36A2F"/>
    <w:rsid w:val="00D36B27"/>
    <w:rsid w:val="00D36B66"/>
    <w:rsid w:val="00D37065"/>
    <w:rsid w:val="00D37079"/>
    <w:rsid w:val="00D3718D"/>
    <w:rsid w:val="00D37260"/>
    <w:rsid w:val="00D373DD"/>
    <w:rsid w:val="00D3747D"/>
    <w:rsid w:val="00D3750B"/>
    <w:rsid w:val="00D378DB"/>
    <w:rsid w:val="00D37F34"/>
    <w:rsid w:val="00D37FA0"/>
    <w:rsid w:val="00D37FB9"/>
    <w:rsid w:val="00D400DA"/>
    <w:rsid w:val="00D4017C"/>
    <w:rsid w:val="00D404C3"/>
    <w:rsid w:val="00D40598"/>
    <w:rsid w:val="00D40694"/>
    <w:rsid w:val="00D4094A"/>
    <w:rsid w:val="00D409CC"/>
    <w:rsid w:val="00D409E5"/>
    <w:rsid w:val="00D40CC6"/>
    <w:rsid w:val="00D40DBB"/>
    <w:rsid w:val="00D40DE6"/>
    <w:rsid w:val="00D40E0D"/>
    <w:rsid w:val="00D410A5"/>
    <w:rsid w:val="00D411F7"/>
    <w:rsid w:val="00D41357"/>
    <w:rsid w:val="00D4139E"/>
    <w:rsid w:val="00D414FF"/>
    <w:rsid w:val="00D41A33"/>
    <w:rsid w:val="00D41AC1"/>
    <w:rsid w:val="00D41B16"/>
    <w:rsid w:val="00D41BA9"/>
    <w:rsid w:val="00D41C93"/>
    <w:rsid w:val="00D41CFC"/>
    <w:rsid w:val="00D41D0C"/>
    <w:rsid w:val="00D41EA0"/>
    <w:rsid w:val="00D42643"/>
    <w:rsid w:val="00D426D2"/>
    <w:rsid w:val="00D42A82"/>
    <w:rsid w:val="00D42AFF"/>
    <w:rsid w:val="00D42C91"/>
    <w:rsid w:val="00D42F1F"/>
    <w:rsid w:val="00D430B1"/>
    <w:rsid w:val="00D4318A"/>
    <w:rsid w:val="00D43258"/>
    <w:rsid w:val="00D43479"/>
    <w:rsid w:val="00D43AF8"/>
    <w:rsid w:val="00D43C62"/>
    <w:rsid w:val="00D43CF7"/>
    <w:rsid w:val="00D43D67"/>
    <w:rsid w:val="00D442D6"/>
    <w:rsid w:val="00D4448E"/>
    <w:rsid w:val="00D446DF"/>
    <w:rsid w:val="00D44708"/>
    <w:rsid w:val="00D44875"/>
    <w:rsid w:val="00D449C5"/>
    <w:rsid w:val="00D44B13"/>
    <w:rsid w:val="00D44B84"/>
    <w:rsid w:val="00D44B9C"/>
    <w:rsid w:val="00D44CCE"/>
    <w:rsid w:val="00D44FE6"/>
    <w:rsid w:val="00D45060"/>
    <w:rsid w:val="00D4525D"/>
    <w:rsid w:val="00D452D1"/>
    <w:rsid w:val="00D453A4"/>
    <w:rsid w:val="00D45471"/>
    <w:rsid w:val="00D456D2"/>
    <w:rsid w:val="00D457B7"/>
    <w:rsid w:val="00D45816"/>
    <w:rsid w:val="00D45B48"/>
    <w:rsid w:val="00D45D59"/>
    <w:rsid w:val="00D45DB7"/>
    <w:rsid w:val="00D46173"/>
    <w:rsid w:val="00D46450"/>
    <w:rsid w:val="00D4646B"/>
    <w:rsid w:val="00D464C4"/>
    <w:rsid w:val="00D4672E"/>
    <w:rsid w:val="00D468E6"/>
    <w:rsid w:val="00D46C42"/>
    <w:rsid w:val="00D46D21"/>
    <w:rsid w:val="00D46D79"/>
    <w:rsid w:val="00D46DC0"/>
    <w:rsid w:val="00D46EC1"/>
    <w:rsid w:val="00D470A9"/>
    <w:rsid w:val="00D470B5"/>
    <w:rsid w:val="00D47282"/>
    <w:rsid w:val="00D47352"/>
    <w:rsid w:val="00D473A9"/>
    <w:rsid w:val="00D474E5"/>
    <w:rsid w:val="00D47590"/>
    <w:rsid w:val="00D4767D"/>
    <w:rsid w:val="00D47866"/>
    <w:rsid w:val="00D478DC"/>
    <w:rsid w:val="00D47B8A"/>
    <w:rsid w:val="00D47C5C"/>
    <w:rsid w:val="00D47E4F"/>
    <w:rsid w:val="00D47EF1"/>
    <w:rsid w:val="00D47F76"/>
    <w:rsid w:val="00D50419"/>
    <w:rsid w:val="00D50438"/>
    <w:rsid w:val="00D50517"/>
    <w:rsid w:val="00D506D0"/>
    <w:rsid w:val="00D50914"/>
    <w:rsid w:val="00D50A5E"/>
    <w:rsid w:val="00D50CD2"/>
    <w:rsid w:val="00D50D03"/>
    <w:rsid w:val="00D50DF8"/>
    <w:rsid w:val="00D50E3D"/>
    <w:rsid w:val="00D50E58"/>
    <w:rsid w:val="00D511CE"/>
    <w:rsid w:val="00D51375"/>
    <w:rsid w:val="00D513E8"/>
    <w:rsid w:val="00D51472"/>
    <w:rsid w:val="00D5156C"/>
    <w:rsid w:val="00D51621"/>
    <w:rsid w:val="00D5166D"/>
    <w:rsid w:val="00D51B55"/>
    <w:rsid w:val="00D51BD6"/>
    <w:rsid w:val="00D51D15"/>
    <w:rsid w:val="00D520D2"/>
    <w:rsid w:val="00D521DE"/>
    <w:rsid w:val="00D522AA"/>
    <w:rsid w:val="00D52448"/>
    <w:rsid w:val="00D5258A"/>
    <w:rsid w:val="00D52A13"/>
    <w:rsid w:val="00D52A41"/>
    <w:rsid w:val="00D52A42"/>
    <w:rsid w:val="00D52BD7"/>
    <w:rsid w:val="00D52C95"/>
    <w:rsid w:val="00D52ED3"/>
    <w:rsid w:val="00D5309C"/>
    <w:rsid w:val="00D53168"/>
    <w:rsid w:val="00D53186"/>
    <w:rsid w:val="00D53507"/>
    <w:rsid w:val="00D5384E"/>
    <w:rsid w:val="00D53B1A"/>
    <w:rsid w:val="00D53D40"/>
    <w:rsid w:val="00D5437A"/>
    <w:rsid w:val="00D543CE"/>
    <w:rsid w:val="00D54488"/>
    <w:rsid w:val="00D54703"/>
    <w:rsid w:val="00D548B2"/>
    <w:rsid w:val="00D54992"/>
    <w:rsid w:val="00D5499A"/>
    <w:rsid w:val="00D54C85"/>
    <w:rsid w:val="00D54CC1"/>
    <w:rsid w:val="00D54D1D"/>
    <w:rsid w:val="00D54FBD"/>
    <w:rsid w:val="00D55002"/>
    <w:rsid w:val="00D5517F"/>
    <w:rsid w:val="00D557C5"/>
    <w:rsid w:val="00D55C66"/>
    <w:rsid w:val="00D55D18"/>
    <w:rsid w:val="00D55DF0"/>
    <w:rsid w:val="00D55F03"/>
    <w:rsid w:val="00D55F0E"/>
    <w:rsid w:val="00D55FC3"/>
    <w:rsid w:val="00D5609B"/>
    <w:rsid w:val="00D56161"/>
    <w:rsid w:val="00D563C3"/>
    <w:rsid w:val="00D56475"/>
    <w:rsid w:val="00D564E1"/>
    <w:rsid w:val="00D56745"/>
    <w:rsid w:val="00D569C0"/>
    <w:rsid w:val="00D56A84"/>
    <w:rsid w:val="00D56A98"/>
    <w:rsid w:val="00D56B61"/>
    <w:rsid w:val="00D56C33"/>
    <w:rsid w:val="00D56DF8"/>
    <w:rsid w:val="00D56EB9"/>
    <w:rsid w:val="00D570C8"/>
    <w:rsid w:val="00D57148"/>
    <w:rsid w:val="00D5730A"/>
    <w:rsid w:val="00D5740F"/>
    <w:rsid w:val="00D57554"/>
    <w:rsid w:val="00D575DF"/>
    <w:rsid w:val="00D57610"/>
    <w:rsid w:val="00D57881"/>
    <w:rsid w:val="00D579EA"/>
    <w:rsid w:val="00D57ACA"/>
    <w:rsid w:val="00D57ADB"/>
    <w:rsid w:val="00D57B11"/>
    <w:rsid w:val="00D57CF1"/>
    <w:rsid w:val="00D57D1E"/>
    <w:rsid w:val="00D57D26"/>
    <w:rsid w:val="00D57F04"/>
    <w:rsid w:val="00D601D5"/>
    <w:rsid w:val="00D601E7"/>
    <w:rsid w:val="00D6055C"/>
    <w:rsid w:val="00D6073A"/>
    <w:rsid w:val="00D6083D"/>
    <w:rsid w:val="00D608E4"/>
    <w:rsid w:val="00D60A7C"/>
    <w:rsid w:val="00D60B14"/>
    <w:rsid w:val="00D60B5F"/>
    <w:rsid w:val="00D60B90"/>
    <w:rsid w:val="00D60C26"/>
    <w:rsid w:val="00D60C40"/>
    <w:rsid w:val="00D60C94"/>
    <w:rsid w:val="00D60C95"/>
    <w:rsid w:val="00D60F15"/>
    <w:rsid w:val="00D60FC9"/>
    <w:rsid w:val="00D6104A"/>
    <w:rsid w:val="00D6108A"/>
    <w:rsid w:val="00D61117"/>
    <w:rsid w:val="00D612E5"/>
    <w:rsid w:val="00D6131A"/>
    <w:rsid w:val="00D61517"/>
    <w:rsid w:val="00D615AA"/>
    <w:rsid w:val="00D6173E"/>
    <w:rsid w:val="00D6188C"/>
    <w:rsid w:val="00D61A56"/>
    <w:rsid w:val="00D61FEE"/>
    <w:rsid w:val="00D620D2"/>
    <w:rsid w:val="00D622B0"/>
    <w:rsid w:val="00D6271C"/>
    <w:rsid w:val="00D62791"/>
    <w:rsid w:val="00D62B57"/>
    <w:rsid w:val="00D62C3E"/>
    <w:rsid w:val="00D62E0C"/>
    <w:rsid w:val="00D62E73"/>
    <w:rsid w:val="00D62EAD"/>
    <w:rsid w:val="00D62EF5"/>
    <w:rsid w:val="00D630C8"/>
    <w:rsid w:val="00D6314F"/>
    <w:rsid w:val="00D6338B"/>
    <w:rsid w:val="00D634BD"/>
    <w:rsid w:val="00D636E1"/>
    <w:rsid w:val="00D638BD"/>
    <w:rsid w:val="00D63968"/>
    <w:rsid w:val="00D64156"/>
    <w:rsid w:val="00D641F5"/>
    <w:rsid w:val="00D64477"/>
    <w:rsid w:val="00D646EE"/>
    <w:rsid w:val="00D6496F"/>
    <w:rsid w:val="00D649F1"/>
    <w:rsid w:val="00D64A09"/>
    <w:rsid w:val="00D64C2C"/>
    <w:rsid w:val="00D64CBD"/>
    <w:rsid w:val="00D64DF3"/>
    <w:rsid w:val="00D64F14"/>
    <w:rsid w:val="00D64F7A"/>
    <w:rsid w:val="00D65033"/>
    <w:rsid w:val="00D653E8"/>
    <w:rsid w:val="00D65435"/>
    <w:rsid w:val="00D65931"/>
    <w:rsid w:val="00D65BCC"/>
    <w:rsid w:val="00D65C56"/>
    <w:rsid w:val="00D65CCB"/>
    <w:rsid w:val="00D65D0B"/>
    <w:rsid w:val="00D65E6E"/>
    <w:rsid w:val="00D65E8B"/>
    <w:rsid w:val="00D6607A"/>
    <w:rsid w:val="00D66094"/>
    <w:rsid w:val="00D6613B"/>
    <w:rsid w:val="00D66171"/>
    <w:rsid w:val="00D66292"/>
    <w:rsid w:val="00D662AC"/>
    <w:rsid w:val="00D663B1"/>
    <w:rsid w:val="00D664D1"/>
    <w:rsid w:val="00D66962"/>
    <w:rsid w:val="00D66A0B"/>
    <w:rsid w:val="00D66A0F"/>
    <w:rsid w:val="00D66AD8"/>
    <w:rsid w:val="00D66B91"/>
    <w:rsid w:val="00D66DA7"/>
    <w:rsid w:val="00D66EE6"/>
    <w:rsid w:val="00D66F1C"/>
    <w:rsid w:val="00D67045"/>
    <w:rsid w:val="00D67208"/>
    <w:rsid w:val="00D6732B"/>
    <w:rsid w:val="00D673D5"/>
    <w:rsid w:val="00D67497"/>
    <w:rsid w:val="00D6758A"/>
    <w:rsid w:val="00D676BA"/>
    <w:rsid w:val="00D67889"/>
    <w:rsid w:val="00D678DE"/>
    <w:rsid w:val="00D679D8"/>
    <w:rsid w:val="00D67A5C"/>
    <w:rsid w:val="00D67B41"/>
    <w:rsid w:val="00D67CD9"/>
    <w:rsid w:val="00D67CFB"/>
    <w:rsid w:val="00D67EA2"/>
    <w:rsid w:val="00D67FC7"/>
    <w:rsid w:val="00D70317"/>
    <w:rsid w:val="00D705D7"/>
    <w:rsid w:val="00D706F4"/>
    <w:rsid w:val="00D707C2"/>
    <w:rsid w:val="00D70960"/>
    <w:rsid w:val="00D70A72"/>
    <w:rsid w:val="00D70C5D"/>
    <w:rsid w:val="00D7110B"/>
    <w:rsid w:val="00D7118E"/>
    <w:rsid w:val="00D7121A"/>
    <w:rsid w:val="00D714ED"/>
    <w:rsid w:val="00D71786"/>
    <w:rsid w:val="00D71809"/>
    <w:rsid w:val="00D718AF"/>
    <w:rsid w:val="00D71982"/>
    <w:rsid w:val="00D71B00"/>
    <w:rsid w:val="00D71C97"/>
    <w:rsid w:val="00D71DDC"/>
    <w:rsid w:val="00D71E8C"/>
    <w:rsid w:val="00D71F5C"/>
    <w:rsid w:val="00D72159"/>
    <w:rsid w:val="00D722A4"/>
    <w:rsid w:val="00D7232D"/>
    <w:rsid w:val="00D7262E"/>
    <w:rsid w:val="00D72A33"/>
    <w:rsid w:val="00D72B92"/>
    <w:rsid w:val="00D72D0C"/>
    <w:rsid w:val="00D72D65"/>
    <w:rsid w:val="00D72EB1"/>
    <w:rsid w:val="00D730A7"/>
    <w:rsid w:val="00D73193"/>
    <w:rsid w:val="00D73275"/>
    <w:rsid w:val="00D73280"/>
    <w:rsid w:val="00D732A0"/>
    <w:rsid w:val="00D73305"/>
    <w:rsid w:val="00D736E1"/>
    <w:rsid w:val="00D73757"/>
    <w:rsid w:val="00D737DE"/>
    <w:rsid w:val="00D73829"/>
    <w:rsid w:val="00D73873"/>
    <w:rsid w:val="00D73A5C"/>
    <w:rsid w:val="00D73A6D"/>
    <w:rsid w:val="00D73AFF"/>
    <w:rsid w:val="00D73BB2"/>
    <w:rsid w:val="00D73BCF"/>
    <w:rsid w:val="00D73D37"/>
    <w:rsid w:val="00D73DA2"/>
    <w:rsid w:val="00D73E19"/>
    <w:rsid w:val="00D73EC5"/>
    <w:rsid w:val="00D73FD9"/>
    <w:rsid w:val="00D7404B"/>
    <w:rsid w:val="00D741A1"/>
    <w:rsid w:val="00D74221"/>
    <w:rsid w:val="00D7427C"/>
    <w:rsid w:val="00D7432A"/>
    <w:rsid w:val="00D744C0"/>
    <w:rsid w:val="00D744D4"/>
    <w:rsid w:val="00D74637"/>
    <w:rsid w:val="00D74685"/>
    <w:rsid w:val="00D746BB"/>
    <w:rsid w:val="00D7485D"/>
    <w:rsid w:val="00D74A13"/>
    <w:rsid w:val="00D74A77"/>
    <w:rsid w:val="00D74B4A"/>
    <w:rsid w:val="00D74C4C"/>
    <w:rsid w:val="00D7521B"/>
    <w:rsid w:val="00D75579"/>
    <w:rsid w:val="00D75A09"/>
    <w:rsid w:val="00D75A5E"/>
    <w:rsid w:val="00D75B5D"/>
    <w:rsid w:val="00D75F56"/>
    <w:rsid w:val="00D75F9F"/>
    <w:rsid w:val="00D7618D"/>
    <w:rsid w:val="00D76285"/>
    <w:rsid w:val="00D76417"/>
    <w:rsid w:val="00D764B6"/>
    <w:rsid w:val="00D764EB"/>
    <w:rsid w:val="00D76541"/>
    <w:rsid w:val="00D76780"/>
    <w:rsid w:val="00D769AC"/>
    <w:rsid w:val="00D769D8"/>
    <w:rsid w:val="00D76A2D"/>
    <w:rsid w:val="00D76A31"/>
    <w:rsid w:val="00D76ECC"/>
    <w:rsid w:val="00D7708F"/>
    <w:rsid w:val="00D77247"/>
    <w:rsid w:val="00D77251"/>
    <w:rsid w:val="00D7727F"/>
    <w:rsid w:val="00D772E3"/>
    <w:rsid w:val="00D77639"/>
    <w:rsid w:val="00D778E9"/>
    <w:rsid w:val="00D77CCD"/>
    <w:rsid w:val="00D77EA8"/>
    <w:rsid w:val="00D77ECA"/>
    <w:rsid w:val="00D77EF8"/>
    <w:rsid w:val="00D80024"/>
    <w:rsid w:val="00D801A2"/>
    <w:rsid w:val="00D802FA"/>
    <w:rsid w:val="00D80740"/>
    <w:rsid w:val="00D807D8"/>
    <w:rsid w:val="00D80837"/>
    <w:rsid w:val="00D808B8"/>
    <w:rsid w:val="00D808CD"/>
    <w:rsid w:val="00D80C3B"/>
    <w:rsid w:val="00D80F46"/>
    <w:rsid w:val="00D80F93"/>
    <w:rsid w:val="00D812F2"/>
    <w:rsid w:val="00D81379"/>
    <w:rsid w:val="00D8142E"/>
    <w:rsid w:val="00D81539"/>
    <w:rsid w:val="00D8154A"/>
    <w:rsid w:val="00D81562"/>
    <w:rsid w:val="00D815E5"/>
    <w:rsid w:val="00D816A0"/>
    <w:rsid w:val="00D81716"/>
    <w:rsid w:val="00D8187F"/>
    <w:rsid w:val="00D81968"/>
    <w:rsid w:val="00D81C97"/>
    <w:rsid w:val="00D81E9D"/>
    <w:rsid w:val="00D81EE7"/>
    <w:rsid w:val="00D81FD7"/>
    <w:rsid w:val="00D8201A"/>
    <w:rsid w:val="00D8207E"/>
    <w:rsid w:val="00D82197"/>
    <w:rsid w:val="00D82276"/>
    <w:rsid w:val="00D822F3"/>
    <w:rsid w:val="00D82440"/>
    <w:rsid w:val="00D82689"/>
    <w:rsid w:val="00D8268B"/>
    <w:rsid w:val="00D82911"/>
    <w:rsid w:val="00D82A40"/>
    <w:rsid w:val="00D82A59"/>
    <w:rsid w:val="00D82F35"/>
    <w:rsid w:val="00D83444"/>
    <w:rsid w:val="00D8375E"/>
    <w:rsid w:val="00D83786"/>
    <w:rsid w:val="00D83802"/>
    <w:rsid w:val="00D8383E"/>
    <w:rsid w:val="00D8395B"/>
    <w:rsid w:val="00D83A77"/>
    <w:rsid w:val="00D83B5D"/>
    <w:rsid w:val="00D83C06"/>
    <w:rsid w:val="00D83C19"/>
    <w:rsid w:val="00D83C9C"/>
    <w:rsid w:val="00D83D63"/>
    <w:rsid w:val="00D83D7F"/>
    <w:rsid w:val="00D83F43"/>
    <w:rsid w:val="00D84389"/>
    <w:rsid w:val="00D846DC"/>
    <w:rsid w:val="00D8483F"/>
    <w:rsid w:val="00D84E9D"/>
    <w:rsid w:val="00D84F7C"/>
    <w:rsid w:val="00D84FC1"/>
    <w:rsid w:val="00D85027"/>
    <w:rsid w:val="00D85237"/>
    <w:rsid w:val="00D853EA"/>
    <w:rsid w:val="00D857FC"/>
    <w:rsid w:val="00D85ADF"/>
    <w:rsid w:val="00D85C2B"/>
    <w:rsid w:val="00D85F6B"/>
    <w:rsid w:val="00D8603D"/>
    <w:rsid w:val="00D862FD"/>
    <w:rsid w:val="00D863AF"/>
    <w:rsid w:val="00D863EF"/>
    <w:rsid w:val="00D86420"/>
    <w:rsid w:val="00D86424"/>
    <w:rsid w:val="00D8643C"/>
    <w:rsid w:val="00D864B5"/>
    <w:rsid w:val="00D865FC"/>
    <w:rsid w:val="00D86793"/>
    <w:rsid w:val="00D86EE5"/>
    <w:rsid w:val="00D86FB9"/>
    <w:rsid w:val="00D871EA"/>
    <w:rsid w:val="00D8725A"/>
    <w:rsid w:val="00D87520"/>
    <w:rsid w:val="00D878D0"/>
    <w:rsid w:val="00D87B24"/>
    <w:rsid w:val="00D87C0A"/>
    <w:rsid w:val="00D87CCA"/>
    <w:rsid w:val="00D87E1E"/>
    <w:rsid w:val="00D87ED2"/>
    <w:rsid w:val="00D87EFE"/>
    <w:rsid w:val="00D87F1F"/>
    <w:rsid w:val="00D8E69E"/>
    <w:rsid w:val="00D90173"/>
    <w:rsid w:val="00D9021E"/>
    <w:rsid w:val="00D903F2"/>
    <w:rsid w:val="00D9048C"/>
    <w:rsid w:val="00D90554"/>
    <w:rsid w:val="00D90654"/>
    <w:rsid w:val="00D90750"/>
    <w:rsid w:val="00D90A4E"/>
    <w:rsid w:val="00D90AEA"/>
    <w:rsid w:val="00D90AED"/>
    <w:rsid w:val="00D90B1E"/>
    <w:rsid w:val="00D90D7C"/>
    <w:rsid w:val="00D90DB3"/>
    <w:rsid w:val="00D90DCA"/>
    <w:rsid w:val="00D911F0"/>
    <w:rsid w:val="00D9121E"/>
    <w:rsid w:val="00D912C5"/>
    <w:rsid w:val="00D914D6"/>
    <w:rsid w:val="00D916A1"/>
    <w:rsid w:val="00D917C4"/>
    <w:rsid w:val="00D919A4"/>
    <w:rsid w:val="00D91A81"/>
    <w:rsid w:val="00D91B1B"/>
    <w:rsid w:val="00D91B3A"/>
    <w:rsid w:val="00D91CEA"/>
    <w:rsid w:val="00D91D37"/>
    <w:rsid w:val="00D91D6E"/>
    <w:rsid w:val="00D91F51"/>
    <w:rsid w:val="00D91FA7"/>
    <w:rsid w:val="00D9217F"/>
    <w:rsid w:val="00D92486"/>
    <w:rsid w:val="00D9276E"/>
    <w:rsid w:val="00D927AD"/>
    <w:rsid w:val="00D9287C"/>
    <w:rsid w:val="00D92A02"/>
    <w:rsid w:val="00D92C72"/>
    <w:rsid w:val="00D92D20"/>
    <w:rsid w:val="00D92FD6"/>
    <w:rsid w:val="00D92FF9"/>
    <w:rsid w:val="00D9309E"/>
    <w:rsid w:val="00D93187"/>
    <w:rsid w:val="00D931B4"/>
    <w:rsid w:val="00D93343"/>
    <w:rsid w:val="00D9352D"/>
    <w:rsid w:val="00D936E3"/>
    <w:rsid w:val="00D9413F"/>
    <w:rsid w:val="00D94141"/>
    <w:rsid w:val="00D94282"/>
    <w:rsid w:val="00D94542"/>
    <w:rsid w:val="00D94715"/>
    <w:rsid w:val="00D9471A"/>
    <w:rsid w:val="00D94A43"/>
    <w:rsid w:val="00D94A74"/>
    <w:rsid w:val="00D94AB2"/>
    <w:rsid w:val="00D94C0D"/>
    <w:rsid w:val="00D94C55"/>
    <w:rsid w:val="00D94D6A"/>
    <w:rsid w:val="00D94E39"/>
    <w:rsid w:val="00D94FB0"/>
    <w:rsid w:val="00D94FF5"/>
    <w:rsid w:val="00D95138"/>
    <w:rsid w:val="00D95541"/>
    <w:rsid w:val="00D95679"/>
    <w:rsid w:val="00D96096"/>
    <w:rsid w:val="00D9636A"/>
    <w:rsid w:val="00D96434"/>
    <w:rsid w:val="00D96715"/>
    <w:rsid w:val="00D9672B"/>
    <w:rsid w:val="00D9685D"/>
    <w:rsid w:val="00D96945"/>
    <w:rsid w:val="00D96968"/>
    <w:rsid w:val="00D96C62"/>
    <w:rsid w:val="00D96D84"/>
    <w:rsid w:val="00D97204"/>
    <w:rsid w:val="00D9720F"/>
    <w:rsid w:val="00D9731D"/>
    <w:rsid w:val="00D9737F"/>
    <w:rsid w:val="00D97437"/>
    <w:rsid w:val="00D9743D"/>
    <w:rsid w:val="00D9744E"/>
    <w:rsid w:val="00D9751A"/>
    <w:rsid w:val="00D9751D"/>
    <w:rsid w:val="00D97573"/>
    <w:rsid w:val="00D9773D"/>
    <w:rsid w:val="00D97982"/>
    <w:rsid w:val="00D979A0"/>
    <w:rsid w:val="00D979B6"/>
    <w:rsid w:val="00D97A0B"/>
    <w:rsid w:val="00D97C0C"/>
    <w:rsid w:val="00D97D81"/>
    <w:rsid w:val="00D97E3B"/>
    <w:rsid w:val="00D97E5C"/>
    <w:rsid w:val="00DA01B7"/>
    <w:rsid w:val="00DA0282"/>
    <w:rsid w:val="00DA02DC"/>
    <w:rsid w:val="00DA02E0"/>
    <w:rsid w:val="00DA0748"/>
    <w:rsid w:val="00DA0906"/>
    <w:rsid w:val="00DA09F9"/>
    <w:rsid w:val="00DA0A86"/>
    <w:rsid w:val="00DA0B2D"/>
    <w:rsid w:val="00DA0B70"/>
    <w:rsid w:val="00DA0BAA"/>
    <w:rsid w:val="00DA0D36"/>
    <w:rsid w:val="00DA0F9D"/>
    <w:rsid w:val="00DA0FD0"/>
    <w:rsid w:val="00DA1034"/>
    <w:rsid w:val="00DA1245"/>
    <w:rsid w:val="00DA13E8"/>
    <w:rsid w:val="00DA188F"/>
    <w:rsid w:val="00DA1CC2"/>
    <w:rsid w:val="00DA1EA0"/>
    <w:rsid w:val="00DA1F43"/>
    <w:rsid w:val="00DA1FA8"/>
    <w:rsid w:val="00DA2217"/>
    <w:rsid w:val="00DA24E0"/>
    <w:rsid w:val="00DA2793"/>
    <w:rsid w:val="00DA28B0"/>
    <w:rsid w:val="00DA2A56"/>
    <w:rsid w:val="00DA2BE6"/>
    <w:rsid w:val="00DA2C1C"/>
    <w:rsid w:val="00DA2FF0"/>
    <w:rsid w:val="00DA314D"/>
    <w:rsid w:val="00DA31D7"/>
    <w:rsid w:val="00DA346C"/>
    <w:rsid w:val="00DA348D"/>
    <w:rsid w:val="00DA3D82"/>
    <w:rsid w:val="00DA3EC9"/>
    <w:rsid w:val="00DA3EED"/>
    <w:rsid w:val="00DA41E7"/>
    <w:rsid w:val="00DA4229"/>
    <w:rsid w:val="00DA4282"/>
    <w:rsid w:val="00DA4669"/>
    <w:rsid w:val="00DA4BA7"/>
    <w:rsid w:val="00DA4C48"/>
    <w:rsid w:val="00DA4F28"/>
    <w:rsid w:val="00DA5058"/>
    <w:rsid w:val="00DA5253"/>
    <w:rsid w:val="00DA5462"/>
    <w:rsid w:val="00DA5503"/>
    <w:rsid w:val="00DA59C9"/>
    <w:rsid w:val="00DA5AE7"/>
    <w:rsid w:val="00DA5B85"/>
    <w:rsid w:val="00DA5E81"/>
    <w:rsid w:val="00DA5EF9"/>
    <w:rsid w:val="00DA5F17"/>
    <w:rsid w:val="00DA60F6"/>
    <w:rsid w:val="00DA623E"/>
    <w:rsid w:val="00DA6369"/>
    <w:rsid w:val="00DA6440"/>
    <w:rsid w:val="00DA6448"/>
    <w:rsid w:val="00DA64E2"/>
    <w:rsid w:val="00DA6516"/>
    <w:rsid w:val="00DA65C4"/>
    <w:rsid w:val="00DA66B1"/>
    <w:rsid w:val="00DA6701"/>
    <w:rsid w:val="00DA684F"/>
    <w:rsid w:val="00DA6D8E"/>
    <w:rsid w:val="00DA6E76"/>
    <w:rsid w:val="00DA701E"/>
    <w:rsid w:val="00DA709E"/>
    <w:rsid w:val="00DA7188"/>
    <w:rsid w:val="00DA7494"/>
    <w:rsid w:val="00DA7805"/>
    <w:rsid w:val="00DA78F7"/>
    <w:rsid w:val="00DA7AEA"/>
    <w:rsid w:val="00DA7B9C"/>
    <w:rsid w:val="00DA7FE8"/>
    <w:rsid w:val="00DB0081"/>
    <w:rsid w:val="00DB01C2"/>
    <w:rsid w:val="00DB02BD"/>
    <w:rsid w:val="00DB02D2"/>
    <w:rsid w:val="00DB046A"/>
    <w:rsid w:val="00DB0522"/>
    <w:rsid w:val="00DB057F"/>
    <w:rsid w:val="00DB0593"/>
    <w:rsid w:val="00DB0AC2"/>
    <w:rsid w:val="00DB0C49"/>
    <w:rsid w:val="00DB0D3C"/>
    <w:rsid w:val="00DB128C"/>
    <w:rsid w:val="00DB1439"/>
    <w:rsid w:val="00DB15F8"/>
    <w:rsid w:val="00DB1637"/>
    <w:rsid w:val="00DB1C5B"/>
    <w:rsid w:val="00DB1D7E"/>
    <w:rsid w:val="00DB1FA6"/>
    <w:rsid w:val="00DB244D"/>
    <w:rsid w:val="00DB250C"/>
    <w:rsid w:val="00DB255A"/>
    <w:rsid w:val="00DB2626"/>
    <w:rsid w:val="00DB274C"/>
    <w:rsid w:val="00DB2C20"/>
    <w:rsid w:val="00DB2F1C"/>
    <w:rsid w:val="00DB33C2"/>
    <w:rsid w:val="00DB341D"/>
    <w:rsid w:val="00DB3543"/>
    <w:rsid w:val="00DB3647"/>
    <w:rsid w:val="00DB37B1"/>
    <w:rsid w:val="00DB37D3"/>
    <w:rsid w:val="00DB3A76"/>
    <w:rsid w:val="00DB3AC7"/>
    <w:rsid w:val="00DB3B28"/>
    <w:rsid w:val="00DB3D98"/>
    <w:rsid w:val="00DB3E46"/>
    <w:rsid w:val="00DB3E58"/>
    <w:rsid w:val="00DB3EBC"/>
    <w:rsid w:val="00DB40A4"/>
    <w:rsid w:val="00DB4360"/>
    <w:rsid w:val="00DB45E2"/>
    <w:rsid w:val="00DB488C"/>
    <w:rsid w:val="00DB48A3"/>
    <w:rsid w:val="00DB4BD0"/>
    <w:rsid w:val="00DB4BF5"/>
    <w:rsid w:val="00DB4CF3"/>
    <w:rsid w:val="00DB4D18"/>
    <w:rsid w:val="00DB4E93"/>
    <w:rsid w:val="00DB501B"/>
    <w:rsid w:val="00DB5155"/>
    <w:rsid w:val="00DB541E"/>
    <w:rsid w:val="00DB5433"/>
    <w:rsid w:val="00DB5469"/>
    <w:rsid w:val="00DB5920"/>
    <w:rsid w:val="00DB592A"/>
    <w:rsid w:val="00DB5B35"/>
    <w:rsid w:val="00DB5FA0"/>
    <w:rsid w:val="00DB60B0"/>
    <w:rsid w:val="00DB6206"/>
    <w:rsid w:val="00DB6656"/>
    <w:rsid w:val="00DB672A"/>
    <w:rsid w:val="00DB6835"/>
    <w:rsid w:val="00DB68AB"/>
    <w:rsid w:val="00DB6949"/>
    <w:rsid w:val="00DB69ED"/>
    <w:rsid w:val="00DB6AC7"/>
    <w:rsid w:val="00DB6B50"/>
    <w:rsid w:val="00DB6B6A"/>
    <w:rsid w:val="00DB6BF6"/>
    <w:rsid w:val="00DB6E05"/>
    <w:rsid w:val="00DB6EDA"/>
    <w:rsid w:val="00DB701D"/>
    <w:rsid w:val="00DB72D1"/>
    <w:rsid w:val="00DB743F"/>
    <w:rsid w:val="00DB748B"/>
    <w:rsid w:val="00DB7A05"/>
    <w:rsid w:val="00DB7A9B"/>
    <w:rsid w:val="00DB7B02"/>
    <w:rsid w:val="00DB7B1C"/>
    <w:rsid w:val="00DB7FAB"/>
    <w:rsid w:val="00DB7FC4"/>
    <w:rsid w:val="00DB9CFC"/>
    <w:rsid w:val="00DC0075"/>
    <w:rsid w:val="00DC060B"/>
    <w:rsid w:val="00DC0B96"/>
    <w:rsid w:val="00DC0C49"/>
    <w:rsid w:val="00DC0C5E"/>
    <w:rsid w:val="00DC100B"/>
    <w:rsid w:val="00DC10AD"/>
    <w:rsid w:val="00DC10B8"/>
    <w:rsid w:val="00DC1130"/>
    <w:rsid w:val="00DC1138"/>
    <w:rsid w:val="00DC11C9"/>
    <w:rsid w:val="00DC1925"/>
    <w:rsid w:val="00DC1C5A"/>
    <w:rsid w:val="00DC1D63"/>
    <w:rsid w:val="00DC1F31"/>
    <w:rsid w:val="00DC1FA1"/>
    <w:rsid w:val="00DC2082"/>
    <w:rsid w:val="00DC22F2"/>
    <w:rsid w:val="00DC2428"/>
    <w:rsid w:val="00DC2448"/>
    <w:rsid w:val="00DC25D0"/>
    <w:rsid w:val="00DC2679"/>
    <w:rsid w:val="00DC26A9"/>
    <w:rsid w:val="00DC2841"/>
    <w:rsid w:val="00DC288E"/>
    <w:rsid w:val="00DC29FE"/>
    <w:rsid w:val="00DC2FC0"/>
    <w:rsid w:val="00DC315B"/>
    <w:rsid w:val="00DC31A9"/>
    <w:rsid w:val="00DC3246"/>
    <w:rsid w:val="00DC32FA"/>
    <w:rsid w:val="00DC32FD"/>
    <w:rsid w:val="00DC3321"/>
    <w:rsid w:val="00DC34AF"/>
    <w:rsid w:val="00DC3514"/>
    <w:rsid w:val="00DC3738"/>
    <w:rsid w:val="00DC3ADA"/>
    <w:rsid w:val="00DC3CB2"/>
    <w:rsid w:val="00DC3DC1"/>
    <w:rsid w:val="00DC3E2E"/>
    <w:rsid w:val="00DC3ED9"/>
    <w:rsid w:val="00DC3FB0"/>
    <w:rsid w:val="00DC3FDF"/>
    <w:rsid w:val="00DC40EB"/>
    <w:rsid w:val="00DC40F5"/>
    <w:rsid w:val="00DC419E"/>
    <w:rsid w:val="00DC4215"/>
    <w:rsid w:val="00DC44F1"/>
    <w:rsid w:val="00DC4527"/>
    <w:rsid w:val="00DC4574"/>
    <w:rsid w:val="00DC459A"/>
    <w:rsid w:val="00DC461F"/>
    <w:rsid w:val="00DC4622"/>
    <w:rsid w:val="00DC49D2"/>
    <w:rsid w:val="00DC4A14"/>
    <w:rsid w:val="00DC4A8C"/>
    <w:rsid w:val="00DC4B06"/>
    <w:rsid w:val="00DC4CB7"/>
    <w:rsid w:val="00DC4F7B"/>
    <w:rsid w:val="00DC5433"/>
    <w:rsid w:val="00DC5446"/>
    <w:rsid w:val="00DC56D7"/>
    <w:rsid w:val="00DC5AF6"/>
    <w:rsid w:val="00DC5C17"/>
    <w:rsid w:val="00DC5F2A"/>
    <w:rsid w:val="00DC6124"/>
    <w:rsid w:val="00DC61C8"/>
    <w:rsid w:val="00DC629D"/>
    <w:rsid w:val="00DC6386"/>
    <w:rsid w:val="00DC6407"/>
    <w:rsid w:val="00DC6684"/>
    <w:rsid w:val="00DC66EE"/>
    <w:rsid w:val="00DC6888"/>
    <w:rsid w:val="00DC6A0C"/>
    <w:rsid w:val="00DC6A10"/>
    <w:rsid w:val="00DC6A70"/>
    <w:rsid w:val="00DC6C76"/>
    <w:rsid w:val="00DC6C7B"/>
    <w:rsid w:val="00DC6D36"/>
    <w:rsid w:val="00DC6DB5"/>
    <w:rsid w:val="00DC7098"/>
    <w:rsid w:val="00DC71E0"/>
    <w:rsid w:val="00DC7790"/>
    <w:rsid w:val="00DC77A7"/>
    <w:rsid w:val="00DC7863"/>
    <w:rsid w:val="00DC787F"/>
    <w:rsid w:val="00DC7C33"/>
    <w:rsid w:val="00DC7CB5"/>
    <w:rsid w:val="00DC7DBE"/>
    <w:rsid w:val="00DC7F8A"/>
    <w:rsid w:val="00DD00B4"/>
    <w:rsid w:val="00DD0153"/>
    <w:rsid w:val="00DD03B3"/>
    <w:rsid w:val="00DD0711"/>
    <w:rsid w:val="00DD07B0"/>
    <w:rsid w:val="00DD0800"/>
    <w:rsid w:val="00DD084A"/>
    <w:rsid w:val="00DD09A1"/>
    <w:rsid w:val="00DD0A5E"/>
    <w:rsid w:val="00DD0BA8"/>
    <w:rsid w:val="00DD0D47"/>
    <w:rsid w:val="00DD11A7"/>
    <w:rsid w:val="00DD139A"/>
    <w:rsid w:val="00DD14ED"/>
    <w:rsid w:val="00DD15D6"/>
    <w:rsid w:val="00DD1606"/>
    <w:rsid w:val="00DD1625"/>
    <w:rsid w:val="00DD1890"/>
    <w:rsid w:val="00DD1A4B"/>
    <w:rsid w:val="00DD1A8E"/>
    <w:rsid w:val="00DD1B58"/>
    <w:rsid w:val="00DD1C44"/>
    <w:rsid w:val="00DD1E83"/>
    <w:rsid w:val="00DD1F1B"/>
    <w:rsid w:val="00DD2080"/>
    <w:rsid w:val="00DD20F3"/>
    <w:rsid w:val="00DD240D"/>
    <w:rsid w:val="00DD25DB"/>
    <w:rsid w:val="00DD2785"/>
    <w:rsid w:val="00DD2B28"/>
    <w:rsid w:val="00DD2BDB"/>
    <w:rsid w:val="00DD2D2D"/>
    <w:rsid w:val="00DD30E4"/>
    <w:rsid w:val="00DD30E6"/>
    <w:rsid w:val="00DD321D"/>
    <w:rsid w:val="00DD32A6"/>
    <w:rsid w:val="00DD32F8"/>
    <w:rsid w:val="00DD33DD"/>
    <w:rsid w:val="00DD349A"/>
    <w:rsid w:val="00DD3523"/>
    <w:rsid w:val="00DD37AA"/>
    <w:rsid w:val="00DD38F5"/>
    <w:rsid w:val="00DD3A8F"/>
    <w:rsid w:val="00DD3B59"/>
    <w:rsid w:val="00DD3BC4"/>
    <w:rsid w:val="00DD3CB2"/>
    <w:rsid w:val="00DD3CC6"/>
    <w:rsid w:val="00DD3ED1"/>
    <w:rsid w:val="00DD4085"/>
    <w:rsid w:val="00DD462D"/>
    <w:rsid w:val="00DD479C"/>
    <w:rsid w:val="00DD4841"/>
    <w:rsid w:val="00DD4898"/>
    <w:rsid w:val="00DD4AE5"/>
    <w:rsid w:val="00DD4CC9"/>
    <w:rsid w:val="00DD4DD2"/>
    <w:rsid w:val="00DD4ECC"/>
    <w:rsid w:val="00DD4EFE"/>
    <w:rsid w:val="00DD4FD8"/>
    <w:rsid w:val="00DD5211"/>
    <w:rsid w:val="00DD5296"/>
    <w:rsid w:val="00DD53C4"/>
    <w:rsid w:val="00DD548C"/>
    <w:rsid w:val="00DD54EA"/>
    <w:rsid w:val="00DD57E6"/>
    <w:rsid w:val="00DD5A8A"/>
    <w:rsid w:val="00DD5B35"/>
    <w:rsid w:val="00DD5BF7"/>
    <w:rsid w:val="00DD5DF4"/>
    <w:rsid w:val="00DD60BB"/>
    <w:rsid w:val="00DD63EF"/>
    <w:rsid w:val="00DD6430"/>
    <w:rsid w:val="00DD65E0"/>
    <w:rsid w:val="00DD6745"/>
    <w:rsid w:val="00DD679B"/>
    <w:rsid w:val="00DD67E9"/>
    <w:rsid w:val="00DD6812"/>
    <w:rsid w:val="00DD6836"/>
    <w:rsid w:val="00DD691B"/>
    <w:rsid w:val="00DD6B21"/>
    <w:rsid w:val="00DD6C4C"/>
    <w:rsid w:val="00DD6CD4"/>
    <w:rsid w:val="00DD6E8B"/>
    <w:rsid w:val="00DD6F49"/>
    <w:rsid w:val="00DD7327"/>
    <w:rsid w:val="00DD7445"/>
    <w:rsid w:val="00DD7951"/>
    <w:rsid w:val="00DD79F5"/>
    <w:rsid w:val="00DD7B77"/>
    <w:rsid w:val="00DD7B78"/>
    <w:rsid w:val="00DD7DCC"/>
    <w:rsid w:val="00DE0106"/>
    <w:rsid w:val="00DE043A"/>
    <w:rsid w:val="00DE07A4"/>
    <w:rsid w:val="00DE0817"/>
    <w:rsid w:val="00DE0823"/>
    <w:rsid w:val="00DE0837"/>
    <w:rsid w:val="00DE08E4"/>
    <w:rsid w:val="00DE08EA"/>
    <w:rsid w:val="00DE0939"/>
    <w:rsid w:val="00DE0B39"/>
    <w:rsid w:val="00DE0C25"/>
    <w:rsid w:val="00DE0CA4"/>
    <w:rsid w:val="00DE0E0E"/>
    <w:rsid w:val="00DE0E9A"/>
    <w:rsid w:val="00DE1115"/>
    <w:rsid w:val="00DE1180"/>
    <w:rsid w:val="00DE1285"/>
    <w:rsid w:val="00DE13B4"/>
    <w:rsid w:val="00DE13BD"/>
    <w:rsid w:val="00DE1486"/>
    <w:rsid w:val="00DE148D"/>
    <w:rsid w:val="00DE167C"/>
    <w:rsid w:val="00DE196D"/>
    <w:rsid w:val="00DE1A98"/>
    <w:rsid w:val="00DE1B5C"/>
    <w:rsid w:val="00DE20D0"/>
    <w:rsid w:val="00DE236C"/>
    <w:rsid w:val="00DE23FD"/>
    <w:rsid w:val="00DE2426"/>
    <w:rsid w:val="00DE2489"/>
    <w:rsid w:val="00DE26CE"/>
    <w:rsid w:val="00DE2B13"/>
    <w:rsid w:val="00DE2C8F"/>
    <w:rsid w:val="00DE2C92"/>
    <w:rsid w:val="00DE2D3A"/>
    <w:rsid w:val="00DE30D3"/>
    <w:rsid w:val="00DE3307"/>
    <w:rsid w:val="00DE36E5"/>
    <w:rsid w:val="00DE382E"/>
    <w:rsid w:val="00DE387F"/>
    <w:rsid w:val="00DE38F0"/>
    <w:rsid w:val="00DE3A04"/>
    <w:rsid w:val="00DE3ECD"/>
    <w:rsid w:val="00DE3F80"/>
    <w:rsid w:val="00DE3F8E"/>
    <w:rsid w:val="00DE3FC1"/>
    <w:rsid w:val="00DE400D"/>
    <w:rsid w:val="00DE40B3"/>
    <w:rsid w:val="00DE40D4"/>
    <w:rsid w:val="00DE4198"/>
    <w:rsid w:val="00DE447C"/>
    <w:rsid w:val="00DE464F"/>
    <w:rsid w:val="00DE46DB"/>
    <w:rsid w:val="00DE47A8"/>
    <w:rsid w:val="00DE4835"/>
    <w:rsid w:val="00DE48B1"/>
    <w:rsid w:val="00DE4B37"/>
    <w:rsid w:val="00DE4C0E"/>
    <w:rsid w:val="00DE4E57"/>
    <w:rsid w:val="00DE4FDC"/>
    <w:rsid w:val="00DE511B"/>
    <w:rsid w:val="00DE5359"/>
    <w:rsid w:val="00DE539E"/>
    <w:rsid w:val="00DE5511"/>
    <w:rsid w:val="00DE554A"/>
    <w:rsid w:val="00DE5551"/>
    <w:rsid w:val="00DE5A78"/>
    <w:rsid w:val="00DE5AB4"/>
    <w:rsid w:val="00DE5B42"/>
    <w:rsid w:val="00DE5B67"/>
    <w:rsid w:val="00DE5C1D"/>
    <w:rsid w:val="00DE5D46"/>
    <w:rsid w:val="00DE5D5D"/>
    <w:rsid w:val="00DE5EC1"/>
    <w:rsid w:val="00DE6023"/>
    <w:rsid w:val="00DE6039"/>
    <w:rsid w:val="00DE615C"/>
    <w:rsid w:val="00DE6197"/>
    <w:rsid w:val="00DE62B0"/>
    <w:rsid w:val="00DE62B7"/>
    <w:rsid w:val="00DE62D7"/>
    <w:rsid w:val="00DE63C5"/>
    <w:rsid w:val="00DE63E7"/>
    <w:rsid w:val="00DE6477"/>
    <w:rsid w:val="00DE65D5"/>
    <w:rsid w:val="00DE67AB"/>
    <w:rsid w:val="00DE67B0"/>
    <w:rsid w:val="00DE687C"/>
    <w:rsid w:val="00DE690D"/>
    <w:rsid w:val="00DE69E9"/>
    <w:rsid w:val="00DE6A05"/>
    <w:rsid w:val="00DE6B1D"/>
    <w:rsid w:val="00DE6B2E"/>
    <w:rsid w:val="00DE6C8B"/>
    <w:rsid w:val="00DE6C9F"/>
    <w:rsid w:val="00DE6D29"/>
    <w:rsid w:val="00DE6D6C"/>
    <w:rsid w:val="00DE6E52"/>
    <w:rsid w:val="00DE6F47"/>
    <w:rsid w:val="00DE7073"/>
    <w:rsid w:val="00DE71F7"/>
    <w:rsid w:val="00DE72F3"/>
    <w:rsid w:val="00DE7339"/>
    <w:rsid w:val="00DE74FC"/>
    <w:rsid w:val="00DE7500"/>
    <w:rsid w:val="00DE752E"/>
    <w:rsid w:val="00DE7902"/>
    <w:rsid w:val="00DE79DC"/>
    <w:rsid w:val="00DE7D75"/>
    <w:rsid w:val="00DE7F6A"/>
    <w:rsid w:val="00DE7FE4"/>
    <w:rsid w:val="00DF004B"/>
    <w:rsid w:val="00DF0270"/>
    <w:rsid w:val="00DF04AB"/>
    <w:rsid w:val="00DF054D"/>
    <w:rsid w:val="00DF055F"/>
    <w:rsid w:val="00DF0B36"/>
    <w:rsid w:val="00DF0CC4"/>
    <w:rsid w:val="00DF0CC7"/>
    <w:rsid w:val="00DF1291"/>
    <w:rsid w:val="00DF1AAB"/>
    <w:rsid w:val="00DF1C6F"/>
    <w:rsid w:val="00DF1DB6"/>
    <w:rsid w:val="00DF1F73"/>
    <w:rsid w:val="00DF1FF0"/>
    <w:rsid w:val="00DF201F"/>
    <w:rsid w:val="00DF2442"/>
    <w:rsid w:val="00DF25E8"/>
    <w:rsid w:val="00DF2A01"/>
    <w:rsid w:val="00DF2BEF"/>
    <w:rsid w:val="00DF2CD7"/>
    <w:rsid w:val="00DF3259"/>
    <w:rsid w:val="00DF329D"/>
    <w:rsid w:val="00DF32FE"/>
    <w:rsid w:val="00DF331F"/>
    <w:rsid w:val="00DF354D"/>
    <w:rsid w:val="00DF36D4"/>
    <w:rsid w:val="00DF3718"/>
    <w:rsid w:val="00DF381C"/>
    <w:rsid w:val="00DF3CDD"/>
    <w:rsid w:val="00DF3D40"/>
    <w:rsid w:val="00DF3D8B"/>
    <w:rsid w:val="00DF3FFE"/>
    <w:rsid w:val="00DF40C6"/>
    <w:rsid w:val="00DF40CD"/>
    <w:rsid w:val="00DF4212"/>
    <w:rsid w:val="00DF4213"/>
    <w:rsid w:val="00DF427F"/>
    <w:rsid w:val="00DF4652"/>
    <w:rsid w:val="00DF4899"/>
    <w:rsid w:val="00DF4937"/>
    <w:rsid w:val="00DF4A82"/>
    <w:rsid w:val="00DF4B51"/>
    <w:rsid w:val="00DF4B60"/>
    <w:rsid w:val="00DF4BE7"/>
    <w:rsid w:val="00DF4BF5"/>
    <w:rsid w:val="00DF4CC9"/>
    <w:rsid w:val="00DF4CE8"/>
    <w:rsid w:val="00DF504F"/>
    <w:rsid w:val="00DF535E"/>
    <w:rsid w:val="00DF55D3"/>
    <w:rsid w:val="00DF56ED"/>
    <w:rsid w:val="00DF57DD"/>
    <w:rsid w:val="00DF5813"/>
    <w:rsid w:val="00DF5853"/>
    <w:rsid w:val="00DF5926"/>
    <w:rsid w:val="00DF5AC0"/>
    <w:rsid w:val="00DF5C32"/>
    <w:rsid w:val="00DF5D43"/>
    <w:rsid w:val="00DF5D4D"/>
    <w:rsid w:val="00DF5F71"/>
    <w:rsid w:val="00DF61B5"/>
    <w:rsid w:val="00DF6338"/>
    <w:rsid w:val="00DF6594"/>
    <w:rsid w:val="00DF6811"/>
    <w:rsid w:val="00DF6841"/>
    <w:rsid w:val="00DF692C"/>
    <w:rsid w:val="00DF699A"/>
    <w:rsid w:val="00DF6CC0"/>
    <w:rsid w:val="00DF6D87"/>
    <w:rsid w:val="00DF7090"/>
    <w:rsid w:val="00DF718C"/>
    <w:rsid w:val="00DF748C"/>
    <w:rsid w:val="00DF74BD"/>
    <w:rsid w:val="00DF74F7"/>
    <w:rsid w:val="00DF753E"/>
    <w:rsid w:val="00DF75E6"/>
    <w:rsid w:val="00DF78B1"/>
    <w:rsid w:val="00DF7DA2"/>
    <w:rsid w:val="00DF7F37"/>
    <w:rsid w:val="00E00116"/>
    <w:rsid w:val="00E00522"/>
    <w:rsid w:val="00E00691"/>
    <w:rsid w:val="00E006A2"/>
    <w:rsid w:val="00E00777"/>
    <w:rsid w:val="00E0091F"/>
    <w:rsid w:val="00E009AA"/>
    <w:rsid w:val="00E00B63"/>
    <w:rsid w:val="00E00E6D"/>
    <w:rsid w:val="00E0130A"/>
    <w:rsid w:val="00E01345"/>
    <w:rsid w:val="00E0145A"/>
    <w:rsid w:val="00E01487"/>
    <w:rsid w:val="00E01495"/>
    <w:rsid w:val="00E01534"/>
    <w:rsid w:val="00E01587"/>
    <w:rsid w:val="00E0158B"/>
    <w:rsid w:val="00E01627"/>
    <w:rsid w:val="00E01799"/>
    <w:rsid w:val="00E01BCF"/>
    <w:rsid w:val="00E01C5B"/>
    <w:rsid w:val="00E01CDD"/>
    <w:rsid w:val="00E01E78"/>
    <w:rsid w:val="00E01F49"/>
    <w:rsid w:val="00E022B8"/>
    <w:rsid w:val="00E023D2"/>
    <w:rsid w:val="00E023D9"/>
    <w:rsid w:val="00E027BF"/>
    <w:rsid w:val="00E0298A"/>
    <w:rsid w:val="00E02BDC"/>
    <w:rsid w:val="00E02F1A"/>
    <w:rsid w:val="00E02F27"/>
    <w:rsid w:val="00E030CC"/>
    <w:rsid w:val="00E031DE"/>
    <w:rsid w:val="00E032CC"/>
    <w:rsid w:val="00E03483"/>
    <w:rsid w:val="00E0352E"/>
    <w:rsid w:val="00E03663"/>
    <w:rsid w:val="00E036EC"/>
    <w:rsid w:val="00E037E5"/>
    <w:rsid w:val="00E037E8"/>
    <w:rsid w:val="00E03B5F"/>
    <w:rsid w:val="00E03BE3"/>
    <w:rsid w:val="00E03D06"/>
    <w:rsid w:val="00E03DCE"/>
    <w:rsid w:val="00E03FAD"/>
    <w:rsid w:val="00E03FD0"/>
    <w:rsid w:val="00E04291"/>
    <w:rsid w:val="00E042AD"/>
    <w:rsid w:val="00E042D0"/>
    <w:rsid w:val="00E0439A"/>
    <w:rsid w:val="00E0464C"/>
    <w:rsid w:val="00E0477B"/>
    <w:rsid w:val="00E04AF5"/>
    <w:rsid w:val="00E04CC8"/>
    <w:rsid w:val="00E04E10"/>
    <w:rsid w:val="00E04F0C"/>
    <w:rsid w:val="00E04F2A"/>
    <w:rsid w:val="00E050E7"/>
    <w:rsid w:val="00E05176"/>
    <w:rsid w:val="00E05245"/>
    <w:rsid w:val="00E0535C"/>
    <w:rsid w:val="00E054A4"/>
    <w:rsid w:val="00E054F9"/>
    <w:rsid w:val="00E0568B"/>
    <w:rsid w:val="00E05828"/>
    <w:rsid w:val="00E0589B"/>
    <w:rsid w:val="00E05A2B"/>
    <w:rsid w:val="00E05B0D"/>
    <w:rsid w:val="00E05DEA"/>
    <w:rsid w:val="00E05FA8"/>
    <w:rsid w:val="00E064C9"/>
    <w:rsid w:val="00E06675"/>
    <w:rsid w:val="00E06682"/>
    <w:rsid w:val="00E066C5"/>
    <w:rsid w:val="00E068C4"/>
    <w:rsid w:val="00E06ABB"/>
    <w:rsid w:val="00E06F6E"/>
    <w:rsid w:val="00E06FB1"/>
    <w:rsid w:val="00E07033"/>
    <w:rsid w:val="00E0729A"/>
    <w:rsid w:val="00E072B6"/>
    <w:rsid w:val="00E07344"/>
    <w:rsid w:val="00E074DE"/>
    <w:rsid w:val="00E076C9"/>
    <w:rsid w:val="00E07904"/>
    <w:rsid w:val="00E07AC7"/>
    <w:rsid w:val="00E07E20"/>
    <w:rsid w:val="00E07EC5"/>
    <w:rsid w:val="00E07EDB"/>
    <w:rsid w:val="00E07FF1"/>
    <w:rsid w:val="00E104C7"/>
    <w:rsid w:val="00E1059B"/>
    <w:rsid w:val="00E10632"/>
    <w:rsid w:val="00E106EE"/>
    <w:rsid w:val="00E1074F"/>
    <w:rsid w:val="00E10773"/>
    <w:rsid w:val="00E10851"/>
    <w:rsid w:val="00E109EB"/>
    <w:rsid w:val="00E10A48"/>
    <w:rsid w:val="00E10B73"/>
    <w:rsid w:val="00E10D12"/>
    <w:rsid w:val="00E10EBD"/>
    <w:rsid w:val="00E10EC7"/>
    <w:rsid w:val="00E10F29"/>
    <w:rsid w:val="00E11081"/>
    <w:rsid w:val="00E1113E"/>
    <w:rsid w:val="00E11277"/>
    <w:rsid w:val="00E113B1"/>
    <w:rsid w:val="00E114A3"/>
    <w:rsid w:val="00E114BA"/>
    <w:rsid w:val="00E11620"/>
    <w:rsid w:val="00E11812"/>
    <w:rsid w:val="00E11C9E"/>
    <w:rsid w:val="00E11F51"/>
    <w:rsid w:val="00E1232B"/>
    <w:rsid w:val="00E123C8"/>
    <w:rsid w:val="00E12482"/>
    <w:rsid w:val="00E1254B"/>
    <w:rsid w:val="00E126C9"/>
    <w:rsid w:val="00E129C1"/>
    <w:rsid w:val="00E12BEE"/>
    <w:rsid w:val="00E12ED6"/>
    <w:rsid w:val="00E131C3"/>
    <w:rsid w:val="00E131CE"/>
    <w:rsid w:val="00E13284"/>
    <w:rsid w:val="00E133C6"/>
    <w:rsid w:val="00E13448"/>
    <w:rsid w:val="00E134EF"/>
    <w:rsid w:val="00E13703"/>
    <w:rsid w:val="00E137A1"/>
    <w:rsid w:val="00E139EC"/>
    <w:rsid w:val="00E13BE3"/>
    <w:rsid w:val="00E13CEA"/>
    <w:rsid w:val="00E13D4D"/>
    <w:rsid w:val="00E13E2F"/>
    <w:rsid w:val="00E140AC"/>
    <w:rsid w:val="00E140C5"/>
    <w:rsid w:val="00E1413B"/>
    <w:rsid w:val="00E14206"/>
    <w:rsid w:val="00E1428E"/>
    <w:rsid w:val="00E144D2"/>
    <w:rsid w:val="00E14597"/>
    <w:rsid w:val="00E145CA"/>
    <w:rsid w:val="00E1479D"/>
    <w:rsid w:val="00E148AE"/>
    <w:rsid w:val="00E148B2"/>
    <w:rsid w:val="00E148DF"/>
    <w:rsid w:val="00E14940"/>
    <w:rsid w:val="00E14966"/>
    <w:rsid w:val="00E14C09"/>
    <w:rsid w:val="00E14C69"/>
    <w:rsid w:val="00E14C79"/>
    <w:rsid w:val="00E14C88"/>
    <w:rsid w:val="00E14DEA"/>
    <w:rsid w:val="00E14E25"/>
    <w:rsid w:val="00E15024"/>
    <w:rsid w:val="00E15062"/>
    <w:rsid w:val="00E1525C"/>
    <w:rsid w:val="00E15540"/>
    <w:rsid w:val="00E155D4"/>
    <w:rsid w:val="00E15637"/>
    <w:rsid w:val="00E15759"/>
    <w:rsid w:val="00E158B2"/>
    <w:rsid w:val="00E15CB2"/>
    <w:rsid w:val="00E15D83"/>
    <w:rsid w:val="00E160D9"/>
    <w:rsid w:val="00E162D0"/>
    <w:rsid w:val="00E1658B"/>
    <w:rsid w:val="00E165F6"/>
    <w:rsid w:val="00E16927"/>
    <w:rsid w:val="00E16A72"/>
    <w:rsid w:val="00E16F29"/>
    <w:rsid w:val="00E16FCB"/>
    <w:rsid w:val="00E1709A"/>
    <w:rsid w:val="00E17332"/>
    <w:rsid w:val="00E175D8"/>
    <w:rsid w:val="00E1769E"/>
    <w:rsid w:val="00E176D0"/>
    <w:rsid w:val="00E176DA"/>
    <w:rsid w:val="00E1792F"/>
    <w:rsid w:val="00E17FF6"/>
    <w:rsid w:val="00E2007A"/>
    <w:rsid w:val="00E20393"/>
    <w:rsid w:val="00E2073D"/>
    <w:rsid w:val="00E20879"/>
    <w:rsid w:val="00E209C9"/>
    <w:rsid w:val="00E20E37"/>
    <w:rsid w:val="00E2107F"/>
    <w:rsid w:val="00E212F8"/>
    <w:rsid w:val="00E21369"/>
    <w:rsid w:val="00E2136B"/>
    <w:rsid w:val="00E214D6"/>
    <w:rsid w:val="00E21574"/>
    <w:rsid w:val="00E215D0"/>
    <w:rsid w:val="00E216D7"/>
    <w:rsid w:val="00E217E2"/>
    <w:rsid w:val="00E21893"/>
    <w:rsid w:val="00E21931"/>
    <w:rsid w:val="00E21CB8"/>
    <w:rsid w:val="00E22116"/>
    <w:rsid w:val="00E2221E"/>
    <w:rsid w:val="00E223B6"/>
    <w:rsid w:val="00E22488"/>
    <w:rsid w:val="00E226A9"/>
    <w:rsid w:val="00E2273B"/>
    <w:rsid w:val="00E227E6"/>
    <w:rsid w:val="00E229BA"/>
    <w:rsid w:val="00E22ADC"/>
    <w:rsid w:val="00E22E1B"/>
    <w:rsid w:val="00E22F13"/>
    <w:rsid w:val="00E2324B"/>
    <w:rsid w:val="00E23543"/>
    <w:rsid w:val="00E236C2"/>
    <w:rsid w:val="00E23804"/>
    <w:rsid w:val="00E23891"/>
    <w:rsid w:val="00E23C44"/>
    <w:rsid w:val="00E23DA7"/>
    <w:rsid w:val="00E23E11"/>
    <w:rsid w:val="00E23EA6"/>
    <w:rsid w:val="00E23FDF"/>
    <w:rsid w:val="00E24106"/>
    <w:rsid w:val="00E24348"/>
    <w:rsid w:val="00E2466C"/>
    <w:rsid w:val="00E24692"/>
    <w:rsid w:val="00E2469D"/>
    <w:rsid w:val="00E2478D"/>
    <w:rsid w:val="00E24AE0"/>
    <w:rsid w:val="00E24B72"/>
    <w:rsid w:val="00E24BE6"/>
    <w:rsid w:val="00E24CEC"/>
    <w:rsid w:val="00E24E6E"/>
    <w:rsid w:val="00E25543"/>
    <w:rsid w:val="00E257DD"/>
    <w:rsid w:val="00E259DB"/>
    <w:rsid w:val="00E25D27"/>
    <w:rsid w:val="00E25F4D"/>
    <w:rsid w:val="00E25F67"/>
    <w:rsid w:val="00E263C9"/>
    <w:rsid w:val="00E26404"/>
    <w:rsid w:val="00E2663D"/>
    <w:rsid w:val="00E2684C"/>
    <w:rsid w:val="00E26A95"/>
    <w:rsid w:val="00E26C69"/>
    <w:rsid w:val="00E26D5A"/>
    <w:rsid w:val="00E26D90"/>
    <w:rsid w:val="00E26DC8"/>
    <w:rsid w:val="00E27007"/>
    <w:rsid w:val="00E2705A"/>
    <w:rsid w:val="00E270B3"/>
    <w:rsid w:val="00E271FA"/>
    <w:rsid w:val="00E27334"/>
    <w:rsid w:val="00E27378"/>
    <w:rsid w:val="00E27435"/>
    <w:rsid w:val="00E2798B"/>
    <w:rsid w:val="00E27991"/>
    <w:rsid w:val="00E27CEC"/>
    <w:rsid w:val="00E30102"/>
    <w:rsid w:val="00E304A9"/>
    <w:rsid w:val="00E304E0"/>
    <w:rsid w:val="00E3062F"/>
    <w:rsid w:val="00E3089F"/>
    <w:rsid w:val="00E30B54"/>
    <w:rsid w:val="00E30D9C"/>
    <w:rsid w:val="00E30DED"/>
    <w:rsid w:val="00E30EDD"/>
    <w:rsid w:val="00E3118F"/>
    <w:rsid w:val="00E31715"/>
    <w:rsid w:val="00E3172E"/>
    <w:rsid w:val="00E31868"/>
    <w:rsid w:val="00E31CF7"/>
    <w:rsid w:val="00E31F9D"/>
    <w:rsid w:val="00E320AD"/>
    <w:rsid w:val="00E321D8"/>
    <w:rsid w:val="00E32271"/>
    <w:rsid w:val="00E3229F"/>
    <w:rsid w:val="00E3259F"/>
    <w:rsid w:val="00E32704"/>
    <w:rsid w:val="00E3270E"/>
    <w:rsid w:val="00E3278C"/>
    <w:rsid w:val="00E327F1"/>
    <w:rsid w:val="00E32810"/>
    <w:rsid w:val="00E32B04"/>
    <w:rsid w:val="00E32C29"/>
    <w:rsid w:val="00E32CCA"/>
    <w:rsid w:val="00E32EE2"/>
    <w:rsid w:val="00E3303C"/>
    <w:rsid w:val="00E331D0"/>
    <w:rsid w:val="00E3337E"/>
    <w:rsid w:val="00E3346D"/>
    <w:rsid w:val="00E33511"/>
    <w:rsid w:val="00E3373A"/>
    <w:rsid w:val="00E3399A"/>
    <w:rsid w:val="00E33A90"/>
    <w:rsid w:val="00E33B05"/>
    <w:rsid w:val="00E33C70"/>
    <w:rsid w:val="00E33FED"/>
    <w:rsid w:val="00E3415D"/>
    <w:rsid w:val="00E3418F"/>
    <w:rsid w:val="00E34505"/>
    <w:rsid w:val="00E348AA"/>
    <w:rsid w:val="00E34927"/>
    <w:rsid w:val="00E34962"/>
    <w:rsid w:val="00E349D1"/>
    <w:rsid w:val="00E34A9E"/>
    <w:rsid w:val="00E34DAC"/>
    <w:rsid w:val="00E34E1A"/>
    <w:rsid w:val="00E34EBD"/>
    <w:rsid w:val="00E3504B"/>
    <w:rsid w:val="00E351C2"/>
    <w:rsid w:val="00E3525E"/>
    <w:rsid w:val="00E35279"/>
    <w:rsid w:val="00E3530C"/>
    <w:rsid w:val="00E353D8"/>
    <w:rsid w:val="00E354B7"/>
    <w:rsid w:val="00E354C6"/>
    <w:rsid w:val="00E35534"/>
    <w:rsid w:val="00E3556B"/>
    <w:rsid w:val="00E35986"/>
    <w:rsid w:val="00E35BDC"/>
    <w:rsid w:val="00E35D5B"/>
    <w:rsid w:val="00E35E48"/>
    <w:rsid w:val="00E35F7F"/>
    <w:rsid w:val="00E36181"/>
    <w:rsid w:val="00E3622F"/>
    <w:rsid w:val="00E365A5"/>
    <w:rsid w:val="00E36654"/>
    <w:rsid w:val="00E36672"/>
    <w:rsid w:val="00E367A7"/>
    <w:rsid w:val="00E368F9"/>
    <w:rsid w:val="00E3690C"/>
    <w:rsid w:val="00E369E5"/>
    <w:rsid w:val="00E36A16"/>
    <w:rsid w:val="00E36C50"/>
    <w:rsid w:val="00E36E55"/>
    <w:rsid w:val="00E36EF2"/>
    <w:rsid w:val="00E371FB"/>
    <w:rsid w:val="00E373A1"/>
    <w:rsid w:val="00E3741B"/>
    <w:rsid w:val="00E37480"/>
    <w:rsid w:val="00E375BF"/>
    <w:rsid w:val="00E37A2A"/>
    <w:rsid w:val="00E37A49"/>
    <w:rsid w:val="00E37A78"/>
    <w:rsid w:val="00E37B28"/>
    <w:rsid w:val="00E37DBA"/>
    <w:rsid w:val="00E37EB5"/>
    <w:rsid w:val="00E37F1B"/>
    <w:rsid w:val="00E401F3"/>
    <w:rsid w:val="00E4030B"/>
    <w:rsid w:val="00E404D8"/>
    <w:rsid w:val="00E4063B"/>
    <w:rsid w:val="00E409B2"/>
    <w:rsid w:val="00E409DA"/>
    <w:rsid w:val="00E409F6"/>
    <w:rsid w:val="00E40FD7"/>
    <w:rsid w:val="00E411C8"/>
    <w:rsid w:val="00E412AF"/>
    <w:rsid w:val="00E41781"/>
    <w:rsid w:val="00E4178B"/>
    <w:rsid w:val="00E41BAE"/>
    <w:rsid w:val="00E41C41"/>
    <w:rsid w:val="00E41F52"/>
    <w:rsid w:val="00E41FF8"/>
    <w:rsid w:val="00E428AC"/>
    <w:rsid w:val="00E428BA"/>
    <w:rsid w:val="00E4291A"/>
    <w:rsid w:val="00E42931"/>
    <w:rsid w:val="00E42B64"/>
    <w:rsid w:val="00E42BFE"/>
    <w:rsid w:val="00E42C5E"/>
    <w:rsid w:val="00E42DD5"/>
    <w:rsid w:val="00E42EAB"/>
    <w:rsid w:val="00E42ECE"/>
    <w:rsid w:val="00E42F8C"/>
    <w:rsid w:val="00E43121"/>
    <w:rsid w:val="00E4322C"/>
    <w:rsid w:val="00E433C4"/>
    <w:rsid w:val="00E433CF"/>
    <w:rsid w:val="00E4357F"/>
    <w:rsid w:val="00E43817"/>
    <w:rsid w:val="00E43848"/>
    <w:rsid w:val="00E43871"/>
    <w:rsid w:val="00E438E5"/>
    <w:rsid w:val="00E43974"/>
    <w:rsid w:val="00E439DC"/>
    <w:rsid w:val="00E43BB2"/>
    <w:rsid w:val="00E43BF6"/>
    <w:rsid w:val="00E43C41"/>
    <w:rsid w:val="00E4405B"/>
    <w:rsid w:val="00E4418D"/>
    <w:rsid w:val="00E4455D"/>
    <w:rsid w:val="00E445E4"/>
    <w:rsid w:val="00E44723"/>
    <w:rsid w:val="00E44746"/>
    <w:rsid w:val="00E44AB7"/>
    <w:rsid w:val="00E44B11"/>
    <w:rsid w:val="00E44BB1"/>
    <w:rsid w:val="00E44C35"/>
    <w:rsid w:val="00E44D00"/>
    <w:rsid w:val="00E44D1B"/>
    <w:rsid w:val="00E44ED9"/>
    <w:rsid w:val="00E44F92"/>
    <w:rsid w:val="00E451A7"/>
    <w:rsid w:val="00E45311"/>
    <w:rsid w:val="00E4537C"/>
    <w:rsid w:val="00E454B0"/>
    <w:rsid w:val="00E454FE"/>
    <w:rsid w:val="00E455EA"/>
    <w:rsid w:val="00E458EC"/>
    <w:rsid w:val="00E45A13"/>
    <w:rsid w:val="00E45A90"/>
    <w:rsid w:val="00E45E35"/>
    <w:rsid w:val="00E45F30"/>
    <w:rsid w:val="00E45FE6"/>
    <w:rsid w:val="00E46468"/>
    <w:rsid w:val="00E46659"/>
    <w:rsid w:val="00E466A1"/>
    <w:rsid w:val="00E46916"/>
    <w:rsid w:val="00E46A06"/>
    <w:rsid w:val="00E46F21"/>
    <w:rsid w:val="00E47011"/>
    <w:rsid w:val="00E4780E"/>
    <w:rsid w:val="00E47829"/>
    <w:rsid w:val="00E47846"/>
    <w:rsid w:val="00E47861"/>
    <w:rsid w:val="00E47884"/>
    <w:rsid w:val="00E47C1C"/>
    <w:rsid w:val="00E47D0A"/>
    <w:rsid w:val="00E47D9F"/>
    <w:rsid w:val="00E47E7F"/>
    <w:rsid w:val="00E501BD"/>
    <w:rsid w:val="00E50346"/>
    <w:rsid w:val="00E50914"/>
    <w:rsid w:val="00E50987"/>
    <w:rsid w:val="00E50AD9"/>
    <w:rsid w:val="00E50CC8"/>
    <w:rsid w:val="00E50DF0"/>
    <w:rsid w:val="00E50E2D"/>
    <w:rsid w:val="00E50E33"/>
    <w:rsid w:val="00E50E47"/>
    <w:rsid w:val="00E50E64"/>
    <w:rsid w:val="00E515FD"/>
    <w:rsid w:val="00E5163F"/>
    <w:rsid w:val="00E51696"/>
    <w:rsid w:val="00E51991"/>
    <w:rsid w:val="00E51ABB"/>
    <w:rsid w:val="00E51F63"/>
    <w:rsid w:val="00E527B1"/>
    <w:rsid w:val="00E5285A"/>
    <w:rsid w:val="00E52A2B"/>
    <w:rsid w:val="00E52E8B"/>
    <w:rsid w:val="00E52F3C"/>
    <w:rsid w:val="00E5306F"/>
    <w:rsid w:val="00E531D8"/>
    <w:rsid w:val="00E534B9"/>
    <w:rsid w:val="00E535DA"/>
    <w:rsid w:val="00E53763"/>
    <w:rsid w:val="00E537C3"/>
    <w:rsid w:val="00E537F3"/>
    <w:rsid w:val="00E5382E"/>
    <w:rsid w:val="00E5388E"/>
    <w:rsid w:val="00E53924"/>
    <w:rsid w:val="00E53B35"/>
    <w:rsid w:val="00E53C98"/>
    <w:rsid w:val="00E53D2D"/>
    <w:rsid w:val="00E544FB"/>
    <w:rsid w:val="00E546A4"/>
    <w:rsid w:val="00E54727"/>
    <w:rsid w:val="00E5492E"/>
    <w:rsid w:val="00E54989"/>
    <w:rsid w:val="00E54A84"/>
    <w:rsid w:val="00E54AC4"/>
    <w:rsid w:val="00E54B27"/>
    <w:rsid w:val="00E54BD9"/>
    <w:rsid w:val="00E54D56"/>
    <w:rsid w:val="00E54FF2"/>
    <w:rsid w:val="00E55029"/>
    <w:rsid w:val="00E55076"/>
    <w:rsid w:val="00E551DE"/>
    <w:rsid w:val="00E551E1"/>
    <w:rsid w:val="00E55243"/>
    <w:rsid w:val="00E5524B"/>
    <w:rsid w:val="00E55250"/>
    <w:rsid w:val="00E55251"/>
    <w:rsid w:val="00E556A6"/>
    <w:rsid w:val="00E557C8"/>
    <w:rsid w:val="00E55971"/>
    <w:rsid w:val="00E559CD"/>
    <w:rsid w:val="00E55AFA"/>
    <w:rsid w:val="00E55B41"/>
    <w:rsid w:val="00E55CD8"/>
    <w:rsid w:val="00E55E91"/>
    <w:rsid w:val="00E560AD"/>
    <w:rsid w:val="00E5610A"/>
    <w:rsid w:val="00E561CE"/>
    <w:rsid w:val="00E561D2"/>
    <w:rsid w:val="00E561D7"/>
    <w:rsid w:val="00E561DB"/>
    <w:rsid w:val="00E56274"/>
    <w:rsid w:val="00E568DE"/>
    <w:rsid w:val="00E569A7"/>
    <w:rsid w:val="00E56B52"/>
    <w:rsid w:val="00E56C65"/>
    <w:rsid w:val="00E56D34"/>
    <w:rsid w:val="00E56E61"/>
    <w:rsid w:val="00E5706B"/>
    <w:rsid w:val="00E5768A"/>
    <w:rsid w:val="00E576CC"/>
    <w:rsid w:val="00E57A30"/>
    <w:rsid w:val="00E57A87"/>
    <w:rsid w:val="00E6026E"/>
    <w:rsid w:val="00E6027B"/>
    <w:rsid w:val="00E6027F"/>
    <w:rsid w:val="00E606AE"/>
    <w:rsid w:val="00E60749"/>
    <w:rsid w:val="00E607C7"/>
    <w:rsid w:val="00E60B4A"/>
    <w:rsid w:val="00E60BB7"/>
    <w:rsid w:val="00E60C21"/>
    <w:rsid w:val="00E60D5D"/>
    <w:rsid w:val="00E60DCB"/>
    <w:rsid w:val="00E614F2"/>
    <w:rsid w:val="00E615FA"/>
    <w:rsid w:val="00E616E2"/>
    <w:rsid w:val="00E61830"/>
    <w:rsid w:val="00E61B43"/>
    <w:rsid w:val="00E61C54"/>
    <w:rsid w:val="00E61EFD"/>
    <w:rsid w:val="00E6211E"/>
    <w:rsid w:val="00E623E8"/>
    <w:rsid w:val="00E627A2"/>
    <w:rsid w:val="00E628B7"/>
    <w:rsid w:val="00E62A1C"/>
    <w:rsid w:val="00E62C13"/>
    <w:rsid w:val="00E62CE3"/>
    <w:rsid w:val="00E62DFB"/>
    <w:rsid w:val="00E62E49"/>
    <w:rsid w:val="00E62E83"/>
    <w:rsid w:val="00E62F05"/>
    <w:rsid w:val="00E63031"/>
    <w:rsid w:val="00E63038"/>
    <w:rsid w:val="00E630A0"/>
    <w:rsid w:val="00E6315A"/>
    <w:rsid w:val="00E63298"/>
    <w:rsid w:val="00E633A8"/>
    <w:rsid w:val="00E633B5"/>
    <w:rsid w:val="00E634BE"/>
    <w:rsid w:val="00E634E5"/>
    <w:rsid w:val="00E63560"/>
    <w:rsid w:val="00E635D8"/>
    <w:rsid w:val="00E6368B"/>
    <w:rsid w:val="00E636B9"/>
    <w:rsid w:val="00E636E7"/>
    <w:rsid w:val="00E63A36"/>
    <w:rsid w:val="00E63BE5"/>
    <w:rsid w:val="00E63E0C"/>
    <w:rsid w:val="00E64334"/>
    <w:rsid w:val="00E646D1"/>
    <w:rsid w:val="00E6481E"/>
    <w:rsid w:val="00E64975"/>
    <w:rsid w:val="00E6497E"/>
    <w:rsid w:val="00E64A8B"/>
    <w:rsid w:val="00E64B1A"/>
    <w:rsid w:val="00E64B5F"/>
    <w:rsid w:val="00E64BC7"/>
    <w:rsid w:val="00E64DF8"/>
    <w:rsid w:val="00E64F18"/>
    <w:rsid w:val="00E64F25"/>
    <w:rsid w:val="00E650E1"/>
    <w:rsid w:val="00E65137"/>
    <w:rsid w:val="00E6561B"/>
    <w:rsid w:val="00E6565C"/>
    <w:rsid w:val="00E658E1"/>
    <w:rsid w:val="00E65974"/>
    <w:rsid w:val="00E659F8"/>
    <w:rsid w:val="00E65ABD"/>
    <w:rsid w:val="00E65F50"/>
    <w:rsid w:val="00E65FB6"/>
    <w:rsid w:val="00E66020"/>
    <w:rsid w:val="00E66024"/>
    <w:rsid w:val="00E66311"/>
    <w:rsid w:val="00E66328"/>
    <w:rsid w:val="00E66625"/>
    <w:rsid w:val="00E6678D"/>
    <w:rsid w:val="00E667F5"/>
    <w:rsid w:val="00E66855"/>
    <w:rsid w:val="00E66924"/>
    <w:rsid w:val="00E669E5"/>
    <w:rsid w:val="00E66A2B"/>
    <w:rsid w:val="00E66D93"/>
    <w:rsid w:val="00E66E67"/>
    <w:rsid w:val="00E66EEC"/>
    <w:rsid w:val="00E66F33"/>
    <w:rsid w:val="00E671A0"/>
    <w:rsid w:val="00E676BE"/>
    <w:rsid w:val="00E67730"/>
    <w:rsid w:val="00E67AAA"/>
    <w:rsid w:val="00E67AFD"/>
    <w:rsid w:val="00E67C68"/>
    <w:rsid w:val="00E67DC6"/>
    <w:rsid w:val="00E67E1E"/>
    <w:rsid w:val="00E67E5D"/>
    <w:rsid w:val="00E67F95"/>
    <w:rsid w:val="00E7014B"/>
    <w:rsid w:val="00E701DD"/>
    <w:rsid w:val="00E70314"/>
    <w:rsid w:val="00E7050B"/>
    <w:rsid w:val="00E70522"/>
    <w:rsid w:val="00E70602"/>
    <w:rsid w:val="00E70799"/>
    <w:rsid w:val="00E709AE"/>
    <w:rsid w:val="00E70FC9"/>
    <w:rsid w:val="00E71106"/>
    <w:rsid w:val="00E712CA"/>
    <w:rsid w:val="00E715C5"/>
    <w:rsid w:val="00E7169C"/>
    <w:rsid w:val="00E7199A"/>
    <w:rsid w:val="00E71B0E"/>
    <w:rsid w:val="00E71CDE"/>
    <w:rsid w:val="00E71F8C"/>
    <w:rsid w:val="00E72060"/>
    <w:rsid w:val="00E72209"/>
    <w:rsid w:val="00E7229C"/>
    <w:rsid w:val="00E723F6"/>
    <w:rsid w:val="00E7249D"/>
    <w:rsid w:val="00E726B8"/>
    <w:rsid w:val="00E726CC"/>
    <w:rsid w:val="00E72912"/>
    <w:rsid w:val="00E72CDD"/>
    <w:rsid w:val="00E72DDE"/>
    <w:rsid w:val="00E72E1F"/>
    <w:rsid w:val="00E72E77"/>
    <w:rsid w:val="00E72F47"/>
    <w:rsid w:val="00E72FEA"/>
    <w:rsid w:val="00E7325F"/>
    <w:rsid w:val="00E7336C"/>
    <w:rsid w:val="00E7356B"/>
    <w:rsid w:val="00E737AF"/>
    <w:rsid w:val="00E73A8C"/>
    <w:rsid w:val="00E73C25"/>
    <w:rsid w:val="00E73CF5"/>
    <w:rsid w:val="00E740C6"/>
    <w:rsid w:val="00E74374"/>
    <w:rsid w:val="00E74445"/>
    <w:rsid w:val="00E744FC"/>
    <w:rsid w:val="00E74A27"/>
    <w:rsid w:val="00E74BDA"/>
    <w:rsid w:val="00E74D10"/>
    <w:rsid w:val="00E75088"/>
    <w:rsid w:val="00E750E7"/>
    <w:rsid w:val="00E75153"/>
    <w:rsid w:val="00E753CD"/>
    <w:rsid w:val="00E754ED"/>
    <w:rsid w:val="00E754FF"/>
    <w:rsid w:val="00E75503"/>
    <w:rsid w:val="00E7561A"/>
    <w:rsid w:val="00E7564D"/>
    <w:rsid w:val="00E756D5"/>
    <w:rsid w:val="00E75714"/>
    <w:rsid w:val="00E758C7"/>
    <w:rsid w:val="00E75A87"/>
    <w:rsid w:val="00E75B2A"/>
    <w:rsid w:val="00E75B52"/>
    <w:rsid w:val="00E75C55"/>
    <w:rsid w:val="00E75CCE"/>
    <w:rsid w:val="00E75E24"/>
    <w:rsid w:val="00E75FE9"/>
    <w:rsid w:val="00E76065"/>
    <w:rsid w:val="00E76171"/>
    <w:rsid w:val="00E765DE"/>
    <w:rsid w:val="00E766B4"/>
    <w:rsid w:val="00E7681B"/>
    <w:rsid w:val="00E7687E"/>
    <w:rsid w:val="00E768C3"/>
    <w:rsid w:val="00E76E51"/>
    <w:rsid w:val="00E7718A"/>
    <w:rsid w:val="00E77429"/>
    <w:rsid w:val="00E774C3"/>
    <w:rsid w:val="00E778A5"/>
    <w:rsid w:val="00E77B67"/>
    <w:rsid w:val="00E77B9C"/>
    <w:rsid w:val="00E77D1C"/>
    <w:rsid w:val="00E77D3F"/>
    <w:rsid w:val="00E77DDE"/>
    <w:rsid w:val="00E77E75"/>
    <w:rsid w:val="00E77F9C"/>
    <w:rsid w:val="00E80072"/>
    <w:rsid w:val="00E801FB"/>
    <w:rsid w:val="00E802FB"/>
    <w:rsid w:val="00E8045D"/>
    <w:rsid w:val="00E805A9"/>
    <w:rsid w:val="00E807EC"/>
    <w:rsid w:val="00E808B7"/>
    <w:rsid w:val="00E808ED"/>
    <w:rsid w:val="00E80917"/>
    <w:rsid w:val="00E80A54"/>
    <w:rsid w:val="00E80A69"/>
    <w:rsid w:val="00E80B34"/>
    <w:rsid w:val="00E80BFE"/>
    <w:rsid w:val="00E80CD6"/>
    <w:rsid w:val="00E80D89"/>
    <w:rsid w:val="00E80DC4"/>
    <w:rsid w:val="00E80DCF"/>
    <w:rsid w:val="00E811FC"/>
    <w:rsid w:val="00E8135D"/>
    <w:rsid w:val="00E814AE"/>
    <w:rsid w:val="00E816B0"/>
    <w:rsid w:val="00E81743"/>
    <w:rsid w:val="00E81A61"/>
    <w:rsid w:val="00E81B38"/>
    <w:rsid w:val="00E81B4E"/>
    <w:rsid w:val="00E81B5B"/>
    <w:rsid w:val="00E81EAA"/>
    <w:rsid w:val="00E8206B"/>
    <w:rsid w:val="00E821E1"/>
    <w:rsid w:val="00E82244"/>
    <w:rsid w:val="00E822A2"/>
    <w:rsid w:val="00E82690"/>
    <w:rsid w:val="00E82699"/>
    <w:rsid w:val="00E826DA"/>
    <w:rsid w:val="00E82D47"/>
    <w:rsid w:val="00E82E48"/>
    <w:rsid w:val="00E82F09"/>
    <w:rsid w:val="00E82FB3"/>
    <w:rsid w:val="00E830B9"/>
    <w:rsid w:val="00E830F7"/>
    <w:rsid w:val="00E8325E"/>
    <w:rsid w:val="00E83262"/>
    <w:rsid w:val="00E8341B"/>
    <w:rsid w:val="00E83444"/>
    <w:rsid w:val="00E83459"/>
    <w:rsid w:val="00E834FE"/>
    <w:rsid w:val="00E83507"/>
    <w:rsid w:val="00E83513"/>
    <w:rsid w:val="00E83697"/>
    <w:rsid w:val="00E8382E"/>
    <w:rsid w:val="00E838CD"/>
    <w:rsid w:val="00E83ADC"/>
    <w:rsid w:val="00E83ADD"/>
    <w:rsid w:val="00E83AE6"/>
    <w:rsid w:val="00E83F2A"/>
    <w:rsid w:val="00E83F3F"/>
    <w:rsid w:val="00E83F5A"/>
    <w:rsid w:val="00E84066"/>
    <w:rsid w:val="00E842C8"/>
    <w:rsid w:val="00E84389"/>
    <w:rsid w:val="00E8448C"/>
    <w:rsid w:val="00E84676"/>
    <w:rsid w:val="00E846AD"/>
    <w:rsid w:val="00E846ED"/>
    <w:rsid w:val="00E848A7"/>
    <w:rsid w:val="00E849FB"/>
    <w:rsid w:val="00E84AFD"/>
    <w:rsid w:val="00E84BDA"/>
    <w:rsid w:val="00E84CDB"/>
    <w:rsid w:val="00E84D6F"/>
    <w:rsid w:val="00E85001"/>
    <w:rsid w:val="00E8501C"/>
    <w:rsid w:val="00E8507D"/>
    <w:rsid w:val="00E850DD"/>
    <w:rsid w:val="00E8517F"/>
    <w:rsid w:val="00E85331"/>
    <w:rsid w:val="00E8548A"/>
    <w:rsid w:val="00E8579A"/>
    <w:rsid w:val="00E859F3"/>
    <w:rsid w:val="00E85E7C"/>
    <w:rsid w:val="00E85FAF"/>
    <w:rsid w:val="00E860F6"/>
    <w:rsid w:val="00E86184"/>
    <w:rsid w:val="00E86465"/>
    <w:rsid w:val="00E867E5"/>
    <w:rsid w:val="00E868D1"/>
    <w:rsid w:val="00E8698D"/>
    <w:rsid w:val="00E86B9F"/>
    <w:rsid w:val="00E86D88"/>
    <w:rsid w:val="00E8716A"/>
    <w:rsid w:val="00E87534"/>
    <w:rsid w:val="00E878C6"/>
    <w:rsid w:val="00E879D6"/>
    <w:rsid w:val="00E87B6C"/>
    <w:rsid w:val="00E87BC9"/>
    <w:rsid w:val="00E87D5E"/>
    <w:rsid w:val="00E90456"/>
    <w:rsid w:val="00E90506"/>
    <w:rsid w:val="00E90549"/>
    <w:rsid w:val="00E90593"/>
    <w:rsid w:val="00E909E6"/>
    <w:rsid w:val="00E90A66"/>
    <w:rsid w:val="00E90A70"/>
    <w:rsid w:val="00E90CB1"/>
    <w:rsid w:val="00E9112A"/>
    <w:rsid w:val="00E91691"/>
    <w:rsid w:val="00E91710"/>
    <w:rsid w:val="00E91845"/>
    <w:rsid w:val="00E91961"/>
    <w:rsid w:val="00E919C1"/>
    <w:rsid w:val="00E91D1D"/>
    <w:rsid w:val="00E91E7E"/>
    <w:rsid w:val="00E92058"/>
    <w:rsid w:val="00E9206E"/>
    <w:rsid w:val="00E92094"/>
    <w:rsid w:val="00E921FE"/>
    <w:rsid w:val="00E92515"/>
    <w:rsid w:val="00E9254A"/>
    <w:rsid w:val="00E92E5E"/>
    <w:rsid w:val="00E92F51"/>
    <w:rsid w:val="00E92FDB"/>
    <w:rsid w:val="00E9313A"/>
    <w:rsid w:val="00E931B6"/>
    <w:rsid w:val="00E931DE"/>
    <w:rsid w:val="00E9320F"/>
    <w:rsid w:val="00E93258"/>
    <w:rsid w:val="00E93339"/>
    <w:rsid w:val="00E934DE"/>
    <w:rsid w:val="00E93558"/>
    <w:rsid w:val="00E9357A"/>
    <w:rsid w:val="00E9361A"/>
    <w:rsid w:val="00E9381D"/>
    <w:rsid w:val="00E9383D"/>
    <w:rsid w:val="00E93A78"/>
    <w:rsid w:val="00E93B9C"/>
    <w:rsid w:val="00E93CB5"/>
    <w:rsid w:val="00E93D50"/>
    <w:rsid w:val="00E93E78"/>
    <w:rsid w:val="00E93FF9"/>
    <w:rsid w:val="00E94046"/>
    <w:rsid w:val="00E942A0"/>
    <w:rsid w:val="00E9450E"/>
    <w:rsid w:val="00E94603"/>
    <w:rsid w:val="00E94606"/>
    <w:rsid w:val="00E94615"/>
    <w:rsid w:val="00E94713"/>
    <w:rsid w:val="00E9477A"/>
    <w:rsid w:val="00E948D2"/>
    <w:rsid w:val="00E949FB"/>
    <w:rsid w:val="00E94B44"/>
    <w:rsid w:val="00E94C46"/>
    <w:rsid w:val="00E94C78"/>
    <w:rsid w:val="00E94D95"/>
    <w:rsid w:val="00E94DE0"/>
    <w:rsid w:val="00E950DE"/>
    <w:rsid w:val="00E9532F"/>
    <w:rsid w:val="00E95475"/>
    <w:rsid w:val="00E95530"/>
    <w:rsid w:val="00E95568"/>
    <w:rsid w:val="00E957C1"/>
    <w:rsid w:val="00E95994"/>
    <w:rsid w:val="00E95D7A"/>
    <w:rsid w:val="00E95DB0"/>
    <w:rsid w:val="00E95FFD"/>
    <w:rsid w:val="00E961A3"/>
    <w:rsid w:val="00E961F5"/>
    <w:rsid w:val="00E96402"/>
    <w:rsid w:val="00E96460"/>
    <w:rsid w:val="00E9651C"/>
    <w:rsid w:val="00E967CB"/>
    <w:rsid w:val="00E96825"/>
    <w:rsid w:val="00E96A66"/>
    <w:rsid w:val="00E96CC9"/>
    <w:rsid w:val="00E96D71"/>
    <w:rsid w:val="00E96DDC"/>
    <w:rsid w:val="00E96E7E"/>
    <w:rsid w:val="00E96E97"/>
    <w:rsid w:val="00E96FE9"/>
    <w:rsid w:val="00E9708A"/>
    <w:rsid w:val="00E9708D"/>
    <w:rsid w:val="00E970F4"/>
    <w:rsid w:val="00E971D2"/>
    <w:rsid w:val="00E9732F"/>
    <w:rsid w:val="00E9760A"/>
    <w:rsid w:val="00E97684"/>
    <w:rsid w:val="00E97BDA"/>
    <w:rsid w:val="00E97BFA"/>
    <w:rsid w:val="00E97C57"/>
    <w:rsid w:val="00EA0239"/>
    <w:rsid w:val="00EA0717"/>
    <w:rsid w:val="00EA072B"/>
    <w:rsid w:val="00EA072F"/>
    <w:rsid w:val="00EA07FA"/>
    <w:rsid w:val="00EA0AC5"/>
    <w:rsid w:val="00EA0AF2"/>
    <w:rsid w:val="00EA0B1A"/>
    <w:rsid w:val="00EA0BBB"/>
    <w:rsid w:val="00EA0C32"/>
    <w:rsid w:val="00EA0C75"/>
    <w:rsid w:val="00EA10D6"/>
    <w:rsid w:val="00EA1137"/>
    <w:rsid w:val="00EA1566"/>
    <w:rsid w:val="00EA17C9"/>
    <w:rsid w:val="00EA18BA"/>
    <w:rsid w:val="00EA19BB"/>
    <w:rsid w:val="00EA1AF9"/>
    <w:rsid w:val="00EA1B57"/>
    <w:rsid w:val="00EA1C74"/>
    <w:rsid w:val="00EA1E00"/>
    <w:rsid w:val="00EA1E5D"/>
    <w:rsid w:val="00EA1F41"/>
    <w:rsid w:val="00EA2022"/>
    <w:rsid w:val="00EA2072"/>
    <w:rsid w:val="00EA232B"/>
    <w:rsid w:val="00EA2378"/>
    <w:rsid w:val="00EA2502"/>
    <w:rsid w:val="00EA2676"/>
    <w:rsid w:val="00EA2812"/>
    <w:rsid w:val="00EA294E"/>
    <w:rsid w:val="00EA29D8"/>
    <w:rsid w:val="00EA2ACC"/>
    <w:rsid w:val="00EA2D05"/>
    <w:rsid w:val="00EA2FF2"/>
    <w:rsid w:val="00EA3425"/>
    <w:rsid w:val="00EA390C"/>
    <w:rsid w:val="00EA3AC4"/>
    <w:rsid w:val="00EA3DA0"/>
    <w:rsid w:val="00EA3E29"/>
    <w:rsid w:val="00EA3EA7"/>
    <w:rsid w:val="00EA3F38"/>
    <w:rsid w:val="00EA46EB"/>
    <w:rsid w:val="00EA4747"/>
    <w:rsid w:val="00EA47CF"/>
    <w:rsid w:val="00EA4830"/>
    <w:rsid w:val="00EA485E"/>
    <w:rsid w:val="00EA491B"/>
    <w:rsid w:val="00EA4A0D"/>
    <w:rsid w:val="00EA4AF5"/>
    <w:rsid w:val="00EA500C"/>
    <w:rsid w:val="00EA50EF"/>
    <w:rsid w:val="00EA5319"/>
    <w:rsid w:val="00EA53A2"/>
    <w:rsid w:val="00EA5401"/>
    <w:rsid w:val="00EA580E"/>
    <w:rsid w:val="00EA58CC"/>
    <w:rsid w:val="00EA5A68"/>
    <w:rsid w:val="00EA5B54"/>
    <w:rsid w:val="00EA5BF8"/>
    <w:rsid w:val="00EA5C4D"/>
    <w:rsid w:val="00EA5CA6"/>
    <w:rsid w:val="00EA5CC1"/>
    <w:rsid w:val="00EA5D1A"/>
    <w:rsid w:val="00EA5D49"/>
    <w:rsid w:val="00EA5E96"/>
    <w:rsid w:val="00EA5EA2"/>
    <w:rsid w:val="00EA5F3A"/>
    <w:rsid w:val="00EA5FE6"/>
    <w:rsid w:val="00EA6090"/>
    <w:rsid w:val="00EA60C4"/>
    <w:rsid w:val="00EA6604"/>
    <w:rsid w:val="00EA672D"/>
    <w:rsid w:val="00EA679A"/>
    <w:rsid w:val="00EA68E7"/>
    <w:rsid w:val="00EA6953"/>
    <w:rsid w:val="00EA6A74"/>
    <w:rsid w:val="00EA6CF6"/>
    <w:rsid w:val="00EA6D6B"/>
    <w:rsid w:val="00EA6EAB"/>
    <w:rsid w:val="00EA6EE3"/>
    <w:rsid w:val="00EA6EED"/>
    <w:rsid w:val="00EA6EF2"/>
    <w:rsid w:val="00EA6FBC"/>
    <w:rsid w:val="00EA6FFF"/>
    <w:rsid w:val="00EA712B"/>
    <w:rsid w:val="00EA756A"/>
    <w:rsid w:val="00EA7712"/>
    <w:rsid w:val="00EA7846"/>
    <w:rsid w:val="00EA79FB"/>
    <w:rsid w:val="00EA7D59"/>
    <w:rsid w:val="00EA7EAC"/>
    <w:rsid w:val="00EA7F81"/>
    <w:rsid w:val="00EA7FC6"/>
    <w:rsid w:val="00EB0050"/>
    <w:rsid w:val="00EB0189"/>
    <w:rsid w:val="00EB0256"/>
    <w:rsid w:val="00EB03B4"/>
    <w:rsid w:val="00EB0403"/>
    <w:rsid w:val="00EB04CB"/>
    <w:rsid w:val="00EB0C1E"/>
    <w:rsid w:val="00EB0C34"/>
    <w:rsid w:val="00EB0E8B"/>
    <w:rsid w:val="00EB12AF"/>
    <w:rsid w:val="00EB139E"/>
    <w:rsid w:val="00EB1519"/>
    <w:rsid w:val="00EB1566"/>
    <w:rsid w:val="00EB15DB"/>
    <w:rsid w:val="00EB1604"/>
    <w:rsid w:val="00EB167F"/>
    <w:rsid w:val="00EB17A1"/>
    <w:rsid w:val="00EB1D1C"/>
    <w:rsid w:val="00EB1E28"/>
    <w:rsid w:val="00EB1E5A"/>
    <w:rsid w:val="00EB1F82"/>
    <w:rsid w:val="00EB1F9D"/>
    <w:rsid w:val="00EB1F9F"/>
    <w:rsid w:val="00EB1FC8"/>
    <w:rsid w:val="00EB2190"/>
    <w:rsid w:val="00EB219D"/>
    <w:rsid w:val="00EB2506"/>
    <w:rsid w:val="00EB2666"/>
    <w:rsid w:val="00EB26F5"/>
    <w:rsid w:val="00EB287A"/>
    <w:rsid w:val="00EB29E9"/>
    <w:rsid w:val="00EB2D81"/>
    <w:rsid w:val="00EB2E65"/>
    <w:rsid w:val="00EB3198"/>
    <w:rsid w:val="00EB328D"/>
    <w:rsid w:val="00EB3337"/>
    <w:rsid w:val="00EB3375"/>
    <w:rsid w:val="00EB33E5"/>
    <w:rsid w:val="00EB3535"/>
    <w:rsid w:val="00EB35E6"/>
    <w:rsid w:val="00EB3654"/>
    <w:rsid w:val="00EB3717"/>
    <w:rsid w:val="00EB39F2"/>
    <w:rsid w:val="00EB3BA4"/>
    <w:rsid w:val="00EB41EF"/>
    <w:rsid w:val="00EB4347"/>
    <w:rsid w:val="00EB445B"/>
    <w:rsid w:val="00EB452C"/>
    <w:rsid w:val="00EB4BAE"/>
    <w:rsid w:val="00EB4E48"/>
    <w:rsid w:val="00EB50B1"/>
    <w:rsid w:val="00EB5114"/>
    <w:rsid w:val="00EB523A"/>
    <w:rsid w:val="00EB52BE"/>
    <w:rsid w:val="00EB52D9"/>
    <w:rsid w:val="00EB555D"/>
    <w:rsid w:val="00EB5582"/>
    <w:rsid w:val="00EB56A2"/>
    <w:rsid w:val="00EB56DC"/>
    <w:rsid w:val="00EB56E4"/>
    <w:rsid w:val="00EB575C"/>
    <w:rsid w:val="00EB5845"/>
    <w:rsid w:val="00EB5953"/>
    <w:rsid w:val="00EB5BD2"/>
    <w:rsid w:val="00EB5D7C"/>
    <w:rsid w:val="00EB5E93"/>
    <w:rsid w:val="00EB5F97"/>
    <w:rsid w:val="00EB607A"/>
    <w:rsid w:val="00EB61D2"/>
    <w:rsid w:val="00EB61F6"/>
    <w:rsid w:val="00EB6326"/>
    <w:rsid w:val="00EB6431"/>
    <w:rsid w:val="00EB651F"/>
    <w:rsid w:val="00EB654A"/>
    <w:rsid w:val="00EB6625"/>
    <w:rsid w:val="00EB67C0"/>
    <w:rsid w:val="00EB6841"/>
    <w:rsid w:val="00EB68A1"/>
    <w:rsid w:val="00EB693D"/>
    <w:rsid w:val="00EB698F"/>
    <w:rsid w:val="00EB6ACD"/>
    <w:rsid w:val="00EB6C21"/>
    <w:rsid w:val="00EB6C2C"/>
    <w:rsid w:val="00EB6C94"/>
    <w:rsid w:val="00EB6F6B"/>
    <w:rsid w:val="00EB7310"/>
    <w:rsid w:val="00EB735A"/>
    <w:rsid w:val="00EB735B"/>
    <w:rsid w:val="00EB73D3"/>
    <w:rsid w:val="00EB7456"/>
    <w:rsid w:val="00EB7760"/>
    <w:rsid w:val="00EB789D"/>
    <w:rsid w:val="00EB7B19"/>
    <w:rsid w:val="00EB7B77"/>
    <w:rsid w:val="00EB7C54"/>
    <w:rsid w:val="00EB7CBE"/>
    <w:rsid w:val="00EB7D34"/>
    <w:rsid w:val="00EB7D93"/>
    <w:rsid w:val="00EB7DBA"/>
    <w:rsid w:val="00EB7E5C"/>
    <w:rsid w:val="00EB7EF0"/>
    <w:rsid w:val="00EC02F4"/>
    <w:rsid w:val="00EC0530"/>
    <w:rsid w:val="00EC0543"/>
    <w:rsid w:val="00EC0849"/>
    <w:rsid w:val="00EC08B5"/>
    <w:rsid w:val="00EC0B47"/>
    <w:rsid w:val="00EC0C0D"/>
    <w:rsid w:val="00EC0DBF"/>
    <w:rsid w:val="00EC0F68"/>
    <w:rsid w:val="00EC1204"/>
    <w:rsid w:val="00EC168E"/>
    <w:rsid w:val="00EC1819"/>
    <w:rsid w:val="00EC18E8"/>
    <w:rsid w:val="00EC1A7E"/>
    <w:rsid w:val="00EC1F1E"/>
    <w:rsid w:val="00EC2442"/>
    <w:rsid w:val="00EC2506"/>
    <w:rsid w:val="00EC2539"/>
    <w:rsid w:val="00EC2592"/>
    <w:rsid w:val="00EC27C2"/>
    <w:rsid w:val="00EC2A6B"/>
    <w:rsid w:val="00EC2AF7"/>
    <w:rsid w:val="00EC2B83"/>
    <w:rsid w:val="00EC2C0C"/>
    <w:rsid w:val="00EC2C79"/>
    <w:rsid w:val="00EC2FE0"/>
    <w:rsid w:val="00EC32A1"/>
    <w:rsid w:val="00EC33AF"/>
    <w:rsid w:val="00EC36AE"/>
    <w:rsid w:val="00EC3898"/>
    <w:rsid w:val="00EC3A58"/>
    <w:rsid w:val="00EC3CC5"/>
    <w:rsid w:val="00EC3D29"/>
    <w:rsid w:val="00EC3D6C"/>
    <w:rsid w:val="00EC405E"/>
    <w:rsid w:val="00EC4112"/>
    <w:rsid w:val="00EC4287"/>
    <w:rsid w:val="00EC43C8"/>
    <w:rsid w:val="00EC44AA"/>
    <w:rsid w:val="00EC46AC"/>
    <w:rsid w:val="00EC46D7"/>
    <w:rsid w:val="00EC46E9"/>
    <w:rsid w:val="00EC47E0"/>
    <w:rsid w:val="00EC4AEE"/>
    <w:rsid w:val="00EC4D5E"/>
    <w:rsid w:val="00EC50F7"/>
    <w:rsid w:val="00EC51FB"/>
    <w:rsid w:val="00EC5219"/>
    <w:rsid w:val="00EC5377"/>
    <w:rsid w:val="00EC5394"/>
    <w:rsid w:val="00EC544A"/>
    <w:rsid w:val="00EC5479"/>
    <w:rsid w:val="00EC55BC"/>
    <w:rsid w:val="00EC55CC"/>
    <w:rsid w:val="00EC61D9"/>
    <w:rsid w:val="00EC645A"/>
    <w:rsid w:val="00EC64EE"/>
    <w:rsid w:val="00EC6578"/>
    <w:rsid w:val="00EC69A3"/>
    <w:rsid w:val="00EC6A76"/>
    <w:rsid w:val="00EC6B8D"/>
    <w:rsid w:val="00EC6DDC"/>
    <w:rsid w:val="00EC715B"/>
    <w:rsid w:val="00EC71E6"/>
    <w:rsid w:val="00EC730E"/>
    <w:rsid w:val="00EC752F"/>
    <w:rsid w:val="00EC755D"/>
    <w:rsid w:val="00EC76DF"/>
    <w:rsid w:val="00EC7764"/>
    <w:rsid w:val="00EC77F1"/>
    <w:rsid w:val="00EC791D"/>
    <w:rsid w:val="00EC7A33"/>
    <w:rsid w:val="00EC7C51"/>
    <w:rsid w:val="00EC7F91"/>
    <w:rsid w:val="00EC7FD7"/>
    <w:rsid w:val="00ED0628"/>
    <w:rsid w:val="00ED0760"/>
    <w:rsid w:val="00ED07DF"/>
    <w:rsid w:val="00ED083F"/>
    <w:rsid w:val="00ED08B5"/>
    <w:rsid w:val="00ED09FE"/>
    <w:rsid w:val="00ED0BB1"/>
    <w:rsid w:val="00ED0CB7"/>
    <w:rsid w:val="00ED0DAA"/>
    <w:rsid w:val="00ED0F62"/>
    <w:rsid w:val="00ED0FFE"/>
    <w:rsid w:val="00ED1144"/>
    <w:rsid w:val="00ED141E"/>
    <w:rsid w:val="00ED1663"/>
    <w:rsid w:val="00ED168C"/>
    <w:rsid w:val="00ED1752"/>
    <w:rsid w:val="00ED1834"/>
    <w:rsid w:val="00ED1A89"/>
    <w:rsid w:val="00ED1BA2"/>
    <w:rsid w:val="00ED1C1F"/>
    <w:rsid w:val="00ED1D46"/>
    <w:rsid w:val="00ED1D95"/>
    <w:rsid w:val="00ED1FF1"/>
    <w:rsid w:val="00ED230F"/>
    <w:rsid w:val="00ED2319"/>
    <w:rsid w:val="00ED2873"/>
    <w:rsid w:val="00ED29BE"/>
    <w:rsid w:val="00ED29F1"/>
    <w:rsid w:val="00ED2ABA"/>
    <w:rsid w:val="00ED2ACE"/>
    <w:rsid w:val="00ED2D1B"/>
    <w:rsid w:val="00ED2E21"/>
    <w:rsid w:val="00ED2EAE"/>
    <w:rsid w:val="00ED2F6A"/>
    <w:rsid w:val="00ED300C"/>
    <w:rsid w:val="00ED313E"/>
    <w:rsid w:val="00ED32B4"/>
    <w:rsid w:val="00ED33D2"/>
    <w:rsid w:val="00ED340B"/>
    <w:rsid w:val="00ED3670"/>
    <w:rsid w:val="00ED36CA"/>
    <w:rsid w:val="00ED380D"/>
    <w:rsid w:val="00ED396A"/>
    <w:rsid w:val="00ED39A0"/>
    <w:rsid w:val="00ED39C4"/>
    <w:rsid w:val="00ED3AEE"/>
    <w:rsid w:val="00ED3B92"/>
    <w:rsid w:val="00ED3CAC"/>
    <w:rsid w:val="00ED4185"/>
    <w:rsid w:val="00ED42C0"/>
    <w:rsid w:val="00ED430A"/>
    <w:rsid w:val="00ED436E"/>
    <w:rsid w:val="00ED43DF"/>
    <w:rsid w:val="00ED443E"/>
    <w:rsid w:val="00ED45AD"/>
    <w:rsid w:val="00ED462B"/>
    <w:rsid w:val="00ED4663"/>
    <w:rsid w:val="00ED4A17"/>
    <w:rsid w:val="00ED4C49"/>
    <w:rsid w:val="00ED4C82"/>
    <w:rsid w:val="00ED4CEA"/>
    <w:rsid w:val="00ED4DFA"/>
    <w:rsid w:val="00ED4F44"/>
    <w:rsid w:val="00ED5039"/>
    <w:rsid w:val="00ED5097"/>
    <w:rsid w:val="00ED51D7"/>
    <w:rsid w:val="00ED51E0"/>
    <w:rsid w:val="00ED5204"/>
    <w:rsid w:val="00ED53A1"/>
    <w:rsid w:val="00ED53AA"/>
    <w:rsid w:val="00ED55C5"/>
    <w:rsid w:val="00ED55FC"/>
    <w:rsid w:val="00ED5684"/>
    <w:rsid w:val="00ED5B40"/>
    <w:rsid w:val="00ED5C6A"/>
    <w:rsid w:val="00ED5D04"/>
    <w:rsid w:val="00ED5DC1"/>
    <w:rsid w:val="00ED5DDF"/>
    <w:rsid w:val="00ED5E4F"/>
    <w:rsid w:val="00ED6164"/>
    <w:rsid w:val="00ED6348"/>
    <w:rsid w:val="00ED6451"/>
    <w:rsid w:val="00ED6932"/>
    <w:rsid w:val="00ED6C01"/>
    <w:rsid w:val="00ED6C61"/>
    <w:rsid w:val="00ED6F07"/>
    <w:rsid w:val="00ED6FF9"/>
    <w:rsid w:val="00ED70EF"/>
    <w:rsid w:val="00ED7139"/>
    <w:rsid w:val="00ED72FE"/>
    <w:rsid w:val="00ED738C"/>
    <w:rsid w:val="00ED7396"/>
    <w:rsid w:val="00ED74D1"/>
    <w:rsid w:val="00ED7A53"/>
    <w:rsid w:val="00ED7B31"/>
    <w:rsid w:val="00ED7BA6"/>
    <w:rsid w:val="00ED7C3D"/>
    <w:rsid w:val="00ED7CA3"/>
    <w:rsid w:val="00ED7DCC"/>
    <w:rsid w:val="00ED7FDA"/>
    <w:rsid w:val="00ED7FF5"/>
    <w:rsid w:val="00EE0004"/>
    <w:rsid w:val="00EE02E0"/>
    <w:rsid w:val="00EE0304"/>
    <w:rsid w:val="00EE04AA"/>
    <w:rsid w:val="00EE04C9"/>
    <w:rsid w:val="00EE04CF"/>
    <w:rsid w:val="00EE098D"/>
    <w:rsid w:val="00EE09B3"/>
    <w:rsid w:val="00EE0A35"/>
    <w:rsid w:val="00EE0A4D"/>
    <w:rsid w:val="00EE0B66"/>
    <w:rsid w:val="00EE0F7C"/>
    <w:rsid w:val="00EE0FB3"/>
    <w:rsid w:val="00EE100E"/>
    <w:rsid w:val="00EE1015"/>
    <w:rsid w:val="00EE124E"/>
    <w:rsid w:val="00EE1536"/>
    <w:rsid w:val="00EE1A1B"/>
    <w:rsid w:val="00EE1D38"/>
    <w:rsid w:val="00EE1D5F"/>
    <w:rsid w:val="00EE1DCE"/>
    <w:rsid w:val="00EE1F6B"/>
    <w:rsid w:val="00EE2386"/>
    <w:rsid w:val="00EE23F3"/>
    <w:rsid w:val="00EE2725"/>
    <w:rsid w:val="00EE28CD"/>
    <w:rsid w:val="00EE2A21"/>
    <w:rsid w:val="00EE2A5B"/>
    <w:rsid w:val="00EE2C3D"/>
    <w:rsid w:val="00EE2CB4"/>
    <w:rsid w:val="00EE2D60"/>
    <w:rsid w:val="00EE2D6B"/>
    <w:rsid w:val="00EE2DFD"/>
    <w:rsid w:val="00EE2FCD"/>
    <w:rsid w:val="00EE3082"/>
    <w:rsid w:val="00EE31CC"/>
    <w:rsid w:val="00EE37CF"/>
    <w:rsid w:val="00EE3ADB"/>
    <w:rsid w:val="00EE3B12"/>
    <w:rsid w:val="00EE3CDA"/>
    <w:rsid w:val="00EE3D01"/>
    <w:rsid w:val="00EE3D87"/>
    <w:rsid w:val="00EE4448"/>
    <w:rsid w:val="00EE44B7"/>
    <w:rsid w:val="00EE46A1"/>
    <w:rsid w:val="00EE4B01"/>
    <w:rsid w:val="00EE4C18"/>
    <w:rsid w:val="00EE4C71"/>
    <w:rsid w:val="00EE4C98"/>
    <w:rsid w:val="00EE4ECF"/>
    <w:rsid w:val="00EE4F32"/>
    <w:rsid w:val="00EE4F8C"/>
    <w:rsid w:val="00EE4FDB"/>
    <w:rsid w:val="00EE51FA"/>
    <w:rsid w:val="00EE531F"/>
    <w:rsid w:val="00EE53D6"/>
    <w:rsid w:val="00EE555D"/>
    <w:rsid w:val="00EE56D9"/>
    <w:rsid w:val="00EE57E4"/>
    <w:rsid w:val="00EE584D"/>
    <w:rsid w:val="00EE5A6D"/>
    <w:rsid w:val="00EE5D98"/>
    <w:rsid w:val="00EE5E4D"/>
    <w:rsid w:val="00EE5E51"/>
    <w:rsid w:val="00EE5EB3"/>
    <w:rsid w:val="00EE6131"/>
    <w:rsid w:val="00EE6431"/>
    <w:rsid w:val="00EE64FA"/>
    <w:rsid w:val="00EE6633"/>
    <w:rsid w:val="00EE68F5"/>
    <w:rsid w:val="00EE6C70"/>
    <w:rsid w:val="00EE6DDA"/>
    <w:rsid w:val="00EE6E16"/>
    <w:rsid w:val="00EE6FE9"/>
    <w:rsid w:val="00EE7220"/>
    <w:rsid w:val="00EE7379"/>
    <w:rsid w:val="00EE7622"/>
    <w:rsid w:val="00EE7631"/>
    <w:rsid w:val="00EE76F9"/>
    <w:rsid w:val="00EE77E1"/>
    <w:rsid w:val="00EE780B"/>
    <w:rsid w:val="00EE7971"/>
    <w:rsid w:val="00EE79D1"/>
    <w:rsid w:val="00EE7EDF"/>
    <w:rsid w:val="00EE7EF8"/>
    <w:rsid w:val="00EE7F7E"/>
    <w:rsid w:val="00EF0027"/>
    <w:rsid w:val="00EF0111"/>
    <w:rsid w:val="00EF022D"/>
    <w:rsid w:val="00EF04CC"/>
    <w:rsid w:val="00EF0805"/>
    <w:rsid w:val="00EF0887"/>
    <w:rsid w:val="00EF0A94"/>
    <w:rsid w:val="00EF0D46"/>
    <w:rsid w:val="00EF0D85"/>
    <w:rsid w:val="00EF0DEE"/>
    <w:rsid w:val="00EF0ECF"/>
    <w:rsid w:val="00EF0F20"/>
    <w:rsid w:val="00EF0F65"/>
    <w:rsid w:val="00EF1232"/>
    <w:rsid w:val="00EF15BC"/>
    <w:rsid w:val="00EF175E"/>
    <w:rsid w:val="00EF1903"/>
    <w:rsid w:val="00EF192D"/>
    <w:rsid w:val="00EF1B5A"/>
    <w:rsid w:val="00EF20A7"/>
    <w:rsid w:val="00EF219B"/>
    <w:rsid w:val="00EF21CF"/>
    <w:rsid w:val="00EF2213"/>
    <w:rsid w:val="00EF22F4"/>
    <w:rsid w:val="00EF239F"/>
    <w:rsid w:val="00EF2528"/>
    <w:rsid w:val="00EF2614"/>
    <w:rsid w:val="00EF2910"/>
    <w:rsid w:val="00EF2A8F"/>
    <w:rsid w:val="00EF2BAA"/>
    <w:rsid w:val="00EF2CDD"/>
    <w:rsid w:val="00EF2DAE"/>
    <w:rsid w:val="00EF2F66"/>
    <w:rsid w:val="00EF30B4"/>
    <w:rsid w:val="00EF3211"/>
    <w:rsid w:val="00EF368E"/>
    <w:rsid w:val="00EF3788"/>
    <w:rsid w:val="00EF3992"/>
    <w:rsid w:val="00EF3C58"/>
    <w:rsid w:val="00EF3E4B"/>
    <w:rsid w:val="00EF3EF9"/>
    <w:rsid w:val="00EF418C"/>
    <w:rsid w:val="00EF4A65"/>
    <w:rsid w:val="00EF4A8D"/>
    <w:rsid w:val="00EF4ACE"/>
    <w:rsid w:val="00EF4CDC"/>
    <w:rsid w:val="00EF4D51"/>
    <w:rsid w:val="00EF4FBF"/>
    <w:rsid w:val="00EF4FC2"/>
    <w:rsid w:val="00EF51E5"/>
    <w:rsid w:val="00EF520E"/>
    <w:rsid w:val="00EF5248"/>
    <w:rsid w:val="00EF54B0"/>
    <w:rsid w:val="00EF54E1"/>
    <w:rsid w:val="00EF5592"/>
    <w:rsid w:val="00EF55E0"/>
    <w:rsid w:val="00EF5762"/>
    <w:rsid w:val="00EF58A2"/>
    <w:rsid w:val="00EF5929"/>
    <w:rsid w:val="00EF5948"/>
    <w:rsid w:val="00EF5A6D"/>
    <w:rsid w:val="00EF5B69"/>
    <w:rsid w:val="00EF5B82"/>
    <w:rsid w:val="00EF5B84"/>
    <w:rsid w:val="00EF5D57"/>
    <w:rsid w:val="00EF5DE3"/>
    <w:rsid w:val="00EF61A5"/>
    <w:rsid w:val="00EF626B"/>
    <w:rsid w:val="00EF648B"/>
    <w:rsid w:val="00EF658F"/>
    <w:rsid w:val="00EF6E51"/>
    <w:rsid w:val="00EF7481"/>
    <w:rsid w:val="00EF74CB"/>
    <w:rsid w:val="00EF787E"/>
    <w:rsid w:val="00EF7A8A"/>
    <w:rsid w:val="00EF7C61"/>
    <w:rsid w:val="00EF7C70"/>
    <w:rsid w:val="00F00040"/>
    <w:rsid w:val="00F00103"/>
    <w:rsid w:val="00F00127"/>
    <w:rsid w:val="00F00129"/>
    <w:rsid w:val="00F00436"/>
    <w:rsid w:val="00F00714"/>
    <w:rsid w:val="00F00933"/>
    <w:rsid w:val="00F00DC3"/>
    <w:rsid w:val="00F00EA9"/>
    <w:rsid w:val="00F00EEE"/>
    <w:rsid w:val="00F013D1"/>
    <w:rsid w:val="00F01537"/>
    <w:rsid w:val="00F016BC"/>
    <w:rsid w:val="00F019DC"/>
    <w:rsid w:val="00F01AA3"/>
    <w:rsid w:val="00F01AB2"/>
    <w:rsid w:val="00F01B12"/>
    <w:rsid w:val="00F02038"/>
    <w:rsid w:val="00F02257"/>
    <w:rsid w:val="00F0228D"/>
    <w:rsid w:val="00F02363"/>
    <w:rsid w:val="00F02437"/>
    <w:rsid w:val="00F026CA"/>
    <w:rsid w:val="00F02739"/>
    <w:rsid w:val="00F02886"/>
    <w:rsid w:val="00F0297B"/>
    <w:rsid w:val="00F02B37"/>
    <w:rsid w:val="00F02C5E"/>
    <w:rsid w:val="00F02FC2"/>
    <w:rsid w:val="00F030B1"/>
    <w:rsid w:val="00F03199"/>
    <w:rsid w:val="00F0341B"/>
    <w:rsid w:val="00F03A08"/>
    <w:rsid w:val="00F04178"/>
    <w:rsid w:val="00F04232"/>
    <w:rsid w:val="00F043CE"/>
    <w:rsid w:val="00F0444E"/>
    <w:rsid w:val="00F0467C"/>
    <w:rsid w:val="00F04745"/>
    <w:rsid w:val="00F04819"/>
    <w:rsid w:val="00F04B06"/>
    <w:rsid w:val="00F04B94"/>
    <w:rsid w:val="00F04BA4"/>
    <w:rsid w:val="00F05032"/>
    <w:rsid w:val="00F051C8"/>
    <w:rsid w:val="00F052B7"/>
    <w:rsid w:val="00F05354"/>
    <w:rsid w:val="00F053D1"/>
    <w:rsid w:val="00F054D0"/>
    <w:rsid w:val="00F057A5"/>
    <w:rsid w:val="00F05B68"/>
    <w:rsid w:val="00F05C22"/>
    <w:rsid w:val="00F05DA1"/>
    <w:rsid w:val="00F05ED5"/>
    <w:rsid w:val="00F05EEC"/>
    <w:rsid w:val="00F0607F"/>
    <w:rsid w:val="00F060FA"/>
    <w:rsid w:val="00F061D2"/>
    <w:rsid w:val="00F06303"/>
    <w:rsid w:val="00F0684E"/>
    <w:rsid w:val="00F06970"/>
    <w:rsid w:val="00F06A15"/>
    <w:rsid w:val="00F06D48"/>
    <w:rsid w:val="00F06D66"/>
    <w:rsid w:val="00F06E26"/>
    <w:rsid w:val="00F07106"/>
    <w:rsid w:val="00F07272"/>
    <w:rsid w:val="00F075B3"/>
    <w:rsid w:val="00F07762"/>
    <w:rsid w:val="00F077D6"/>
    <w:rsid w:val="00F07B07"/>
    <w:rsid w:val="00F07B2F"/>
    <w:rsid w:val="00F07C06"/>
    <w:rsid w:val="00F07C8F"/>
    <w:rsid w:val="00F07E80"/>
    <w:rsid w:val="00F1045E"/>
    <w:rsid w:val="00F1061F"/>
    <w:rsid w:val="00F1082D"/>
    <w:rsid w:val="00F10982"/>
    <w:rsid w:val="00F10A72"/>
    <w:rsid w:val="00F10AF3"/>
    <w:rsid w:val="00F10BB3"/>
    <w:rsid w:val="00F10E1D"/>
    <w:rsid w:val="00F10EB9"/>
    <w:rsid w:val="00F10EF9"/>
    <w:rsid w:val="00F1104C"/>
    <w:rsid w:val="00F11151"/>
    <w:rsid w:val="00F111AA"/>
    <w:rsid w:val="00F118C3"/>
    <w:rsid w:val="00F11973"/>
    <w:rsid w:val="00F11A00"/>
    <w:rsid w:val="00F11B03"/>
    <w:rsid w:val="00F11E92"/>
    <w:rsid w:val="00F12465"/>
    <w:rsid w:val="00F12577"/>
    <w:rsid w:val="00F128FE"/>
    <w:rsid w:val="00F12943"/>
    <w:rsid w:val="00F12BD7"/>
    <w:rsid w:val="00F12DD9"/>
    <w:rsid w:val="00F12DFE"/>
    <w:rsid w:val="00F12E2A"/>
    <w:rsid w:val="00F12E71"/>
    <w:rsid w:val="00F12EDC"/>
    <w:rsid w:val="00F1318E"/>
    <w:rsid w:val="00F131CA"/>
    <w:rsid w:val="00F135A0"/>
    <w:rsid w:val="00F135C5"/>
    <w:rsid w:val="00F135FF"/>
    <w:rsid w:val="00F13618"/>
    <w:rsid w:val="00F137CD"/>
    <w:rsid w:val="00F13A15"/>
    <w:rsid w:val="00F13A38"/>
    <w:rsid w:val="00F13A90"/>
    <w:rsid w:val="00F13B13"/>
    <w:rsid w:val="00F13D9E"/>
    <w:rsid w:val="00F13DD7"/>
    <w:rsid w:val="00F14144"/>
    <w:rsid w:val="00F141BA"/>
    <w:rsid w:val="00F142C6"/>
    <w:rsid w:val="00F142DE"/>
    <w:rsid w:val="00F1432C"/>
    <w:rsid w:val="00F1436F"/>
    <w:rsid w:val="00F14390"/>
    <w:rsid w:val="00F144D6"/>
    <w:rsid w:val="00F149BD"/>
    <w:rsid w:val="00F14B2D"/>
    <w:rsid w:val="00F14B63"/>
    <w:rsid w:val="00F14B78"/>
    <w:rsid w:val="00F14B96"/>
    <w:rsid w:val="00F14D03"/>
    <w:rsid w:val="00F14D54"/>
    <w:rsid w:val="00F14E6E"/>
    <w:rsid w:val="00F14FBA"/>
    <w:rsid w:val="00F1506D"/>
    <w:rsid w:val="00F15139"/>
    <w:rsid w:val="00F1555A"/>
    <w:rsid w:val="00F155C7"/>
    <w:rsid w:val="00F159B0"/>
    <w:rsid w:val="00F15B2D"/>
    <w:rsid w:val="00F15D9D"/>
    <w:rsid w:val="00F15DF5"/>
    <w:rsid w:val="00F15F53"/>
    <w:rsid w:val="00F16020"/>
    <w:rsid w:val="00F161ED"/>
    <w:rsid w:val="00F16369"/>
    <w:rsid w:val="00F164DC"/>
    <w:rsid w:val="00F167DC"/>
    <w:rsid w:val="00F16907"/>
    <w:rsid w:val="00F1695E"/>
    <w:rsid w:val="00F169BD"/>
    <w:rsid w:val="00F169D9"/>
    <w:rsid w:val="00F16C6F"/>
    <w:rsid w:val="00F16E8B"/>
    <w:rsid w:val="00F17229"/>
    <w:rsid w:val="00F17423"/>
    <w:rsid w:val="00F1742B"/>
    <w:rsid w:val="00F17458"/>
    <w:rsid w:val="00F174F3"/>
    <w:rsid w:val="00F17528"/>
    <w:rsid w:val="00F1755F"/>
    <w:rsid w:val="00F1785F"/>
    <w:rsid w:val="00F178D0"/>
    <w:rsid w:val="00F17B70"/>
    <w:rsid w:val="00F17BAC"/>
    <w:rsid w:val="00F17C83"/>
    <w:rsid w:val="00F2006D"/>
    <w:rsid w:val="00F200F4"/>
    <w:rsid w:val="00F20177"/>
    <w:rsid w:val="00F20283"/>
    <w:rsid w:val="00F20450"/>
    <w:rsid w:val="00F20541"/>
    <w:rsid w:val="00F20561"/>
    <w:rsid w:val="00F206C1"/>
    <w:rsid w:val="00F20755"/>
    <w:rsid w:val="00F20898"/>
    <w:rsid w:val="00F208D7"/>
    <w:rsid w:val="00F20A40"/>
    <w:rsid w:val="00F20A78"/>
    <w:rsid w:val="00F20A97"/>
    <w:rsid w:val="00F20B11"/>
    <w:rsid w:val="00F20C2D"/>
    <w:rsid w:val="00F20CB3"/>
    <w:rsid w:val="00F20E6B"/>
    <w:rsid w:val="00F2113F"/>
    <w:rsid w:val="00F2123A"/>
    <w:rsid w:val="00F21481"/>
    <w:rsid w:val="00F21561"/>
    <w:rsid w:val="00F2163D"/>
    <w:rsid w:val="00F218F2"/>
    <w:rsid w:val="00F21931"/>
    <w:rsid w:val="00F21A74"/>
    <w:rsid w:val="00F21ADB"/>
    <w:rsid w:val="00F21C49"/>
    <w:rsid w:val="00F21C9E"/>
    <w:rsid w:val="00F21E89"/>
    <w:rsid w:val="00F21F15"/>
    <w:rsid w:val="00F21F22"/>
    <w:rsid w:val="00F22124"/>
    <w:rsid w:val="00F22300"/>
    <w:rsid w:val="00F22480"/>
    <w:rsid w:val="00F22650"/>
    <w:rsid w:val="00F2267E"/>
    <w:rsid w:val="00F22688"/>
    <w:rsid w:val="00F22783"/>
    <w:rsid w:val="00F2279C"/>
    <w:rsid w:val="00F2281F"/>
    <w:rsid w:val="00F2290D"/>
    <w:rsid w:val="00F22BE0"/>
    <w:rsid w:val="00F22D2B"/>
    <w:rsid w:val="00F232AB"/>
    <w:rsid w:val="00F23594"/>
    <w:rsid w:val="00F23873"/>
    <w:rsid w:val="00F23D5D"/>
    <w:rsid w:val="00F23F04"/>
    <w:rsid w:val="00F2431A"/>
    <w:rsid w:val="00F2451C"/>
    <w:rsid w:val="00F24578"/>
    <w:rsid w:val="00F24651"/>
    <w:rsid w:val="00F247B4"/>
    <w:rsid w:val="00F24869"/>
    <w:rsid w:val="00F24B10"/>
    <w:rsid w:val="00F24B1E"/>
    <w:rsid w:val="00F24E08"/>
    <w:rsid w:val="00F24E40"/>
    <w:rsid w:val="00F24E5C"/>
    <w:rsid w:val="00F24E78"/>
    <w:rsid w:val="00F25079"/>
    <w:rsid w:val="00F2515A"/>
    <w:rsid w:val="00F251DB"/>
    <w:rsid w:val="00F251E5"/>
    <w:rsid w:val="00F25302"/>
    <w:rsid w:val="00F255F9"/>
    <w:rsid w:val="00F2566C"/>
    <w:rsid w:val="00F257A0"/>
    <w:rsid w:val="00F257D1"/>
    <w:rsid w:val="00F2580D"/>
    <w:rsid w:val="00F25830"/>
    <w:rsid w:val="00F2583B"/>
    <w:rsid w:val="00F25B40"/>
    <w:rsid w:val="00F25B73"/>
    <w:rsid w:val="00F25BFF"/>
    <w:rsid w:val="00F25EE3"/>
    <w:rsid w:val="00F25F84"/>
    <w:rsid w:val="00F265BD"/>
    <w:rsid w:val="00F2668B"/>
    <w:rsid w:val="00F2669A"/>
    <w:rsid w:val="00F266AE"/>
    <w:rsid w:val="00F26861"/>
    <w:rsid w:val="00F26BF6"/>
    <w:rsid w:val="00F26E6B"/>
    <w:rsid w:val="00F26FCF"/>
    <w:rsid w:val="00F2725F"/>
    <w:rsid w:val="00F274B0"/>
    <w:rsid w:val="00F274D7"/>
    <w:rsid w:val="00F27554"/>
    <w:rsid w:val="00F2767A"/>
    <w:rsid w:val="00F2767B"/>
    <w:rsid w:val="00F2775B"/>
    <w:rsid w:val="00F27787"/>
    <w:rsid w:val="00F277F5"/>
    <w:rsid w:val="00F2780F"/>
    <w:rsid w:val="00F27A1F"/>
    <w:rsid w:val="00F27C98"/>
    <w:rsid w:val="00F27D70"/>
    <w:rsid w:val="00F27E60"/>
    <w:rsid w:val="00F27EE3"/>
    <w:rsid w:val="00F27F0B"/>
    <w:rsid w:val="00F30012"/>
    <w:rsid w:val="00F3008E"/>
    <w:rsid w:val="00F301A4"/>
    <w:rsid w:val="00F3022B"/>
    <w:rsid w:val="00F30361"/>
    <w:rsid w:val="00F304B0"/>
    <w:rsid w:val="00F305A9"/>
    <w:rsid w:val="00F30751"/>
    <w:rsid w:val="00F308E7"/>
    <w:rsid w:val="00F308EC"/>
    <w:rsid w:val="00F30970"/>
    <w:rsid w:val="00F30C47"/>
    <w:rsid w:val="00F30D82"/>
    <w:rsid w:val="00F30E76"/>
    <w:rsid w:val="00F30FE8"/>
    <w:rsid w:val="00F3109E"/>
    <w:rsid w:val="00F31165"/>
    <w:rsid w:val="00F311A2"/>
    <w:rsid w:val="00F31468"/>
    <w:rsid w:val="00F3164B"/>
    <w:rsid w:val="00F3183A"/>
    <w:rsid w:val="00F31981"/>
    <w:rsid w:val="00F31B32"/>
    <w:rsid w:val="00F31CE8"/>
    <w:rsid w:val="00F31DF1"/>
    <w:rsid w:val="00F31E9D"/>
    <w:rsid w:val="00F320CB"/>
    <w:rsid w:val="00F321A6"/>
    <w:rsid w:val="00F3261C"/>
    <w:rsid w:val="00F32903"/>
    <w:rsid w:val="00F329B1"/>
    <w:rsid w:val="00F33096"/>
    <w:rsid w:val="00F3311D"/>
    <w:rsid w:val="00F333A6"/>
    <w:rsid w:val="00F334EA"/>
    <w:rsid w:val="00F338C1"/>
    <w:rsid w:val="00F33A4C"/>
    <w:rsid w:val="00F33AD2"/>
    <w:rsid w:val="00F33D14"/>
    <w:rsid w:val="00F34141"/>
    <w:rsid w:val="00F34328"/>
    <w:rsid w:val="00F3450B"/>
    <w:rsid w:val="00F345C1"/>
    <w:rsid w:val="00F34AB0"/>
    <w:rsid w:val="00F34CAA"/>
    <w:rsid w:val="00F34E2B"/>
    <w:rsid w:val="00F34EA9"/>
    <w:rsid w:val="00F34FF1"/>
    <w:rsid w:val="00F35081"/>
    <w:rsid w:val="00F35141"/>
    <w:rsid w:val="00F35319"/>
    <w:rsid w:val="00F35578"/>
    <w:rsid w:val="00F35A58"/>
    <w:rsid w:val="00F35A77"/>
    <w:rsid w:val="00F35B28"/>
    <w:rsid w:val="00F35BC2"/>
    <w:rsid w:val="00F35C29"/>
    <w:rsid w:val="00F35C46"/>
    <w:rsid w:val="00F35CD8"/>
    <w:rsid w:val="00F35DF3"/>
    <w:rsid w:val="00F35F02"/>
    <w:rsid w:val="00F35FE6"/>
    <w:rsid w:val="00F36022"/>
    <w:rsid w:val="00F36077"/>
    <w:rsid w:val="00F360E4"/>
    <w:rsid w:val="00F363FA"/>
    <w:rsid w:val="00F3648A"/>
    <w:rsid w:val="00F3659B"/>
    <w:rsid w:val="00F36864"/>
    <w:rsid w:val="00F36A01"/>
    <w:rsid w:val="00F36A9C"/>
    <w:rsid w:val="00F36D74"/>
    <w:rsid w:val="00F36D93"/>
    <w:rsid w:val="00F37210"/>
    <w:rsid w:val="00F37724"/>
    <w:rsid w:val="00F37863"/>
    <w:rsid w:val="00F37872"/>
    <w:rsid w:val="00F378A0"/>
    <w:rsid w:val="00F378AA"/>
    <w:rsid w:val="00F37A7D"/>
    <w:rsid w:val="00F37BB8"/>
    <w:rsid w:val="00F37D4C"/>
    <w:rsid w:val="00F37EEB"/>
    <w:rsid w:val="00F4001A"/>
    <w:rsid w:val="00F40033"/>
    <w:rsid w:val="00F40051"/>
    <w:rsid w:val="00F408B5"/>
    <w:rsid w:val="00F409EC"/>
    <w:rsid w:val="00F40B20"/>
    <w:rsid w:val="00F40CF2"/>
    <w:rsid w:val="00F41142"/>
    <w:rsid w:val="00F416E0"/>
    <w:rsid w:val="00F416FD"/>
    <w:rsid w:val="00F41828"/>
    <w:rsid w:val="00F4197C"/>
    <w:rsid w:val="00F41A19"/>
    <w:rsid w:val="00F41B72"/>
    <w:rsid w:val="00F41DB0"/>
    <w:rsid w:val="00F41E4E"/>
    <w:rsid w:val="00F41EF6"/>
    <w:rsid w:val="00F420A3"/>
    <w:rsid w:val="00F42256"/>
    <w:rsid w:val="00F423C0"/>
    <w:rsid w:val="00F42A37"/>
    <w:rsid w:val="00F42BE7"/>
    <w:rsid w:val="00F43020"/>
    <w:rsid w:val="00F431F1"/>
    <w:rsid w:val="00F4326A"/>
    <w:rsid w:val="00F434F1"/>
    <w:rsid w:val="00F43A9A"/>
    <w:rsid w:val="00F43D00"/>
    <w:rsid w:val="00F43FA1"/>
    <w:rsid w:val="00F43FBB"/>
    <w:rsid w:val="00F44379"/>
    <w:rsid w:val="00F44B35"/>
    <w:rsid w:val="00F44B62"/>
    <w:rsid w:val="00F44EA7"/>
    <w:rsid w:val="00F44EAB"/>
    <w:rsid w:val="00F45217"/>
    <w:rsid w:val="00F456B0"/>
    <w:rsid w:val="00F45800"/>
    <w:rsid w:val="00F45ACF"/>
    <w:rsid w:val="00F45AE0"/>
    <w:rsid w:val="00F45C24"/>
    <w:rsid w:val="00F45C3F"/>
    <w:rsid w:val="00F45D53"/>
    <w:rsid w:val="00F45E6E"/>
    <w:rsid w:val="00F45EA7"/>
    <w:rsid w:val="00F45FDE"/>
    <w:rsid w:val="00F46081"/>
    <w:rsid w:val="00F46211"/>
    <w:rsid w:val="00F46213"/>
    <w:rsid w:val="00F4634D"/>
    <w:rsid w:val="00F46393"/>
    <w:rsid w:val="00F46564"/>
    <w:rsid w:val="00F4661A"/>
    <w:rsid w:val="00F468FD"/>
    <w:rsid w:val="00F46A20"/>
    <w:rsid w:val="00F46A3B"/>
    <w:rsid w:val="00F46A78"/>
    <w:rsid w:val="00F46E94"/>
    <w:rsid w:val="00F471A8"/>
    <w:rsid w:val="00F474D8"/>
    <w:rsid w:val="00F475C5"/>
    <w:rsid w:val="00F47654"/>
    <w:rsid w:val="00F476C2"/>
    <w:rsid w:val="00F47A8B"/>
    <w:rsid w:val="00F47B01"/>
    <w:rsid w:val="00F47DF9"/>
    <w:rsid w:val="00F501B2"/>
    <w:rsid w:val="00F5068B"/>
    <w:rsid w:val="00F50865"/>
    <w:rsid w:val="00F50A0D"/>
    <w:rsid w:val="00F50B20"/>
    <w:rsid w:val="00F50B97"/>
    <w:rsid w:val="00F50D2F"/>
    <w:rsid w:val="00F50F9A"/>
    <w:rsid w:val="00F51006"/>
    <w:rsid w:val="00F51046"/>
    <w:rsid w:val="00F516E0"/>
    <w:rsid w:val="00F5189F"/>
    <w:rsid w:val="00F518F6"/>
    <w:rsid w:val="00F51A49"/>
    <w:rsid w:val="00F51BF4"/>
    <w:rsid w:val="00F51D81"/>
    <w:rsid w:val="00F51E7E"/>
    <w:rsid w:val="00F51FA2"/>
    <w:rsid w:val="00F52141"/>
    <w:rsid w:val="00F5248E"/>
    <w:rsid w:val="00F524CA"/>
    <w:rsid w:val="00F52519"/>
    <w:rsid w:val="00F52591"/>
    <w:rsid w:val="00F526FC"/>
    <w:rsid w:val="00F52A3A"/>
    <w:rsid w:val="00F52A6A"/>
    <w:rsid w:val="00F52A76"/>
    <w:rsid w:val="00F52AAE"/>
    <w:rsid w:val="00F52B55"/>
    <w:rsid w:val="00F52B90"/>
    <w:rsid w:val="00F52D56"/>
    <w:rsid w:val="00F52DF1"/>
    <w:rsid w:val="00F52E8F"/>
    <w:rsid w:val="00F52FE9"/>
    <w:rsid w:val="00F53010"/>
    <w:rsid w:val="00F532B6"/>
    <w:rsid w:val="00F533E0"/>
    <w:rsid w:val="00F53479"/>
    <w:rsid w:val="00F534C6"/>
    <w:rsid w:val="00F53563"/>
    <w:rsid w:val="00F5379F"/>
    <w:rsid w:val="00F53882"/>
    <w:rsid w:val="00F53C9B"/>
    <w:rsid w:val="00F53DDD"/>
    <w:rsid w:val="00F53EC1"/>
    <w:rsid w:val="00F54063"/>
    <w:rsid w:val="00F5430E"/>
    <w:rsid w:val="00F5477F"/>
    <w:rsid w:val="00F547CB"/>
    <w:rsid w:val="00F5483A"/>
    <w:rsid w:val="00F54922"/>
    <w:rsid w:val="00F549B6"/>
    <w:rsid w:val="00F54AD0"/>
    <w:rsid w:val="00F54B06"/>
    <w:rsid w:val="00F54B75"/>
    <w:rsid w:val="00F54BB8"/>
    <w:rsid w:val="00F54E6C"/>
    <w:rsid w:val="00F55064"/>
    <w:rsid w:val="00F555E6"/>
    <w:rsid w:val="00F557C8"/>
    <w:rsid w:val="00F559EC"/>
    <w:rsid w:val="00F55AF2"/>
    <w:rsid w:val="00F55BE5"/>
    <w:rsid w:val="00F55DE3"/>
    <w:rsid w:val="00F55FBA"/>
    <w:rsid w:val="00F5614A"/>
    <w:rsid w:val="00F5621A"/>
    <w:rsid w:val="00F56300"/>
    <w:rsid w:val="00F56A11"/>
    <w:rsid w:val="00F56C97"/>
    <w:rsid w:val="00F56DF3"/>
    <w:rsid w:val="00F56F87"/>
    <w:rsid w:val="00F571BA"/>
    <w:rsid w:val="00F572A7"/>
    <w:rsid w:val="00F57576"/>
    <w:rsid w:val="00F57729"/>
    <w:rsid w:val="00F57743"/>
    <w:rsid w:val="00F57A1B"/>
    <w:rsid w:val="00F57B0F"/>
    <w:rsid w:val="00F57B70"/>
    <w:rsid w:val="00F57C5E"/>
    <w:rsid w:val="00F57D32"/>
    <w:rsid w:val="00F60170"/>
    <w:rsid w:val="00F60301"/>
    <w:rsid w:val="00F603DF"/>
    <w:rsid w:val="00F6043C"/>
    <w:rsid w:val="00F60468"/>
    <w:rsid w:val="00F605BB"/>
    <w:rsid w:val="00F609DA"/>
    <w:rsid w:val="00F60B59"/>
    <w:rsid w:val="00F60B71"/>
    <w:rsid w:val="00F60BFC"/>
    <w:rsid w:val="00F60D86"/>
    <w:rsid w:val="00F610AF"/>
    <w:rsid w:val="00F61273"/>
    <w:rsid w:val="00F61418"/>
    <w:rsid w:val="00F614AF"/>
    <w:rsid w:val="00F61A62"/>
    <w:rsid w:val="00F61F42"/>
    <w:rsid w:val="00F61FBA"/>
    <w:rsid w:val="00F62200"/>
    <w:rsid w:val="00F62221"/>
    <w:rsid w:val="00F62478"/>
    <w:rsid w:val="00F62643"/>
    <w:rsid w:val="00F62C0D"/>
    <w:rsid w:val="00F63025"/>
    <w:rsid w:val="00F6307F"/>
    <w:rsid w:val="00F63131"/>
    <w:rsid w:val="00F6324A"/>
    <w:rsid w:val="00F6335A"/>
    <w:rsid w:val="00F634A8"/>
    <w:rsid w:val="00F6366F"/>
    <w:rsid w:val="00F63716"/>
    <w:rsid w:val="00F63A54"/>
    <w:rsid w:val="00F63BB0"/>
    <w:rsid w:val="00F63E55"/>
    <w:rsid w:val="00F63EB0"/>
    <w:rsid w:val="00F63ED1"/>
    <w:rsid w:val="00F63FA0"/>
    <w:rsid w:val="00F6417D"/>
    <w:rsid w:val="00F643C7"/>
    <w:rsid w:val="00F643EB"/>
    <w:rsid w:val="00F6453C"/>
    <w:rsid w:val="00F64646"/>
    <w:rsid w:val="00F64752"/>
    <w:rsid w:val="00F648E8"/>
    <w:rsid w:val="00F64A6A"/>
    <w:rsid w:val="00F64C24"/>
    <w:rsid w:val="00F64D99"/>
    <w:rsid w:val="00F64DAD"/>
    <w:rsid w:val="00F64E92"/>
    <w:rsid w:val="00F650D5"/>
    <w:rsid w:val="00F6532C"/>
    <w:rsid w:val="00F65354"/>
    <w:rsid w:val="00F6540F"/>
    <w:rsid w:val="00F6542E"/>
    <w:rsid w:val="00F654A0"/>
    <w:rsid w:val="00F65CDC"/>
    <w:rsid w:val="00F65FD9"/>
    <w:rsid w:val="00F6625E"/>
    <w:rsid w:val="00F66292"/>
    <w:rsid w:val="00F66386"/>
    <w:rsid w:val="00F66600"/>
    <w:rsid w:val="00F66617"/>
    <w:rsid w:val="00F66B4A"/>
    <w:rsid w:val="00F66D73"/>
    <w:rsid w:val="00F66FEF"/>
    <w:rsid w:val="00F67000"/>
    <w:rsid w:val="00F67783"/>
    <w:rsid w:val="00F677D8"/>
    <w:rsid w:val="00F67916"/>
    <w:rsid w:val="00F67B29"/>
    <w:rsid w:val="00F67D73"/>
    <w:rsid w:val="00F67DFB"/>
    <w:rsid w:val="00F67EAA"/>
    <w:rsid w:val="00F7012C"/>
    <w:rsid w:val="00F701D8"/>
    <w:rsid w:val="00F70289"/>
    <w:rsid w:val="00F702CD"/>
    <w:rsid w:val="00F70421"/>
    <w:rsid w:val="00F70451"/>
    <w:rsid w:val="00F70580"/>
    <w:rsid w:val="00F70A2E"/>
    <w:rsid w:val="00F70BDB"/>
    <w:rsid w:val="00F70CF4"/>
    <w:rsid w:val="00F70D02"/>
    <w:rsid w:val="00F70E0E"/>
    <w:rsid w:val="00F70EB3"/>
    <w:rsid w:val="00F711E9"/>
    <w:rsid w:val="00F712B8"/>
    <w:rsid w:val="00F715A4"/>
    <w:rsid w:val="00F71A2E"/>
    <w:rsid w:val="00F71A4F"/>
    <w:rsid w:val="00F71B3B"/>
    <w:rsid w:val="00F71BA3"/>
    <w:rsid w:val="00F71DDF"/>
    <w:rsid w:val="00F71EE0"/>
    <w:rsid w:val="00F71FEA"/>
    <w:rsid w:val="00F721FA"/>
    <w:rsid w:val="00F722CB"/>
    <w:rsid w:val="00F723FB"/>
    <w:rsid w:val="00F72451"/>
    <w:rsid w:val="00F72553"/>
    <w:rsid w:val="00F7256C"/>
    <w:rsid w:val="00F72596"/>
    <w:rsid w:val="00F725BA"/>
    <w:rsid w:val="00F725F1"/>
    <w:rsid w:val="00F72813"/>
    <w:rsid w:val="00F728AC"/>
    <w:rsid w:val="00F7292E"/>
    <w:rsid w:val="00F72995"/>
    <w:rsid w:val="00F72BE4"/>
    <w:rsid w:val="00F72CCB"/>
    <w:rsid w:val="00F72E4C"/>
    <w:rsid w:val="00F72F41"/>
    <w:rsid w:val="00F733AB"/>
    <w:rsid w:val="00F734AC"/>
    <w:rsid w:val="00F73719"/>
    <w:rsid w:val="00F7375A"/>
    <w:rsid w:val="00F73A5D"/>
    <w:rsid w:val="00F73E08"/>
    <w:rsid w:val="00F7406D"/>
    <w:rsid w:val="00F740E8"/>
    <w:rsid w:val="00F740EF"/>
    <w:rsid w:val="00F74128"/>
    <w:rsid w:val="00F74201"/>
    <w:rsid w:val="00F742B1"/>
    <w:rsid w:val="00F74429"/>
    <w:rsid w:val="00F744C2"/>
    <w:rsid w:val="00F745C2"/>
    <w:rsid w:val="00F74645"/>
    <w:rsid w:val="00F7490E"/>
    <w:rsid w:val="00F74C96"/>
    <w:rsid w:val="00F74E6B"/>
    <w:rsid w:val="00F75162"/>
    <w:rsid w:val="00F7575E"/>
    <w:rsid w:val="00F75920"/>
    <w:rsid w:val="00F75C55"/>
    <w:rsid w:val="00F75DA2"/>
    <w:rsid w:val="00F760A5"/>
    <w:rsid w:val="00F7622B"/>
    <w:rsid w:val="00F762DA"/>
    <w:rsid w:val="00F768C9"/>
    <w:rsid w:val="00F76A83"/>
    <w:rsid w:val="00F76B59"/>
    <w:rsid w:val="00F76ED1"/>
    <w:rsid w:val="00F76F7A"/>
    <w:rsid w:val="00F770AD"/>
    <w:rsid w:val="00F770E6"/>
    <w:rsid w:val="00F77144"/>
    <w:rsid w:val="00F772B9"/>
    <w:rsid w:val="00F776B4"/>
    <w:rsid w:val="00F77777"/>
    <w:rsid w:val="00F7779A"/>
    <w:rsid w:val="00F77941"/>
    <w:rsid w:val="00F77A7D"/>
    <w:rsid w:val="00F77B11"/>
    <w:rsid w:val="00F77C2B"/>
    <w:rsid w:val="00F77FF6"/>
    <w:rsid w:val="00F77FFB"/>
    <w:rsid w:val="00F80053"/>
    <w:rsid w:val="00F801C4"/>
    <w:rsid w:val="00F801CE"/>
    <w:rsid w:val="00F802C3"/>
    <w:rsid w:val="00F80515"/>
    <w:rsid w:val="00F80B37"/>
    <w:rsid w:val="00F80B79"/>
    <w:rsid w:val="00F80DB2"/>
    <w:rsid w:val="00F80F3F"/>
    <w:rsid w:val="00F80F85"/>
    <w:rsid w:val="00F81224"/>
    <w:rsid w:val="00F813AE"/>
    <w:rsid w:val="00F81571"/>
    <w:rsid w:val="00F815A8"/>
    <w:rsid w:val="00F81734"/>
    <w:rsid w:val="00F8177B"/>
    <w:rsid w:val="00F81849"/>
    <w:rsid w:val="00F81AAF"/>
    <w:rsid w:val="00F81AB2"/>
    <w:rsid w:val="00F81B5C"/>
    <w:rsid w:val="00F81BF2"/>
    <w:rsid w:val="00F81C6A"/>
    <w:rsid w:val="00F81D4F"/>
    <w:rsid w:val="00F81DEB"/>
    <w:rsid w:val="00F81DFB"/>
    <w:rsid w:val="00F81FDD"/>
    <w:rsid w:val="00F8202E"/>
    <w:rsid w:val="00F822A4"/>
    <w:rsid w:val="00F82680"/>
    <w:rsid w:val="00F82A46"/>
    <w:rsid w:val="00F82A50"/>
    <w:rsid w:val="00F82C7C"/>
    <w:rsid w:val="00F82D27"/>
    <w:rsid w:val="00F82EF0"/>
    <w:rsid w:val="00F830E8"/>
    <w:rsid w:val="00F831AE"/>
    <w:rsid w:val="00F833FD"/>
    <w:rsid w:val="00F835FF"/>
    <w:rsid w:val="00F83920"/>
    <w:rsid w:val="00F83A3D"/>
    <w:rsid w:val="00F83AD5"/>
    <w:rsid w:val="00F841C8"/>
    <w:rsid w:val="00F844E3"/>
    <w:rsid w:val="00F845E6"/>
    <w:rsid w:val="00F84839"/>
    <w:rsid w:val="00F84C39"/>
    <w:rsid w:val="00F84CDC"/>
    <w:rsid w:val="00F84D3F"/>
    <w:rsid w:val="00F84DE9"/>
    <w:rsid w:val="00F851D5"/>
    <w:rsid w:val="00F85280"/>
    <w:rsid w:val="00F852F1"/>
    <w:rsid w:val="00F85496"/>
    <w:rsid w:val="00F8566D"/>
    <w:rsid w:val="00F8596B"/>
    <w:rsid w:val="00F85C8C"/>
    <w:rsid w:val="00F85FC8"/>
    <w:rsid w:val="00F86019"/>
    <w:rsid w:val="00F8607C"/>
    <w:rsid w:val="00F860C3"/>
    <w:rsid w:val="00F86110"/>
    <w:rsid w:val="00F8620B"/>
    <w:rsid w:val="00F86267"/>
    <w:rsid w:val="00F862D7"/>
    <w:rsid w:val="00F86385"/>
    <w:rsid w:val="00F86A4B"/>
    <w:rsid w:val="00F86D1A"/>
    <w:rsid w:val="00F86DDE"/>
    <w:rsid w:val="00F86E36"/>
    <w:rsid w:val="00F86F61"/>
    <w:rsid w:val="00F871FF"/>
    <w:rsid w:val="00F87368"/>
    <w:rsid w:val="00F873F7"/>
    <w:rsid w:val="00F87809"/>
    <w:rsid w:val="00F8785B"/>
    <w:rsid w:val="00F87984"/>
    <w:rsid w:val="00F87A72"/>
    <w:rsid w:val="00F87D09"/>
    <w:rsid w:val="00F87DF0"/>
    <w:rsid w:val="00F87EE4"/>
    <w:rsid w:val="00F87F70"/>
    <w:rsid w:val="00F90247"/>
    <w:rsid w:val="00F902A5"/>
    <w:rsid w:val="00F90300"/>
    <w:rsid w:val="00F904AA"/>
    <w:rsid w:val="00F90502"/>
    <w:rsid w:val="00F90579"/>
    <w:rsid w:val="00F90600"/>
    <w:rsid w:val="00F9062E"/>
    <w:rsid w:val="00F90716"/>
    <w:rsid w:val="00F90877"/>
    <w:rsid w:val="00F9099F"/>
    <w:rsid w:val="00F90A83"/>
    <w:rsid w:val="00F90B52"/>
    <w:rsid w:val="00F90B99"/>
    <w:rsid w:val="00F90D78"/>
    <w:rsid w:val="00F91555"/>
    <w:rsid w:val="00F91A0D"/>
    <w:rsid w:val="00F91F38"/>
    <w:rsid w:val="00F9208F"/>
    <w:rsid w:val="00F9223B"/>
    <w:rsid w:val="00F925A2"/>
    <w:rsid w:val="00F9261E"/>
    <w:rsid w:val="00F92653"/>
    <w:rsid w:val="00F92795"/>
    <w:rsid w:val="00F928C2"/>
    <w:rsid w:val="00F92946"/>
    <w:rsid w:val="00F929DE"/>
    <w:rsid w:val="00F92A53"/>
    <w:rsid w:val="00F92C93"/>
    <w:rsid w:val="00F92CE8"/>
    <w:rsid w:val="00F92E27"/>
    <w:rsid w:val="00F92F97"/>
    <w:rsid w:val="00F93298"/>
    <w:rsid w:val="00F9330E"/>
    <w:rsid w:val="00F935CA"/>
    <w:rsid w:val="00F93AF3"/>
    <w:rsid w:val="00F93C31"/>
    <w:rsid w:val="00F93C49"/>
    <w:rsid w:val="00F93E74"/>
    <w:rsid w:val="00F93F39"/>
    <w:rsid w:val="00F94287"/>
    <w:rsid w:val="00F9473D"/>
    <w:rsid w:val="00F947CE"/>
    <w:rsid w:val="00F9484C"/>
    <w:rsid w:val="00F9489E"/>
    <w:rsid w:val="00F948FD"/>
    <w:rsid w:val="00F94B6C"/>
    <w:rsid w:val="00F94BEC"/>
    <w:rsid w:val="00F94DA7"/>
    <w:rsid w:val="00F94F73"/>
    <w:rsid w:val="00F94FF5"/>
    <w:rsid w:val="00F953A2"/>
    <w:rsid w:val="00F956F7"/>
    <w:rsid w:val="00F957F8"/>
    <w:rsid w:val="00F95B6B"/>
    <w:rsid w:val="00F95EDB"/>
    <w:rsid w:val="00F95FB5"/>
    <w:rsid w:val="00F95FBC"/>
    <w:rsid w:val="00F9611C"/>
    <w:rsid w:val="00F961D4"/>
    <w:rsid w:val="00F9632D"/>
    <w:rsid w:val="00F9642B"/>
    <w:rsid w:val="00F965AA"/>
    <w:rsid w:val="00F965EA"/>
    <w:rsid w:val="00F96774"/>
    <w:rsid w:val="00F969A4"/>
    <w:rsid w:val="00F96A2E"/>
    <w:rsid w:val="00F96B25"/>
    <w:rsid w:val="00F96BA2"/>
    <w:rsid w:val="00F96CC2"/>
    <w:rsid w:val="00F96D9D"/>
    <w:rsid w:val="00F96DB9"/>
    <w:rsid w:val="00F96E38"/>
    <w:rsid w:val="00F96E3A"/>
    <w:rsid w:val="00F96E42"/>
    <w:rsid w:val="00F96FA9"/>
    <w:rsid w:val="00F97392"/>
    <w:rsid w:val="00F9755D"/>
    <w:rsid w:val="00F97B0B"/>
    <w:rsid w:val="00F97B4B"/>
    <w:rsid w:val="00F97BAB"/>
    <w:rsid w:val="00F97C95"/>
    <w:rsid w:val="00F97E05"/>
    <w:rsid w:val="00FA01FA"/>
    <w:rsid w:val="00FA01FC"/>
    <w:rsid w:val="00FA0295"/>
    <w:rsid w:val="00FA04AE"/>
    <w:rsid w:val="00FA067D"/>
    <w:rsid w:val="00FA06EE"/>
    <w:rsid w:val="00FA0A49"/>
    <w:rsid w:val="00FA0C8F"/>
    <w:rsid w:val="00FA0CA5"/>
    <w:rsid w:val="00FA0FC3"/>
    <w:rsid w:val="00FA11C1"/>
    <w:rsid w:val="00FA1339"/>
    <w:rsid w:val="00FA169C"/>
    <w:rsid w:val="00FA1825"/>
    <w:rsid w:val="00FA1946"/>
    <w:rsid w:val="00FA1949"/>
    <w:rsid w:val="00FA1A6D"/>
    <w:rsid w:val="00FA1C03"/>
    <w:rsid w:val="00FA202B"/>
    <w:rsid w:val="00FA217A"/>
    <w:rsid w:val="00FA21FC"/>
    <w:rsid w:val="00FA2222"/>
    <w:rsid w:val="00FA2260"/>
    <w:rsid w:val="00FA23BA"/>
    <w:rsid w:val="00FA23C1"/>
    <w:rsid w:val="00FA2B52"/>
    <w:rsid w:val="00FA2C6A"/>
    <w:rsid w:val="00FA2CA9"/>
    <w:rsid w:val="00FA319C"/>
    <w:rsid w:val="00FA3611"/>
    <w:rsid w:val="00FA368D"/>
    <w:rsid w:val="00FA36E8"/>
    <w:rsid w:val="00FA3735"/>
    <w:rsid w:val="00FA3DF4"/>
    <w:rsid w:val="00FA40C3"/>
    <w:rsid w:val="00FA419F"/>
    <w:rsid w:val="00FA4506"/>
    <w:rsid w:val="00FA45F9"/>
    <w:rsid w:val="00FA49CD"/>
    <w:rsid w:val="00FA4A98"/>
    <w:rsid w:val="00FA4BA7"/>
    <w:rsid w:val="00FA4BE1"/>
    <w:rsid w:val="00FA4C69"/>
    <w:rsid w:val="00FA4F2D"/>
    <w:rsid w:val="00FA4FD9"/>
    <w:rsid w:val="00FA55C6"/>
    <w:rsid w:val="00FA5AEA"/>
    <w:rsid w:val="00FA5D62"/>
    <w:rsid w:val="00FA5DD2"/>
    <w:rsid w:val="00FA5F79"/>
    <w:rsid w:val="00FA60E4"/>
    <w:rsid w:val="00FA613A"/>
    <w:rsid w:val="00FA614F"/>
    <w:rsid w:val="00FA6172"/>
    <w:rsid w:val="00FA61D0"/>
    <w:rsid w:val="00FA6545"/>
    <w:rsid w:val="00FA6715"/>
    <w:rsid w:val="00FA6E5B"/>
    <w:rsid w:val="00FA6E6F"/>
    <w:rsid w:val="00FA7448"/>
    <w:rsid w:val="00FA74E3"/>
    <w:rsid w:val="00FA7546"/>
    <w:rsid w:val="00FA75A8"/>
    <w:rsid w:val="00FA75CA"/>
    <w:rsid w:val="00FA7621"/>
    <w:rsid w:val="00FA7632"/>
    <w:rsid w:val="00FA7654"/>
    <w:rsid w:val="00FA7674"/>
    <w:rsid w:val="00FA7754"/>
    <w:rsid w:val="00FA7766"/>
    <w:rsid w:val="00FA78CD"/>
    <w:rsid w:val="00FA796B"/>
    <w:rsid w:val="00FA796F"/>
    <w:rsid w:val="00FA79D8"/>
    <w:rsid w:val="00FA7A47"/>
    <w:rsid w:val="00FA7AD4"/>
    <w:rsid w:val="00FA7B11"/>
    <w:rsid w:val="00FA7E49"/>
    <w:rsid w:val="00FA7E5A"/>
    <w:rsid w:val="00FB05F0"/>
    <w:rsid w:val="00FB0611"/>
    <w:rsid w:val="00FB06B3"/>
    <w:rsid w:val="00FB070C"/>
    <w:rsid w:val="00FB077A"/>
    <w:rsid w:val="00FB0980"/>
    <w:rsid w:val="00FB0AB1"/>
    <w:rsid w:val="00FB0AD5"/>
    <w:rsid w:val="00FB0AE1"/>
    <w:rsid w:val="00FB0EFE"/>
    <w:rsid w:val="00FB110E"/>
    <w:rsid w:val="00FB127D"/>
    <w:rsid w:val="00FB1398"/>
    <w:rsid w:val="00FB1410"/>
    <w:rsid w:val="00FB14BC"/>
    <w:rsid w:val="00FB1683"/>
    <w:rsid w:val="00FB16E2"/>
    <w:rsid w:val="00FB1908"/>
    <w:rsid w:val="00FB19F8"/>
    <w:rsid w:val="00FB1CA3"/>
    <w:rsid w:val="00FB2312"/>
    <w:rsid w:val="00FB25B4"/>
    <w:rsid w:val="00FB2628"/>
    <w:rsid w:val="00FB2672"/>
    <w:rsid w:val="00FB26EC"/>
    <w:rsid w:val="00FB28FA"/>
    <w:rsid w:val="00FB2CD5"/>
    <w:rsid w:val="00FB310B"/>
    <w:rsid w:val="00FB3179"/>
    <w:rsid w:val="00FB32DE"/>
    <w:rsid w:val="00FB35CF"/>
    <w:rsid w:val="00FB365C"/>
    <w:rsid w:val="00FB393C"/>
    <w:rsid w:val="00FB3ADB"/>
    <w:rsid w:val="00FB3ADF"/>
    <w:rsid w:val="00FB3E4C"/>
    <w:rsid w:val="00FB403C"/>
    <w:rsid w:val="00FB4142"/>
    <w:rsid w:val="00FB41CA"/>
    <w:rsid w:val="00FB4267"/>
    <w:rsid w:val="00FB4360"/>
    <w:rsid w:val="00FB45DB"/>
    <w:rsid w:val="00FB466F"/>
    <w:rsid w:val="00FB4672"/>
    <w:rsid w:val="00FB4776"/>
    <w:rsid w:val="00FB4786"/>
    <w:rsid w:val="00FB4960"/>
    <w:rsid w:val="00FB4A16"/>
    <w:rsid w:val="00FB4A31"/>
    <w:rsid w:val="00FB4DCA"/>
    <w:rsid w:val="00FB4EDB"/>
    <w:rsid w:val="00FB4F01"/>
    <w:rsid w:val="00FB4FA8"/>
    <w:rsid w:val="00FB5081"/>
    <w:rsid w:val="00FB50C7"/>
    <w:rsid w:val="00FB552A"/>
    <w:rsid w:val="00FB56C4"/>
    <w:rsid w:val="00FB5AF3"/>
    <w:rsid w:val="00FB5B03"/>
    <w:rsid w:val="00FB5D3A"/>
    <w:rsid w:val="00FB5D56"/>
    <w:rsid w:val="00FB5E0A"/>
    <w:rsid w:val="00FB5E9B"/>
    <w:rsid w:val="00FB5ED0"/>
    <w:rsid w:val="00FB6246"/>
    <w:rsid w:val="00FB6263"/>
    <w:rsid w:val="00FB6372"/>
    <w:rsid w:val="00FB6514"/>
    <w:rsid w:val="00FB6572"/>
    <w:rsid w:val="00FB65CB"/>
    <w:rsid w:val="00FB6760"/>
    <w:rsid w:val="00FB6870"/>
    <w:rsid w:val="00FB6AAF"/>
    <w:rsid w:val="00FB6BA7"/>
    <w:rsid w:val="00FB6D01"/>
    <w:rsid w:val="00FB6D24"/>
    <w:rsid w:val="00FB6F35"/>
    <w:rsid w:val="00FB7076"/>
    <w:rsid w:val="00FB7085"/>
    <w:rsid w:val="00FB734E"/>
    <w:rsid w:val="00FB7663"/>
    <w:rsid w:val="00FB76FF"/>
    <w:rsid w:val="00FB78A3"/>
    <w:rsid w:val="00FB78CC"/>
    <w:rsid w:val="00FB7A54"/>
    <w:rsid w:val="00FB7B38"/>
    <w:rsid w:val="00FB7B87"/>
    <w:rsid w:val="00FB7BD8"/>
    <w:rsid w:val="00FB7C66"/>
    <w:rsid w:val="00FB7C9F"/>
    <w:rsid w:val="00FB7FBB"/>
    <w:rsid w:val="00FC0068"/>
    <w:rsid w:val="00FC02BE"/>
    <w:rsid w:val="00FC03F5"/>
    <w:rsid w:val="00FC04FB"/>
    <w:rsid w:val="00FC067D"/>
    <w:rsid w:val="00FC0751"/>
    <w:rsid w:val="00FC075B"/>
    <w:rsid w:val="00FC0873"/>
    <w:rsid w:val="00FC08CD"/>
    <w:rsid w:val="00FC0967"/>
    <w:rsid w:val="00FC10A0"/>
    <w:rsid w:val="00FC10FB"/>
    <w:rsid w:val="00FC1180"/>
    <w:rsid w:val="00FC12FF"/>
    <w:rsid w:val="00FC1394"/>
    <w:rsid w:val="00FC13A0"/>
    <w:rsid w:val="00FC13A6"/>
    <w:rsid w:val="00FC1405"/>
    <w:rsid w:val="00FC1516"/>
    <w:rsid w:val="00FC154F"/>
    <w:rsid w:val="00FC1643"/>
    <w:rsid w:val="00FC18A0"/>
    <w:rsid w:val="00FC1BAD"/>
    <w:rsid w:val="00FC1D09"/>
    <w:rsid w:val="00FC225E"/>
    <w:rsid w:val="00FC2713"/>
    <w:rsid w:val="00FC271B"/>
    <w:rsid w:val="00FC2775"/>
    <w:rsid w:val="00FC2936"/>
    <w:rsid w:val="00FC2A46"/>
    <w:rsid w:val="00FC2ACD"/>
    <w:rsid w:val="00FC2B88"/>
    <w:rsid w:val="00FC2D9F"/>
    <w:rsid w:val="00FC2F64"/>
    <w:rsid w:val="00FC2F66"/>
    <w:rsid w:val="00FC30C4"/>
    <w:rsid w:val="00FC31E7"/>
    <w:rsid w:val="00FC389A"/>
    <w:rsid w:val="00FC396B"/>
    <w:rsid w:val="00FC3B44"/>
    <w:rsid w:val="00FC3CB7"/>
    <w:rsid w:val="00FC3D0A"/>
    <w:rsid w:val="00FC3E9E"/>
    <w:rsid w:val="00FC3EF3"/>
    <w:rsid w:val="00FC40D1"/>
    <w:rsid w:val="00FC40ED"/>
    <w:rsid w:val="00FC41EB"/>
    <w:rsid w:val="00FC430C"/>
    <w:rsid w:val="00FC4521"/>
    <w:rsid w:val="00FC49E6"/>
    <w:rsid w:val="00FC4AD2"/>
    <w:rsid w:val="00FC4BE5"/>
    <w:rsid w:val="00FC4C1C"/>
    <w:rsid w:val="00FC4DE0"/>
    <w:rsid w:val="00FC4E28"/>
    <w:rsid w:val="00FC4F3B"/>
    <w:rsid w:val="00FC50CF"/>
    <w:rsid w:val="00FC5272"/>
    <w:rsid w:val="00FC5373"/>
    <w:rsid w:val="00FC5417"/>
    <w:rsid w:val="00FC5540"/>
    <w:rsid w:val="00FC5916"/>
    <w:rsid w:val="00FC5949"/>
    <w:rsid w:val="00FC59D9"/>
    <w:rsid w:val="00FC5BE9"/>
    <w:rsid w:val="00FC617A"/>
    <w:rsid w:val="00FC6242"/>
    <w:rsid w:val="00FC6392"/>
    <w:rsid w:val="00FC64C1"/>
    <w:rsid w:val="00FC65CA"/>
    <w:rsid w:val="00FC6AA1"/>
    <w:rsid w:val="00FC6C24"/>
    <w:rsid w:val="00FC6C54"/>
    <w:rsid w:val="00FC6D8E"/>
    <w:rsid w:val="00FC700F"/>
    <w:rsid w:val="00FC70BE"/>
    <w:rsid w:val="00FC7320"/>
    <w:rsid w:val="00FC75DB"/>
    <w:rsid w:val="00FC76A6"/>
    <w:rsid w:val="00FC7A16"/>
    <w:rsid w:val="00FC7DCE"/>
    <w:rsid w:val="00FD005C"/>
    <w:rsid w:val="00FD00AC"/>
    <w:rsid w:val="00FD00DB"/>
    <w:rsid w:val="00FD012E"/>
    <w:rsid w:val="00FD032C"/>
    <w:rsid w:val="00FD0408"/>
    <w:rsid w:val="00FD043F"/>
    <w:rsid w:val="00FD04A7"/>
    <w:rsid w:val="00FD0660"/>
    <w:rsid w:val="00FD098F"/>
    <w:rsid w:val="00FD0B50"/>
    <w:rsid w:val="00FD0BD6"/>
    <w:rsid w:val="00FD0E49"/>
    <w:rsid w:val="00FD1112"/>
    <w:rsid w:val="00FD11F0"/>
    <w:rsid w:val="00FD1297"/>
    <w:rsid w:val="00FD1382"/>
    <w:rsid w:val="00FD139D"/>
    <w:rsid w:val="00FD13BA"/>
    <w:rsid w:val="00FD1501"/>
    <w:rsid w:val="00FD16DF"/>
    <w:rsid w:val="00FD17AD"/>
    <w:rsid w:val="00FD199C"/>
    <w:rsid w:val="00FD1AEA"/>
    <w:rsid w:val="00FD1BB0"/>
    <w:rsid w:val="00FD1FD3"/>
    <w:rsid w:val="00FD2429"/>
    <w:rsid w:val="00FD24C5"/>
    <w:rsid w:val="00FD2598"/>
    <w:rsid w:val="00FD267A"/>
    <w:rsid w:val="00FD26FB"/>
    <w:rsid w:val="00FD27DD"/>
    <w:rsid w:val="00FD2A63"/>
    <w:rsid w:val="00FD2AB6"/>
    <w:rsid w:val="00FD2B6C"/>
    <w:rsid w:val="00FD2BDC"/>
    <w:rsid w:val="00FD30F2"/>
    <w:rsid w:val="00FD33D8"/>
    <w:rsid w:val="00FD346F"/>
    <w:rsid w:val="00FD350C"/>
    <w:rsid w:val="00FD3693"/>
    <w:rsid w:val="00FD36B9"/>
    <w:rsid w:val="00FD3854"/>
    <w:rsid w:val="00FD3966"/>
    <w:rsid w:val="00FD3AF1"/>
    <w:rsid w:val="00FD3B5A"/>
    <w:rsid w:val="00FD3CF6"/>
    <w:rsid w:val="00FD3D52"/>
    <w:rsid w:val="00FD3F50"/>
    <w:rsid w:val="00FD412A"/>
    <w:rsid w:val="00FD4148"/>
    <w:rsid w:val="00FD42BE"/>
    <w:rsid w:val="00FD42DD"/>
    <w:rsid w:val="00FD46F5"/>
    <w:rsid w:val="00FD49C5"/>
    <w:rsid w:val="00FD4BB2"/>
    <w:rsid w:val="00FD4E0A"/>
    <w:rsid w:val="00FD4F66"/>
    <w:rsid w:val="00FD5169"/>
    <w:rsid w:val="00FD5201"/>
    <w:rsid w:val="00FD5E84"/>
    <w:rsid w:val="00FD5EEE"/>
    <w:rsid w:val="00FD5F91"/>
    <w:rsid w:val="00FD60BB"/>
    <w:rsid w:val="00FD61DD"/>
    <w:rsid w:val="00FD6325"/>
    <w:rsid w:val="00FD645C"/>
    <w:rsid w:val="00FD65D4"/>
    <w:rsid w:val="00FD6739"/>
    <w:rsid w:val="00FD68B4"/>
    <w:rsid w:val="00FD68C7"/>
    <w:rsid w:val="00FD69C4"/>
    <w:rsid w:val="00FD6E8B"/>
    <w:rsid w:val="00FD6F39"/>
    <w:rsid w:val="00FD719F"/>
    <w:rsid w:val="00FD71D6"/>
    <w:rsid w:val="00FD71E7"/>
    <w:rsid w:val="00FD72A9"/>
    <w:rsid w:val="00FD741A"/>
    <w:rsid w:val="00FD7788"/>
    <w:rsid w:val="00FD7962"/>
    <w:rsid w:val="00FD7971"/>
    <w:rsid w:val="00FD799F"/>
    <w:rsid w:val="00FD7AE3"/>
    <w:rsid w:val="00FD7B28"/>
    <w:rsid w:val="00FD7C53"/>
    <w:rsid w:val="00FD7D65"/>
    <w:rsid w:val="00FD7E32"/>
    <w:rsid w:val="00FD7FF8"/>
    <w:rsid w:val="00FE0124"/>
    <w:rsid w:val="00FE0227"/>
    <w:rsid w:val="00FE0287"/>
    <w:rsid w:val="00FE0493"/>
    <w:rsid w:val="00FE052F"/>
    <w:rsid w:val="00FE0556"/>
    <w:rsid w:val="00FE05D5"/>
    <w:rsid w:val="00FE063F"/>
    <w:rsid w:val="00FE07B4"/>
    <w:rsid w:val="00FE0B21"/>
    <w:rsid w:val="00FE12A5"/>
    <w:rsid w:val="00FE13C8"/>
    <w:rsid w:val="00FE147E"/>
    <w:rsid w:val="00FE1488"/>
    <w:rsid w:val="00FE14FF"/>
    <w:rsid w:val="00FE164B"/>
    <w:rsid w:val="00FE1750"/>
    <w:rsid w:val="00FE18BF"/>
    <w:rsid w:val="00FE1A6C"/>
    <w:rsid w:val="00FE1D0D"/>
    <w:rsid w:val="00FE1ECF"/>
    <w:rsid w:val="00FE2236"/>
    <w:rsid w:val="00FE241A"/>
    <w:rsid w:val="00FE26AA"/>
    <w:rsid w:val="00FE2978"/>
    <w:rsid w:val="00FE2A36"/>
    <w:rsid w:val="00FE2B41"/>
    <w:rsid w:val="00FE2BFD"/>
    <w:rsid w:val="00FE2CF9"/>
    <w:rsid w:val="00FE2D50"/>
    <w:rsid w:val="00FE2F46"/>
    <w:rsid w:val="00FE3072"/>
    <w:rsid w:val="00FE32A6"/>
    <w:rsid w:val="00FE32E9"/>
    <w:rsid w:val="00FE339F"/>
    <w:rsid w:val="00FE3488"/>
    <w:rsid w:val="00FE36BA"/>
    <w:rsid w:val="00FE36BD"/>
    <w:rsid w:val="00FE3780"/>
    <w:rsid w:val="00FE3B53"/>
    <w:rsid w:val="00FE3B8B"/>
    <w:rsid w:val="00FE3B91"/>
    <w:rsid w:val="00FE3B93"/>
    <w:rsid w:val="00FE3DBE"/>
    <w:rsid w:val="00FE3EEF"/>
    <w:rsid w:val="00FE402E"/>
    <w:rsid w:val="00FE40CF"/>
    <w:rsid w:val="00FE41FD"/>
    <w:rsid w:val="00FE4402"/>
    <w:rsid w:val="00FE453B"/>
    <w:rsid w:val="00FE45E8"/>
    <w:rsid w:val="00FE4801"/>
    <w:rsid w:val="00FE49D1"/>
    <w:rsid w:val="00FE4A95"/>
    <w:rsid w:val="00FE4B7E"/>
    <w:rsid w:val="00FE4F09"/>
    <w:rsid w:val="00FE5217"/>
    <w:rsid w:val="00FE52EB"/>
    <w:rsid w:val="00FE55AC"/>
    <w:rsid w:val="00FE5930"/>
    <w:rsid w:val="00FE5B15"/>
    <w:rsid w:val="00FE5B8C"/>
    <w:rsid w:val="00FE5D2A"/>
    <w:rsid w:val="00FE5D5B"/>
    <w:rsid w:val="00FE5D73"/>
    <w:rsid w:val="00FE5F5F"/>
    <w:rsid w:val="00FE63E3"/>
    <w:rsid w:val="00FE63E8"/>
    <w:rsid w:val="00FE649C"/>
    <w:rsid w:val="00FE6536"/>
    <w:rsid w:val="00FE6628"/>
    <w:rsid w:val="00FE68F1"/>
    <w:rsid w:val="00FE6931"/>
    <w:rsid w:val="00FE6A07"/>
    <w:rsid w:val="00FE6AC0"/>
    <w:rsid w:val="00FE6ACD"/>
    <w:rsid w:val="00FE6AD1"/>
    <w:rsid w:val="00FE6BA2"/>
    <w:rsid w:val="00FE6D72"/>
    <w:rsid w:val="00FE6E2F"/>
    <w:rsid w:val="00FE7024"/>
    <w:rsid w:val="00FE7046"/>
    <w:rsid w:val="00FE71AD"/>
    <w:rsid w:val="00FE7264"/>
    <w:rsid w:val="00FE7271"/>
    <w:rsid w:val="00FE73C9"/>
    <w:rsid w:val="00FE750F"/>
    <w:rsid w:val="00FE76AF"/>
    <w:rsid w:val="00FE770E"/>
    <w:rsid w:val="00FE7929"/>
    <w:rsid w:val="00FE79F1"/>
    <w:rsid w:val="00FE79F3"/>
    <w:rsid w:val="00FE7BD6"/>
    <w:rsid w:val="00FE7CCD"/>
    <w:rsid w:val="00FF01AC"/>
    <w:rsid w:val="00FF0359"/>
    <w:rsid w:val="00FF04AA"/>
    <w:rsid w:val="00FF07FC"/>
    <w:rsid w:val="00FF0861"/>
    <w:rsid w:val="00FF0A87"/>
    <w:rsid w:val="00FF0CBB"/>
    <w:rsid w:val="00FF0F1B"/>
    <w:rsid w:val="00FF0F7D"/>
    <w:rsid w:val="00FF100C"/>
    <w:rsid w:val="00FF1052"/>
    <w:rsid w:val="00FF12E3"/>
    <w:rsid w:val="00FF12F5"/>
    <w:rsid w:val="00FF1334"/>
    <w:rsid w:val="00FF1349"/>
    <w:rsid w:val="00FF19D7"/>
    <w:rsid w:val="00FF1A10"/>
    <w:rsid w:val="00FF1BBE"/>
    <w:rsid w:val="00FF1C62"/>
    <w:rsid w:val="00FF1E63"/>
    <w:rsid w:val="00FF1F1E"/>
    <w:rsid w:val="00FF1F6A"/>
    <w:rsid w:val="00FF1F9B"/>
    <w:rsid w:val="00FF200A"/>
    <w:rsid w:val="00FF2258"/>
    <w:rsid w:val="00FF24FE"/>
    <w:rsid w:val="00FF25C6"/>
    <w:rsid w:val="00FF2646"/>
    <w:rsid w:val="00FF2901"/>
    <w:rsid w:val="00FF292E"/>
    <w:rsid w:val="00FF293A"/>
    <w:rsid w:val="00FF29EE"/>
    <w:rsid w:val="00FF2C8A"/>
    <w:rsid w:val="00FF30F6"/>
    <w:rsid w:val="00FF350D"/>
    <w:rsid w:val="00FF36F2"/>
    <w:rsid w:val="00FF3A5A"/>
    <w:rsid w:val="00FF3ABF"/>
    <w:rsid w:val="00FF3B0D"/>
    <w:rsid w:val="00FF3B41"/>
    <w:rsid w:val="00FF3E1C"/>
    <w:rsid w:val="00FF4236"/>
    <w:rsid w:val="00FF42FF"/>
    <w:rsid w:val="00FF43F3"/>
    <w:rsid w:val="00FF4411"/>
    <w:rsid w:val="00FF4487"/>
    <w:rsid w:val="00FF484C"/>
    <w:rsid w:val="00FF48B7"/>
    <w:rsid w:val="00FF48F6"/>
    <w:rsid w:val="00FF49AD"/>
    <w:rsid w:val="00FF49C5"/>
    <w:rsid w:val="00FF49D4"/>
    <w:rsid w:val="00FF4A9E"/>
    <w:rsid w:val="00FF4B9B"/>
    <w:rsid w:val="00FF4C0C"/>
    <w:rsid w:val="00FF4C5C"/>
    <w:rsid w:val="00FF4CCD"/>
    <w:rsid w:val="00FF4E4F"/>
    <w:rsid w:val="00FF4F5C"/>
    <w:rsid w:val="00FF50C0"/>
    <w:rsid w:val="00FF50EA"/>
    <w:rsid w:val="00FF532B"/>
    <w:rsid w:val="00FF5564"/>
    <w:rsid w:val="00FF5660"/>
    <w:rsid w:val="00FF5685"/>
    <w:rsid w:val="00FF5760"/>
    <w:rsid w:val="00FF57F5"/>
    <w:rsid w:val="00FF5AC5"/>
    <w:rsid w:val="00FF5C09"/>
    <w:rsid w:val="00FF5FAF"/>
    <w:rsid w:val="00FF5FE2"/>
    <w:rsid w:val="00FF603B"/>
    <w:rsid w:val="00FF607A"/>
    <w:rsid w:val="00FF6080"/>
    <w:rsid w:val="00FF635F"/>
    <w:rsid w:val="00FF66FC"/>
    <w:rsid w:val="00FF681F"/>
    <w:rsid w:val="00FF6AF5"/>
    <w:rsid w:val="00FF6B19"/>
    <w:rsid w:val="00FF6C1D"/>
    <w:rsid w:val="00FF6E4D"/>
    <w:rsid w:val="00FF6F14"/>
    <w:rsid w:val="00FF71D7"/>
    <w:rsid w:val="00FF71E9"/>
    <w:rsid w:val="00FF7908"/>
    <w:rsid w:val="00FF79B9"/>
    <w:rsid w:val="00FF7C3D"/>
    <w:rsid w:val="00FF7CD4"/>
    <w:rsid w:val="00FF7E17"/>
    <w:rsid w:val="00FF7EE2"/>
    <w:rsid w:val="01002D5B"/>
    <w:rsid w:val="010141AC"/>
    <w:rsid w:val="01051709"/>
    <w:rsid w:val="010693E2"/>
    <w:rsid w:val="01079859"/>
    <w:rsid w:val="0107E278"/>
    <w:rsid w:val="01092E58"/>
    <w:rsid w:val="0109716E"/>
    <w:rsid w:val="010C327A"/>
    <w:rsid w:val="010C934F"/>
    <w:rsid w:val="010D9247"/>
    <w:rsid w:val="0112C394"/>
    <w:rsid w:val="0114B49D"/>
    <w:rsid w:val="01166F63"/>
    <w:rsid w:val="01182ADF"/>
    <w:rsid w:val="011D6986"/>
    <w:rsid w:val="0123C372"/>
    <w:rsid w:val="0129EEB8"/>
    <w:rsid w:val="012BD214"/>
    <w:rsid w:val="01374950"/>
    <w:rsid w:val="013BE167"/>
    <w:rsid w:val="013D7BC6"/>
    <w:rsid w:val="013E2ECF"/>
    <w:rsid w:val="014A2B09"/>
    <w:rsid w:val="014ACEC7"/>
    <w:rsid w:val="014CE8C4"/>
    <w:rsid w:val="0150D0F1"/>
    <w:rsid w:val="0158D28D"/>
    <w:rsid w:val="015C09AC"/>
    <w:rsid w:val="015D98F6"/>
    <w:rsid w:val="016041CB"/>
    <w:rsid w:val="0162D7F1"/>
    <w:rsid w:val="01679DB7"/>
    <w:rsid w:val="0169495A"/>
    <w:rsid w:val="01715C76"/>
    <w:rsid w:val="017A1D62"/>
    <w:rsid w:val="01811FB0"/>
    <w:rsid w:val="0181662C"/>
    <w:rsid w:val="018AEA71"/>
    <w:rsid w:val="0190EFA3"/>
    <w:rsid w:val="0195DBFD"/>
    <w:rsid w:val="019EDD29"/>
    <w:rsid w:val="01B3D131"/>
    <w:rsid w:val="01B404D3"/>
    <w:rsid w:val="01B4459F"/>
    <w:rsid w:val="01BBCD53"/>
    <w:rsid w:val="01C0E5FE"/>
    <w:rsid w:val="01C228AE"/>
    <w:rsid w:val="01C75043"/>
    <w:rsid w:val="01C92F63"/>
    <w:rsid w:val="01CC0547"/>
    <w:rsid w:val="01CE759D"/>
    <w:rsid w:val="01D43238"/>
    <w:rsid w:val="01D49B2D"/>
    <w:rsid w:val="01D8761E"/>
    <w:rsid w:val="01E1FF7C"/>
    <w:rsid w:val="01E50319"/>
    <w:rsid w:val="01EB1CC1"/>
    <w:rsid w:val="01EDEEA4"/>
    <w:rsid w:val="01F1088E"/>
    <w:rsid w:val="01F8C35E"/>
    <w:rsid w:val="01F94AA0"/>
    <w:rsid w:val="01FE9419"/>
    <w:rsid w:val="02042FCE"/>
    <w:rsid w:val="0204A1D7"/>
    <w:rsid w:val="020D28B0"/>
    <w:rsid w:val="020D6795"/>
    <w:rsid w:val="02105A79"/>
    <w:rsid w:val="0212B0DB"/>
    <w:rsid w:val="0212E7CC"/>
    <w:rsid w:val="0216314A"/>
    <w:rsid w:val="02169604"/>
    <w:rsid w:val="021AC485"/>
    <w:rsid w:val="021B5D0F"/>
    <w:rsid w:val="022B09CF"/>
    <w:rsid w:val="022B25F6"/>
    <w:rsid w:val="022CEF1D"/>
    <w:rsid w:val="022EF14C"/>
    <w:rsid w:val="0233D80E"/>
    <w:rsid w:val="02375809"/>
    <w:rsid w:val="0243D9BF"/>
    <w:rsid w:val="0245BB05"/>
    <w:rsid w:val="0248A502"/>
    <w:rsid w:val="0251822E"/>
    <w:rsid w:val="025D8E31"/>
    <w:rsid w:val="025DBB34"/>
    <w:rsid w:val="02696AB1"/>
    <w:rsid w:val="026EF5BA"/>
    <w:rsid w:val="026F6D5C"/>
    <w:rsid w:val="02760C4E"/>
    <w:rsid w:val="027A9E23"/>
    <w:rsid w:val="027C00AF"/>
    <w:rsid w:val="028483B8"/>
    <w:rsid w:val="02881634"/>
    <w:rsid w:val="028A232F"/>
    <w:rsid w:val="0292137F"/>
    <w:rsid w:val="0298A5D3"/>
    <w:rsid w:val="029AAF77"/>
    <w:rsid w:val="029BE88F"/>
    <w:rsid w:val="029C01C1"/>
    <w:rsid w:val="029D375C"/>
    <w:rsid w:val="029E72C6"/>
    <w:rsid w:val="029F1937"/>
    <w:rsid w:val="02A54BDD"/>
    <w:rsid w:val="02A5E76C"/>
    <w:rsid w:val="02AF02C4"/>
    <w:rsid w:val="02B3E598"/>
    <w:rsid w:val="02B42EED"/>
    <w:rsid w:val="02BF9BE2"/>
    <w:rsid w:val="02C12533"/>
    <w:rsid w:val="02C54898"/>
    <w:rsid w:val="02C54AAE"/>
    <w:rsid w:val="02C6E012"/>
    <w:rsid w:val="02C83735"/>
    <w:rsid w:val="02CB2E51"/>
    <w:rsid w:val="02CD52BA"/>
    <w:rsid w:val="02D7779D"/>
    <w:rsid w:val="02D942C5"/>
    <w:rsid w:val="02DA1186"/>
    <w:rsid w:val="02DAD9E8"/>
    <w:rsid w:val="02DC6B23"/>
    <w:rsid w:val="02DD475F"/>
    <w:rsid w:val="02E98CF2"/>
    <w:rsid w:val="02EC45DC"/>
    <w:rsid w:val="02EDA1D8"/>
    <w:rsid w:val="02F2DA6C"/>
    <w:rsid w:val="02F41380"/>
    <w:rsid w:val="02F57B1B"/>
    <w:rsid w:val="030016FE"/>
    <w:rsid w:val="030A4A7B"/>
    <w:rsid w:val="030D4DD7"/>
    <w:rsid w:val="030EC244"/>
    <w:rsid w:val="031981F2"/>
    <w:rsid w:val="031B4134"/>
    <w:rsid w:val="031EA193"/>
    <w:rsid w:val="03232913"/>
    <w:rsid w:val="0327FC7B"/>
    <w:rsid w:val="032E05FA"/>
    <w:rsid w:val="032F0318"/>
    <w:rsid w:val="0331ECE7"/>
    <w:rsid w:val="033332EC"/>
    <w:rsid w:val="033450EF"/>
    <w:rsid w:val="0337057D"/>
    <w:rsid w:val="033EF00D"/>
    <w:rsid w:val="03414F35"/>
    <w:rsid w:val="034244C2"/>
    <w:rsid w:val="03480D3C"/>
    <w:rsid w:val="034BFA4D"/>
    <w:rsid w:val="034DD94A"/>
    <w:rsid w:val="034FD9D1"/>
    <w:rsid w:val="0350DACF"/>
    <w:rsid w:val="03545543"/>
    <w:rsid w:val="03545BB0"/>
    <w:rsid w:val="0355B195"/>
    <w:rsid w:val="035F5D6C"/>
    <w:rsid w:val="0371C501"/>
    <w:rsid w:val="0376D0BD"/>
    <w:rsid w:val="037A0A55"/>
    <w:rsid w:val="037ABF32"/>
    <w:rsid w:val="038218B0"/>
    <w:rsid w:val="03839C0C"/>
    <w:rsid w:val="03864B69"/>
    <w:rsid w:val="03887EA7"/>
    <w:rsid w:val="038BF0B9"/>
    <w:rsid w:val="039190DD"/>
    <w:rsid w:val="03A042AE"/>
    <w:rsid w:val="03B599FA"/>
    <w:rsid w:val="03BDCBCD"/>
    <w:rsid w:val="03BE1333"/>
    <w:rsid w:val="03C6D31C"/>
    <w:rsid w:val="03C71B2A"/>
    <w:rsid w:val="03C9D4A1"/>
    <w:rsid w:val="03CA383A"/>
    <w:rsid w:val="03CEDA80"/>
    <w:rsid w:val="03D625DA"/>
    <w:rsid w:val="03D82017"/>
    <w:rsid w:val="03E225E3"/>
    <w:rsid w:val="03E579B9"/>
    <w:rsid w:val="03E8FFCC"/>
    <w:rsid w:val="03E91B8F"/>
    <w:rsid w:val="03EDB6AA"/>
    <w:rsid w:val="03EED138"/>
    <w:rsid w:val="03F81020"/>
    <w:rsid w:val="0407DFBF"/>
    <w:rsid w:val="040D5458"/>
    <w:rsid w:val="04104AF4"/>
    <w:rsid w:val="04137BAA"/>
    <w:rsid w:val="0413F12A"/>
    <w:rsid w:val="0421E2C3"/>
    <w:rsid w:val="0426D009"/>
    <w:rsid w:val="04283641"/>
    <w:rsid w:val="043272BE"/>
    <w:rsid w:val="043E3EB1"/>
    <w:rsid w:val="0441DBF5"/>
    <w:rsid w:val="0447FBA7"/>
    <w:rsid w:val="044EA8FF"/>
    <w:rsid w:val="0450236D"/>
    <w:rsid w:val="0450ACB8"/>
    <w:rsid w:val="0459F782"/>
    <w:rsid w:val="045D3F8A"/>
    <w:rsid w:val="0462CB3B"/>
    <w:rsid w:val="046848A2"/>
    <w:rsid w:val="046861A4"/>
    <w:rsid w:val="0468A155"/>
    <w:rsid w:val="046D6109"/>
    <w:rsid w:val="046DD7B3"/>
    <w:rsid w:val="04717C79"/>
    <w:rsid w:val="0477554A"/>
    <w:rsid w:val="04819C9D"/>
    <w:rsid w:val="0497CD33"/>
    <w:rsid w:val="049BB23E"/>
    <w:rsid w:val="04A29EA8"/>
    <w:rsid w:val="04A37996"/>
    <w:rsid w:val="04AB0B78"/>
    <w:rsid w:val="04ACD0A6"/>
    <w:rsid w:val="04AD14E4"/>
    <w:rsid w:val="04AE4727"/>
    <w:rsid w:val="04B135D8"/>
    <w:rsid w:val="04B1FFC6"/>
    <w:rsid w:val="04B38FCD"/>
    <w:rsid w:val="04C67CAE"/>
    <w:rsid w:val="04CC1E8D"/>
    <w:rsid w:val="04CD0115"/>
    <w:rsid w:val="04D95BC6"/>
    <w:rsid w:val="04DF22BE"/>
    <w:rsid w:val="04E1B2C8"/>
    <w:rsid w:val="04E43DDF"/>
    <w:rsid w:val="04EB0B88"/>
    <w:rsid w:val="04F0A4DB"/>
    <w:rsid w:val="04F3753D"/>
    <w:rsid w:val="04F727E3"/>
    <w:rsid w:val="04F7ABEF"/>
    <w:rsid w:val="04FC8B73"/>
    <w:rsid w:val="05014D88"/>
    <w:rsid w:val="05042F02"/>
    <w:rsid w:val="05050841"/>
    <w:rsid w:val="0507BBDA"/>
    <w:rsid w:val="0507F33E"/>
    <w:rsid w:val="050834DA"/>
    <w:rsid w:val="050E4DCB"/>
    <w:rsid w:val="050E5125"/>
    <w:rsid w:val="051326A7"/>
    <w:rsid w:val="051A3ED4"/>
    <w:rsid w:val="0524D371"/>
    <w:rsid w:val="0525CE9B"/>
    <w:rsid w:val="0525E8CE"/>
    <w:rsid w:val="052D915C"/>
    <w:rsid w:val="0531F6FA"/>
    <w:rsid w:val="053293C9"/>
    <w:rsid w:val="05356822"/>
    <w:rsid w:val="053D869F"/>
    <w:rsid w:val="05420EA5"/>
    <w:rsid w:val="0550BFBB"/>
    <w:rsid w:val="055B4DE5"/>
    <w:rsid w:val="055E7FD6"/>
    <w:rsid w:val="0562F6D3"/>
    <w:rsid w:val="0563ED4C"/>
    <w:rsid w:val="0565B725"/>
    <w:rsid w:val="05671DFF"/>
    <w:rsid w:val="056D54F2"/>
    <w:rsid w:val="057845E4"/>
    <w:rsid w:val="05828A88"/>
    <w:rsid w:val="05907320"/>
    <w:rsid w:val="05939B39"/>
    <w:rsid w:val="05AE0AF6"/>
    <w:rsid w:val="05C0614E"/>
    <w:rsid w:val="05C10196"/>
    <w:rsid w:val="05C9C330"/>
    <w:rsid w:val="05D0CFCA"/>
    <w:rsid w:val="05D0EE9F"/>
    <w:rsid w:val="05D1457C"/>
    <w:rsid w:val="05D2F084"/>
    <w:rsid w:val="05D792D3"/>
    <w:rsid w:val="05D7D38F"/>
    <w:rsid w:val="05E1F7DC"/>
    <w:rsid w:val="05E48330"/>
    <w:rsid w:val="05EAC908"/>
    <w:rsid w:val="05ECD21B"/>
    <w:rsid w:val="05EE4F26"/>
    <w:rsid w:val="05F00322"/>
    <w:rsid w:val="05F1B228"/>
    <w:rsid w:val="05F6A352"/>
    <w:rsid w:val="05FBEC9C"/>
    <w:rsid w:val="05FE7918"/>
    <w:rsid w:val="05FF61DC"/>
    <w:rsid w:val="060239AD"/>
    <w:rsid w:val="0603D2B7"/>
    <w:rsid w:val="060613D2"/>
    <w:rsid w:val="0607F4E1"/>
    <w:rsid w:val="060913E3"/>
    <w:rsid w:val="060B1DD7"/>
    <w:rsid w:val="060E39DF"/>
    <w:rsid w:val="060EFB0C"/>
    <w:rsid w:val="0610F2C8"/>
    <w:rsid w:val="06132242"/>
    <w:rsid w:val="061CFEF7"/>
    <w:rsid w:val="0622F5A1"/>
    <w:rsid w:val="062918F0"/>
    <w:rsid w:val="062C5A17"/>
    <w:rsid w:val="062D3FF3"/>
    <w:rsid w:val="0632EF0C"/>
    <w:rsid w:val="063F5DDE"/>
    <w:rsid w:val="064BF031"/>
    <w:rsid w:val="0658ED47"/>
    <w:rsid w:val="065B108A"/>
    <w:rsid w:val="065CD956"/>
    <w:rsid w:val="065D548F"/>
    <w:rsid w:val="0673CFB8"/>
    <w:rsid w:val="0674024F"/>
    <w:rsid w:val="067BAAC3"/>
    <w:rsid w:val="0684093D"/>
    <w:rsid w:val="069419F4"/>
    <w:rsid w:val="069C30FD"/>
    <w:rsid w:val="069DB254"/>
    <w:rsid w:val="069E0E9C"/>
    <w:rsid w:val="06A47B7F"/>
    <w:rsid w:val="06A575FC"/>
    <w:rsid w:val="06ABCACB"/>
    <w:rsid w:val="06AE6DE7"/>
    <w:rsid w:val="06B1F984"/>
    <w:rsid w:val="06B2C280"/>
    <w:rsid w:val="06B393D0"/>
    <w:rsid w:val="06B83C0E"/>
    <w:rsid w:val="06B87EE3"/>
    <w:rsid w:val="06BC294B"/>
    <w:rsid w:val="06BD8D1E"/>
    <w:rsid w:val="06C2061B"/>
    <w:rsid w:val="06C31D2A"/>
    <w:rsid w:val="06C8970F"/>
    <w:rsid w:val="06CB0C83"/>
    <w:rsid w:val="06CDE2DB"/>
    <w:rsid w:val="06D387D8"/>
    <w:rsid w:val="06D3A2C1"/>
    <w:rsid w:val="06E79906"/>
    <w:rsid w:val="06EF87D0"/>
    <w:rsid w:val="06F0984A"/>
    <w:rsid w:val="06F2561B"/>
    <w:rsid w:val="06FA1E00"/>
    <w:rsid w:val="06FC6ABC"/>
    <w:rsid w:val="070B5C6F"/>
    <w:rsid w:val="071021E5"/>
    <w:rsid w:val="07103071"/>
    <w:rsid w:val="0715A31A"/>
    <w:rsid w:val="071A55BD"/>
    <w:rsid w:val="071D7762"/>
    <w:rsid w:val="07252587"/>
    <w:rsid w:val="072637F1"/>
    <w:rsid w:val="072BAC1A"/>
    <w:rsid w:val="072CF141"/>
    <w:rsid w:val="0734BAA6"/>
    <w:rsid w:val="07353E5F"/>
    <w:rsid w:val="0738311B"/>
    <w:rsid w:val="073F6420"/>
    <w:rsid w:val="0746664A"/>
    <w:rsid w:val="074D3695"/>
    <w:rsid w:val="074FA0C2"/>
    <w:rsid w:val="0751E7DC"/>
    <w:rsid w:val="07573BBB"/>
    <w:rsid w:val="0764BD0D"/>
    <w:rsid w:val="076586FA"/>
    <w:rsid w:val="0765E19D"/>
    <w:rsid w:val="076D1A88"/>
    <w:rsid w:val="076DC7E0"/>
    <w:rsid w:val="07747E62"/>
    <w:rsid w:val="077536D4"/>
    <w:rsid w:val="0775E68A"/>
    <w:rsid w:val="077E58F6"/>
    <w:rsid w:val="0783D39F"/>
    <w:rsid w:val="078AC183"/>
    <w:rsid w:val="07908C02"/>
    <w:rsid w:val="07911979"/>
    <w:rsid w:val="07997F6C"/>
    <w:rsid w:val="079FDCC3"/>
    <w:rsid w:val="07A6483D"/>
    <w:rsid w:val="07A78DDF"/>
    <w:rsid w:val="07A98F35"/>
    <w:rsid w:val="07ACCD23"/>
    <w:rsid w:val="07AEF0DD"/>
    <w:rsid w:val="07B53D81"/>
    <w:rsid w:val="07B814ED"/>
    <w:rsid w:val="07B9DC46"/>
    <w:rsid w:val="07C03EC7"/>
    <w:rsid w:val="07CB047C"/>
    <w:rsid w:val="07D118E7"/>
    <w:rsid w:val="07D12431"/>
    <w:rsid w:val="07D153D0"/>
    <w:rsid w:val="07D1BCD3"/>
    <w:rsid w:val="07D78BA1"/>
    <w:rsid w:val="07E403C2"/>
    <w:rsid w:val="07E647D4"/>
    <w:rsid w:val="07E93003"/>
    <w:rsid w:val="07ED3CF3"/>
    <w:rsid w:val="07F06B13"/>
    <w:rsid w:val="07F6D084"/>
    <w:rsid w:val="07FDEFB8"/>
    <w:rsid w:val="07FE58CC"/>
    <w:rsid w:val="07FE89A3"/>
    <w:rsid w:val="080EEF1D"/>
    <w:rsid w:val="0812EBB0"/>
    <w:rsid w:val="0813534D"/>
    <w:rsid w:val="0813918D"/>
    <w:rsid w:val="0814B56C"/>
    <w:rsid w:val="0817455D"/>
    <w:rsid w:val="081C142C"/>
    <w:rsid w:val="0821739B"/>
    <w:rsid w:val="083111AA"/>
    <w:rsid w:val="083796BA"/>
    <w:rsid w:val="0839E7A2"/>
    <w:rsid w:val="083C5ED1"/>
    <w:rsid w:val="08428786"/>
    <w:rsid w:val="084C3C42"/>
    <w:rsid w:val="084FEAEF"/>
    <w:rsid w:val="085D0634"/>
    <w:rsid w:val="08614898"/>
    <w:rsid w:val="086D008D"/>
    <w:rsid w:val="087051F5"/>
    <w:rsid w:val="087254B5"/>
    <w:rsid w:val="08741221"/>
    <w:rsid w:val="087D8471"/>
    <w:rsid w:val="0882B251"/>
    <w:rsid w:val="0883126F"/>
    <w:rsid w:val="088F0BAA"/>
    <w:rsid w:val="0891DCB3"/>
    <w:rsid w:val="089F86B6"/>
    <w:rsid w:val="08B35065"/>
    <w:rsid w:val="08B43797"/>
    <w:rsid w:val="08BD3471"/>
    <w:rsid w:val="08BD55DF"/>
    <w:rsid w:val="08C02642"/>
    <w:rsid w:val="08C296E2"/>
    <w:rsid w:val="08C9AB5E"/>
    <w:rsid w:val="08CEAF1B"/>
    <w:rsid w:val="08D5EBC7"/>
    <w:rsid w:val="08E3CC33"/>
    <w:rsid w:val="08E68A43"/>
    <w:rsid w:val="08E749FB"/>
    <w:rsid w:val="08E83FEF"/>
    <w:rsid w:val="08ECBC9A"/>
    <w:rsid w:val="0903B8D2"/>
    <w:rsid w:val="0909A704"/>
    <w:rsid w:val="090E3FCE"/>
    <w:rsid w:val="090EF160"/>
    <w:rsid w:val="09189FA3"/>
    <w:rsid w:val="0929DD40"/>
    <w:rsid w:val="092A80FF"/>
    <w:rsid w:val="092E631B"/>
    <w:rsid w:val="092EF470"/>
    <w:rsid w:val="09302658"/>
    <w:rsid w:val="0936327A"/>
    <w:rsid w:val="093A60A3"/>
    <w:rsid w:val="093CD69E"/>
    <w:rsid w:val="093CD9EE"/>
    <w:rsid w:val="09450307"/>
    <w:rsid w:val="0945135F"/>
    <w:rsid w:val="09461966"/>
    <w:rsid w:val="094EB794"/>
    <w:rsid w:val="09503B50"/>
    <w:rsid w:val="09551ED6"/>
    <w:rsid w:val="09580FFC"/>
    <w:rsid w:val="095E4820"/>
    <w:rsid w:val="09736E16"/>
    <w:rsid w:val="0974A7E8"/>
    <w:rsid w:val="0978709B"/>
    <w:rsid w:val="097D523F"/>
    <w:rsid w:val="097E0BFC"/>
    <w:rsid w:val="09895A21"/>
    <w:rsid w:val="098C4A5E"/>
    <w:rsid w:val="09923295"/>
    <w:rsid w:val="099860EE"/>
    <w:rsid w:val="09A086AF"/>
    <w:rsid w:val="09A10CF1"/>
    <w:rsid w:val="09ACEC94"/>
    <w:rsid w:val="09B0DAED"/>
    <w:rsid w:val="09B1CC70"/>
    <w:rsid w:val="09B79458"/>
    <w:rsid w:val="09BAAA8F"/>
    <w:rsid w:val="09C8F538"/>
    <w:rsid w:val="09D61B09"/>
    <w:rsid w:val="09D9DC37"/>
    <w:rsid w:val="09DCFD09"/>
    <w:rsid w:val="09EDE6B9"/>
    <w:rsid w:val="09F74CCD"/>
    <w:rsid w:val="09FAF41B"/>
    <w:rsid w:val="09FF0D70"/>
    <w:rsid w:val="0A0062E1"/>
    <w:rsid w:val="0A02F826"/>
    <w:rsid w:val="0A074DB3"/>
    <w:rsid w:val="0A07DC99"/>
    <w:rsid w:val="0A0E2AF6"/>
    <w:rsid w:val="0A12819E"/>
    <w:rsid w:val="0A1AAFA5"/>
    <w:rsid w:val="0A1D4893"/>
    <w:rsid w:val="0A22FD5A"/>
    <w:rsid w:val="0A267B64"/>
    <w:rsid w:val="0A26B684"/>
    <w:rsid w:val="0A2BBD01"/>
    <w:rsid w:val="0A3214DE"/>
    <w:rsid w:val="0A3247AA"/>
    <w:rsid w:val="0A37106D"/>
    <w:rsid w:val="0A375397"/>
    <w:rsid w:val="0A3F7643"/>
    <w:rsid w:val="0A48969A"/>
    <w:rsid w:val="0A558C8F"/>
    <w:rsid w:val="0A5599A8"/>
    <w:rsid w:val="0A5705FF"/>
    <w:rsid w:val="0A584C2B"/>
    <w:rsid w:val="0A5991A0"/>
    <w:rsid w:val="0A5B3208"/>
    <w:rsid w:val="0A610A93"/>
    <w:rsid w:val="0A694E0A"/>
    <w:rsid w:val="0A6C1B37"/>
    <w:rsid w:val="0A7CB439"/>
    <w:rsid w:val="0A85A17C"/>
    <w:rsid w:val="0A8A0E39"/>
    <w:rsid w:val="0A92EE30"/>
    <w:rsid w:val="0A9B818C"/>
    <w:rsid w:val="0A9D2C92"/>
    <w:rsid w:val="0AA29C88"/>
    <w:rsid w:val="0AA3A3DF"/>
    <w:rsid w:val="0AA59303"/>
    <w:rsid w:val="0AA98845"/>
    <w:rsid w:val="0AAFE135"/>
    <w:rsid w:val="0AB45775"/>
    <w:rsid w:val="0AB64D74"/>
    <w:rsid w:val="0AB74AFB"/>
    <w:rsid w:val="0ACB55C1"/>
    <w:rsid w:val="0AD86586"/>
    <w:rsid w:val="0AE6A6A9"/>
    <w:rsid w:val="0AEA2EAF"/>
    <w:rsid w:val="0AF06C74"/>
    <w:rsid w:val="0AF45D7E"/>
    <w:rsid w:val="0AF4ACFE"/>
    <w:rsid w:val="0AF5E2ED"/>
    <w:rsid w:val="0B0D3D78"/>
    <w:rsid w:val="0B102D60"/>
    <w:rsid w:val="0B1164EE"/>
    <w:rsid w:val="0B1A159B"/>
    <w:rsid w:val="0B1C98D1"/>
    <w:rsid w:val="0B21918D"/>
    <w:rsid w:val="0B258767"/>
    <w:rsid w:val="0B2829F6"/>
    <w:rsid w:val="0B31DEFA"/>
    <w:rsid w:val="0B346EF6"/>
    <w:rsid w:val="0B3698B6"/>
    <w:rsid w:val="0B3A8D2A"/>
    <w:rsid w:val="0B3E9B91"/>
    <w:rsid w:val="0B3E9C2B"/>
    <w:rsid w:val="0B3F0E0B"/>
    <w:rsid w:val="0B4105C3"/>
    <w:rsid w:val="0B421EBA"/>
    <w:rsid w:val="0B42B48E"/>
    <w:rsid w:val="0B44F862"/>
    <w:rsid w:val="0B45B14B"/>
    <w:rsid w:val="0B47FAAB"/>
    <w:rsid w:val="0B480D76"/>
    <w:rsid w:val="0B4D6F7D"/>
    <w:rsid w:val="0B511DE0"/>
    <w:rsid w:val="0B52D3BB"/>
    <w:rsid w:val="0B53DB15"/>
    <w:rsid w:val="0B5C6FA3"/>
    <w:rsid w:val="0B5EE750"/>
    <w:rsid w:val="0B61B209"/>
    <w:rsid w:val="0B640E16"/>
    <w:rsid w:val="0B70A211"/>
    <w:rsid w:val="0B732BC7"/>
    <w:rsid w:val="0B74CB39"/>
    <w:rsid w:val="0B78D676"/>
    <w:rsid w:val="0B7A450A"/>
    <w:rsid w:val="0B7D5018"/>
    <w:rsid w:val="0B7E575A"/>
    <w:rsid w:val="0B85F142"/>
    <w:rsid w:val="0B8683E7"/>
    <w:rsid w:val="0B87245D"/>
    <w:rsid w:val="0B8D1CB0"/>
    <w:rsid w:val="0B90B157"/>
    <w:rsid w:val="0B94D016"/>
    <w:rsid w:val="0B9A5FB5"/>
    <w:rsid w:val="0B9CB220"/>
    <w:rsid w:val="0BA29B7E"/>
    <w:rsid w:val="0BA47137"/>
    <w:rsid w:val="0BA54F07"/>
    <w:rsid w:val="0BA70BD3"/>
    <w:rsid w:val="0BAC6E10"/>
    <w:rsid w:val="0BAEF685"/>
    <w:rsid w:val="0BB2FF06"/>
    <w:rsid w:val="0BB7C72C"/>
    <w:rsid w:val="0BC41305"/>
    <w:rsid w:val="0BC6168E"/>
    <w:rsid w:val="0BC70792"/>
    <w:rsid w:val="0BD0A8F8"/>
    <w:rsid w:val="0BE3D1B7"/>
    <w:rsid w:val="0BE927F1"/>
    <w:rsid w:val="0BF00B93"/>
    <w:rsid w:val="0BF3B9F8"/>
    <w:rsid w:val="0BF4BDE8"/>
    <w:rsid w:val="0BF69FC6"/>
    <w:rsid w:val="0BFA6001"/>
    <w:rsid w:val="0BFAFF5C"/>
    <w:rsid w:val="0BFE24CD"/>
    <w:rsid w:val="0C0C975F"/>
    <w:rsid w:val="0C0D1A9C"/>
    <w:rsid w:val="0C1284EB"/>
    <w:rsid w:val="0C145699"/>
    <w:rsid w:val="0C167836"/>
    <w:rsid w:val="0C1D173F"/>
    <w:rsid w:val="0C20767D"/>
    <w:rsid w:val="0C28BEAB"/>
    <w:rsid w:val="0C2DFC57"/>
    <w:rsid w:val="0C35CA5D"/>
    <w:rsid w:val="0C404B60"/>
    <w:rsid w:val="0C41A992"/>
    <w:rsid w:val="0C43C73C"/>
    <w:rsid w:val="0C440516"/>
    <w:rsid w:val="0C52B0CB"/>
    <w:rsid w:val="0C544B36"/>
    <w:rsid w:val="0C5D2DDF"/>
    <w:rsid w:val="0C5E4525"/>
    <w:rsid w:val="0C63BD81"/>
    <w:rsid w:val="0C6694D3"/>
    <w:rsid w:val="0C6773B5"/>
    <w:rsid w:val="0C7866B9"/>
    <w:rsid w:val="0C7C95E7"/>
    <w:rsid w:val="0C808C7A"/>
    <w:rsid w:val="0C87D678"/>
    <w:rsid w:val="0C8E3FCE"/>
    <w:rsid w:val="0C93710A"/>
    <w:rsid w:val="0C9CCB25"/>
    <w:rsid w:val="0C9E3D17"/>
    <w:rsid w:val="0C9FBEB0"/>
    <w:rsid w:val="0CA0DD2A"/>
    <w:rsid w:val="0CA33EF6"/>
    <w:rsid w:val="0CA3634B"/>
    <w:rsid w:val="0CA88401"/>
    <w:rsid w:val="0CB226D8"/>
    <w:rsid w:val="0CB3278C"/>
    <w:rsid w:val="0CB73790"/>
    <w:rsid w:val="0CB9799D"/>
    <w:rsid w:val="0CBD9CD0"/>
    <w:rsid w:val="0CBF96B6"/>
    <w:rsid w:val="0CC1B773"/>
    <w:rsid w:val="0CC2E465"/>
    <w:rsid w:val="0CC3E61B"/>
    <w:rsid w:val="0CC50D79"/>
    <w:rsid w:val="0CC5DC4B"/>
    <w:rsid w:val="0CCDD2E8"/>
    <w:rsid w:val="0CCFB5A8"/>
    <w:rsid w:val="0CD0AC2C"/>
    <w:rsid w:val="0CD539DB"/>
    <w:rsid w:val="0CD53A4F"/>
    <w:rsid w:val="0CDDE37B"/>
    <w:rsid w:val="0CDF07C4"/>
    <w:rsid w:val="0CE60456"/>
    <w:rsid w:val="0CE629FD"/>
    <w:rsid w:val="0CECEE4B"/>
    <w:rsid w:val="0CEE38E4"/>
    <w:rsid w:val="0CF30046"/>
    <w:rsid w:val="0CFB4D30"/>
    <w:rsid w:val="0CFFB947"/>
    <w:rsid w:val="0D0553A5"/>
    <w:rsid w:val="0D077BC9"/>
    <w:rsid w:val="0D0B39E3"/>
    <w:rsid w:val="0D0BC6F9"/>
    <w:rsid w:val="0D0E2E5D"/>
    <w:rsid w:val="0D12E3B3"/>
    <w:rsid w:val="0D14700E"/>
    <w:rsid w:val="0D1A02BC"/>
    <w:rsid w:val="0D1B0A14"/>
    <w:rsid w:val="0D27A6B4"/>
    <w:rsid w:val="0D27DA91"/>
    <w:rsid w:val="0D283059"/>
    <w:rsid w:val="0D296D7E"/>
    <w:rsid w:val="0D2C0377"/>
    <w:rsid w:val="0D2CEB7C"/>
    <w:rsid w:val="0D3AE6D2"/>
    <w:rsid w:val="0D4156F7"/>
    <w:rsid w:val="0D422D75"/>
    <w:rsid w:val="0D446DC7"/>
    <w:rsid w:val="0D44E7D3"/>
    <w:rsid w:val="0D4902A8"/>
    <w:rsid w:val="0D4AE294"/>
    <w:rsid w:val="0D4C99BF"/>
    <w:rsid w:val="0D555B2F"/>
    <w:rsid w:val="0D56AED9"/>
    <w:rsid w:val="0D580D61"/>
    <w:rsid w:val="0D60C303"/>
    <w:rsid w:val="0D691405"/>
    <w:rsid w:val="0D6BF4E5"/>
    <w:rsid w:val="0D733630"/>
    <w:rsid w:val="0D74CF60"/>
    <w:rsid w:val="0D78D8EC"/>
    <w:rsid w:val="0D909805"/>
    <w:rsid w:val="0D90FF84"/>
    <w:rsid w:val="0D9551DC"/>
    <w:rsid w:val="0D95AFD1"/>
    <w:rsid w:val="0D9992FC"/>
    <w:rsid w:val="0DA3385C"/>
    <w:rsid w:val="0DA8D202"/>
    <w:rsid w:val="0DAFB5DC"/>
    <w:rsid w:val="0DB18537"/>
    <w:rsid w:val="0DB80226"/>
    <w:rsid w:val="0DBE589A"/>
    <w:rsid w:val="0DC0E75B"/>
    <w:rsid w:val="0DC26039"/>
    <w:rsid w:val="0DC98CE4"/>
    <w:rsid w:val="0DCD0C8A"/>
    <w:rsid w:val="0DD00DFD"/>
    <w:rsid w:val="0DD333FD"/>
    <w:rsid w:val="0DD3AC56"/>
    <w:rsid w:val="0DD46E60"/>
    <w:rsid w:val="0DD8080D"/>
    <w:rsid w:val="0DDC8CC4"/>
    <w:rsid w:val="0DDCE2A0"/>
    <w:rsid w:val="0DE083E5"/>
    <w:rsid w:val="0DE8AEFD"/>
    <w:rsid w:val="0DECAB4C"/>
    <w:rsid w:val="0DF61CF0"/>
    <w:rsid w:val="0DF62EB0"/>
    <w:rsid w:val="0DF99849"/>
    <w:rsid w:val="0DFA2073"/>
    <w:rsid w:val="0E021846"/>
    <w:rsid w:val="0E02C616"/>
    <w:rsid w:val="0E06A747"/>
    <w:rsid w:val="0E0990F1"/>
    <w:rsid w:val="0E0C19E2"/>
    <w:rsid w:val="0E0CFEF9"/>
    <w:rsid w:val="0E111687"/>
    <w:rsid w:val="0E1148F6"/>
    <w:rsid w:val="0E2DC226"/>
    <w:rsid w:val="0E2F50A1"/>
    <w:rsid w:val="0E30A130"/>
    <w:rsid w:val="0E355289"/>
    <w:rsid w:val="0E439575"/>
    <w:rsid w:val="0E5B409A"/>
    <w:rsid w:val="0E6A223A"/>
    <w:rsid w:val="0E6A27AA"/>
    <w:rsid w:val="0E6E80F9"/>
    <w:rsid w:val="0E75A650"/>
    <w:rsid w:val="0E7F4D29"/>
    <w:rsid w:val="0E812938"/>
    <w:rsid w:val="0E812A9C"/>
    <w:rsid w:val="0E836EB9"/>
    <w:rsid w:val="0E848659"/>
    <w:rsid w:val="0E849D28"/>
    <w:rsid w:val="0E8DF5F2"/>
    <w:rsid w:val="0E91210A"/>
    <w:rsid w:val="0E916A84"/>
    <w:rsid w:val="0E94DEE3"/>
    <w:rsid w:val="0E977FC4"/>
    <w:rsid w:val="0E9B07E7"/>
    <w:rsid w:val="0EA33D7F"/>
    <w:rsid w:val="0EAA9F60"/>
    <w:rsid w:val="0EAF9D1E"/>
    <w:rsid w:val="0EB1F777"/>
    <w:rsid w:val="0EB4D91E"/>
    <w:rsid w:val="0EBB6AD9"/>
    <w:rsid w:val="0ED049EA"/>
    <w:rsid w:val="0ED97039"/>
    <w:rsid w:val="0EDC0FF1"/>
    <w:rsid w:val="0EE00F2D"/>
    <w:rsid w:val="0EE4DFD1"/>
    <w:rsid w:val="0EE8F870"/>
    <w:rsid w:val="0EEA1063"/>
    <w:rsid w:val="0EF6E98B"/>
    <w:rsid w:val="0EF76621"/>
    <w:rsid w:val="0EF7FF92"/>
    <w:rsid w:val="0F03C33B"/>
    <w:rsid w:val="0F060937"/>
    <w:rsid w:val="0F065560"/>
    <w:rsid w:val="0F0DD5B6"/>
    <w:rsid w:val="0F105A79"/>
    <w:rsid w:val="0F137630"/>
    <w:rsid w:val="0F1B239A"/>
    <w:rsid w:val="0F1C567C"/>
    <w:rsid w:val="0F1F2964"/>
    <w:rsid w:val="0F21F591"/>
    <w:rsid w:val="0F22A5F5"/>
    <w:rsid w:val="0F249930"/>
    <w:rsid w:val="0F269F07"/>
    <w:rsid w:val="0F39F834"/>
    <w:rsid w:val="0F423024"/>
    <w:rsid w:val="0F4F9CE8"/>
    <w:rsid w:val="0F52F9DA"/>
    <w:rsid w:val="0F530B40"/>
    <w:rsid w:val="0F56C9CD"/>
    <w:rsid w:val="0F5B7B10"/>
    <w:rsid w:val="0F5B8D0A"/>
    <w:rsid w:val="0F6790BE"/>
    <w:rsid w:val="0F6F4398"/>
    <w:rsid w:val="0F70B0D6"/>
    <w:rsid w:val="0F74C2C7"/>
    <w:rsid w:val="0F79D5B9"/>
    <w:rsid w:val="0F842181"/>
    <w:rsid w:val="0F84CB8A"/>
    <w:rsid w:val="0F88F766"/>
    <w:rsid w:val="0F8C2D19"/>
    <w:rsid w:val="0F8D0287"/>
    <w:rsid w:val="0F96EF66"/>
    <w:rsid w:val="0F99D811"/>
    <w:rsid w:val="0F99EAAA"/>
    <w:rsid w:val="0F9C36D7"/>
    <w:rsid w:val="0FB09C37"/>
    <w:rsid w:val="0FB3A0D6"/>
    <w:rsid w:val="0FB9C669"/>
    <w:rsid w:val="0FCCF16D"/>
    <w:rsid w:val="0FD53E31"/>
    <w:rsid w:val="0FDAE47B"/>
    <w:rsid w:val="0FDC30AF"/>
    <w:rsid w:val="0FE3298F"/>
    <w:rsid w:val="0FE4ACEB"/>
    <w:rsid w:val="0FE85BBC"/>
    <w:rsid w:val="0FF090EA"/>
    <w:rsid w:val="0FF1BC5F"/>
    <w:rsid w:val="1008AF3D"/>
    <w:rsid w:val="10183B79"/>
    <w:rsid w:val="10184AE3"/>
    <w:rsid w:val="101BE870"/>
    <w:rsid w:val="101C4B6A"/>
    <w:rsid w:val="10217CDA"/>
    <w:rsid w:val="10239E7A"/>
    <w:rsid w:val="102419E3"/>
    <w:rsid w:val="10266A74"/>
    <w:rsid w:val="10267286"/>
    <w:rsid w:val="1026959A"/>
    <w:rsid w:val="1027103C"/>
    <w:rsid w:val="1028CD7D"/>
    <w:rsid w:val="102F93BC"/>
    <w:rsid w:val="1034001C"/>
    <w:rsid w:val="10354B41"/>
    <w:rsid w:val="1036E370"/>
    <w:rsid w:val="1040DB54"/>
    <w:rsid w:val="10426EC2"/>
    <w:rsid w:val="1042B1DF"/>
    <w:rsid w:val="104EB87B"/>
    <w:rsid w:val="104EC080"/>
    <w:rsid w:val="104F41B5"/>
    <w:rsid w:val="1055204C"/>
    <w:rsid w:val="1058BD80"/>
    <w:rsid w:val="105BB86F"/>
    <w:rsid w:val="105F805A"/>
    <w:rsid w:val="1060D747"/>
    <w:rsid w:val="10636F75"/>
    <w:rsid w:val="1063B96A"/>
    <w:rsid w:val="1063CDF8"/>
    <w:rsid w:val="107263D5"/>
    <w:rsid w:val="1073D1A8"/>
    <w:rsid w:val="1075DFD6"/>
    <w:rsid w:val="1078022A"/>
    <w:rsid w:val="107A436E"/>
    <w:rsid w:val="10828354"/>
    <w:rsid w:val="10829F79"/>
    <w:rsid w:val="108913D4"/>
    <w:rsid w:val="108A9107"/>
    <w:rsid w:val="108FA794"/>
    <w:rsid w:val="109A90E1"/>
    <w:rsid w:val="109EAC88"/>
    <w:rsid w:val="10A366EE"/>
    <w:rsid w:val="10A3ADFF"/>
    <w:rsid w:val="10A7E3CB"/>
    <w:rsid w:val="10AD7AE5"/>
    <w:rsid w:val="10B1716B"/>
    <w:rsid w:val="10B1A811"/>
    <w:rsid w:val="10B7AE39"/>
    <w:rsid w:val="10BE52CD"/>
    <w:rsid w:val="10CFE460"/>
    <w:rsid w:val="10D2234F"/>
    <w:rsid w:val="10DB2EF6"/>
    <w:rsid w:val="10E46459"/>
    <w:rsid w:val="10E4F598"/>
    <w:rsid w:val="10E66B1E"/>
    <w:rsid w:val="10EAFBD9"/>
    <w:rsid w:val="10EBB283"/>
    <w:rsid w:val="10EC28E8"/>
    <w:rsid w:val="10EF2425"/>
    <w:rsid w:val="10FEA40D"/>
    <w:rsid w:val="1100314C"/>
    <w:rsid w:val="11006E99"/>
    <w:rsid w:val="1105A686"/>
    <w:rsid w:val="11152E7C"/>
    <w:rsid w:val="11175AC3"/>
    <w:rsid w:val="111EE075"/>
    <w:rsid w:val="1123320F"/>
    <w:rsid w:val="112387CB"/>
    <w:rsid w:val="112EDA18"/>
    <w:rsid w:val="113240D0"/>
    <w:rsid w:val="11360CFF"/>
    <w:rsid w:val="1147FC11"/>
    <w:rsid w:val="114E1AAB"/>
    <w:rsid w:val="114E603B"/>
    <w:rsid w:val="115DA426"/>
    <w:rsid w:val="115FB388"/>
    <w:rsid w:val="11690DA0"/>
    <w:rsid w:val="116A5E57"/>
    <w:rsid w:val="116A72AE"/>
    <w:rsid w:val="116BB437"/>
    <w:rsid w:val="116C7B77"/>
    <w:rsid w:val="116ECAE2"/>
    <w:rsid w:val="117A9EC2"/>
    <w:rsid w:val="1181508C"/>
    <w:rsid w:val="118254EC"/>
    <w:rsid w:val="118739E0"/>
    <w:rsid w:val="11880C30"/>
    <w:rsid w:val="1191D746"/>
    <w:rsid w:val="11962B77"/>
    <w:rsid w:val="1196D754"/>
    <w:rsid w:val="11A5424A"/>
    <w:rsid w:val="11BBA945"/>
    <w:rsid w:val="11C9527D"/>
    <w:rsid w:val="11CA4C0D"/>
    <w:rsid w:val="11CF3BD8"/>
    <w:rsid w:val="11D108FD"/>
    <w:rsid w:val="11DD587B"/>
    <w:rsid w:val="11DDC738"/>
    <w:rsid w:val="11E22422"/>
    <w:rsid w:val="11E45264"/>
    <w:rsid w:val="11E4E8B0"/>
    <w:rsid w:val="11E4FEF0"/>
    <w:rsid w:val="11E57456"/>
    <w:rsid w:val="11E897DA"/>
    <w:rsid w:val="11EACE13"/>
    <w:rsid w:val="11F07874"/>
    <w:rsid w:val="11F45580"/>
    <w:rsid w:val="11F56878"/>
    <w:rsid w:val="11F97C55"/>
    <w:rsid w:val="11FF74C7"/>
    <w:rsid w:val="1206B62C"/>
    <w:rsid w:val="1209DF56"/>
    <w:rsid w:val="120B7A54"/>
    <w:rsid w:val="120DA8F2"/>
    <w:rsid w:val="120EE64A"/>
    <w:rsid w:val="1210CE03"/>
    <w:rsid w:val="121683D4"/>
    <w:rsid w:val="1218F330"/>
    <w:rsid w:val="121DEB92"/>
    <w:rsid w:val="121F41AC"/>
    <w:rsid w:val="1222CD68"/>
    <w:rsid w:val="122E73CA"/>
    <w:rsid w:val="1233B21E"/>
    <w:rsid w:val="1233CD0E"/>
    <w:rsid w:val="12374AB4"/>
    <w:rsid w:val="123D53B3"/>
    <w:rsid w:val="12482B91"/>
    <w:rsid w:val="1248D1AA"/>
    <w:rsid w:val="124EA332"/>
    <w:rsid w:val="124F84E0"/>
    <w:rsid w:val="1253DDF9"/>
    <w:rsid w:val="12596DA4"/>
    <w:rsid w:val="125AA117"/>
    <w:rsid w:val="125C1592"/>
    <w:rsid w:val="125E60CC"/>
    <w:rsid w:val="125FCB08"/>
    <w:rsid w:val="12617F2E"/>
    <w:rsid w:val="12618C5B"/>
    <w:rsid w:val="12622EF4"/>
    <w:rsid w:val="12647885"/>
    <w:rsid w:val="126DA8B8"/>
    <w:rsid w:val="1274AC49"/>
    <w:rsid w:val="127A1628"/>
    <w:rsid w:val="128029E7"/>
    <w:rsid w:val="129C0CE3"/>
    <w:rsid w:val="12A34A2B"/>
    <w:rsid w:val="12A34FC5"/>
    <w:rsid w:val="12AC7179"/>
    <w:rsid w:val="12AFE57C"/>
    <w:rsid w:val="12B35E85"/>
    <w:rsid w:val="12BD115E"/>
    <w:rsid w:val="12C2FE65"/>
    <w:rsid w:val="12C326D7"/>
    <w:rsid w:val="12C519FA"/>
    <w:rsid w:val="12C78641"/>
    <w:rsid w:val="12C899E1"/>
    <w:rsid w:val="12D0A42A"/>
    <w:rsid w:val="12D53BBE"/>
    <w:rsid w:val="12DEFFA3"/>
    <w:rsid w:val="12E36EB0"/>
    <w:rsid w:val="12E8B40D"/>
    <w:rsid w:val="12ECACF4"/>
    <w:rsid w:val="12F04BD2"/>
    <w:rsid w:val="12F06615"/>
    <w:rsid w:val="12F0B507"/>
    <w:rsid w:val="130472A3"/>
    <w:rsid w:val="1306B452"/>
    <w:rsid w:val="13179A32"/>
    <w:rsid w:val="1323861C"/>
    <w:rsid w:val="1330A318"/>
    <w:rsid w:val="13320207"/>
    <w:rsid w:val="13364142"/>
    <w:rsid w:val="1337D1C5"/>
    <w:rsid w:val="13393840"/>
    <w:rsid w:val="133AEF3C"/>
    <w:rsid w:val="133CA8C6"/>
    <w:rsid w:val="133D95FB"/>
    <w:rsid w:val="1347D737"/>
    <w:rsid w:val="134D9725"/>
    <w:rsid w:val="134E0AEA"/>
    <w:rsid w:val="1353F325"/>
    <w:rsid w:val="135766EB"/>
    <w:rsid w:val="135B6393"/>
    <w:rsid w:val="135CECCB"/>
    <w:rsid w:val="1362E995"/>
    <w:rsid w:val="136B5FED"/>
    <w:rsid w:val="1378928F"/>
    <w:rsid w:val="1382403C"/>
    <w:rsid w:val="138ABBCE"/>
    <w:rsid w:val="1398BEE0"/>
    <w:rsid w:val="1399E88A"/>
    <w:rsid w:val="13A323C6"/>
    <w:rsid w:val="13A7EC8E"/>
    <w:rsid w:val="13AFA183"/>
    <w:rsid w:val="13B2C91A"/>
    <w:rsid w:val="13B649A3"/>
    <w:rsid w:val="13B82CE1"/>
    <w:rsid w:val="13BE7976"/>
    <w:rsid w:val="13BF833E"/>
    <w:rsid w:val="13C4A185"/>
    <w:rsid w:val="13D79B03"/>
    <w:rsid w:val="13DBD1D6"/>
    <w:rsid w:val="13E79CA7"/>
    <w:rsid w:val="13E7A4A9"/>
    <w:rsid w:val="13E90025"/>
    <w:rsid w:val="13F4A173"/>
    <w:rsid w:val="13F65AD4"/>
    <w:rsid w:val="13F90F36"/>
    <w:rsid w:val="14079EB2"/>
    <w:rsid w:val="140BA4E0"/>
    <w:rsid w:val="141226E7"/>
    <w:rsid w:val="141418FF"/>
    <w:rsid w:val="141FDB82"/>
    <w:rsid w:val="14202CEE"/>
    <w:rsid w:val="14281D6E"/>
    <w:rsid w:val="1430FA17"/>
    <w:rsid w:val="143141C6"/>
    <w:rsid w:val="14335A04"/>
    <w:rsid w:val="143ACB11"/>
    <w:rsid w:val="143D6797"/>
    <w:rsid w:val="143E74DB"/>
    <w:rsid w:val="1441A429"/>
    <w:rsid w:val="1441FA02"/>
    <w:rsid w:val="14468BA9"/>
    <w:rsid w:val="1448741B"/>
    <w:rsid w:val="144F2836"/>
    <w:rsid w:val="14509BDB"/>
    <w:rsid w:val="1451F4A4"/>
    <w:rsid w:val="14528A11"/>
    <w:rsid w:val="14574DE5"/>
    <w:rsid w:val="145F0769"/>
    <w:rsid w:val="14635692"/>
    <w:rsid w:val="146F5690"/>
    <w:rsid w:val="147311E4"/>
    <w:rsid w:val="14767B59"/>
    <w:rsid w:val="14883BA4"/>
    <w:rsid w:val="149379EA"/>
    <w:rsid w:val="14938DEA"/>
    <w:rsid w:val="14954D40"/>
    <w:rsid w:val="14960036"/>
    <w:rsid w:val="149B18BA"/>
    <w:rsid w:val="149F5987"/>
    <w:rsid w:val="14A021F6"/>
    <w:rsid w:val="14B7C27F"/>
    <w:rsid w:val="14BFFE30"/>
    <w:rsid w:val="14C444B3"/>
    <w:rsid w:val="14C5E1A1"/>
    <w:rsid w:val="14C97A5D"/>
    <w:rsid w:val="14D12056"/>
    <w:rsid w:val="14D15312"/>
    <w:rsid w:val="14DE48F2"/>
    <w:rsid w:val="14E5EDFC"/>
    <w:rsid w:val="14E88E6D"/>
    <w:rsid w:val="14EDD463"/>
    <w:rsid w:val="14F34B38"/>
    <w:rsid w:val="14F550B6"/>
    <w:rsid w:val="14F892B7"/>
    <w:rsid w:val="14FB962E"/>
    <w:rsid w:val="14FE0C09"/>
    <w:rsid w:val="1504C249"/>
    <w:rsid w:val="150500D3"/>
    <w:rsid w:val="15051D0E"/>
    <w:rsid w:val="15099B90"/>
    <w:rsid w:val="150DDC0B"/>
    <w:rsid w:val="150E6969"/>
    <w:rsid w:val="150F2153"/>
    <w:rsid w:val="15165190"/>
    <w:rsid w:val="15279A3B"/>
    <w:rsid w:val="152CFD08"/>
    <w:rsid w:val="152EC80C"/>
    <w:rsid w:val="1531927D"/>
    <w:rsid w:val="1532371C"/>
    <w:rsid w:val="15334B4E"/>
    <w:rsid w:val="153F6917"/>
    <w:rsid w:val="1547E950"/>
    <w:rsid w:val="154B4565"/>
    <w:rsid w:val="155AA914"/>
    <w:rsid w:val="155FEE56"/>
    <w:rsid w:val="1562CA8E"/>
    <w:rsid w:val="1570508B"/>
    <w:rsid w:val="15705D21"/>
    <w:rsid w:val="157E414E"/>
    <w:rsid w:val="1586754A"/>
    <w:rsid w:val="158971D8"/>
    <w:rsid w:val="158C08E6"/>
    <w:rsid w:val="158DD316"/>
    <w:rsid w:val="159E0B74"/>
    <w:rsid w:val="15A37C35"/>
    <w:rsid w:val="15A54605"/>
    <w:rsid w:val="15BB7F05"/>
    <w:rsid w:val="15BFADDB"/>
    <w:rsid w:val="15C099E2"/>
    <w:rsid w:val="15D0A0C8"/>
    <w:rsid w:val="15D1BBB1"/>
    <w:rsid w:val="15D23D9F"/>
    <w:rsid w:val="15D7DAB5"/>
    <w:rsid w:val="15D8097D"/>
    <w:rsid w:val="15DE6573"/>
    <w:rsid w:val="15E2F5F0"/>
    <w:rsid w:val="15E4870C"/>
    <w:rsid w:val="15E68E39"/>
    <w:rsid w:val="15E776EC"/>
    <w:rsid w:val="15ED0D5E"/>
    <w:rsid w:val="15EE1FA6"/>
    <w:rsid w:val="15F3D573"/>
    <w:rsid w:val="15FB145E"/>
    <w:rsid w:val="15FDB7A9"/>
    <w:rsid w:val="16049BC7"/>
    <w:rsid w:val="160B1762"/>
    <w:rsid w:val="1610C5DC"/>
    <w:rsid w:val="1615817B"/>
    <w:rsid w:val="1616F414"/>
    <w:rsid w:val="161EED80"/>
    <w:rsid w:val="16214A2E"/>
    <w:rsid w:val="16279194"/>
    <w:rsid w:val="162B37D2"/>
    <w:rsid w:val="162C3313"/>
    <w:rsid w:val="162FDAF2"/>
    <w:rsid w:val="16338698"/>
    <w:rsid w:val="164410C5"/>
    <w:rsid w:val="165B3534"/>
    <w:rsid w:val="165CF8A0"/>
    <w:rsid w:val="165D3910"/>
    <w:rsid w:val="16670EB2"/>
    <w:rsid w:val="16682506"/>
    <w:rsid w:val="166B5EAB"/>
    <w:rsid w:val="16723699"/>
    <w:rsid w:val="167460EC"/>
    <w:rsid w:val="16888AB5"/>
    <w:rsid w:val="1699D5FE"/>
    <w:rsid w:val="16A2B274"/>
    <w:rsid w:val="16AECD52"/>
    <w:rsid w:val="16AF4407"/>
    <w:rsid w:val="16B16BBC"/>
    <w:rsid w:val="16B59FE4"/>
    <w:rsid w:val="16BB9DA3"/>
    <w:rsid w:val="16C9E978"/>
    <w:rsid w:val="16D32400"/>
    <w:rsid w:val="16DA8E8C"/>
    <w:rsid w:val="16DB25D1"/>
    <w:rsid w:val="16E2B4E5"/>
    <w:rsid w:val="16E62067"/>
    <w:rsid w:val="16ECBBC4"/>
    <w:rsid w:val="16EE301F"/>
    <w:rsid w:val="16F18651"/>
    <w:rsid w:val="16F76364"/>
    <w:rsid w:val="16FD638C"/>
    <w:rsid w:val="16FE3B8E"/>
    <w:rsid w:val="16FF66B4"/>
    <w:rsid w:val="16FFABE9"/>
    <w:rsid w:val="1701BD94"/>
    <w:rsid w:val="1711647F"/>
    <w:rsid w:val="1711F3B6"/>
    <w:rsid w:val="17123B92"/>
    <w:rsid w:val="17125B56"/>
    <w:rsid w:val="1712DEC3"/>
    <w:rsid w:val="1715F3B8"/>
    <w:rsid w:val="17172F1A"/>
    <w:rsid w:val="171E7467"/>
    <w:rsid w:val="171E7C68"/>
    <w:rsid w:val="172303D8"/>
    <w:rsid w:val="172884DE"/>
    <w:rsid w:val="172FDC34"/>
    <w:rsid w:val="1731690F"/>
    <w:rsid w:val="17371D7D"/>
    <w:rsid w:val="173A287A"/>
    <w:rsid w:val="17407B23"/>
    <w:rsid w:val="17424247"/>
    <w:rsid w:val="17554706"/>
    <w:rsid w:val="1759A97E"/>
    <w:rsid w:val="1759DE3D"/>
    <w:rsid w:val="175AA73F"/>
    <w:rsid w:val="175B48AE"/>
    <w:rsid w:val="175BAD65"/>
    <w:rsid w:val="175D3CA7"/>
    <w:rsid w:val="17653D48"/>
    <w:rsid w:val="176C138C"/>
    <w:rsid w:val="176D5D1D"/>
    <w:rsid w:val="176FDB27"/>
    <w:rsid w:val="176FF249"/>
    <w:rsid w:val="17704DD4"/>
    <w:rsid w:val="17744A4F"/>
    <w:rsid w:val="177763AB"/>
    <w:rsid w:val="17788ACF"/>
    <w:rsid w:val="177AE21A"/>
    <w:rsid w:val="177EEC42"/>
    <w:rsid w:val="177F25B0"/>
    <w:rsid w:val="178258A6"/>
    <w:rsid w:val="17830085"/>
    <w:rsid w:val="1793BC8F"/>
    <w:rsid w:val="1793D983"/>
    <w:rsid w:val="1794A79A"/>
    <w:rsid w:val="17956AA5"/>
    <w:rsid w:val="17A39DEF"/>
    <w:rsid w:val="17A8E188"/>
    <w:rsid w:val="17AD0579"/>
    <w:rsid w:val="17B4F40E"/>
    <w:rsid w:val="17BF1CCC"/>
    <w:rsid w:val="17C1EB0D"/>
    <w:rsid w:val="17CAB8E7"/>
    <w:rsid w:val="17CE7470"/>
    <w:rsid w:val="17D84413"/>
    <w:rsid w:val="17DE83F0"/>
    <w:rsid w:val="17E0E56D"/>
    <w:rsid w:val="17E25387"/>
    <w:rsid w:val="17E25396"/>
    <w:rsid w:val="17E2CB41"/>
    <w:rsid w:val="17EAD0D3"/>
    <w:rsid w:val="17F3213A"/>
    <w:rsid w:val="17F43C16"/>
    <w:rsid w:val="17F49863"/>
    <w:rsid w:val="17F4BB53"/>
    <w:rsid w:val="17F6705A"/>
    <w:rsid w:val="17FC203C"/>
    <w:rsid w:val="1805273E"/>
    <w:rsid w:val="18097C6D"/>
    <w:rsid w:val="1809FE25"/>
    <w:rsid w:val="180A91F3"/>
    <w:rsid w:val="180D75A2"/>
    <w:rsid w:val="18160112"/>
    <w:rsid w:val="18221EBA"/>
    <w:rsid w:val="1825FCDD"/>
    <w:rsid w:val="182D28D9"/>
    <w:rsid w:val="18311EAD"/>
    <w:rsid w:val="1835123B"/>
    <w:rsid w:val="18358E9C"/>
    <w:rsid w:val="183B22FC"/>
    <w:rsid w:val="183BB32F"/>
    <w:rsid w:val="18400F52"/>
    <w:rsid w:val="1843192A"/>
    <w:rsid w:val="185D71AB"/>
    <w:rsid w:val="18607EB7"/>
    <w:rsid w:val="18756215"/>
    <w:rsid w:val="187AADDE"/>
    <w:rsid w:val="187D5B59"/>
    <w:rsid w:val="187DCE7E"/>
    <w:rsid w:val="18818741"/>
    <w:rsid w:val="18828F45"/>
    <w:rsid w:val="1885AAC5"/>
    <w:rsid w:val="188CDC76"/>
    <w:rsid w:val="188E5FFA"/>
    <w:rsid w:val="18951AB2"/>
    <w:rsid w:val="18982DC7"/>
    <w:rsid w:val="189B1066"/>
    <w:rsid w:val="189B6800"/>
    <w:rsid w:val="189BC4D6"/>
    <w:rsid w:val="189E15B6"/>
    <w:rsid w:val="189E59A5"/>
    <w:rsid w:val="18A38E95"/>
    <w:rsid w:val="18A8CEE2"/>
    <w:rsid w:val="18AA3350"/>
    <w:rsid w:val="18ABF03C"/>
    <w:rsid w:val="18B41F82"/>
    <w:rsid w:val="18B61A1D"/>
    <w:rsid w:val="18C54D67"/>
    <w:rsid w:val="18CF86AE"/>
    <w:rsid w:val="18D3C2DC"/>
    <w:rsid w:val="18D743EB"/>
    <w:rsid w:val="18D753CD"/>
    <w:rsid w:val="18E28D87"/>
    <w:rsid w:val="18E98FD0"/>
    <w:rsid w:val="18F0CD4D"/>
    <w:rsid w:val="18F2B1B1"/>
    <w:rsid w:val="18F5E33F"/>
    <w:rsid w:val="18FDCBD7"/>
    <w:rsid w:val="191031BC"/>
    <w:rsid w:val="1912D6A0"/>
    <w:rsid w:val="191BC4D7"/>
    <w:rsid w:val="19224A1B"/>
    <w:rsid w:val="19232A44"/>
    <w:rsid w:val="192CE2C1"/>
    <w:rsid w:val="192CE831"/>
    <w:rsid w:val="19329B59"/>
    <w:rsid w:val="1939B692"/>
    <w:rsid w:val="1945DCAC"/>
    <w:rsid w:val="194646E4"/>
    <w:rsid w:val="19478972"/>
    <w:rsid w:val="1948038C"/>
    <w:rsid w:val="1949D926"/>
    <w:rsid w:val="194A4C2E"/>
    <w:rsid w:val="194E5F13"/>
    <w:rsid w:val="19503400"/>
    <w:rsid w:val="1950C47C"/>
    <w:rsid w:val="19533555"/>
    <w:rsid w:val="195A8281"/>
    <w:rsid w:val="1967029A"/>
    <w:rsid w:val="196ED4EF"/>
    <w:rsid w:val="19781446"/>
    <w:rsid w:val="197CEEF1"/>
    <w:rsid w:val="197D4BCA"/>
    <w:rsid w:val="19860B8F"/>
    <w:rsid w:val="198C623A"/>
    <w:rsid w:val="198D10FF"/>
    <w:rsid w:val="198FB390"/>
    <w:rsid w:val="1999BA14"/>
    <w:rsid w:val="199B952A"/>
    <w:rsid w:val="199F2BC5"/>
    <w:rsid w:val="19A75C99"/>
    <w:rsid w:val="19AE085A"/>
    <w:rsid w:val="19BBB7E7"/>
    <w:rsid w:val="19BCA0DB"/>
    <w:rsid w:val="19BCB996"/>
    <w:rsid w:val="19C246FF"/>
    <w:rsid w:val="19C2B77D"/>
    <w:rsid w:val="19C7A0FD"/>
    <w:rsid w:val="19CCFB4A"/>
    <w:rsid w:val="19CE6A75"/>
    <w:rsid w:val="19D28D63"/>
    <w:rsid w:val="19D93D57"/>
    <w:rsid w:val="19D98C1E"/>
    <w:rsid w:val="19D9D979"/>
    <w:rsid w:val="19DDED3F"/>
    <w:rsid w:val="19E33B99"/>
    <w:rsid w:val="19E38A14"/>
    <w:rsid w:val="19E406FA"/>
    <w:rsid w:val="19E6EB1C"/>
    <w:rsid w:val="19F7DDB8"/>
    <w:rsid w:val="19FA0869"/>
    <w:rsid w:val="1A092D15"/>
    <w:rsid w:val="1A0E020C"/>
    <w:rsid w:val="1A167F2F"/>
    <w:rsid w:val="1A17CFCB"/>
    <w:rsid w:val="1A1902E9"/>
    <w:rsid w:val="1A1ACC25"/>
    <w:rsid w:val="1A1D2684"/>
    <w:rsid w:val="1A2951D3"/>
    <w:rsid w:val="1A30A582"/>
    <w:rsid w:val="1A341ADB"/>
    <w:rsid w:val="1A36D755"/>
    <w:rsid w:val="1A36E50F"/>
    <w:rsid w:val="1A3C37CC"/>
    <w:rsid w:val="1A458C86"/>
    <w:rsid w:val="1A45A775"/>
    <w:rsid w:val="1A5978F0"/>
    <w:rsid w:val="1A637A5E"/>
    <w:rsid w:val="1A6410C5"/>
    <w:rsid w:val="1A692AF7"/>
    <w:rsid w:val="1A699176"/>
    <w:rsid w:val="1A6A9736"/>
    <w:rsid w:val="1A78F2AA"/>
    <w:rsid w:val="1A845089"/>
    <w:rsid w:val="1A96D048"/>
    <w:rsid w:val="1A9D0D0F"/>
    <w:rsid w:val="1AA1BF04"/>
    <w:rsid w:val="1AB1AC7E"/>
    <w:rsid w:val="1AB1BEAB"/>
    <w:rsid w:val="1AB26162"/>
    <w:rsid w:val="1AC6A03B"/>
    <w:rsid w:val="1AC74965"/>
    <w:rsid w:val="1AD468B4"/>
    <w:rsid w:val="1AD5A817"/>
    <w:rsid w:val="1AD9CD4F"/>
    <w:rsid w:val="1ADA70C8"/>
    <w:rsid w:val="1AE0314E"/>
    <w:rsid w:val="1AE78697"/>
    <w:rsid w:val="1AEBE67B"/>
    <w:rsid w:val="1AEEB64E"/>
    <w:rsid w:val="1AF1BDF4"/>
    <w:rsid w:val="1AF5F31E"/>
    <w:rsid w:val="1AF9D11F"/>
    <w:rsid w:val="1AFA25CB"/>
    <w:rsid w:val="1AFFEDDE"/>
    <w:rsid w:val="1B00D02A"/>
    <w:rsid w:val="1B117CF4"/>
    <w:rsid w:val="1B1246ED"/>
    <w:rsid w:val="1B153F61"/>
    <w:rsid w:val="1B171C82"/>
    <w:rsid w:val="1B187C8D"/>
    <w:rsid w:val="1B18A89A"/>
    <w:rsid w:val="1B1A659F"/>
    <w:rsid w:val="1B1E2BFF"/>
    <w:rsid w:val="1B2459A7"/>
    <w:rsid w:val="1B2B866A"/>
    <w:rsid w:val="1B30A208"/>
    <w:rsid w:val="1B30F77E"/>
    <w:rsid w:val="1B37D99A"/>
    <w:rsid w:val="1B4EAE57"/>
    <w:rsid w:val="1B56256E"/>
    <w:rsid w:val="1B5A6264"/>
    <w:rsid w:val="1B69D580"/>
    <w:rsid w:val="1B6C21F3"/>
    <w:rsid w:val="1B70156F"/>
    <w:rsid w:val="1B791734"/>
    <w:rsid w:val="1B7B2C2C"/>
    <w:rsid w:val="1B7C5253"/>
    <w:rsid w:val="1B7EF3DE"/>
    <w:rsid w:val="1B816D77"/>
    <w:rsid w:val="1B8336A6"/>
    <w:rsid w:val="1B89EC6E"/>
    <w:rsid w:val="1B8C002E"/>
    <w:rsid w:val="1B8CF7D2"/>
    <w:rsid w:val="1B9475A0"/>
    <w:rsid w:val="1B9F2443"/>
    <w:rsid w:val="1B9F4F30"/>
    <w:rsid w:val="1BA1C63A"/>
    <w:rsid w:val="1BAF6C3B"/>
    <w:rsid w:val="1BB0C879"/>
    <w:rsid w:val="1BB501ED"/>
    <w:rsid w:val="1BB63243"/>
    <w:rsid w:val="1BBBC1FA"/>
    <w:rsid w:val="1BC23F0B"/>
    <w:rsid w:val="1BC2B250"/>
    <w:rsid w:val="1BC2F08C"/>
    <w:rsid w:val="1BC56F81"/>
    <w:rsid w:val="1BCDCA41"/>
    <w:rsid w:val="1BD225B6"/>
    <w:rsid w:val="1BD2A1CB"/>
    <w:rsid w:val="1BD2D3F2"/>
    <w:rsid w:val="1BD57D44"/>
    <w:rsid w:val="1BDDAD77"/>
    <w:rsid w:val="1BDE2483"/>
    <w:rsid w:val="1BE0FDBA"/>
    <w:rsid w:val="1BE654BD"/>
    <w:rsid w:val="1BE96C9C"/>
    <w:rsid w:val="1BED3327"/>
    <w:rsid w:val="1BEE4709"/>
    <w:rsid w:val="1BEE5067"/>
    <w:rsid w:val="1BF1406C"/>
    <w:rsid w:val="1BF3B04C"/>
    <w:rsid w:val="1BF5A221"/>
    <w:rsid w:val="1BF5DDFA"/>
    <w:rsid w:val="1BFB79E5"/>
    <w:rsid w:val="1C054FDA"/>
    <w:rsid w:val="1C0965C2"/>
    <w:rsid w:val="1C0A1B96"/>
    <w:rsid w:val="1C0AAADF"/>
    <w:rsid w:val="1C0B228E"/>
    <w:rsid w:val="1C0C2F7C"/>
    <w:rsid w:val="1C12E9EA"/>
    <w:rsid w:val="1C189397"/>
    <w:rsid w:val="1C1BED7E"/>
    <w:rsid w:val="1C32CA7B"/>
    <w:rsid w:val="1C338886"/>
    <w:rsid w:val="1C3844F4"/>
    <w:rsid w:val="1C3F5BFF"/>
    <w:rsid w:val="1C471D7C"/>
    <w:rsid w:val="1C48F6DB"/>
    <w:rsid w:val="1C57DD66"/>
    <w:rsid w:val="1C586D34"/>
    <w:rsid w:val="1C660AFB"/>
    <w:rsid w:val="1C6C452E"/>
    <w:rsid w:val="1C70D0B7"/>
    <w:rsid w:val="1C82E6D3"/>
    <w:rsid w:val="1C87E4B0"/>
    <w:rsid w:val="1C913C26"/>
    <w:rsid w:val="1C935556"/>
    <w:rsid w:val="1C936AED"/>
    <w:rsid w:val="1C996323"/>
    <w:rsid w:val="1C9DA84D"/>
    <w:rsid w:val="1CA1943C"/>
    <w:rsid w:val="1CA21F1F"/>
    <w:rsid w:val="1CAC0964"/>
    <w:rsid w:val="1CAD1B13"/>
    <w:rsid w:val="1CB383A2"/>
    <w:rsid w:val="1CB5BA69"/>
    <w:rsid w:val="1CB7E086"/>
    <w:rsid w:val="1CB7F3FE"/>
    <w:rsid w:val="1CBCAFC3"/>
    <w:rsid w:val="1CBE199E"/>
    <w:rsid w:val="1CC269DE"/>
    <w:rsid w:val="1CD27330"/>
    <w:rsid w:val="1CE8E23C"/>
    <w:rsid w:val="1CF3FD97"/>
    <w:rsid w:val="1CFC115A"/>
    <w:rsid w:val="1CFFC42F"/>
    <w:rsid w:val="1D00AD5E"/>
    <w:rsid w:val="1D031100"/>
    <w:rsid w:val="1D0D1D1D"/>
    <w:rsid w:val="1D2288AB"/>
    <w:rsid w:val="1D259725"/>
    <w:rsid w:val="1D2BA46A"/>
    <w:rsid w:val="1D31D93E"/>
    <w:rsid w:val="1D32A4CB"/>
    <w:rsid w:val="1D3E863C"/>
    <w:rsid w:val="1D438074"/>
    <w:rsid w:val="1D43FED0"/>
    <w:rsid w:val="1D44109C"/>
    <w:rsid w:val="1D44B976"/>
    <w:rsid w:val="1D47D211"/>
    <w:rsid w:val="1D4CFFBD"/>
    <w:rsid w:val="1D50766A"/>
    <w:rsid w:val="1D5C2CC1"/>
    <w:rsid w:val="1D5DD2F8"/>
    <w:rsid w:val="1D5F86C1"/>
    <w:rsid w:val="1D5FCDD8"/>
    <w:rsid w:val="1D6447E9"/>
    <w:rsid w:val="1D647EA1"/>
    <w:rsid w:val="1D6651DA"/>
    <w:rsid w:val="1D674A4B"/>
    <w:rsid w:val="1D71C1B6"/>
    <w:rsid w:val="1D7AEF80"/>
    <w:rsid w:val="1D7C174A"/>
    <w:rsid w:val="1D7C58C3"/>
    <w:rsid w:val="1D7D0C25"/>
    <w:rsid w:val="1D813CFC"/>
    <w:rsid w:val="1D8601CD"/>
    <w:rsid w:val="1D91ECEE"/>
    <w:rsid w:val="1D987275"/>
    <w:rsid w:val="1D99EB76"/>
    <w:rsid w:val="1D9BFEBC"/>
    <w:rsid w:val="1DA08CBC"/>
    <w:rsid w:val="1DA28D36"/>
    <w:rsid w:val="1DA97959"/>
    <w:rsid w:val="1DC32523"/>
    <w:rsid w:val="1DC38AC0"/>
    <w:rsid w:val="1DC4D581"/>
    <w:rsid w:val="1DC5FA7E"/>
    <w:rsid w:val="1DCB1E30"/>
    <w:rsid w:val="1DCD3380"/>
    <w:rsid w:val="1DCEA684"/>
    <w:rsid w:val="1DD41DB6"/>
    <w:rsid w:val="1DD96720"/>
    <w:rsid w:val="1DE1CCBA"/>
    <w:rsid w:val="1DE9A659"/>
    <w:rsid w:val="1DEB0B22"/>
    <w:rsid w:val="1DED5F4B"/>
    <w:rsid w:val="1DF5B0FB"/>
    <w:rsid w:val="1DF6EBC4"/>
    <w:rsid w:val="1E02911B"/>
    <w:rsid w:val="1E09C4D1"/>
    <w:rsid w:val="1E0B32B5"/>
    <w:rsid w:val="1E0FC622"/>
    <w:rsid w:val="1E10EEA9"/>
    <w:rsid w:val="1E19F352"/>
    <w:rsid w:val="1E2276A2"/>
    <w:rsid w:val="1E23B037"/>
    <w:rsid w:val="1E28C977"/>
    <w:rsid w:val="1E32EFE8"/>
    <w:rsid w:val="1E33DF23"/>
    <w:rsid w:val="1E35C70B"/>
    <w:rsid w:val="1E37E773"/>
    <w:rsid w:val="1E386DEC"/>
    <w:rsid w:val="1E3A2541"/>
    <w:rsid w:val="1E40BBB8"/>
    <w:rsid w:val="1E47BB59"/>
    <w:rsid w:val="1E4C4170"/>
    <w:rsid w:val="1E4D83DE"/>
    <w:rsid w:val="1E4E5509"/>
    <w:rsid w:val="1E51FD71"/>
    <w:rsid w:val="1E53619A"/>
    <w:rsid w:val="1E5CA3A7"/>
    <w:rsid w:val="1E62B319"/>
    <w:rsid w:val="1E652E95"/>
    <w:rsid w:val="1E690F55"/>
    <w:rsid w:val="1E6E1407"/>
    <w:rsid w:val="1E749B42"/>
    <w:rsid w:val="1E7CFC7A"/>
    <w:rsid w:val="1E7D29C2"/>
    <w:rsid w:val="1E7D8362"/>
    <w:rsid w:val="1E7F0C46"/>
    <w:rsid w:val="1E7F0E61"/>
    <w:rsid w:val="1E8926DC"/>
    <w:rsid w:val="1E8B6DD4"/>
    <w:rsid w:val="1E9114FB"/>
    <w:rsid w:val="1E91C7EB"/>
    <w:rsid w:val="1E95F3F8"/>
    <w:rsid w:val="1E9E7A2C"/>
    <w:rsid w:val="1EAA2D01"/>
    <w:rsid w:val="1EAD0EDD"/>
    <w:rsid w:val="1EAE236F"/>
    <w:rsid w:val="1EAEFE49"/>
    <w:rsid w:val="1EAFC6D6"/>
    <w:rsid w:val="1EB22D20"/>
    <w:rsid w:val="1EB3B09C"/>
    <w:rsid w:val="1EB3B81D"/>
    <w:rsid w:val="1EB8C80E"/>
    <w:rsid w:val="1EB93019"/>
    <w:rsid w:val="1EB931DE"/>
    <w:rsid w:val="1EBA6BA2"/>
    <w:rsid w:val="1EBB0A4F"/>
    <w:rsid w:val="1EC2CE8B"/>
    <w:rsid w:val="1EC52EBA"/>
    <w:rsid w:val="1ECC9678"/>
    <w:rsid w:val="1ED0EDE7"/>
    <w:rsid w:val="1ED13977"/>
    <w:rsid w:val="1ED4650F"/>
    <w:rsid w:val="1ED99F0D"/>
    <w:rsid w:val="1EEA6C27"/>
    <w:rsid w:val="1EEDDDEC"/>
    <w:rsid w:val="1EFC7C7C"/>
    <w:rsid w:val="1EFCEC73"/>
    <w:rsid w:val="1EFFA81C"/>
    <w:rsid w:val="1F027DC4"/>
    <w:rsid w:val="1F05CBF0"/>
    <w:rsid w:val="1F07AE93"/>
    <w:rsid w:val="1F08027F"/>
    <w:rsid w:val="1F085224"/>
    <w:rsid w:val="1F0B29EB"/>
    <w:rsid w:val="1F0D55C6"/>
    <w:rsid w:val="1F0EAE3B"/>
    <w:rsid w:val="1F12DEDF"/>
    <w:rsid w:val="1F146B86"/>
    <w:rsid w:val="1F15187E"/>
    <w:rsid w:val="1F179EFB"/>
    <w:rsid w:val="1F196930"/>
    <w:rsid w:val="1F1A6CB5"/>
    <w:rsid w:val="1F1CE5AE"/>
    <w:rsid w:val="1F1E5B6C"/>
    <w:rsid w:val="1F34B4E1"/>
    <w:rsid w:val="1F3F3E7D"/>
    <w:rsid w:val="1F4026B1"/>
    <w:rsid w:val="1F496628"/>
    <w:rsid w:val="1F4E83AE"/>
    <w:rsid w:val="1F510A2C"/>
    <w:rsid w:val="1F543C45"/>
    <w:rsid w:val="1F547228"/>
    <w:rsid w:val="1F587152"/>
    <w:rsid w:val="1F587B51"/>
    <w:rsid w:val="1F5B73E9"/>
    <w:rsid w:val="1F5D7C44"/>
    <w:rsid w:val="1F5EFA88"/>
    <w:rsid w:val="1F627A3A"/>
    <w:rsid w:val="1F629726"/>
    <w:rsid w:val="1F6F2F33"/>
    <w:rsid w:val="1F712A86"/>
    <w:rsid w:val="1F7533BA"/>
    <w:rsid w:val="1F77FCDB"/>
    <w:rsid w:val="1F7EEE0C"/>
    <w:rsid w:val="1F7FCDC7"/>
    <w:rsid w:val="1F809EC9"/>
    <w:rsid w:val="1F85CFDB"/>
    <w:rsid w:val="1F85DF9D"/>
    <w:rsid w:val="1F8ACDE0"/>
    <w:rsid w:val="1F8C5024"/>
    <w:rsid w:val="1F93684D"/>
    <w:rsid w:val="1FA59DED"/>
    <w:rsid w:val="1FAA9FAF"/>
    <w:rsid w:val="1FACA52E"/>
    <w:rsid w:val="1FACE499"/>
    <w:rsid w:val="1FBB3FF8"/>
    <w:rsid w:val="1FBC7364"/>
    <w:rsid w:val="1FBDE619"/>
    <w:rsid w:val="1FBDF537"/>
    <w:rsid w:val="1FBE26FF"/>
    <w:rsid w:val="1FC88514"/>
    <w:rsid w:val="1FCE71A0"/>
    <w:rsid w:val="1FD4EB14"/>
    <w:rsid w:val="1FDA7E34"/>
    <w:rsid w:val="1FDC0580"/>
    <w:rsid w:val="1FDD4773"/>
    <w:rsid w:val="1FDE5219"/>
    <w:rsid w:val="1FE0DEAB"/>
    <w:rsid w:val="1FF5DAA4"/>
    <w:rsid w:val="2000D489"/>
    <w:rsid w:val="2001D41B"/>
    <w:rsid w:val="2001E4A1"/>
    <w:rsid w:val="20080998"/>
    <w:rsid w:val="200CF377"/>
    <w:rsid w:val="20140BEA"/>
    <w:rsid w:val="201C84DC"/>
    <w:rsid w:val="201EA00F"/>
    <w:rsid w:val="201F632A"/>
    <w:rsid w:val="203677CA"/>
    <w:rsid w:val="203C32A6"/>
    <w:rsid w:val="203FAA5C"/>
    <w:rsid w:val="2041915A"/>
    <w:rsid w:val="20470B4F"/>
    <w:rsid w:val="204ACC30"/>
    <w:rsid w:val="204B5FBD"/>
    <w:rsid w:val="20503CAC"/>
    <w:rsid w:val="2054545C"/>
    <w:rsid w:val="2054E3FC"/>
    <w:rsid w:val="20593234"/>
    <w:rsid w:val="205F0669"/>
    <w:rsid w:val="2062DD01"/>
    <w:rsid w:val="206B558D"/>
    <w:rsid w:val="206E75A6"/>
    <w:rsid w:val="2074C997"/>
    <w:rsid w:val="20766AA7"/>
    <w:rsid w:val="20796FF0"/>
    <w:rsid w:val="207FB77E"/>
    <w:rsid w:val="208DAE19"/>
    <w:rsid w:val="209406C7"/>
    <w:rsid w:val="209B59EB"/>
    <w:rsid w:val="20A11041"/>
    <w:rsid w:val="20A47629"/>
    <w:rsid w:val="20AA968C"/>
    <w:rsid w:val="20B59792"/>
    <w:rsid w:val="20BE7B85"/>
    <w:rsid w:val="20C1CA8D"/>
    <w:rsid w:val="20C38FC2"/>
    <w:rsid w:val="20C810DB"/>
    <w:rsid w:val="20C8146D"/>
    <w:rsid w:val="20C88C7E"/>
    <w:rsid w:val="20D1400E"/>
    <w:rsid w:val="20D2D666"/>
    <w:rsid w:val="20D420CA"/>
    <w:rsid w:val="20DC0E33"/>
    <w:rsid w:val="20E1A3CC"/>
    <w:rsid w:val="20E5ED40"/>
    <w:rsid w:val="20EBA422"/>
    <w:rsid w:val="20ECC87F"/>
    <w:rsid w:val="20F2372F"/>
    <w:rsid w:val="21110916"/>
    <w:rsid w:val="21119EFF"/>
    <w:rsid w:val="2112DC67"/>
    <w:rsid w:val="211EFA27"/>
    <w:rsid w:val="21255CCF"/>
    <w:rsid w:val="212698E1"/>
    <w:rsid w:val="212780FC"/>
    <w:rsid w:val="21290E80"/>
    <w:rsid w:val="212E7325"/>
    <w:rsid w:val="2132E468"/>
    <w:rsid w:val="213C2F10"/>
    <w:rsid w:val="2140EA07"/>
    <w:rsid w:val="21431AB6"/>
    <w:rsid w:val="2146F241"/>
    <w:rsid w:val="21477ABC"/>
    <w:rsid w:val="2151EE3D"/>
    <w:rsid w:val="2155B341"/>
    <w:rsid w:val="2159B388"/>
    <w:rsid w:val="215A6FDE"/>
    <w:rsid w:val="21613D2D"/>
    <w:rsid w:val="21648EC4"/>
    <w:rsid w:val="2168A585"/>
    <w:rsid w:val="2169233D"/>
    <w:rsid w:val="216E5023"/>
    <w:rsid w:val="21757784"/>
    <w:rsid w:val="2177AC92"/>
    <w:rsid w:val="217A53A0"/>
    <w:rsid w:val="217CEF03"/>
    <w:rsid w:val="21855547"/>
    <w:rsid w:val="21970763"/>
    <w:rsid w:val="2197BF6B"/>
    <w:rsid w:val="21A30F7F"/>
    <w:rsid w:val="21B25750"/>
    <w:rsid w:val="21B3AC3F"/>
    <w:rsid w:val="21B57417"/>
    <w:rsid w:val="21B86516"/>
    <w:rsid w:val="21B922CA"/>
    <w:rsid w:val="21BBE227"/>
    <w:rsid w:val="21BC9026"/>
    <w:rsid w:val="21C1B175"/>
    <w:rsid w:val="21C40D5A"/>
    <w:rsid w:val="21C4FBA3"/>
    <w:rsid w:val="21C73E32"/>
    <w:rsid w:val="21CA118E"/>
    <w:rsid w:val="21D84A9E"/>
    <w:rsid w:val="21D859E3"/>
    <w:rsid w:val="21DB4CD8"/>
    <w:rsid w:val="21DD3CD5"/>
    <w:rsid w:val="21DD8E9E"/>
    <w:rsid w:val="21E5D116"/>
    <w:rsid w:val="21EC0D78"/>
    <w:rsid w:val="21EEEDA5"/>
    <w:rsid w:val="21F0C2D1"/>
    <w:rsid w:val="21F2FBB6"/>
    <w:rsid w:val="21F367AA"/>
    <w:rsid w:val="21F49B58"/>
    <w:rsid w:val="21FEFE0E"/>
    <w:rsid w:val="220C69AF"/>
    <w:rsid w:val="220C8F4D"/>
    <w:rsid w:val="2214B03F"/>
    <w:rsid w:val="221507D4"/>
    <w:rsid w:val="221F5C2A"/>
    <w:rsid w:val="22284635"/>
    <w:rsid w:val="222ABFFA"/>
    <w:rsid w:val="2230B7C2"/>
    <w:rsid w:val="224C218E"/>
    <w:rsid w:val="224E8EDD"/>
    <w:rsid w:val="2250116E"/>
    <w:rsid w:val="2252C9E6"/>
    <w:rsid w:val="2253CD16"/>
    <w:rsid w:val="22581619"/>
    <w:rsid w:val="225987CE"/>
    <w:rsid w:val="225A4FA1"/>
    <w:rsid w:val="225C0876"/>
    <w:rsid w:val="22608437"/>
    <w:rsid w:val="22609BCC"/>
    <w:rsid w:val="226308AF"/>
    <w:rsid w:val="226DB646"/>
    <w:rsid w:val="226ED020"/>
    <w:rsid w:val="2270467B"/>
    <w:rsid w:val="22733DC3"/>
    <w:rsid w:val="227BBCE2"/>
    <w:rsid w:val="2280EEB2"/>
    <w:rsid w:val="2285212C"/>
    <w:rsid w:val="22853B14"/>
    <w:rsid w:val="2285E633"/>
    <w:rsid w:val="228633EC"/>
    <w:rsid w:val="228B0116"/>
    <w:rsid w:val="2294819B"/>
    <w:rsid w:val="229A1BA5"/>
    <w:rsid w:val="229A502D"/>
    <w:rsid w:val="22A443C2"/>
    <w:rsid w:val="22A8A9CC"/>
    <w:rsid w:val="22ACC88F"/>
    <w:rsid w:val="22ACE676"/>
    <w:rsid w:val="22AF2754"/>
    <w:rsid w:val="22C8568A"/>
    <w:rsid w:val="22D6939E"/>
    <w:rsid w:val="22D8FB37"/>
    <w:rsid w:val="22DAA15B"/>
    <w:rsid w:val="22DE219D"/>
    <w:rsid w:val="22E55B8D"/>
    <w:rsid w:val="22E7ADAB"/>
    <w:rsid w:val="22EB3A78"/>
    <w:rsid w:val="22EBBBF7"/>
    <w:rsid w:val="22ED38E0"/>
    <w:rsid w:val="22F22CD0"/>
    <w:rsid w:val="22FD5F9D"/>
    <w:rsid w:val="2308F146"/>
    <w:rsid w:val="230CEA56"/>
    <w:rsid w:val="2312303A"/>
    <w:rsid w:val="231C471D"/>
    <w:rsid w:val="2326E09A"/>
    <w:rsid w:val="23276002"/>
    <w:rsid w:val="232FD503"/>
    <w:rsid w:val="233597AF"/>
    <w:rsid w:val="2335A837"/>
    <w:rsid w:val="233EAB15"/>
    <w:rsid w:val="234F4306"/>
    <w:rsid w:val="23588FC4"/>
    <w:rsid w:val="235B26E3"/>
    <w:rsid w:val="235E8E04"/>
    <w:rsid w:val="235EB141"/>
    <w:rsid w:val="235F957B"/>
    <w:rsid w:val="23681A94"/>
    <w:rsid w:val="236DAFB5"/>
    <w:rsid w:val="2374FBE6"/>
    <w:rsid w:val="237A5433"/>
    <w:rsid w:val="2382A393"/>
    <w:rsid w:val="2383D72D"/>
    <w:rsid w:val="238AB427"/>
    <w:rsid w:val="238ABA20"/>
    <w:rsid w:val="238D7171"/>
    <w:rsid w:val="23929CB4"/>
    <w:rsid w:val="2394A1F4"/>
    <w:rsid w:val="239CA9D2"/>
    <w:rsid w:val="239CCF04"/>
    <w:rsid w:val="239DB671"/>
    <w:rsid w:val="239E89FA"/>
    <w:rsid w:val="239F5CE8"/>
    <w:rsid w:val="23A1C86C"/>
    <w:rsid w:val="23A2566F"/>
    <w:rsid w:val="23A29AFE"/>
    <w:rsid w:val="23A41A33"/>
    <w:rsid w:val="23A43DC4"/>
    <w:rsid w:val="23A59593"/>
    <w:rsid w:val="23A66F47"/>
    <w:rsid w:val="23BA93E9"/>
    <w:rsid w:val="23BBEECD"/>
    <w:rsid w:val="23C337A3"/>
    <w:rsid w:val="23C75F5C"/>
    <w:rsid w:val="23C914BB"/>
    <w:rsid w:val="23CFEBEF"/>
    <w:rsid w:val="23D7D249"/>
    <w:rsid w:val="23DA7FE2"/>
    <w:rsid w:val="23DDB025"/>
    <w:rsid w:val="23DE3036"/>
    <w:rsid w:val="23DF6FD9"/>
    <w:rsid w:val="23E1ECD6"/>
    <w:rsid w:val="23E34231"/>
    <w:rsid w:val="23E4F237"/>
    <w:rsid w:val="23EB08F7"/>
    <w:rsid w:val="23EEC711"/>
    <w:rsid w:val="24013FDD"/>
    <w:rsid w:val="2402E49D"/>
    <w:rsid w:val="24089AF4"/>
    <w:rsid w:val="24096E33"/>
    <w:rsid w:val="24111B36"/>
    <w:rsid w:val="24112893"/>
    <w:rsid w:val="2413B502"/>
    <w:rsid w:val="2419FE58"/>
    <w:rsid w:val="2425FBA9"/>
    <w:rsid w:val="2429F15C"/>
    <w:rsid w:val="242C8ECC"/>
    <w:rsid w:val="24325A45"/>
    <w:rsid w:val="24375A92"/>
    <w:rsid w:val="24437C85"/>
    <w:rsid w:val="24530B0D"/>
    <w:rsid w:val="2456C6B9"/>
    <w:rsid w:val="2457CD01"/>
    <w:rsid w:val="245C5D96"/>
    <w:rsid w:val="245C84F0"/>
    <w:rsid w:val="246337AB"/>
    <w:rsid w:val="2465DA65"/>
    <w:rsid w:val="246A08A7"/>
    <w:rsid w:val="2474C240"/>
    <w:rsid w:val="247AFB99"/>
    <w:rsid w:val="247F2D57"/>
    <w:rsid w:val="24823974"/>
    <w:rsid w:val="24887B9D"/>
    <w:rsid w:val="248D926F"/>
    <w:rsid w:val="248E6D63"/>
    <w:rsid w:val="2496860A"/>
    <w:rsid w:val="24A2E89A"/>
    <w:rsid w:val="24A63EC1"/>
    <w:rsid w:val="24A78BB4"/>
    <w:rsid w:val="24AFCC24"/>
    <w:rsid w:val="24B618D3"/>
    <w:rsid w:val="24B708C6"/>
    <w:rsid w:val="24CF5A15"/>
    <w:rsid w:val="24D49F10"/>
    <w:rsid w:val="24DC1E95"/>
    <w:rsid w:val="24E13771"/>
    <w:rsid w:val="24EF77A9"/>
    <w:rsid w:val="24EFC5A1"/>
    <w:rsid w:val="24F071FE"/>
    <w:rsid w:val="24F1F302"/>
    <w:rsid w:val="24F37A8C"/>
    <w:rsid w:val="25009725"/>
    <w:rsid w:val="25052000"/>
    <w:rsid w:val="250EB58A"/>
    <w:rsid w:val="25109018"/>
    <w:rsid w:val="25144DEC"/>
    <w:rsid w:val="25183878"/>
    <w:rsid w:val="251C9345"/>
    <w:rsid w:val="251CA458"/>
    <w:rsid w:val="25223557"/>
    <w:rsid w:val="2522562F"/>
    <w:rsid w:val="2523C800"/>
    <w:rsid w:val="252ED28B"/>
    <w:rsid w:val="2535A8C0"/>
    <w:rsid w:val="253652A8"/>
    <w:rsid w:val="253C30DD"/>
    <w:rsid w:val="253C7B90"/>
    <w:rsid w:val="254905F8"/>
    <w:rsid w:val="254D0238"/>
    <w:rsid w:val="2557556C"/>
    <w:rsid w:val="25594022"/>
    <w:rsid w:val="255D5B3C"/>
    <w:rsid w:val="25684218"/>
    <w:rsid w:val="2569E9C3"/>
    <w:rsid w:val="256B3BE9"/>
    <w:rsid w:val="25709244"/>
    <w:rsid w:val="258A25C5"/>
    <w:rsid w:val="258E68B2"/>
    <w:rsid w:val="25947AB9"/>
    <w:rsid w:val="259BBFD1"/>
    <w:rsid w:val="259FF2E8"/>
    <w:rsid w:val="25A2AE1C"/>
    <w:rsid w:val="25A5EB19"/>
    <w:rsid w:val="25AF6333"/>
    <w:rsid w:val="25B14D92"/>
    <w:rsid w:val="25B2D146"/>
    <w:rsid w:val="25B5BA91"/>
    <w:rsid w:val="25B8ED82"/>
    <w:rsid w:val="25BE3325"/>
    <w:rsid w:val="25C09444"/>
    <w:rsid w:val="25C8729F"/>
    <w:rsid w:val="25D321D8"/>
    <w:rsid w:val="25D92387"/>
    <w:rsid w:val="25DB2ABD"/>
    <w:rsid w:val="25DD0C3B"/>
    <w:rsid w:val="25E00CE8"/>
    <w:rsid w:val="25E52ACA"/>
    <w:rsid w:val="25E5E86E"/>
    <w:rsid w:val="25E5FCB3"/>
    <w:rsid w:val="25F3E48B"/>
    <w:rsid w:val="25F975CB"/>
    <w:rsid w:val="2602A9ED"/>
    <w:rsid w:val="2612185C"/>
    <w:rsid w:val="261898F1"/>
    <w:rsid w:val="262A2644"/>
    <w:rsid w:val="262E043A"/>
    <w:rsid w:val="262EF1FB"/>
    <w:rsid w:val="26327C69"/>
    <w:rsid w:val="2633FDBB"/>
    <w:rsid w:val="26354464"/>
    <w:rsid w:val="26368FD9"/>
    <w:rsid w:val="2637F848"/>
    <w:rsid w:val="2638C696"/>
    <w:rsid w:val="263C99AF"/>
    <w:rsid w:val="2640EC10"/>
    <w:rsid w:val="26419413"/>
    <w:rsid w:val="2645158C"/>
    <w:rsid w:val="26475887"/>
    <w:rsid w:val="26539DAE"/>
    <w:rsid w:val="2653CB06"/>
    <w:rsid w:val="2654DBBA"/>
    <w:rsid w:val="26580548"/>
    <w:rsid w:val="265AEBAC"/>
    <w:rsid w:val="265F7E54"/>
    <w:rsid w:val="265F90AD"/>
    <w:rsid w:val="2660F7F1"/>
    <w:rsid w:val="266BA35E"/>
    <w:rsid w:val="268371E4"/>
    <w:rsid w:val="2685A0A4"/>
    <w:rsid w:val="2689714D"/>
    <w:rsid w:val="268BCB1A"/>
    <w:rsid w:val="268D3A54"/>
    <w:rsid w:val="26924159"/>
    <w:rsid w:val="2692D099"/>
    <w:rsid w:val="26983EE2"/>
    <w:rsid w:val="26A2E128"/>
    <w:rsid w:val="26A4F5E4"/>
    <w:rsid w:val="26A5BCD1"/>
    <w:rsid w:val="26A5E7AC"/>
    <w:rsid w:val="26A9C69E"/>
    <w:rsid w:val="26AC65D1"/>
    <w:rsid w:val="26B1C92F"/>
    <w:rsid w:val="26B22347"/>
    <w:rsid w:val="26B92726"/>
    <w:rsid w:val="26BFF069"/>
    <w:rsid w:val="26C5C45A"/>
    <w:rsid w:val="26C645EB"/>
    <w:rsid w:val="26CA5E13"/>
    <w:rsid w:val="26CEB58A"/>
    <w:rsid w:val="26D65F31"/>
    <w:rsid w:val="26DC081E"/>
    <w:rsid w:val="26E05F69"/>
    <w:rsid w:val="26E91445"/>
    <w:rsid w:val="26EB6176"/>
    <w:rsid w:val="26F31C25"/>
    <w:rsid w:val="26FC8AA6"/>
    <w:rsid w:val="26FDBF69"/>
    <w:rsid w:val="27013A68"/>
    <w:rsid w:val="27053448"/>
    <w:rsid w:val="270D49F8"/>
    <w:rsid w:val="27157241"/>
    <w:rsid w:val="2716F50B"/>
    <w:rsid w:val="271FF530"/>
    <w:rsid w:val="272437A9"/>
    <w:rsid w:val="272A5DD2"/>
    <w:rsid w:val="272D2D31"/>
    <w:rsid w:val="273027C7"/>
    <w:rsid w:val="27311367"/>
    <w:rsid w:val="2733A64F"/>
    <w:rsid w:val="273F576B"/>
    <w:rsid w:val="273FC1E9"/>
    <w:rsid w:val="27408CF6"/>
    <w:rsid w:val="2742FD3B"/>
    <w:rsid w:val="27448C8F"/>
    <w:rsid w:val="2749F3CD"/>
    <w:rsid w:val="274D2446"/>
    <w:rsid w:val="27548C68"/>
    <w:rsid w:val="2754D1AF"/>
    <w:rsid w:val="275B5410"/>
    <w:rsid w:val="275F91C1"/>
    <w:rsid w:val="27614AF9"/>
    <w:rsid w:val="27657F02"/>
    <w:rsid w:val="27673A73"/>
    <w:rsid w:val="276DE764"/>
    <w:rsid w:val="2779237F"/>
    <w:rsid w:val="277A0139"/>
    <w:rsid w:val="277E1B5D"/>
    <w:rsid w:val="277ED800"/>
    <w:rsid w:val="277FDA43"/>
    <w:rsid w:val="278352F6"/>
    <w:rsid w:val="2783E105"/>
    <w:rsid w:val="27843DC9"/>
    <w:rsid w:val="27873824"/>
    <w:rsid w:val="278FBAA0"/>
    <w:rsid w:val="279B183F"/>
    <w:rsid w:val="279D002C"/>
    <w:rsid w:val="27A338CB"/>
    <w:rsid w:val="27A350CC"/>
    <w:rsid w:val="27AC3908"/>
    <w:rsid w:val="27B36D6D"/>
    <w:rsid w:val="27B51157"/>
    <w:rsid w:val="27B57593"/>
    <w:rsid w:val="27B984D0"/>
    <w:rsid w:val="27BDBB60"/>
    <w:rsid w:val="27CD33D9"/>
    <w:rsid w:val="27D9FA4F"/>
    <w:rsid w:val="27DE9F96"/>
    <w:rsid w:val="27E0F576"/>
    <w:rsid w:val="27E174C8"/>
    <w:rsid w:val="27EA0FAF"/>
    <w:rsid w:val="27EC249C"/>
    <w:rsid w:val="27EF6392"/>
    <w:rsid w:val="27F02171"/>
    <w:rsid w:val="27F113AE"/>
    <w:rsid w:val="27F6B1EE"/>
    <w:rsid w:val="27FDC932"/>
    <w:rsid w:val="28001B3A"/>
    <w:rsid w:val="28011961"/>
    <w:rsid w:val="2808671C"/>
    <w:rsid w:val="280D52A5"/>
    <w:rsid w:val="280E143F"/>
    <w:rsid w:val="2818B29D"/>
    <w:rsid w:val="2823B40B"/>
    <w:rsid w:val="28240F5F"/>
    <w:rsid w:val="282E7BB3"/>
    <w:rsid w:val="282FC6BD"/>
    <w:rsid w:val="28375ADB"/>
    <w:rsid w:val="28422AB9"/>
    <w:rsid w:val="28590EE9"/>
    <w:rsid w:val="285A884E"/>
    <w:rsid w:val="285A9F4F"/>
    <w:rsid w:val="285C134F"/>
    <w:rsid w:val="2863AE98"/>
    <w:rsid w:val="28652A9A"/>
    <w:rsid w:val="28662277"/>
    <w:rsid w:val="2867AAA0"/>
    <w:rsid w:val="286BDC67"/>
    <w:rsid w:val="2872AE68"/>
    <w:rsid w:val="287784DA"/>
    <w:rsid w:val="28791172"/>
    <w:rsid w:val="28799444"/>
    <w:rsid w:val="2880A12C"/>
    <w:rsid w:val="2881B8B9"/>
    <w:rsid w:val="288564AA"/>
    <w:rsid w:val="289628CD"/>
    <w:rsid w:val="2896D02A"/>
    <w:rsid w:val="289A2D32"/>
    <w:rsid w:val="289E559F"/>
    <w:rsid w:val="28A05798"/>
    <w:rsid w:val="28A0BE57"/>
    <w:rsid w:val="28A53B45"/>
    <w:rsid w:val="28AC9BB2"/>
    <w:rsid w:val="28B6FD67"/>
    <w:rsid w:val="28D4C929"/>
    <w:rsid w:val="28D6E6D6"/>
    <w:rsid w:val="28D70710"/>
    <w:rsid w:val="28D9B450"/>
    <w:rsid w:val="28DA4A84"/>
    <w:rsid w:val="28DCD67D"/>
    <w:rsid w:val="28DEACFA"/>
    <w:rsid w:val="28DFEF2E"/>
    <w:rsid w:val="28E00771"/>
    <w:rsid w:val="28F00DBF"/>
    <w:rsid w:val="28F1BEF0"/>
    <w:rsid w:val="28FBCC20"/>
    <w:rsid w:val="29010C4B"/>
    <w:rsid w:val="29100353"/>
    <w:rsid w:val="29118C68"/>
    <w:rsid w:val="29140132"/>
    <w:rsid w:val="29162163"/>
    <w:rsid w:val="29216815"/>
    <w:rsid w:val="29218A48"/>
    <w:rsid w:val="2925C4C0"/>
    <w:rsid w:val="292E1213"/>
    <w:rsid w:val="292F54B4"/>
    <w:rsid w:val="29315E8A"/>
    <w:rsid w:val="2937C59B"/>
    <w:rsid w:val="293FE875"/>
    <w:rsid w:val="2946BFED"/>
    <w:rsid w:val="294D4674"/>
    <w:rsid w:val="295172E0"/>
    <w:rsid w:val="29570A4D"/>
    <w:rsid w:val="295A0DE5"/>
    <w:rsid w:val="295CA719"/>
    <w:rsid w:val="295EDC3F"/>
    <w:rsid w:val="29619FBA"/>
    <w:rsid w:val="2966CA5B"/>
    <w:rsid w:val="29751066"/>
    <w:rsid w:val="298209B9"/>
    <w:rsid w:val="2982A2C6"/>
    <w:rsid w:val="298C6C2D"/>
    <w:rsid w:val="298D305F"/>
    <w:rsid w:val="29905BA9"/>
    <w:rsid w:val="2990FC95"/>
    <w:rsid w:val="29928F2B"/>
    <w:rsid w:val="2997B50E"/>
    <w:rsid w:val="299C1CA7"/>
    <w:rsid w:val="299C68C5"/>
    <w:rsid w:val="299D4AD9"/>
    <w:rsid w:val="29AEC55B"/>
    <w:rsid w:val="29B2FB93"/>
    <w:rsid w:val="29C5798B"/>
    <w:rsid w:val="29C8CFD3"/>
    <w:rsid w:val="29CE3E0B"/>
    <w:rsid w:val="29D36C92"/>
    <w:rsid w:val="29D3DAC4"/>
    <w:rsid w:val="29DAD1C8"/>
    <w:rsid w:val="29DB1EF3"/>
    <w:rsid w:val="29DEB741"/>
    <w:rsid w:val="29E0FA94"/>
    <w:rsid w:val="29E769FA"/>
    <w:rsid w:val="29EDC00A"/>
    <w:rsid w:val="29FBB970"/>
    <w:rsid w:val="29FD9B31"/>
    <w:rsid w:val="2A01D2C1"/>
    <w:rsid w:val="2A01E162"/>
    <w:rsid w:val="2A0229B7"/>
    <w:rsid w:val="2A035434"/>
    <w:rsid w:val="2A09484D"/>
    <w:rsid w:val="2A0D258C"/>
    <w:rsid w:val="2A12E89F"/>
    <w:rsid w:val="2A183248"/>
    <w:rsid w:val="2A2B197E"/>
    <w:rsid w:val="2A30F3BD"/>
    <w:rsid w:val="2A31C339"/>
    <w:rsid w:val="2A4074A5"/>
    <w:rsid w:val="2A42F31C"/>
    <w:rsid w:val="2A481FE7"/>
    <w:rsid w:val="2A4B68A9"/>
    <w:rsid w:val="2A5470A8"/>
    <w:rsid w:val="2A5B8E43"/>
    <w:rsid w:val="2A601AD8"/>
    <w:rsid w:val="2A6236AA"/>
    <w:rsid w:val="2A62478C"/>
    <w:rsid w:val="2A6CA38F"/>
    <w:rsid w:val="2A6DCF56"/>
    <w:rsid w:val="2A7E1431"/>
    <w:rsid w:val="2A7FEC51"/>
    <w:rsid w:val="2A824FB2"/>
    <w:rsid w:val="2A827AF8"/>
    <w:rsid w:val="2A838F55"/>
    <w:rsid w:val="2A898C55"/>
    <w:rsid w:val="2A8E4B20"/>
    <w:rsid w:val="2A9860BF"/>
    <w:rsid w:val="2AA1DA59"/>
    <w:rsid w:val="2AA4379F"/>
    <w:rsid w:val="2AA96335"/>
    <w:rsid w:val="2AB30090"/>
    <w:rsid w:val="2AB4653F"/>
    <w:rsid w:val="2AB5814A"/>
    <w:rsid w:val="2ABBF6C6"/>
    <w:rsid w:val="2ABF07DD"/>
    <w:rsid w:val="2AC30AE7"/>
    <w:rsid w:val="2AC3D8A9"/>
    <w:rsid w:val="2AC7B98A"/>
    <w:rsid w:val="2ACD32F0"/>
    <w:rsid w:val="2AD75B16"/>
    <w:rsid w:val="2AEA46AE"/>
    <w:rsid w:val="2AEB8EDC"/>
    <w:rsid w:val="2AF0544E"/>
    <w:rsid w:val="2AF10988"/>
    <w:rsid w:val="2AFAC32E"/>
    <w:rsid w:val="2AFB463B"/>
    <w:rsid w:val="2B01D44D"/>
    <w:rsid w:val="2B0D46FB"/>
    <w:rsid w:val="2B163EF3"/>
    <w:rsid w:val="2B16505A"/>
    <w:rsid w:val="2B17833F"/>
    <w:rsid w:val="2B1C3FAC"/>
    <w:rsid w:val="2B27C169"/>
    <w:rsid w:val="2B32D390"/>
    <w:rsid w:val="2B348D14"/>
    <w:rsid w:val="2B3537D2"/>
    <w:rsid w:val="2B388EEC"/>
    <w:rsid w:val="2B3FEA5A"/>
    <w:rsid w:val="2B40606B"/>
    <w:rsid w:val="2B43BEBB"/>
    <w:rsid w:val="2B46BD44"/>
    <w:rsid w:val="2B478255"/>
    <w:rsid w:val="2B5489CD"/>
    <w:rsid w:val="2B5AD54E"/>
    <w:rsid w:val="2B5DB79D"/>
    <w:rsid w:val="2B5F4B5C"/>
    <w:rsid w:val="2B667255"/>
    <w:rsid w:val="2B6B732D"/>
    <w:rsid w:val="2B6E64C7"/>
    <w:rsid w:val="2B6F7E1D"/>
    <w:rsid w:val="2B7173B3"/>
    <w:rsid w:val="2B79718F"/>
    <w:rsid w:val="2B7B55B1"/>
    <w:rsid w:val="2B7D7DD7"/>
    <w:rsid w:val="2B7E26AD"/>
    <w:rsid w:val="2B7F5236"/>
    <w:rsid w:val="2B81923F"/>
    <w:rsid w:val="2B83ABC4"/>
    <w:rsid w:val="2B89E81F"/>
    <w:rsid w:val="2B92D084"/>
    <w:rsid w:val="2BA2DC48"/>
    <w:rsid w:val="2BA647AF"/>
    <w:rsid w:val="2BA76B1C"/>
    <w:rsid w:val="2BAA06EB"/>
    <w:rsid w:val="2BAAFF68"/>
    <w:rsid w:val="2BBEC74C"/>
    <w:rsid w:val="2BBF4D60"/>
    <w:rsid w:val="2BC6C0D4"/>
    <w:rsid w:val="2BC7EA01"/>
    <w:rsid w:val="2BCAD537"/>
    <w:rsid w:val="2BCDD18C"/>
    <w:rsid w:val="2BD545B2"/>
    <w:rsid w:val="2BD8ECB8"/>
    <w:rsid w:val="2BDE5616"/>
    <w:rsid w:val="2BEA0CFD"/>
    <w:rsid w:val="2BEC6983"/>
    <w:rsid w:val="2BEFBDF7"/>
    <w:rsid w:val="2BF08DEC"/>
    <w:rsid w:val="2BF0FD35"/>
    <w:rsid w:val="2BF19412"/>
    <w:rsid w:val="2BF81C24"/>
    <w:rsid w:val="2BF9D841"/>
    <w:rsid w:val="2BFAB1FE"/>
    <w:rsid w:val="2BFEBA0C"/>
    <w:rsid w:val="2C002D8A"/>
    <w:rsid w:val="2C024B3B"/>
    <w:rsid w:val="2C04D83E"/>
    <w:rsid w:val="2C076C65"/>
    <w:rsid w:val="2C0E9788"/>
    <w:rsid w:val="2C0EE816"/>
    <w:rsid w:val="2C16D34B"/>
    <w:rsid w:val="2C228D0F"/>
    <w:rsid w:val="2C23FF9B"/>
    <w:rsid w:val="2C25DF66"/>
    <w:rsid w:val="2C29A423"/>
    <w:rsid w:val="2C2D5477"/>
    <w:rsid w:val="2C30D7CC"/>
    <w:rsid w:val="2C314F26"/>
    <w:rsid w:val="2C33D213"/>
    <w:rsid w:val="2C367A70"/>
    <w:rsid w:val="2C39330D"/>
    <w:rsid w:val="2C446404"/>
    <w:rsid w:val="2C44EEF6"/>
    <w:rsid w:val="2C4B6114"/>
    <w:rsid w:val="2C4F4187"/>
    <w:rsid w:val="2C57A06C"/>
    <w:rsid w:val="2C60D280"/>
    <w:rsid w:val="2C664415"/>
    <w:rsid w:val="2C66FAF1"/>
    <w:rsid w:val="2C674DE0"/>
    <w:rsid w:val="2C68A1D4"/>
    <w:rsid w:val="2C6A85E1"/>
    <w:rsid w:val="2C6B3496"/>
    <w:rsid w:val="2C701177"/>
    <w:rsid w:val="2C778436"/>
    <w:rsid w:val="2C835281"/>
    <w:rsid w:val="2C898667"/>
    <w:rsid w:val="2C8C9CC7"/>
    <w:rsid w:val="2C8ECB14"/>
    <w:rsid w:val="2C909915"/>
    <w:rsid w:val="2C91BCC8"/>
    <w:rsid w:val="2C94D4F3"/>
    <w:rsid w:val="2C954D7E"/>
    <w:rsid w:val="2C97B259"/>
    <w:rsid w:val="2C984104"/>
    <w:rsid w:val="2C9C1129"/>
    <w:rsid w:val="2CA092C4"/>
    <w:rsid w:val="2CA216F1"/>
    <w:rsid w:val="2CA49928"/>
    <w:rsid w:val="2CAC4D3E"/>
    <w:rsid w:val="2CAD0DC9"/>
    <w:rsid w:val="2CAE1136"/>
    <w:rsid w:val="2CAE41C6"/>
    <w:rsid w:val="2CB09314"/>
    <w:rsid w:val="2CBA1BAE"/>
    <w:rsid w:val="2CC054FD"/>
    <w:rsid w:val="2CC6B615"/>
    <w:rsid w:val="2CC6D7A0"/>
    <w:rsid w:val="2CC93437"/>
    <w:rsid w:val="2CCFD765"/>
    <w:rsid w:val="2CD2EBD1"/>
    <w:rsid w:val="2CDA127F"/>
    <w:rsid w:val="2CDC3C8C"/>
    <w:rsid w:val="2CDF9DE4"/>
    <w:rsid w:val="2CE2D01C"/>
    <w:rsid w:val="2CE73478"/>
    <w:rsid w:val="2CF02E8C"/>
    <w:rsid w:val="2D05BB8F"/>
    <w:rsid w:val="2D0656CB"/>
    <w:rsid w:val="2D06A6A4"/>
    <w:rsid w:val="2D080582"/>
    <w:rsid w:val="2D10E457"/>
    <w:rsid w:val="2D131B0A"/>
    <w:rsid w:val="2D1477A2"/>
    <w:rsid w:val="2D158A5D"/>
    <w:rsid w:val="2D2E7CCB"/>
    <w:rsid w:val="2D2FC030"/>
    <w:rsid w:val="2D37A115"/>
    <w:rsid w:val="2D43F4BD"/>
    <w:rsid w:val="2D4903A4"/>
    <w:rsid w:val="2D4C8543"/>
    <w:rsid w:val="2D54B11B"/>
    <w:rsid w:val="2D56C23B"/>
    <w:rsid w:val="2D5ABDB5"/>
    <w:rsid w:val="2D5D0F2D"/>
    <w:rsid w:val="2D5D434E"/>
    <w:rsid w:val="2D5DE665"/>
    <w:rsid w:val="2D5E27E0"/>
    <w:rsid w:val="2D655099"/>
    <w:rsid w:val="2D6F7384"/>
    <w:rsid w:val="2D733A38"/>
    <w:rsid w:val="2D780F2C"/>
    <w:rsid w:val="2D7CC98F"/>
    <w:rsid w:val="2D7F64C7"/>
    <w:rsid w:val="2D820CB9"/>
    <w:rsid w:val="2D89C04F"/>
    <w:rsid w:val="2D8B2D81"/>
    <w:rsid w:val="2D8F6E6F"/>
    <w:rsid w:val="2D911A71"/>
    <w:rsid w:val="2D939666"/>
    <w:rsid w:val="2D9DD900"/>
    <w:rsid w:val="2D9EA24B"/>
    <w:rsid w:val="2DA8CB52"/>
    <w:rsid w:val="2DC219A0"/>
    <w:rsid w:val="2DD29544"/>
    <w:rsid w:val="2DD8D729"/>
    <w:rsid w:val="2DDB8A46"/>
    <w:rsid w:val="2DDDDCF9"/>
    <w:rsid w:val="2DE307EA"/>
    <w:rsid w:val="2DE6169C"/>
    <w:rsid w:val="2DE8C63F"/>
    <w:rsid w:val="2DE94B3C"/>
    <w:rsid w:val="2DEF80DF"/>
    <w:rsid w:val="2E074BDF"/>
    <w:rsid w:val="2E14C8EC"/>
    <w:rsid w:val="2E19E026"/>
    <w:rsid w:val="2E28F868"/>
    <w:rsid w:val="2E2930FF"/>
    <w:rsid w:val="2E2DCA73"/>
    <w:rsid w:val="2E2FEC29"/>
    <w:rsid w:val="2E31BEAC"/>
    <w:rsid w:val="2E325621"/>
    <w:rsid w:val="2E3C4A19"/>
    <w:rsid w:val="2E3C785F"/>
    <w:rsid w:val="2E3EE83F"/>
    <w:rsid w:val="2E3F907B"/>
    <w:rsid w:val="2E433AF0"/>
    <w:rsid w:val="2E4EE0F4"/>
    <w:rsid w:val="2E54448C"/>
    <w:rsid w:val="2E59EB33"/>
    <w:rsid w:val="2E5AF890"/>
    <w:rsid w:val="2E5C9D17"/>
    <w:rsid w:val="2E5F20E4"/>
    <w:rsid w:val="2E678B65"/>
    <w:rsid w:val="2E67C20E"/>
    <w:rsid w:val="2E6F4CF0"/>
    <w:rsid w:val="2E78AE67"/>
    <w:rsid w:val="2E827A15"/>
    <w:rsid w:val="2E835E18"/>
    <w:rsid w:val="2EAB821F"/>
    <w:rsid w:val="2EACC04C"/>
    <w:rsid w:val="2EB0BBB5"/>
    <w:rsid w:val="2EB1F0D1"/>
    <w:rsid w:val="2EB24CCF"/>
    <w:rsid w:val="2EBA1C3C"/>
    <w:rsid w:val="2EBA258F"/>
    <w:rsid w:val="2EBF4D99"/>
    <w:rsid w:val="2EC3DDDA"/>
    <w:rsid w:val="2EC68464"/>
    <w:rsid w:val="2EC74451"/>
    <w:rsid w:val="2EC8192B"/>
    <w:rsid w:val="2EC9BD65"/>
    <w:rsid w:val="2ECA192E"/>
    <w:rsid w:val="2ECCE745"/>
    <w:rsid w:val="2ECD4860"/>
    <w:rsid w:val="2ECF979D"/>
    <w:rsid w:val="2ED09868"/>
    <w:rsid w:val="2ED12E58"/>
    <w:rsid w:val="2EE51423"/>
    <w:rsid w:val="2EE9024B"/>
    <w:rsid w:val="2EF28CA8"/>
    <w:rsid w:val="2EF4951E"/>
    <w:rsid w:val="2EF592D9"/>
    <w:rsid w:val="2F0259FB"/>
    <w:rsid w:val="2F08EA39"/>
    <w:rsid w:val="2F094B5C"/>
    <w:rsid w:val="2F0D132B"/>
    <w:rsid w:val="2F0D741F"/>
    <w:rsid w:val="2F0E8D8A"/>
    <w:rsid w:val="2F0FC508"/>
    <w:rsid w:val="2F1ED785"/>
    <w:rsid w:val="2F224DCD"/>
    <w:rsid w:val="2F22AABB"/>
    <w:rsid w:val="2F297214"/>
    <w:rsid w:val="2F2A8C66"/>
    <w:rsid w:val="2F36294A"/>
    <w:rsid w:val="2F38FF33"/>
    <w:rsid w:val="2F43354E"/>
    <w:rsid w:val="2F47CA25"/>
    <w:rsid w:val="2F56AAE5"/>
    <w:rsid w:val="2F5B162F"/>
    <w:rsid w:val="2F624FBE"/>
    <w:rsid w:val="2F67A9C5"/>
    <w:rsid w:val="2F707E4F"/>
    <w:rsid w:val="2F71D540"/>
    <w:rsid w:val="2F78A67E"/>
    <w:rsid w:val="2F78D021"/>
    <w:rsid w:val="2F797BAC"/>
    <w:rsid w:val="2F7A5E77"/>
    <w:rsid w:val="2F7EB83C"/>
    <w:rsid w:val="2F82CF19"/>
    <w:rsid w:val="2F83EA15"/>
    <w:rsid w:val="2F984F8C"/>
    <w:rsid w:val="2FAC3A3C"/>
    <w:rsid w:val="2FAFC7B8"/>
    <w:rsid w:val="2FB0A1A8"/>
    <w:rsid w:val="2FB2C5FC"/>
    <w:rsid w:val="2FB68F59"/>
    <w:rsid w:val="2FB78F56"/>
    <w:rsid w:val="2FB9AF7B"/>
    <w:rsid w:val="2FC1AF15"/>
    <w:rsid w:val="2FC98F35"/>
    <w:rsid w:val="2FCA9336"/>
    <w:rsid w:val="2FCDF6F5"/>
    <w:rsid w:val="2FCEE509"/>
    <w:rsid w:val="2FD21F9B"/>
    <w:rsid w:val="2FD3DDF8"/>
    <w:rsid w:val="2FDB530B"/>
    <w:rsid w:val="2FE9A56F"/>
    <w:rsid w:val="2FF77C29"/>
    <w:rsid w:val="2FF8CD83"/>
    <w:rsid w:val="2FF95A22"/>
    <w:rsid w:val="300A5D4B"/>
    <w:rsid w:val="300D8EF2"/>
    <w:rsid w:val="30140E23"/>
    <w:rsid w:val="301A78BC"/>
    <w:rsid w:val="3021242F"/>
    <w:rsid w:val="3027A1F9"/>
    <w:rsid w:val="302A469F"/>
    <w:rsid w:val="302C013D"/>
    <w:rsid w:val="30326213"/>
    <w:rsid w:val="303418F2"/>
    <w:rsid w:val="303B8240"/>
    <w:rsid w:val="304959BE"/>
    <w:rsid w:val="304C1382"/>
    <w:rsid w:val="3050CC56"/>
    <w:rsid w:val="30556762"/>
    <w:rsid w:val="305EE332"/>
    <w:rsid w:val="30606DE1"/>
    <w:rsid w:val="3060B91E"/>
    <w:rsid w:val="3062E94F"/>
    <w:rsid w:val="306545F4"/>
    <w:rsid w:val="306FF60A"/>
    <w:rsid w:val="30723257"/>
    <w:rsid w:val="307569EA"/>
    <w:rsid w:val="30773D63"/>
    <w:rsid w:val="3079BEA9"/>
    <w:rsid w:val="307AF8B9"/>
    <w:rsid w:val="307D8266"/>
    <w:rsid w:val="308C2434"/>
    <w:rsid w:val="30943BF5"/>
    <w:rsid w:val="30AFB6E9"/>
    <w:rsid w:val="30B2517B"/>
    <w:rsid w:val="30B50B63"/>
    <w:rsid w:val="30BAA995"/>
    <w:rsid w:val="30C607DF"/>
    <w:rsid w:val="30D4351F"/>
    <w:rsid w:val="30D4E72A"/>
    <w:rsid w:val="30E857D6"/>
    <w:rsid w:val="30E916CB"/>
    <w:rsid w:val="30F1D111"/>
    <w:rsid w:val="31018F94"/>
    <w:rsid w:val="31064411"/>
    <w:rsid w:val="310A38E3"/>
    <w:rsid w:val="310BD7DB"/>
    <w:rsid w:val="310BEF6C"/>
    <w:rsid w:val="3117C246"/>
    <w:rsid w:val="312237C5"/>
    <w:rsid w:val="3139DBF1"/>
    <w:rsid w:val="313C9E2D"/>
    <w:rsid w:val="314B0847"/>
    <w:rsid w:val="314CE4E4"/>
    <w:rsid w:val="314D71D1"/>
    <w:rsid w:val="314E42F1"/>
    <w:rsid w:val="314EC18E"/>
    <w:rsid w:val="315390D1"/>
    <w:rsid w:val="315431C0"/>
    <w:rsid w:val="3154D4AE"/>
    <w:rsid w:val="315B85C7"/>
    <w:rsid w:val="315D554C"/>
    <w:rsid w:val="31650F4A"/>
    <w:rsid w:val="316A8412"/>
    <w:rsid w:val="316F2288"/>
    <w:rsid w:val="31740E73"/>
    <w:rsid w:val="3177C6DD"/>
    <w:rsid w:val="31807A86"/>
    <w:rsid w:val="3184E47B"/>
    <w:rsid w:val="3189081B"/>
    <w:rsid w:val="318DC144"/>
    <w:rsid w:val="3190D747"/>
    <w:rsid w:val="3195358F"/>
    <w:rsid w:val="319D6509"/>
    <w:rsid w:val="31A024E4"/>
    <w:rsid w:val="31A51CE1"/>
    <w:rsid w:val="31B09597"/>
    <w:rsid w:val="31B2923E"/>
    <w:rsid w:val="31B480EA"/>
    <w:rsid w:val="31BB503D"/>
    <w:rsid w:val="31C5DCC1"/>
    <w:rsid w:val="31C91051"/>
    <w:rsid w:val="31CB9739"/>
    <w:rsid w:val="31CC0370"/>
    <w:rsid w:val="31D9968C"/>
    <w:rsid w:val="31DF8BAC"/>
    <w:rsid w:val="31E0AB16"/>
    <w:rsid w:val="31E11BC8"/>
    <w:rsid w:val="31E6D7FC"/>
    <w:rsid w:val="31E78117"/>
    <w:rsid w:val="31E7D13F"/>
    <w:rsid w:val="31F13D9C"/>
    <w:rsid w:val="32070479"/>
    <w:rsid w:val="320ACAC2"/>
    <w:rsid w:val="32175132"/>
    <w:rsid w:val="3220F6F6"/>
    <w:rsid w:val="3228B3FA"/>
    <w:rsid w:val="322D0CE4"/>
    <w:rsid w:val="3233207C"/>
    <w:rsid w:val="3245440D"/>
    <w:rsid w:val="3249CADC"/>
    <w:rsid w:val="324B2ACB"/>
    <w:rsid w:val="324C7871"/>
    <w:rsid w:val="325022E8"/>
    <w:rsid w:val="3256FCEE"/>
    <w:rsid w:val="325C6C5F"/>
    <w:rsid w:val="325E4533"/>
    <w:rsid w:val="3262CA2F"/>
    <w:rsid w:val="3271AADA"/>
    <w:rsid w:val="32733DD7"/>
    <w:rsid w:val="327CBD3D"/>
    <w:rsid w:val="3281B1D2"/>
    <w:rsid w:val="3282B375"/>
    <w:rsid w:val="3289E800"/>
    <w:rsid w:val="328A4A12"/>
    <w:rsid w:val="328DB55D"/>
    <w:rsid w:val="32916BC8"/>
    <w:rsid w:val="32917149"/>
    <w:rsid w:val="32949BCA"/>
    <w:rsid w:val="3299A9BD"/>
    <w:rsid w:val="329FF77F"/>
    <w:rsid w:val="32A78CC0"/>
    <w:rsid w:val="32ADA729"/>
    <w:rsid w:val="32AE7493"/>
    <w:rsid w:val="32B7E73C"/>
    <w:rsid w:val="32CC618B"/>
    <w:rsid w:val="32D09EEF"/>
    <w:rsid w:val="32E66861"/>
    <w:rsid w:val="32F24295"/>
    <w:rsid w:val="32F5721B"/>
    <w:rsid w:val="32FD6C21"/>
    <w:rsid w:val="330EC8BC"/>
    <w:rsid w:val="331091A8"/>
    <w:rsid w:val="3316C6D9"/>
    <w:rsid w:val="332E97D4"/>
    <w:rsid w:val="3334A4E4"/>
    <w:rsid w:val="333A5825"/>
    <w:rsid w:val="333DB118"/>
    <w:rsid w:val="3342EB0E"/>
    <w:rsid w:val="33474A50"/>
    <w:rsid w:val="3348D9BF"/>
    <w:rsid w:val="334A4CCF"/>
    <w:rsid w:val="334D458D"/>
    <w:rsid w:val="335503B0"/>
    <w:rsid w:val="335B2A5B"/>
    <w:rsid w:val="335EFFFA"/>
    <w:rsid w:val="336453E5"/>
    <w:rsid w:val="3364B04A"/>
    <w:rsid w:val="3365F568"/>
    <w:rsid w:val="336C4D76"/>
    <w:rsid w:val="336D3A91"/>
    <w:rsid w:val="337311CA"/>
    <w:rsid w:val="3375653A"/>
    <w:rsid w:val="337681AD"/>
    <w:rsid w:val="337B447C"/>
    <w:rsid w:val="337D764E"/>
    <w:rsid w:val="3380135C"/>
    <w:rsid w:val="3383F217"/>
    <w:rsid w:val="33853BBA"/>
    <w:rsid w:val="33873E17"/>
    <w:rsid w:val="338D373E"/>
    <w:rsid w:val="338EE062"/>
    <w:rsid w:val="33902FAB"/>
    <w:rsid w:val="3397656B"/>
    <w:rsid w:val="3397A66B"/>
    <w:rsid w:val="3398104A"/>
    <w:rsid w:val="33986E1E"/>
    <w:rsid w:val="3399487A"/>
    <w:rsid w:val="339E97D9"/>
    <w:rsid w:val="33A0192B"/>
    <w:rsid w:val="33A35797"/>
    <w:rsid w:val="33A6FD69"/>
    <w:rsid w:val="33A7491D"/>
    <w:rsid w:val="33B22CD6"/>
    <w:rsid w:val="33B6B04A"/>
    <w:rsid w:val="33BFA7CD"/>
    <w:rsid w:val="33C92651"/>
    <w:rsid w:val="33CF27EE"/>
    <w:rsid w:val="33D31C65"/>
    <w:rsid w:val="33D38F89"/>
    <w:rsid w:val="33D5FBC8"/>
    <w:rsid w:val="33DAD190"/>
    <w:rsid w:val="33DE75B0"/>
    <w:rsid w:val="33E62BFF"/>
    <w:rsid w:val="33F11943"/>
    <w:rsid w:val="33F1B219"/>
    <w:rsid w:val="33F1BDE0"/>
    <w:rsid w:val="33F3E358"/>
    <w:rsid w:val="3400ABB4"/>
    <w:rsid w:val="3401762A"/>
    <w:rsid w:val="34063E49"/>
    <w:rsid w:val="340984CA"/>
    <w:rsid w:val="340EF478"/>
    <w:rsid w:val="340F6611"/>
    <w:rsid w:val="34115CB9"/>
    <w:rsid w:val="3414419E"/>
    <w:rsid w:val="3422A2A5"/>
    <w:rsid w:val="34232296"/>
    <w:rsid w:val="3425A476"/>
    <w:rsid w:val="3425D007"/>
    <w:rsid w:val="342A67C4"/>
    <w:rsid w:val="342AC225"/>
    <w:rsid w:val="342BE769"/>
    <w:rsid w:val="342D1D77"/>
    <w:rsid w:val="3434A004"/>
    <w:rsid w:val="3435356E"/>
    <w:rsid w:val="343F0F56"/>
    <w:rsid w:val="343F8292"/>
    <w:rsid w:val="3441D1A2"/>
    <w:rsid w:val="3441FE1D"/>
    <w:rsid w:val="3442A5F9"/>
    <w:rsid w:val="344C36C0"/>
    <w:rsid w:val="344CAB77"/>
    <w:rsid w:val="3453103B"/>
    <w:rsid w:val="34541370"/>
    <w:rsid w:val="3455C8FF"/>
    <w:rsid w:val="3455E5E8"/>
    <w:rsid w:val="3456DEC5"/>
    <w:rsid w:val="345BD625"/>
    <w:rsid w:val="3461DD8C"/>
    <w:rsid w:val="34647B47"/>
    <w:rsid w:val="34664C09"/>
    <w:rsid w:val="34774729"/>
    <w:rsid w:val="347CF72F"/>
    <w:rsid w:val="347FC383"/>
    <w:rsid w:val="3483736C"/>
    <w:rsid w:val="34901FD3"/>
    <w:rsid w:val="3490555E"/>
    <w:rsid w:val="34907723"/>
    <w:rsid w:val="3491C9F0"/>
    <w:rsid w:val="34987349"/>
    <w:rsid w:val="349D2C97"/>
    <w:rsid w:val="349E0869"/>
    <w:rsid w:val="34A0FEC9"/>
    <w:rsid w:val="34A21F70"/>
    <w:rsid w:val="34AE3EA1"/>
    <w:rsid w:val="34B32F7F"/>
    <w:rsid w:val="34B45129"/>
    <w:rsid w:val="34BE368E"/>
    <w:rsid w:val="34C24B82"/>
    <w:rsid w:val="34CDEC31"/>
    <w:rsid w:val="34CE71BA"/>
    <w:rsid w:val="34CEE5C5"/>
    <w:rsid w:val="34D1BADA"/>
    <w:rsid w:val="34D4355F"/>
    <w:rsid w:val="34D7AF83"/>
    <w:rsid w:val="34D8F2A3"/>
    <w:rsid w:val="34DC6A49"/>
    <w:rsid w:val="34DDB5A3"/>
    <w:rsid w:val="34E8330D"/>
    <w:rsid w:val="34E83B88"/>
    <w:rsid w:val="34EE3EEF"/>
    <w:rsid w:val="34F115B3"/>
    <w:rsid w:val="34F6A0BD"/>
    <w:rsid w:val="34FDC3DC"/>
    <w:rsid w:val="3506CE1E"/>
    <w:rsid w:val="3507691D"/>
    <w:rsid w:val="3511F44A"/>
    <w:rsid w:val="3512C59F"/>
    <w:rsid w:val="351FCE64"/>
    <w:rsid w:val="3526EB08"/>
    <w:rsid w:val="352E0E45"/>
    <w:rsid w:val="35304AE4"/>
    <w:rsid w:val="353BDD15"/>
    <w:rsid w:val="353E4A5D"/>
    <w:rsid w:val="3543A0FD"/>
    <w:rsid w:val="354469D1"/>
    <w:rsid w:val="354A628D"/>
    <w:rsid w:val="35544E1F"/>
    <w:rsid w:val="3554F9FD"/>
    <w:rsid w:val="35608B42"/>
    <w:rsid w:val="3560E9DC"/>
    <w:rsid w:val="356453F0"/>
    <w:rsid w:val="3564B34B"/>
    <w:rsid w:val="35652A61"/>
    <w:rsid w:val="356B6439"/>
    <w:rsid w:val="3576F2BD"/>
    <w:rsid w:val="3585F2F8"/>
    <w:rsid w:val="3586EE97"/>
    <w:rsid w:val="358C2014"/>
    <w:rsid w:val="358D2667"/>
    <w:rsid w:val="358DE230"/>
    <w:rsid w:val="358F8D3D"/>
    <w:rsid w:val="35942F4F"/>
    <w:rsid w:val="3598F1F8"/>
    <w:rsid w:val="359D1B18"/>
    <w:rsid w:val="35A48ACE"/>
    <w:rsid w:val="35A5FEC7"/>
    <w:rsid w:val="35A81E61"/>
    <w:rsid w:val="35A914EF"/>
    <w:rsid w:val="35B2380F"/>
    <w:rsid w:val="35B6C5C9"/>
    <w:rsid w:val="35B99C73"/>
    <w:rsid w:val="35BC646D"/>
    <w:rsid w:val="35BD1FEE"/>
    <w:rsid w:val="35C351CF"/>
    <w:rsid w:val="35C72B25"/>
    <w:rsid w:val="35CC2472"/>
    <w:rsid w:val="35CC6DDE"/>
    <w:rsid w:val="35CD3F80"/>
    <w:rsid w:val="35CFEF90"/>
    <w:rsid w:val="35D4FDF8"/>
    <w:rsid w:val="35D5992D"/>
    <w:rsid w:val="35F2246E"/>
    <w:rsid w:val="35F9CD39"/>
    <w:rsid w:val="35FBFC8B"/>
    <w:rsid w:val="3601AA74"/>
    <w:rsid w:val="3606DE4F"/>
    <w:rsid w:val="360798E8"/>
    <w:rsid w:val="36128215"/>
    <w:rsid w:val="3615849C"/>
    <w:rsid w:val="36162A60"/>
    <w:rsid w:val="361B13E5"/>
    <w:rsid w:val="3621B9E5"/>
    <w:rsid w:val="362A5231"/>
    <w:rsid w:val="362CED8A"/>
    <w:rsid w:val="3630EF96"/>
    <w:rsid w:val="363B3D09"/>
    <w:rsid w:val="36425582"/>
    <w:rsid w:val="3643E058"/>
    <w:rsid w:val="36480065"/>
    <w:rsid w:val="36513F20"/>
    <w:rsid w:val="36528251"/>
    <w:rsid w:val="3657A52A"/>
    <w:rsid w:val="365B52F0"/>
    <w:rsid w:val="365B8871"/>
    <w:rsid w:val="3668CBF4"/>
    <w:rsid w:val="366F255F"/>
    <w:rsid w:val="3670B13D"/>
    <w:rsid w:val="36723B98"/>
    <w:rsid w:val="3676B957"/>
    <w:rsid w:val="367A128C"/>
    <w:rsid w:val="3688C343"/>
    <w:rsid w:val="368B260B"/>
    <w:rsid w:val="368B82C7"/>
    <w:rsid w:val="368B8D3A"/>
    <w:rsid w:val="36902045"/>
    <w:rsid w:val="36915079"/>
    <w:rsid w:val="36985D77"/>
    <w:rsid w:val="36A116CE"/>
    <w:rsid w:val="36A21813"/>
    <w:rsid w:val="36A29F50"/>
    <w:rsid w:val="36A83878"/>
    <w:rsid w:val="36B137CB"/>
    <w:rsid w:val="36B2C1D7"/>
    <w:rsid w:val="36B67111"/>
    <w:rsid w:val="36B7932A"/>
    <w:rsid w:val="36BA1B50"/>
    <w:rsid w:val="36C86CB5"/>
    <w:rsid w:val="36CA0146"/>
    <w:rsid w:val="36D24811"/>
    <w:rsid w:val="36DA19E6"/>
    <w:rsid w:val="36DCF749"/>
    <w:rsid w:val="36E321BE"/>
    <w:rsid w:val="36E476DC"/>
    <w:rsid w:val="36E574B4"/>
    <w:rsid w:val="36E70A4A"/>
    <w:rsid w:val="36EA917C"/>
    <w:rsid w:val="36EBCF11"/>
    <w:rsid w:val="36EE1A28"/>
    <w:rsid w:val="36EFE43E"/>
    <w:rsid w:val="36F80BB6"/>
    <w:rsid w:val="36F9C603"/>
    <w:rsid w:val="36FA97B9"/>
    <w:rsid w:val="37024BB3"/>
    <w:rsid w:val="3703F90A"/>
    <w:rsid w:val="37048210"/>
    <w:rsid w:val="37081337"/>
    <w:rsid w:val="3708EDEE"/>
    <w:rsid w:val="370968EC"/>
    <w:rsid w:val="370F2C18"/>
    <w:rsid w:val="37106627"/>
    <w:rsid w:val="3711D2E0"/>
    <w:rsid w:val="371842A7"/>
    <w:rsid w:val="371B1693"/>
    <w:rsid w:val="371DB211"/>
    <w:rsid w:val="37236B3E"/>
    <w:rsid w:val="372480C6"/>
    <w:rsid w:val="372DA250"/>
    <w:rsid w:val="373AD68B"/>
    <w:rsid w:val="373B00CB"/>
    <w:rsid w:val="373C0565"/>
    <w:rsid w:val="3741EE00"/>
    <w:rsid w:val="374231D8"/>
    <w:rsid w:val="37433AD0"/>
    <w:rsid w:val="37496AE8"/>
    <w:rsid w:val="374D395F"/>
    <w:rsid w:val="375037CA"/>
    <w:rsid w:val="37511BD5"/>
    <w:rsid w:val="37521B5E"/>
    <w:rsid w:val="37585DAB"/>
    <w:rsid w:val="375AAC12"/>
    <w:rsid w:val="375FE421"/>
    <w:rsid w:val="376624A9"/>
    <w:rsid w:val="3769A5F2"/>
    <w:rsid w:val="376DF166"/>
    <w:rsid w:val="377C2082"/>
    <w:rsid w:val="3781DFCA"/>
    <w:rsid w:val="37834725"/>
    <w:rsid w:val="378B3361"/>
    <w:rsid w:val="379A6835"/>
    <w:rsid w:val="379B3EC4"/>
    <w:rsid w:val="379D001E"/>
    <w:rsid w:val="379FE3E8"/>
    <w:rsid w:val="37AEA725"/>
    <w:rsid w:val="37AFD155"/>
    <w:rsid w:val="37B3D270"/>
    <w:rsid w:val="37B45483"/>
    <w:rsid w:val="37B4F08A"/>
    <w:rsid w:val="37B5E3B0"/>
    <w:rsid w:val="37B91FDE"/>
    <w:rsid w:val="37BAD807"/>
    <w:rsid w:val="37C20AB5"/>
    <w:rsid w:val="37C2F67F"/>
    <w:rsid w:val="37C643CD"/>
    <w:rsid w:val="37CDAC54"/>
    <w:rsid w:val="37CF38D1"/>
    <w:rsid w:val="37CFFCD6"/>
    <w:rsid w:val="37D5280A"/>
    <w:rsid w:val="37D944BC"/>
    <w:rsid w:val="37DA5B52"/>
    <w:rsid w:val="37DFEC24"/>
    <w:rsid w:val="37E118B3"/>
    <w:rsid w:val="37E12B86"/>
    <w:rsid w:val="37E1C4AB"/>
    <w:rsid w:val="37E3C33C"/>
    <w:rsid w:val="37E9CBD7"/>
    <w:rsid w:val="37EFB7D7"/>
    <w:rsid w:val="37F8C70E"/>
    <w:rsid w:val="37F9C580"/>
    <w:rsid w:val="37FA8ECA"/>
    <w:rsid w:val="37FB129C"/>
    <w:rsid w:val="38006BC9"/>
    <w:rsid w:val="3817A0CA"/>
    <w:rsid w:val="381889B6"/>
    <w:rsid w:val="3819AE34"/>
    <w:rsid w:val="3821A095"/>
    <w:rsid w:val="3821E887"/>
    <w:rsid w:val="38236FA3"/>
    <w:rsid w:val="3823BB4C"/>
    <w:rsid w:val="3827E4DD"/>
    <w:rsid w:val="382B150F"/>
    <w:rsid w:val="382CCD1B"/>
    <w:rsid w:val="382CE3FB"/>
    <w:rsid w:val="3832DC26"/>
    <w:rsid w:val="3836307A"/>
    <w:rsid w:val="383C89AE"/>
    <w:rsid w:val="383CAB91"/>
    <w:rsid w:val="383F645F"/>
    <w:rsid w:val="38419324"/>
    <w:rsid w:val="3847C0BB"/>
    <w:rsid w:val="3848830A"/>
    <w:rsid w:val="38497699"/>
    <w:rsid w:val="384981D6"/>
    <w:rsid w:val="384A1CD1"/>
    <w:rsid w:val="384AE56C"/>
    <w:rsid w:val="384E2F3C"/>
    <w:rsid w:val="384F6A61"/>
    <w:rsid w:val="3854F69F"/>
    <w:rsid w:val="3855D119"/>
    <w:rsid w:val="3857D1EB"/>
    <w:rsid w:val="385B373A"/>
    <w:rsid w:val="385E91E7"/>
    <w:rsid w:val="385E942A"/>
    <w:rsid w:val="3860C125"/>
    <w:rsid w:val="3862780B"/>
    <w:rsid w:val="38646318"/>
    <w:rsid w:val="386B82CC"/>
    <w:rsid w:val="386ECB6B"/>
    <w:rsid w:val="38761E59"/>
    <w:rsid w:val="38767266"/>
    <w:rsid w:val="388402A9"/>
    <w:rsid w:val="38843FD4"/>
    <w:rsid w:val="3885E7E5"/>
    <w:rsid w:val="3887FF97"/>
    <w:rsid w:val="3888E1E8"/>
    <w:rsid w:val="38953B76"/>
    <w:rsid w:val="38986352"/>
    <w:rsid w:val="389C6BBB"/>
    <w:rsid w:val="389E78F8"/>
    <w:rsid w:val="38A3E8FF"/>
    <w:rsid w:val="38A48D6E"/>
    <w:rsid w:val="38B3794D"/>
    <w:rsid w:val="38B47711"/>
    <w:rsid w:val="38BD5986"/>
    <w:rsid w:val="38BDD388"/>
    <w:rsid w:val="38C039FF"/>
    <w:rsid w:val="38C49184"/>
    <w:rsid w:val="38CB2357"/>
    <w:rsid w:val="38D80749"/>
    <w:rsid w:val="38D8D4B0"/>
    <w:rsid w:val="38EDB4FC"/>
    <w:rsid w:val="38EDC9CB"/>
    <w:rsid w:val="38EF339A"/>
    <w:rsid w:val="38F0C958"/>
    <w:rsid w:val="38F26423"/>
    <w:rsid w:val="38F39E4E"/>
    <w:rsid w:val="39050DB5"/>
    <w:rsid w:val="390727E1"/>
    <w:rsid w:val="390F0889"/>
    <w:rsid w:val="391E0617"/>
    <w:rsid w:val="3921F100"/>
    <w:rsid w:val="392311CA"/>
    <w:rsid w:val="392ADDD5"/>
    <w:rsid w:val="39332F76"/>
    <w:rsid w:val="3933B3D6"/>
    <w:rsid w:val="39397BEB"/>
    <w:rsid w:val="393CA048"/>
    <w:rsid w:val="393D7B94"/>
    <w:rsid w:val="3953E010"/>
    <w:rsid w:val="3956869D"/>
    <w:rsid w:val="395A1F36"/>
    <w:rsid w:val="395BFD07"/>
    <w:rsid w:val="395CCEE5"/>
    <w:rsid w:val="395DAD75"/>
    <w:rsid w:val="395DB026"/>
    <w:rsid w:val="3960C0E4"/>
    <w:rsid w:val="3965EA3C"/>
    <w:rsid w:val="3966ABE2"/>
    <w:rsid w:val="3966C092"/>
    <w:rsid w:val="3969D129"/>
    <w:rsid w:val="396F8E59"/>
    <w:rsid w:val="39750979"/>
    <w:rsid w:val="39777B91"/>
    <w:rsid w:val="397C4818"/>
    <w:rsid w:val="39827790"/>
    <w:rsid w:val="3986D964"/>
    <w:rsid w:val="3989246B"/>
    <w:rsid w:val="398F7D0A"/>
    <w:rsid w:val="3990C149"/>
    <w:rsid w:val="39923AE2"/>
    <w:rsid w:val="3999CA2F"/>
    <w:rsid w:val="39A9ED34"/>
    <w:rsid w:val="39AABAEE"/>
    <w:rsid w:val="39AACD1D"/>
    <w:rsid w:val="39B09EA6"/>
    <w:rsid w:val="39B1C91D"/>
    <w:rsid w:val="39B201A3"/>
    <w:rsid w:val="39B2254C"/>
    <w:rsid w:val="39B9B87D"/>
    <w:rsid w:val="39C353F3"/>
    <w:rsid w:val="39C9DA37"/>
    <w:rsid w:val="39CBDBAA"/>
    <w:rsid w:val="39CDEEE1"/>
    <w:rsid w:val="39CE3E19"/>
    <w:rsid w:val="39D3C661"/>
    <w:rsid w:val="39D5EFC3"/>
    <w:rsid w:val="39D6F8F4"/>
    <w:rsid w:val="39DB60A4"/>
    <w:rsid w:val="39E44FDE"/>
    <w:rsid w:val="39E48B12"/>
    <w:rsid w:val="39E63554"/>
    <w:rsid w:val="39E885B1"/>
    <w:rsid w:val="39F2355B"/>
    <w:rsid w:val="39F33486"/>
    <w:rsid w:val="39F8A0B6"/>
    <w:rsid w:val="39FEAEF4"/>
    <w:rsid w:val="3A013EDB"/>
    <w:rsid w:val="3A0AEEF9"/>
    <w:rsid w:val="3A0EDCEC"/>
    <w:rsid w:val="3A0EE36C"/>
    <w:rsid w:val="3A1248DF"/>
    <w:rsid w:val="3A12C1D4"/>
    <w:rsid w:val="3A1828DE"/>
    <w:rsid w:val="3A1D550F"/>
    <w:rsid w:val="3A1EC6EB"/>
    <w:rsid w:val="3A2246B7"/>
    <w:rsid w:val="3A262027"/>
    <w:rsid w:val="3A29E7AA"/>
    <w:rsid w:val="3A305EB0"/>
    <w:rsid w:val="3A356B68"/>
    <w:rsid w:val="3A358DE9"/>
    <w:rsid w:val="3A3BF877"/>
    <w:rsid w:val="3A3DBC02"/>
    <w:rsid w:val="3A4038EA"/>
    <w:rsid w:val="3A42710F"/>
    <w:rsid w:val="3A42DFEC"/>
    <w:rsid w:val="3A448334"/>
    <w:rsid w:val="3A493933"/>
    <w:rsid w:val="3A4AB82D"/>
    <w:rsid w:val="3A533684"/>
    <w:rsid w:val="3A53CF50"/>
    <w:rsid w:val="3A6139A6"/>
    <w:rsid w:val="3A618C6A"/>
    <w:rsid w:val="3A62FDFB"/>
    <w:rsid w:val="3A63FEBD"/>
    <w:rsid w:val="3A65D443"/>
    <w:rsid w:val="3A6AAC40"/>
    <w:rsid w:val="3A78F354"/>
    <w:rsid w:val="3A7AD55E"/>
    <w:rsid w:val="3A7B3962"/>
    <w:rsid w:val="3A7E5FD4"/>
    <w:rsid w:val="3A99B706"/>
    <w:rsid w:val="3A9F9864"/>
    <w:rsid w:val="3AA173D5"/>
    <w:rsid w:val="3AA42D58"/>
    <w:rsid w:val="3AAF781C"/>
    <w:rsid w:val="3AB67E77"/>
    <w:rsid w:val="3AB746AD"/>
    <w:rsid w:val="3ABBBDB7"/>
    <w:rsid w:val="3ABCE644"/>
    <w:rsid w:val="3ABD3587"/>
    <w:rsid w:val="3ACE6EFA"/>
    <w:rsid w:val="3ACED20D"/>
    <w:rsid w:val="3AD192D1"/>
    <w:rsid w:val="3AD49A7F"/>
    <w:rsid w:val="3AD9E304"/>
    <w:rsid w:val="3AE912D3"/>
    <w:rsid w:val="3AECCB84"/>
    <w:rsid w:val="3AF08270"/>
    <w:rsid w:val="3AF6C9D4"/>
    <w:rsid w:val="3AF7CE2F"/>
    <w:rsid w:val="3B089413"/>
    <w:rsid w:val="3B08E9F4"/>
    <w:rsid w:val="3B097B26"/>
    <w:rsid w:val="3B09F381"/>
    <w:rsid w:val="3B0BD1B7"/>
    <w:rsid w:val="3B12B74A"/>
    <w:rsid w:val="3B174FF0"/>
    <w:rsid w:val="3B1C1BD0"/>
    <w:rsid w:val="3B1CB77F"/>
    <w:rsid w:val="3B2D66B4"/>
    <w:rsid w:val="3B333DF7"/>
    <w:rsid w:val="3B3369E4"/>
    <w:rsid w:val="3B35C2A1"/>
    <w:rsid w:val="3B388A20"/>
    <w:rsid w:val="3B45642B"/>
    <w:rsid w:val="3B46FDBC"/>
    <w:rsid w:val="3B490705"/>
    <w:rsid w:val="3B4AE529"/>
    <w:rsid w:val="3B4B5E80"/>
    <w:rsid w:val="3B4F0719"/>
    <w:rsid w:val="3B524C31"/>
    <w:rsid w:val="3B5636F1"/>
    <w:rsid w:val="3B593145"/>
    <w:rsid w:val="3B61B4F2"/>
    <w:rsid w:val="3B69EA31"/>
    <w:rsid w:val="3B6B4C79"/>
    <w:rsid w:val="3B6E15F0"/>
    <w:rsid w:val="3B7769A1"/>
    <w:rsid w:val="3B792D40"/>
    <w:rsid w:val="3B7BE99E"/>
    <w:rsid w:val="3B7C4C2A"/>
    <w:rsid w:val="3B7F398C"/>
    <w:rsid w:val="3B8BF563"/>
    <w:rsid w:val="3B8F716A"/>
    <w:rsid w:val="3B9FC042"/>
    <w:rsid w:val="3BA2B624"/>
    <w:rsid w:val="3BAE23FB"/>
    <w:rsid w:val="3BB46EFE"/>
    <w:rsid w:val="3BB47FF4"/>
    <w:rsid w:val="3BB4F631"/>
    <w:rsid w:val="3BB5FA51"/>
    <w:rsid w:val="3BB7696E"/>
    <w:rsid w:val="3BBD27F2"/>
    <w:rsid w:val="3BBDB146"/>
    <w:rsid w:val="3BCF01F7"/>
    <w:rsid w:val="3BD0D546"/>
    <w:rsid w:val="3BD0EAD5"/>
    <w:rsid w:val="3BD3D6E5"/>
    <w:rsid w:val="3BD3EDC4"/>
    <w:rsid w:val="3BD6B39A"/>
    <w:rsid w:val="3BD70C6D"/>
    <w:rsid w:val="3BD94B82"/>
    <w:rsid w:val="3BDCE005"/>
    <w:rsid w:val="3BE3601D"/>
    <w:rsid w:val="3BE60D5C"/>
    <w:rsid w:val="3BEAE74D"/>
    <w:rsid w:val="3BED60AA"/>
    <w:rsid w:val="3BF1E784"/>
    <w:rsid w:val="3BF5BFFE"/>
    <w:rsid w:val="3BFF4E2A"/>
    <w:rsid w:val="3C0C6139"/>
    <w:rsid w:val="3C1409AC"/>
    <w:rsid w:val="3C16AF21"/>
    <w:rsid w:val="3C21F948"/>
    <w:rsid w:val="3C238FA2"/>
    <w:rsid w:val="3C289AE2"/>
    <w:rsid w:val="3C2CD6D2"/>
    <w:rsid w:val="3C38B1EF"/>
    <w:rsid w:val="3C3A6ABC"/>
    <w:rsid w:val="3C44F2B9"/>
    <w:rsid w:val="3C4EF003"/>
    <w:rsid w:val="3C4F0B7B"/>
    <w:rsid w:val="3C547B3C"/>
    <w:rsid w:val="3C552E1B"/>
    <w:rsid w:val="3C555B8E"/>
    <w:rsid w:val="3C56548C"/>
    <w:rsid w:val="3C5AF60B"/>
    <w:rsid w:val="3C6411C2"/>
    <w:rsid w:val="3C6C49A0"/>
    <w:rsid w:val="3C6DE528"/>
    <w:rsid w:val="3C6E5B8C"/>
    <w:rsid w:val="3C703C70"/>
    <w:rsid w:val="3C739CF3"/>
    <w:rsid w:val="3C7CE604"/>
    <w:rsid w:val="3C7FA100"/>
    <w:rsid w:val="3C81932A"/>
    <w:rsid w:val="3C8932EE"/>
    <w:rsid w:val="3C8B08CC"/>
    <w:rsid w:val="3C8D7C55"/>
    <w:rsid w:val="3C9202D2"/>
    <w:rsid w:val="3C933EF4"/>
    <w:rsid w:val="3C93CC68"/>
    <w:rsid w:val="3C9A70BE"/>
    <w:rsid w:val="3C9B2623"/>
    <w:rsid w:val="3C9B2AEC"/>
    <w:rsid w:val="3CA4E95E"/>
    <w:rsid w:val="3CB2757D"/>
    <w:rsid w:val="3CBB87AC"/>
    <w:rsid w:val="3CC36FD0"/>
    <w:rsid w:val="3CC75133"/>
    <w:rsid w:val="3CCB3DE8"/>
    <w:rsid w:val="3CCBBEC5"/>
    <w:rsid w:val="3CCC3BF5"/>
    <w:rsid w:val="3CCD8773"/>
    <w:rsid w:val="3CCEFD68"/>
    <w:rsid w:val="3CD01861"/>
    <w:rsid w:val="3CD1A63D"/>
    <w:rsid w:val="3CDC0F04"/>
    <w:rsid w:val="3CDE69DE"/>
    <w:rsid w:val="3CE088B8"/>
    <w:rsid w:val="3CE70955"/>
    <w:rsid w:val="3CE781FA"/>
    <w:rsid w:val="3CEB18E2"/>
    <w:rsid w:val="3CED08DE"/>
    <w:rsid w:val="3CF22CB0"/>
    <w:rsid w:val="3CF84425"/>
    <w:rsid w:val="3D0133A3"/>
    <w:rsid w:val="3D0260C4"/>
    <w:rsid w:val="3D040E00"/>
    <w:rsid w:val="3D0AF5B9"/>
    <w:rsid w:val="3D0CF6BF"/>
    <w:rsid w:val="3D0E9114"/>
    <w:rsid w:val="3D0EA1E6"/>
    <w:rsid w:val="3D2BDF83"/>
    <w:rsid w:val="3D2DD5A2"/>
    <w:rsid w:val="3D317CEB"/>
    <w:rsid w:val="3D31FA78"/>
    <w:rsid w:val="3D336695"/>
    <w:rsid w:val="3D39E550"/>
    <w:rsid w:val="3D3E4346"/>
    <w:rsid w:val="3D3EE310"/>
    <w:rsid w:val="3D482940"/>
    <w:rsid w:val="3D50EBD0"/>
    <w:rsid w:val="3D524E07"/>
    <w:rsid w:val="3D53E38A"/>
    <w:rsid w:val="3D540C0B"/>
    <w:rsid w:val="3D563401"/>
    <w:rsid w:val="3D5ADBB4"/>
    <w:rsid w:val="3D5FB2DD"/>
    <w:rsid w:val="3D631815"/>
    <w:rsid w:val="3D668124"/>
    <w:rsid w:val="3D6D6512"/>
    <w:rsid w:val="3D6DC76E"/>
    <w:rsid w:val="3D7559C8"/>
    <w:rsid w:val="3D7812A3"/>
    <w:rsid w:val="3D792314"/>
    <w:rsid w:val="3D7A85D4"/>
    <w:rsid w:val="3D7DD097"/>
    <w:rsid w:val="3D814890"/>
    <w:rsid w:val="3D81AE66"/>
    <w:rsid w:val="3D843334"/>
    <w:rsid w:val="3D85897B"/>
    <w:rsid w:val="3D97DC7D"/>
    <w:rsid w:val="3D99231B"/>
    <w:rsid w:val="3D9B4FDE"/>
    <w:rsid w:val="3D9FA5FC"/>
    <w:rsid w:val="3DA18EF4"/>
    <w:rsid w:val="3DA81720"/>
    <w:rsid w:val="3DAC28AD"/>
    <w:rsid w:val="3DB0C894"/>
    <w:rsid w:val="3DB2B2E9"/>
    <w:rsid w:val="3DB5C430"/>
    <w:rsid w:val="3DBE9586"/>
    <w:rsid w:val="3DBEEA39"/>
    <w:rsid w:val="3DC1569C"/>
    <w:rsid w:val="3DC15BEB"/>
    <w:rsid w:val="3DC481B2"/>
    <w:rsid w:val="3DC61895"/>
    <w:rsid w:val="3DCA9C9F"/>
    <w:rsid w:val="3DCE3286"/>
    <w:rsid w:val="3DD07381"/>
    <w:rsid w:val="3DD24851"/>
    <w:rsid w:val="3DD74719"/>
    <w:rsid w:val="3DDCED26"/>
    <w:rsid w:val="3DDDA641"/>
    <w:rsid w:val="3DE4CC66"/>
    <w:rsid w:val="3DE56F35"/>
    <w:rsid w:val="3DE901DA"/>
    <w:rsid w:val="3DEA7508"/>
    <w:rsid w:val="3DF105AE"/>
    <w:rsid w:val="3DF9FDAE"/>
    <w:rsid w:val="3DFBB570"/>
    <w:rsid w:val="3E0285A6"/>
    <w:rsid w:val="3E071163"/>
    <w:rsid w:val="3E17854A"/>
    <w:rsid w:val="3E18733E"/>
    <w:rsid w:val="3E1EC0C4"/>
    <w:rsid w:val="3E1EDA59"/>
    <w:rsid w:val="3E1FC256"/>
    <w:rsid w:val="3E210E6B"/>
    <w:rsid w:val="3E27C8CA"/>
    <w:rsid w:val="3E28AEF7"/>
    <w:rsid w:val="3E28AF9E"/>
    <w:rsid w:val="3E2A5E81"/>
    <w:rsid w:val="3E2B06F0"/>
    <w:rsid w:val="3E2BFFF8"/>
    <w:rsid w:val="3E378536"/>
    <w:rsid w:val="3E37D6E5"/>
    <w:rsid w:val="3E40BECF"/>
    <w:rsid w:val="3E4108A0"/>
    <w:rsid w:val="3E43F05E"/>
    <w:rsid w:val="3E4D8389"/>
    <w:rsid w:val="3E53FAB0"/>
    <w:rsid w:val="3E54E806"/>
    <w:rsid w:val="3E55764C"/>
    <w:rsid w:val="3E56F6D2"/>
    <w:rsid w:val="3E5C496A"/>
    <w:rsid w:val="3E5DAEDB"/>
    <w:rsid w:val="3E6260E0"/>
    <w:rsid w:val="3E6D8D61"/>
    <w:rsid w:val="3E7B8B31"/>
    <w:rsid w:val="3E7F2009"/>
    <w:rsid w:val="3E82123D"/>
    <w:rsid w:val="3E83379A"/>
    <w:rsid w:val="3E8A80D6"/>
    <w:rsid w:val="3E90218A"/>
    <w:rsid w:val="3E95E5F1"/>
    <w:rsid w:val="3E9994D0"/>
    <w:rsid w:val="3E999F06"/>
    <w:rsid w:val="3E9C9087"/>
    <w:rsid w:val="3EB2CEEC"/>
    <w:rsid w:val="3EB38A08"/>
    <w:rsid w:val="3EBCDF18"/>
    <w:rsid w:val="3EC57FB1"/>
    <w:rsid w:val="3EC64B6E"/>
    <w:rsid w:val="3EC7C421"/>
    <w:rsid w:val="3EC8763B"/>
    <w:rsid w:val="3EC8984E"/>
    <w:rsid w:val="3ECB286B"/>
    <w:rsid w:val="3ECE490C"/>
    <w:rsid w:val="3ED08A57"/>
    <w:rsid w:val="3EE4164B"/>
    <w:rsid w:val="3EE44FAE"/>
    <w:rsid w:val="3EEAA2F6"/>
    <w:rsid w:val="3EED94E5"/>
    <w:rsid w:val="3EF0365D"/>
    <w:rsid w:val="3EF26D88"/>
    <w:rsid w:val="3EF601FB"/>
    <w:rsid w:val="3EF85456"/>
    <w:rsid w:val="3EF921F8"/>
    <w:rsid w:val="3EFFF041"/>
    <w:rsid w:val="3F01910C"/>
    <w:rsid w:val="3F03C691"/>
    <w:rsid w:val="3F05D3B4"/>
    <w:rsid w:val="3F093069"/>
    <w:rsid w:val="3F104018"/>
    <w:rsid w:val="3F1225CC"/>
    <w:rsid w:val="3F16BDAC"/>
    <w:rsid w:val="3F18D6C8"/>
    <w:rsid w:val="3F1959DD"/>
    <w:rsid w:val="3F1CFA32"/>
    <w:rsid w:val="3F1F0401"/>
    <w:rsid w:val="3F20AF25"/>
    <w:rsid w:val="3F21F81F"/>
    <w:rsid w:val="3F22DAB5"/>
    <w:rsid w:val="3F299037"/>
    <w:rsid w:val="3F2DB8BA"/>
    <w:rsid w:val="3F2DE583"/>
    <w:rsid w:val="3F3B8210"/>
    <w:rsid w:val="3F450BD7"/>
    <w:rsid w:val="3F494D3B"/>
    <w:rsid w:val="3F4B122A"/>
    <w:rsid w:val="3F4D3EAA"/>
    <w:rsid w:val="3F5BD37D"/>
    <w:rsid w:val="3F5BE642"/>
    <w:rsid w:val="3F646819"/>
    <w:rsid w:val="3F67CE79"/>
    <w:rsid w:val="3F68293D"/>
    <w:rsid w:val="3F6908AF"/>
    <w:rsid w:val="3F6F3A0C"/>
    <w:rsid w:val="3F77EACD"/>
    <w:rsid w:val="3F78E352"/>
    <w:rsid w:val="3F78EA82"/>
    <w:rsid w:val="3F79D029"/>
    <w:rsid w:val="3F7D1C77"/>
    <w:rsid w:val="3F7D4199"/>
    <w:rsid w:val="3F7EB089"/>
    <w:rsid w:val="3F8ECBBF"/>
    <w:rsid w:val="3F960724"/>
    <w:rsid w:val="3F9655E3"/>
    <w:rsid w:val="3F971530"/>
    <w:rsid w:val="3F97B161"/>
    <w:rsid w:val="3F99C00A"/>
    <w:rsid w:val="3F9C96AF"/>
    <w:rsid w:val="3F9F24DE"/>
    <w:rsid w:val="3FAECF40"/>
    <w:rsid w:val="3FAF8585"/>
    <w:rsid w:val="3FB03A0D"/>
    <w:rsid w:val="3FB120B3"/>
    <w:rsid w:val="3FB47B8C"/>
    <w:rsid w:val="3FC12E12"/>
    <w:rsid w:val="3FC71921"/>
    <w:rsid w:val="3FC84247"/>
    <w:rsid w:val="3FD39456"/>
    <w:rsid w:val="3FD6AC74"/>
    <w:rsid w:val="3FD8320A"/>
    <w:rsid w:val="3FDF2BC4"/>
    <w:rsid w:val="3FE16ABC"/>
    <w:rsid w:val="3FE1F4D1"/>
    <w:rsid w:val="3FE4EFD5"/>
    <w:rsid w:val="3FE985FA"/>
    <w:rsid w:val="3FF05404"/>
    <w:rsid w:val="3FF0DA6F"/>
    <w:rsid w:val="400F991C"/>
    <w:rsid w:val="4010B949"/>
    <w:rsid w:val="40159A38"/>
    <w:rsid w:val="401901A2"/>
    <w:rsid w:val="4021ECA4"/>
    <w:rsid w:val="4027BD44"/>
    <w:rsid w:val="402B813B"/>
    <w:rsid w:val="402C190E"/>
    <w:rsid w:val="402F928A"/>
    <w:rsid w:val="4031BF88"/>
    <w:rsid w:val="4034EB73"/>
    <w:rsid w:val="40362DA0"/>
    <w:rsid w:val="4038319F"/>
    <w:rsid w:val="403B626E"/>
    <w:rsid w:val="403E0D15"/>
    <w:rsid w:val="403F0D50"/>
    <w:rsid w:val="4041DABF"/>
    <w:rsid w:val="404BDE61"/>
    <w:rsid w:val="40510239"/>
    <w:rsid w:val="405AEFCF"/>
    <w:rsid w:val="4064BABC"/>
    <w:rsid w:val="4068E7BF"/>
    <w:rsid w:val="406B4A74"/>
    <w:rsid w:val="4072868C"/>
    <w:rsid w:val="40728B64"/>
    <w:rsid w:val="407853F7"/>
    <w:rsid w:val="40846CF0"/>
    <w:rsid w:val="408697DC"/>
    <w:rsid w:val="408C25EA"/>
    <w:rsid w:val="4091218D"/>
    <w:rsid w:val="409465A4"/>
    <w:rsid w:val="4097D8BB"/>
    <w:rsid w:val="40990F6B"/>
    <w:rsid w:val="409D889C"/>
    <w:rsid w:val="40ABF741"/>
    <w:rsid w:val="40B3698B"/>
    <w:rsid w:val="40B4B12A"/>
    <w:rsid w:val="40BB5D24"/>
    <w:rsid w:val="40BCEAB7"/>
    <w:rsid w:val="40BD0AA3"/>
    <w:rsid w:val="40CA9180"/>
    <w:rsid w:val="40CC3B3F"/>
    <w:rsid w:val="40D13603"/>
    <w:rsid w:val="40D40BDF"/>
    <w:rsid w:val="40D6F3A8"/>
    <w:rsid w:val="40D99519"/>
    <w:rsid w:val="40DBE8B7"/>
    <w:rsid w:val="40E428CA"/>
    <w:rsid w:val="40E5D01A"/>
    <w:rsid w:val="40E849BE"/>
    <w:rsid w:val="40F7D51B"/>
    <w:rsid w:val="40FCEF5E"/>
    <w:rsid w:val="41007EDC"/>
    <w:rsid w:val="4103BC5D"/>
    <w:rsid w:val="410EC603"/>
    <w:rsid w:val="410F0E93"/>
    <w:rsid w:val="4117F620"/>
    <w:rsid w:val="411BAEEA"/>
    <w:rsid w:val="411BFD1D"/>
    <w:rsid w:val="411FCB27"/>
    <w:rsid w:val="4123EF66"/>
    <w:rsid w:val="41339C7B"/>
    <w:rsid w:val="413B5647"/>
    <w:rsid w:val="413BD7AD"/>
    <w:rsid w:val="413C0B96"/>
    <w:rsid w:val="413CC7BD"/>
    <w:rsid w:val="413DD6B0"/>
    <w:rsid w:val="41426818"/>
    <w:rsid w:val="414A0ED7"/>
    <w:rsid w:val="414EB369"/>
    <w:rsid w:val="4151085C"/>
    <w:rsid w:val="4158065B"/>
    <w:rsid w:val="415C0937"/>
    <w:rsid w:val="415C7442"/>
    <w:rsid w:val="415D158C"/>
    <w:rsid w:val="4162A26C"/>
    <w:rsid w:val="4166671C"/>
    <w:rsid w:val="416C8940"/>
    <w:rsid w:val="416E56CD"/>
    <w:rsid w:val="417107C0"/>
    <w:rsid w:val="41830E2A"/>
    <w:rsid w:val="41879A7F"/>
    <w:rsid w:val="418895AE"/>
    <w:rsid w:val="41948AD5"/>
    <w:rsid w:val="41951412"/>
    <w:rsid w:val="4197F796"/>
    <w:rsid w:val="4198ED59"/>
    <w:rsid w:val="419BA5EC"/>
    <w:rsid w:val="419CE8D9"/>
    <w:rsid w:val="419FE1F1"/>
    <w:rsid w:val="41A56D91"/>
    <w:rsid w:val="41A8B0C1"/>
    <w:rsid w:val="41AB1A47"/>
    <w:rsid w:val="41B602A9"/>
    <w:rsid w:val="41B9DCEE"/>
    <w:rsid w:val="41BE170D"/>
    <w:rsid w:val="41C801CD"/>
    <w:rsid w:val="41C9B3A3"/>
    <w:rsid w:val="41D49A3C"/>
    <w:rsid w:val="41E56139"/>
    <w:rsid w:val="41E89F94"/>
    <w:rsid w:val="41E9F117"/>
    <w:rsid w:val="41ECED04"/>
    <w:rsid w:val="41F3ABE9"/>
    <w:rsid w:val="41F7B2D8"/>
    <w:rsid w:val="41FC1D65"/>
    <w:rsid w:val="420596CD"/>
    <w:rsid w:val="4209672F"/>
    <w:rsid w:val="4211941B"/>
    <w:rsid w:val="4213C319"/>
    <w:rsid w:val="42156EE9"/>
    <w:rsid w:val="4215B084"/>
    <w:rsid w:val="421F12AF"/>
    <w:rsid w:val="4222B4B4"/>
    <w:rsid w:val="4224BA12"/>
    <w:rsid w:val="422AD317"/>
    <w:rsid w:val="42346E59"/>
    <w:rsid w:val="42347ECB"/>
    <w:rsid w:val="423A6782"/>
    <w:rsid w:val="423B95DC"/>
    <w:rsid w:val="423E8E9B"/>
    <w:rsid w:val="4241F8BC"/>
    <w:rsid w:val="42424150"/>
    <w:rsid w:val="424C52F7"/>
    <w:rsid w:val="42510875"/>
    <w:rsid w:val="4251CC46"/>
    <w:rsid w:val="42592D25"/>
    <w:rsid w:val="425D5C55"/>
    <w:rsid w:val="4262A829"/>
    <w:rsid w:val="4263B2C0"/>
    <w:rsid w:val="42656675"/>
    <w:rsid w:val="426B8A42"/>
    <w:rsid w:val="426DCE3F"/>
    <w:rsid w:val="426F6B32"/>
    <w:rsid w:val="4272E55E"/>
    <w:rsid w:val="427A1841"/>
    <w:rsid w:val="427C9016"/>
    <w:rsid w:val="42818D22"/>
    <w:rsid w:val="42819558"/>
    <w:rsid w:val="4284CE26"/>
    <w:rsid w:val="4286EA3A"/>
    <w:rsid w:val="428705CF"/>
    <w:rsid w:val="42898F7E"/>
    <w:rsid w:val="429380A7"/>
    <w:rsid w:val="42939345"/>
    <w:rsid w:val="42950C90"/>
    <w:rsid w:val="429C300E"/>
    <w:rsid w:val="429D0578"/>
    <w:rsid w:val="429EED73"/>
    <w:rsid w:val="42A0D36B"/>
    <w:rsid w:val="42A28FBE"/>
    <w:rsid w:val="42A2B433"/>
    <w:rsid w:val="42B19B79"/>
    <w:rsid w:val="42B389D4"/>
    <w:rsid w:val="42B973FA"/>
    <w:rsid w:val="42BD8CF1"/>
    <w:rsid w:val="42C6458C"/>
    <w:rsid w:val="42CB40DB"/>
    <w:rsid w:val="42CD570C"/>
    <w:rsid w:val="42CD7696"/>
    <w:rsid w:val="42CEA3C5"/>
    <w:rsid w:val="42CEF49C"/>
    <w:rsid w:val="42D75CA2"/>
    <w:rsid w:val="42DC0E74"/>
    <w:rsid w:val="42DD91C4"/>
    <w:rsid w:val="42E174A9"/>
    <w:rsid w:val="42E64658"/>
    <w:rsid w:val="42EC63F0"/>
    <w:rsid w:val="42F35AF2"/>
    <w:rsid w:val="42FC212B"/>
    <w:rsid w:val="42FDFF1B"/>
    <w:rsid w:val="42FE8566"/>
    <w:rsid w:val="43049D4E"/>
    <w:rsid w:val="43063406"/>
    <w:rsid w:val="431065A7"/>
    <w:rsid w:val="43135EF2"/>
    <w:rsid w:val="43149429"/>
    <w:rsid w:val="431A35D1"/>
    <w:rsid w:val="432C8D08"/>
    <w:rsid w:val="432D1D3F"/>
    <w:rsid w:val="4333801B"/>
    <w:rsid w:val="433581D4"/>
    <w:rsid w:val="4336E16F"/>
    <w:rsid w:val="43387451"/>
    <w:rsid w:val="433EE910"/>
    <w:rsid w:val="4341BB01"/>
    <w:rsid w:val="4347F5D2"/>
    <w:rsid w:val="434CD9AD"/>
    <w:rsid w:val="4350B559"/>
    <w:rsid w:val="4353DE04"/>
    <w:rsid w:val="435DECE0"/>
    <w:rsid w:val="4360EA07"/>
    <w:rsid w:val="4364ACC5"/>
    <w:rsid w:val="4367C11E"/>
    <w:rsid w:val="4372C10F"/>
    <w:rsid w:val="43736DCF"/>
    <w:rsid w:val="43787D7B"/>
    <w:rsid w:val="437ABAA2"/>
    <w:rsid w:val="437C8FC6"/>
    <w:rsid w:val="437DC1E3"/>
    <w:rsid w:val="437DF299"/>
    <w:rsid w:val="43825DB7"/>
    <w:rsid w:val="43826ABB"/>
    <w:rsid w:val="438EBE98"/>
    <w:rsid w:val="43945362"/>
    <w:rsid w:val="439EE37F"/>
    <w:rsid w:val="43A4142C"/>
    <w:rsid w:val="43A75ADD"/>
    <w:rsid w:val="43B4F0D8"/>
    <w:rsid w:val="43B899B4"/>
    <w:rsid w:val="43B8E033"/>
    <w:rsid w:val="43C3CF11"/>
    <w:rsid w:val="43C5A0ED"/>
    <w:rsid w:val="43CB514A"/>
    <w:rsid w:val="43D5FFBE"/>
    <w:rsid w:val="43DFC4A5"/>
    <w:rsid w:val="43E0C983"/>
    <w:rsid w:val="43E7BD83"/>
    <w:rsid w:val="43EFCFB5"/>
    <w:rsid w:val="43F2F6D9"/>
    <w:rsid w:val="43F4C9AA"/>
    <w:rsid w:val="43F4FF0A"/>
    <w:rsid w:val="43F72BA1"/>
    <w:rsid w:val="43FD5418"/>
    <w:rsid w:val="43FD76C8"/>
    <w:rsid w:val="44078960"/>
    <w:rsid w:val="44112ECC"/>
    <w:rsid w:val="44149C13"/>
    <w:rsid w:val="441611D6"/>
    <w:rsid w:val="4416BF2E"/>
    <w:rsid w:val="441CE138"/>
    <w:rsid w:val="441D80CC"/>
    <w:rsid w:val="441E011D"/>
    <w:rsid w:val="4421915F"/>
    <w:rsid w:val="4421C7AF"/>
    <w:rsid w:val="44236C25"/>
    <w:rsid w:val="4429EE0E"/>
    <w:rsid w:val="443593F0"/>
    <w:rsid w:val="443620F5"/>
    <w:rsid w:val="4436F807"/>
    <w:rsid w:val="4441AED1"/>
    <w:rsid w:val="444F4D0B"/>
    <w:rsid w:val="4453F7F2"/>
    <w:rsid w:val="44588E75"/>
    <w:rsid w:val="445A11AB"/>
    <w:rsid w:val="445A1765"/>
    <w:rsid w:val="44618678"/>
    <w:rsid w:val="4461B18B"/>
    <w:rsid w:val="4479FBB3"/>
    <w:rsid w:val="4480BAFE"/>
    <w:rsid w:val="4482C2CC"/>
    <w:rsid w:val="4486C4DF"/>
    <w:rsid w:val="4486E9CE"/>
    <w:rsid w:val="44904DA5"/>
    <w:rsid w:val="44AABD39"/>
    <w:rsid w:val="44B61AE1"/>
    <w:rsid w:val="44B93788"/>
    <w:rsid w:val="44BA0490"/>
    <w:rsid w:val="44C0327E"/>
    <w:rsid w:val="44CBDD2F"/>
    <w:rsid w:val="44CC787E"/>
    <w:rsid w:val="44D4A12F"/>
    <w:rsid w:val="44D61E9D"/>
    <w:rsid w:val="44D97F27"/>
    <w:rsid w:val="44DC1F21"/>
    <w:rsid w:val="44E1970E"/>
    <w:rsid w:val="44E621AE"/>
    <w:rsid w:val="44E93648"/>
    <w:rsid w:val="44EBDE9A"/>
    <w:rsid w:val="44F69F91"/>
    <w:rsid w:val="44FA4F53"/>
    <w:rsid w:val="44FB69C0"/>
    <w:rsid w:val="44FB8090"/>
    <w:rsid w:val="44FE88A2"/>
    <w:rsid w:val="4504452A"/>
    <w:rsid w:val="45066E47"/>
    <w:rsid w:val="4507FF87"/>
    <w:rsid w:val="45148BED"/>
    <w:rsid w:val="451B7907"/>
    <w:rsid w:val="451D6E05"/>
    <w:rsid w:val="452158EF"/>
    <w:rsid w:val="452329ED"/>
    <w:rsid w:val="45233166"/>
    <w:rsid w:val="45268F26"/>
    <w:rsid w:val="45272B65"/>
    <w:rsid w:val="4531421C"/>
    <w:rsid w:val="4535BF0A"/>
    <w:rsid w:val="4537C019"/>
    <w:rsid w:val="45387E44"/>
    <w:rsid w:val="453DE397"/>
    <w:rsid w:val="453FDC4D"/>
    <w:rsid w:val="4542808F"/>
    <w:rsid w:val="45438733"/>
    <w:rsid w:val="454960B0"/>
    <w:rsid w:val="4555C3FE"/>
    <w:rsid w:val="4555F2E9"/>
    <w:rsid w:val="455A8849"/>
    <w:rsid w:val="455E6026"/>
    <w:rsid w:val="456A2CF3"/>
    <w:rsid w:val="456B557F"/>
    <w:rsid w:val="456B62C8"/>
    <w:rsid w:val="456F5973"/>
    <w:rsid w:val="4571209D"/>
    <w:rsid w:val="4578EF56"/>
    <w:rsid w:val="457963D7"/>
    <w:rsid w:val="457E179A"/>
    <w:rsid w:val="458A887E"/>
    <w:rsid w:val="458C1A6C"/>
    <w:rsid w:val="458D7C97"/>
    <w:rsid w:val="458DC512"/>
    <w:rsid w:val="459201B7"/>
    <w:rsid w:val="45ABECDA"/>
    <w:rsid w:val="45ACD858"/>
    <w:rsid w:val="45AEDF3D"/>
    <w:rsid w:val="45B20D15"/>
    <w:rsid w:val="45B2DAE9"/>
    <w:rsid w:val="45B5647D"/>
    <w:rsid w:val="45C3D00B"/>
    <w:rsid w:val="45C49F56"/>
    <w:rsid w:val="45C7F078"/>
    <w:rsid w:val="45C82C59"/>
    <w:rsid w:val="45D2ACE2"/>
    <w:rsid w:val="45D3F02F"/>
    <w:rsid w:val="45D8D697"/>
    <w:rsid w:val="45D91376"/>
    <w:rsid w:val="45E1112F"/>
    <w:rsid w:val="45E242EA"/>
    <w:rsid w:val="45E26DCC"/>
    <w:rsid w:val="45EA3485"/>
    <w:rsid w:val="45EB48E0"/>
    <w:rsid w:val="461191CA"/>
    <w:rsid w:val="46129F03"/>
    <w:rsid w:val="461343AA"/>
    <w:rsid w:val="4613BFF7"/>
    <w:rsid w:val="461D1B69"/>
    <w:rsid w:val="46215AE4"/>
    <w:rsid w:val="46217E01"/>
    <w:rsid w:val="462DEA2A"/>
    <w:rsid w:val="463402A1"/>
    <w:rsid w:val="46349A2C"/>
    <w:rsid w:val="4637E5A1"/>
    <w:rsid w:val="46482591"/>
    <w:rsid w:val="4649FF4E"/>
    <w:rsid w:val="464C2802"/>
    <w:rsid w:val="46517FC8"/>
    <w:rsid w:val="4659058C"/>
    <w:rsid w:val="465DC9BE"/>
    <w:rsid w:val="466030CC"/>
    <w:rsid w:val="466D831B"/>
    <w:rsid w:val="467730EB"/>
    <w:rsid w:val="4682C72A"/>
    <w:rsid w:val="46838F19"/>
    <w:rsid w:val="46906A10"/>
    <w:rsid w:val="469AC9A5"/>
    <w:rsid w:val="469CC051"/>
    <w:rsid w:val="46A0BF05"/>
    <w:rsid w:val="46A5F05C"/>
    <w:rsid w:val="46AED60E"/>
    <w:rsid w:val="46AF32BA"/>
    <w:rsid w:val="46AFC739"/>
    <w:rsid w:val="46B057DE"/>
    <w:rsid w:val="46B181F6"/>
    <w:rsid w:val="46B3D9FD"/>
    <w:rsid w:val="46B8A166"/>
    <w:rsid w:val="46BBEB9C"/>
    <w:rsid w:val="46D00C1B"/>
    <w:rsid w:val="46D41223"/>
    <w:rsid w:val="46D4A6B1"/>
    <w:rsid w:val="46D91E7F"/>
    <w:rsid w:val="46DA6663"/>
    <w:rsid w:val="46DE5C3F"/>
    <w:rsid w:val="46E41B01"/>
    <w:rsid w:val="46E62E34"/>
    <w:rsid w:val="46EA92E6"/>
    <w:rsid w:val="46ED0472"/>
    <w:rsid w:val="46F514B8"/>
    <w:rsid w:val="46F6A6D7"/>
    <w:rsid w:val="46F8997C"/>
    <w:rsid w:val="46F8AB11"/>
    <w:rsid w:val="46F9B318"/>
    <w:rsid w:val="46FB6BDE"/>
    <w:rsid w:val="46FFC344"/>
    <w:rsid w:val="47032CA0"/>
    <w:rsid w:val="47076750"/>
    <w:rsid w:val="4707CD17"/>
    <w:rsid w:val="4708492B"/>
    <w:rsid w:val="470CE8AE"/>
    <w:rsid w:val="470F312F"/>
    <w:rsid w:val="470FB755"/>
    <w:rsid w:val="471023FD"/>
    <w:rsid w:val="471BC7A4"/>
    <w:rsid w:val="471F763B"/>
    <w:rsid w:val="4727615B"/>
    <w:rsid w:val="47313625"/>
    <w:rsid w:val="4733ED11"/>
    <w:rsid w:val="4735C3D1"/>
    <w:rsid w:val="4738361E"/>
    <w:rsid w:val="474143BB"/>
    <w:rsid w:val="474BD3B0"/>
    <w:rsid w:val="474CE3DD"/>
    <w:rsid w:val="47532046"/>
    <w:rsid w:val="4753C46D"/>
    <w:rsid w:val="47577EC3"/>
    <w:rsid w:val="47638C4D"/>
    <w:rsid w:val="47692A47"/>
    <w:rsid w:val="47706540"/>
    <w:rsid w:val="4770778E"/>
    <w:rsid w:val="4770AEB8"/>
    <w:rsid w:val="4773BB9A"/>
    <w:rsid w:val="477952F1"/>
    <w:rsid w:val="477C687E"/>
    <w:rsid w:val="47878680"/>
    <w:rsid w:val="478F2DDC"/>
    <w:rsid w:val="47915717"/>
    <w:rsid w:val="4794EB07"/>
    <w:rsid w:val="479853D1"/>
    <w:rsid w:val="47A02657"/>
    <w:rsid w:val="47A3D90D"/>
    <w:rsid w:val="47A70C4B"/>
    <w:rsid w:val="47AA1ECF"/>
    <w:rsid w:val="47ABF652"/>
    <w:rsid w:val="47B4CEB9"/>
    <w:rsid w:val="47B6E218"/>
    <w:rsid w:val="47BC24C4"/>
    <w:rsid w:val="47C24823"/>
    <w:rsid w:val="47C9EB2E"/>
    <w:rsid w:val="47CAF257"/>
    <w:rsid w:val="47CD0FB6"/>
    <w:rsid w:val="47D2F53A"/>
    <w:rsid w:val="47DAEB4D"/>
    <w:rsid w:val="47E31602"/>
    <w:rsid w:val="47E6149B"/>
    <w:rsid w:val="48019EB9"/>
    <w:rsid w:val="4801AAEE"/>
    <w:rsid w:val="480714BC"/>
    <w:rsid w:val="480ACF6E"/>
    <w:rsid w:val="480D517C"/>
    <w:rsid w:val="480DAC7D"/>
    <w:rsid w:val="48170DF5"/>
    <w:rsid w:val="4819B88B"/>
    <w:rsid w:val="481B9577"/>
    <w:rsid w:val="4821E692"/>
    <w:rsid w:val="4823C298"/>
    <w:rsid w:val="48256A21"/>
    <w:rsid w:val="482D4C64"/>
    <w:rsid w:val="482D8F1B"/>
    <w:rsid w:val="482DD753"/>
    <w:rsid w:val="482DEC58"/>
    <w:rsid w:val="48327DAA"/>
    <w:rsid w:val="4837517D"/>
    <w:rsid w:val="483C5E9F"/>
    <w:rsid w:val="483EFC6A"/>
    <w:rsid w:val="483FD4F3"/>
    <w:rsid w:val="48408185"/>
    <w:rsid w:val="484BB71D"/>
    <w:rsid w:val="484BE67F"/>
    <w:rsid w:val="484E3FDB"/>
    <w:rsid w:val="485907FA"/>
    <w:rsid w:val="4862D2B5"/>
    <w:rsid w:val="486B843E"/>
    <w:rsid w:val="486C0BF4"/>
    <w:rsid w:val="4886FE93"/>
    <w:rsid w:val="488D4764"/>
    <w:rsid w:val="48946876"/>
    <w:rsid w:val="48A0A5FB"/>
    <w:rsid w:val="48A452E8"/>
    <w:rsid w:val="48A7990C"/>
    <w:rsid w:val="48A8E476"/>
    <w:rsid w:val="48A98C8A"/>
    <w:rsid w:val="48AC2241"/>
    <w:rsid w:val="48AEA274"/>
    <w:rsid w:val="48B43BB2"/>
    <w:rsid w:val="48B69A2E"/>
    <w:rsid w:val="48B6BDF3"/>
    <w:rsid w:val="48B9A602"/>
    <w:rsid w:val="48BB523C"/>
    <w:rsid w:val="48BD2386"/>
    <w:rsid w:val="48C347F4"/>
    <w:rsid w:val="48CE0DEE"/>
    <w:rsid w:val="48D027E3"/>
    <w:rsid w:val="48D1BD7E"/>
    <w:rsid w:val="48D23751"/>
    <w:rsid w:val="48D95E5B"/>
    <w:rsid w:val="48DDCA6A"/>
    <w:rsid w:val="48DFC95F"/>
    <w:rsid w:val="48E0D9F3"/>
    <w:rsid w:val="48E1F792"/>
    <w:rsid w:val="48E886EF"/>
    <w:rsid w:val="48F2E817"/>
    <w:rsid w:val="48F4566E"/>
    <w:rsid w:val="48F69907"/>
    <w:rsid w:val="48F7BB9C"/>
    <w:rsid w:val="48FC3C2F"/>
    <w:rsid w:val="48FE68F6"/>
    <w:rsid w:val="4902C8DA"/>
    <w:rsid w:val="490639AE"/>
    <w:rsid w:val="490AEE76"/>
    <w:rsid w:val="490F6DCA"/>
    <w:rsid w:val="4910CDCB"/>
    <w:rsid w:val="49182D61"/>
    <w:rsid w:val="49190148"/>
    <w:rsid w:val="491A3383"/>
    <w:rsid w:val="49280416"/>
    <w:rsid w:val="492C6873"/>
    <w:rsid w:val="4930D04E"/>
    <w:rsid w:val="493129E0"/>
    <w:rsid w:val="4934C3A4"/>
    <w:rsid w:val="4935EA01"/>
    <w:rsid w:val="4938B2EA"/>
    <w:rsid w:val="49397284"/>
    <w:rsid w:val="493AF682"/>
    <w:rsid w:val="493DD75C"/>
    <w:rsid w:val="49483A41"/>
    <w:rsid w:val="494C419A"/>
    <w:rsid w:val="49717168"/>
    <w:rsid w:val="49780EC5"/>
    <w:rsid w:val="497F00C5"/>
    <w:rsid w:val="49803E54"/>
    <w:rsid w:val="49895A1B"/>
    <w:rsid w:val="498E0384"/>
    <w:rsid w:val="498EBB8C"/>
    <w:rsid w:val="4995ACBE"/>
    <w:rsid w:val="499643F2"/>
    <w:rsid w:val="499AFE2C"/>
    <w:rsid w:val="49A0DA42"/>
    <w:rsid w:val="49A678A9"/>
    <w:rsid w:val="49A73EAC"/>
    <w:rsid w:val="49A741D8"/>
    <w:rsid w:val="49A76454"/>
    <w:rsid w:val="49A9D4C3"/>
    <w:rsid w:val="49AC2994"/>
    <w:rsid w:val="49B28D7D"/>
    <w:rsid w:val="49B4186E"/>
    <w:rsid w:val="49B5244B"/>
    <w:rsid w:val="49B663AB"/>
    <w:rsid w:val="49B7FEFB"/>
    <w:rsid w:val="49B83F7D"/>
    <w:rsid w:val="49B907ED"/>
    <w:rsid w:val="49BA25D0"/>
    <w:rsid w:val="49BABB56"/>
    <w:rsid w:val="49C6B709"/>
    <w:rsid w:val="49CBE081"/>
    <w:rsid w:val="49D0DBCE"/>
    <w:rsid w:val="49D44A11"/>
    <w:rsid w:val="49D9A0AC"/>
    <w:rsid w:val="49E64EF4"/>
    <w:rsid w:val="49E6CD8F"/>
    <w:rsid w:val="49F0C8F9"/>
    <w:rsid w:val="49FD78AD"/>
    <w:rsid w:val="49FFF21B"/>
    <w:rsid w:val="4A0689CF"/>
    <w:rsid w:val="4A09CFFB"/>
    <w:rsid w:val="4A0A179B"/>
    <w:rsid w:val="4A11238C"/>
    <w:rsid w:val="4A14B2CE"/>
    <w:rsid w:val="4A150B3D"/>
    <w:rsid w:val="4A152BA9"/>
    <w:rsid w:val="4A1687D0"/>
    <w:rsid w:val="4A1AF04C"/>
    <w:rsid w:val="4A37B016"/>
    <w:rsid w:val="4A3D949B"/>
    <w:rsid w:val="4A407C97"/>
    <w:rsid w:val="4A4337F4"/>
    <w:rsid w:val="4A4405F0"/>
    <w:rsid w:val="4A488707"/>
    <w:rsid w:val="4A4A9139"/>
    <w:rsid w:val="4A4D2A4B"/>
    <w:rsid w:val="4A4F5ED7"/>
    <w:rsid w:val="4A4F62BE"/>
    <w:rsid w:val="4A4FE2DD"/>
    <w:rsid w:val="4A55A4A3"/>
    <w:rsid w:val="4A5B7382"/>
    <w:rsid w:val="4A6D3A5C"/>
    <w:rsid w:val="4A6D76B0"/>
    <w:rsid w:val="4A7267C6"/>
    <w:rsid w:val="4A7CB66F"/>
    <w:rsid w:val="4A7E4082"/>
    <w:rsid w:val="4A84EBBA"/>
    <w:rsid w:val="4A9170CC"/>
    <w:rsid w:val="4A934C4B"/>
    <w:rsid w:val="4A978018"/>
    <w:rsid w:val="4AA3B31A"/>
    <w:rsid w:val="4AA860CA"/>
    <w:rsid w:val="4AAB89B4"/>
    <w:rsid w:val="4ABB647F"/>
    <w:rsid w:val="4ACAC22F"/>
    <w:rsid w:val="4AD54C51"/>
    <w:rsid w:val="4ADB0C83"/>
    <w:rsid w:val="4ADD4864"/>
    <w:rsid w:val="4ADF2051"/>
    <w:rsid w:val="4AE37072"/>
    <w:rsid w:val="4AE9F799"/>
    <w:rsid w:val="4AEA0283"/>
    <w:rsid w:val="4AF65A38"/>
    <w:rsid w:val="4B061B46"/>
    <w:rsid w:val="4B08977A"/>
    <w:rsid w:val="4B09E1CF"/>
    <w:rsid w:val="4B0B6227"/>
    <w:rsid w:val="4B0D927B"/>
    <w:rsid w:val="4B0FD733"/>
    <w:rsid w:val="4B165A99"/>
    <w:rsid w:val="4B1EA06C"/>
    <w:rsid w:val="4B229DDB"/>
    <w:rsid w:val="4B24C909"/>
    <w:rsid w:val="4B2980E6"/>
    <w:rsid w:val="4B2BB079"/>
    <w:rsid w:val="4B30A7BC"/>
    <w:rsid w:val="4B319F51"/>
    <w:rsid w:val="4B33DCFD"/>
    <w:rsid w:val="4B360D32"/>
    <w:rsid w:val="4B37D8AD"/>
    <w:rsid w:val="4B3B4E5D"/>
    <w:rsid w:val="4B482903"/>
    <w:rsid w:val="4B4B7B1F"/>
    <w:rsid w:val="4B4C0C83"/>
    <w:rsid w:val="4B4D0F77"/>
    <w:rsid w:val="4B4D7313"/>
    <w:rsid w:val="4B4E1A40"/>
    <w:rsid w:val="4B50D87F"/>
    <w:rsid w:val="4B569BA5"/>
    <w:rsid w:val="4B5FC696"/>
    <w:rsid w:val="4B62D33C"/>
    <w:rsid w:val="4B63532B"/>
    <w:rsid w:val="4B68A88C"/>
    <w:rsid w:val="4B69C8DC"/>
    <w:rsid w:val="4B6A9E0F"/>
    <w:rsid w:val="4B7C5A55"/>
    <w:rsid w:val="4B87B434"/>
    <w:rsid w:val="4B8E41FF"/>
    <w:rsid w:val="4B918325"/>
    <w:rsid w:val="4B91B03E"/>
    <w:rsid w:val="4B92C1A3"/>
    <w:rsid w:val="4B9418C4"/>
    <w:rsid w:val="4B9AD7E5"/>
    <w:rsid w:val="4B9AE721"/>
    <w:rsid w:val="4B9E07A2"/>
    <w:rsid w:val="4B9EDD59"/>
    <w:rsid w:val="4BAF6CFD"/>
    <w:rsid w:val="4BB0E061"/>
    <w:rsid w:val="4BB5E14B"/>
    <w:rsid w:val="4BC009E6"/>
    <w:rsid w:val="4BC100B8"/>
    <w:rsid w:val="4BC187D4"/>
    <w:rsid w:val="4BC4A5CA"/>
    <w:rsid w:val="4BCB7038"/>
    <w:rsid w:val="4BCEE662"/>
    <w:rsid w:val="4BCF1346"/>
    <w:rsid w:val="4BD07391"/>
    <w:rsid w:val="4BD34276"/>
    <w:rsid w:val="4BDB5B23"/>
    <w:rsid w:val="4BDD1E9E"/>
    <w:rsid w:val="4BDDD112"/>
    <w:rsid w:val="4BE24003"/>
    <w:rsid w:val="4BEDB99A"/>
    <w:rsid w:val="4BF2CAA5"/>
    <w:rsid w:val="4BF2EFAF"/>
    <w:rsid w:val="4BF66233"/>
    <w:rsid w:val="4BFC2A2C"/>
    <w:rsid w:val="4C0215C3"/>
    <w:rsid w:val="4C03DE68"/>
    <w:rsid w:val="4C0613C8"/>
    <w:rsid w:val="4C0781DA"/>
    <w:rsid w:val="4C17A91E"/>
    <w:rsid w:val="4C1AAA4F"/>
    <w:rsid w:val="4C1BD09D"/>
    <w:rsid w:val="4C1E2476"/>
    <w:rsid w:val="4C328BD9"/>
    <w:rsid w:val="4C42ACEA"/>
    <w:rsid w:val="4C45FE73"/>
    <w:rsid w:val="4C48FA12"/>
    <w:rsid w:val="4C4CFB87"/>
    <w:rsid w:val="4C58B7F5"/>
    <w:rsid w:val="4C5A8178"/>
    <w:rsid w:val="4C5ED788"/>
    <w:rsid w:val="4C5EF541"/>
    <w:rsid w:val="4C600521"/>
    <w:rsid w:val="4C600F67"/>
    <w:rsid w:val="4C612455"/>
    <w:rsid w:val="4C6606AE"/>
    <w:rsid w:val="4C664F22"/>
    <w:rsid w:val="4C69E6DA"/>
    <w:rsid w:val="4C6A0BEC"/>
    <w:rsid w:val="4C6C56AB"/>
    <w:rsid w:val="4C70F399"/>
    <w:rsid w:val="4C72B23C"/>
    <w:rsid w:val="4C747BCD"/>
    <w:rsid w:val="4C7B491C"/>
    <w:rsid w:val="4C81ABD8"/>
    <w:rsid w:val="4C8A741D"/>
    <w:rsid w:val="4C8AB9CB"/>
    <w:rsid w:val="4C8C0A79"/>
    <w:rsid w:val="4C9313C3"/>
    <w:rsid w:val="4C98CE2F"/>
    <w:rsid w:val="4C99BAB3"/>
    <w:rsid w:val="4C9A9173"/>
    <w:rsid w:val="4CADCCA6"/>
    <w:rsid w:val="4CB490EF"/>
    <w:rsid w:val="4CB81E42"/>
    <w:rsid w:val="4CBA10CD"/>
    <w:rsid w:val="4CBA13F2"/>
    <w:rsid w:val="4CBB8ADD"/>
    <w:rsid w:val="4CC7FF71"/>
    <w:rsid w:val="4CCD196A"/>
    <w:rsid w:val="4CCF5483"/>
    <w:rsid w:val="4CD0DEA1"/>
    <w:rsid w:val="4CD3CDA2"/>
    <w:rsid w:val="4CD4E44E"/>
    <w:rsid w:val="4CDF8B6E"/>
    <w:rsid w:val="4CE2D3ED"/>
    <w:rsid w:val="4CF4622B"/>
    <w:rsid w:val="4CF6F226"/>
    <w:rsid w:val="4CF766AF"/>
    <w:rsid w:val="4CFB2A48"/>
    <w:rsid w:val="4CFC64DF"/>
    <w:rsid w:val="4D058EBD"/>
    <w:rsid w:val="4D116918"/>
    <w:rsid w:val="4D1827D2"/>
    <w:rsid w:val="4D1CE5AF"/>
    <w:rsid w:val="4D1EAAF2"/>
    <w:rsid w:val="4D1F0E94"/>
    <w:rsid w:val="4D2053F6"/>
    <w:rsid w:val="4D20CC09"/>
    <w:rsid w:val="4D27070A"/>
    <w:rsid w:val="4D270AB9"/>
    <w:rsid w:val="4D29BF3E"/>
    <w:rsid w:val="4D2B2C26"/>
    <w:rsid w:val="4D328392"/>
    <w:rsid w:val="4D37FDCF"/>
    <w:rsid w:val="4D38B7CB"/>
    <w:rsid w:val="4D3D0F84"/>
    <w:rsid w:val="4D3DAAC5"/>
    <w:rsid w:val="4D42411B"/>
    <w:rsid w:val="4D477FC5"/>
    <w:rsid w:val="4D52E373"/>
    <w:rsid w:val="4D575DCA"/>
    <w:rsid w:val="4D58FCE4"/>
    <w:rsid w:val="4D642B25"/>
    <w:rsid w:val="4D64B6E9"/>
    <w:rsid w:val="4D6A7B70"/>
    <w:rsid w:val="4D6BA951"/>
    <w:rsid w:val="4D6C3B05"/>
    <w:rsid w:val="4D6D7834"/>
    <w:rsid w:val="4D6F3802"/>
    <w:rsid w:val="4D6F9155"/>
    <w:rsid w:val="4D72BDDC"/>
    <w:rsid w:val="4D76EAA4"/>
    <w:rsid w:val="4D810B63"/>
    <w:rsid w:val="4D871CE4"/>
    <w:rsid w:val="4D872F2A"/>
    <w:rsid w:val="4D880824"/>
    <w:rsid w:val="4D8BCC8B"/>
    <w:rsid w:val="4D8EEDC5"/>
    <w:rsid w:val="4D96D79D"/>
    <w:rsid w:val="4D9AE799"/>
    <w:rsid w:val="4D9C8086"/>
    <w:rsid w:val="4D9E4D92"/>
    <w:rsid w:val="4DA1C28D"/>
    <w:rsid w:val="4DA7A767"/>
    <w:rsid w:val="4DAC0050"/>
    <w:rsid w:val="4DAD0651"/>
    <w:rsid w:val="4DAD2856"/>
    <w:rsid w:val="4DB1904E"/>
    <w:rsid w:val="4DB57347"/>
    <w:rsid w:val="4DB6298B"/>
    <w:rsid w:val="4DB9E66A"/>
    <w:rsid w:val="4DBA1E6A"/>
    <w:rsid w:val="4DBB2B28"/>
    <w:rsid w:val="4DC51DD0"/>
    <w:rsid w:val="4DC7917D"/>
    <w:rsid w:val="4DCB109E"/>
    <w:rsid w:val="4DCF936C"/>
    <w:rsid w:val="4DCF9BA1"/>
    <w:rsid w:val="4DD411F6"/>
    <w:rsid w:val="4DDA23D8"/>
    <w:rsid w:val="4DDFB916"/>
    <w:rsid w:val="4DE8F2BC"/>
    <w:rsid w:val="4DEB8857"/>
    <w:rsid w:val="4DECD133"/>
    <w:rsid w:val="4DECEAF6"/>
    <w:rsid w:val="4E02ABFC"/>
    <w:rsid w:val="4E03FAB0"/>
    <w:rsid w:val="4E04CDF4"/>
    <w:rsid w:val="4E0A36C8"/>
    <w:rsid w:val="4E11621B"/>
    <w:rsid w:val="4E16809F"/>
    <w:rsid w:val="4E18A986"/>
    <w:rsid w:val="4E1A28B8"/>
    <w:rsid w:val="4E201D9D"/>
    <w:rsid w:val="4E2D4020"/>
    <w:rsid w:val="4E31D4EA"/>
    <w:rsid w:val="4E32AE46"/>
    <w:rsid w:val="4E33FFD2"/>
    <w:rsid w:val="4E34CDDC"/>
    <w:rsid w:val="4E3595D6"/>
    <w:rsid w:val="4E381606"/>
    <w:rsid w:val="4E38A825"/>
    <w:rsid w:val="4E3B71C0"/>
    <w:rsid w:val="4E3D3BC4"/>
    <w:rsid w:val="4E3F7C29"/>
    <w:rsid w:val="4E4224E5"/>
    <w:rsid w:val="4E46A1B1"/>
    <w:rsid w:val="4E526A35"/>
    <w:rsid w:val="4E545169"/>
    <w:rsid w:val="4E5CBB1D"/>
    <w:rsid w:val="4E69E94D"/>
    <w:rsid w:val="4E69FCBC"/>
    <w:rsid w:val="4E6A55B7"/>
    <w:rsid w:val="4E6E702D"/>
    <w:rsid w:val="4E70FA21"/>
    <w:rsid w:val="4E70FBDB"/>
    <w:rsid w:val="4E759F19"/>
    <w:rsid w:val="4E7871AE"/>
    <w:rsid w:val="4E79D7AF"/>
    <w:rsid w:val="4E805B27"/>
    <w:rsid w:val="4E825130"/>
    <w:rsid w:val="4E82D115"/>
    <w:rsid w:val="4E8A6486"/>
    <w:rsid w:val="4E8EF141"/>
    <w:rsid w:val="4E915907"/>
    <w:rsid w:val="4E94DF1B"/>
    <w:rsid w:val="4E96C38D"/>
    <w:rsid w:val="4E9C2833"/>
    <w:rsid w:val="4E9F73C4"/>
    <w:rsid w:val="4E9FD053"/>
    <w:rsid w:val="4EA098F5"/>
    <w:rsid w:val="4EA0BAB4"/>
    <w:rsid w:val="4EA56FFA"/>
    <w:rsid w:val="4EA590E3"/>
    <w:rsid w:val="4EA733AE"/>
    <w:rsid w:val="4EAD133C"/>
    <w:rsid w:val="4EB06540"/>
    <w:rsid w:val="4EB0B929"/>
    <w:rsid w:val="4EB229A6"/>
    <w:rsid w:val="4EB9D173"/>
    <w:rsid w:val="4EB9F924"/>
    <w:rsid w:val="4EC00611"/>
    <w:rsid w:val="4EC22865"/>
    <w:rsid w:val="4EC6EA85"/>
    <w:rsid w:val="4ECBF00F"/>
    <w:rsid w:val="4ECD38EE"/>
    <w:rsid w:val="4ED65477"/>
    <w:rsid w:val="4EDE7FF5"/>
    <w:rsid w:val="4EEEC6ED"/>
    <w:rsid w:val="4EF29264"/>
    <w:rsid w:val="4EF77FEB"/>
    <w:rsid w:val="4F00755C"/>
    <w:rsid w:val="4F064319"/>
    <w:rsid w:val="4F07CFEC"/>
    <w:rsid w:val="4F0E75E1"/>
    <w:rsid w:val="4F0F0F4B"/>
    <w:rsid w:val="4F141F84"/>
    <w:rsid w:val="4F147DC3"/>
    <w:rsid w:val="4F18D08E"/>
    <w:rsid w:val="4F280ACD"/>
    <w:rsid w:val="4F2B79BC"/>
    <w:rsid w:val="4F2D2D1D"/>
    <w:rsid w:val="4F2DD9C0"/>
    <w:rsid w:val="4F2F4CA7"/>
    <w:rsid w:val="4F325CD3"/>
    <w:rsid w:val="4F3FF77E"/>
    <w:rsid w:val="4F42E0EA"/>
    <w:rsid w:val="4F4B527B"/>
    <w:rsid w:val="4F4FA4BB"/>
    <w:rsid w:val="4F5506D5"/>
    <w:rsid w:val="4F5AE6F2"/>
    <w:rsid w:val="4F63AA02"/>
    <w:rsid w:val="4F64251F"/>
    <w:rsid w:val="4F7221CF"/>
    <w:rsid w:val="4F75B13A"/>
    <w:rsid w:val="4F7754C8"/>
    <w:rsid w:val="4F778789"/>
    <w:rsid w:val="4F7946D2"/>
    <w:rsid w:val="4F7B61F8"/>
    <w:rsid w:val="4F8963C8"/>
    <w:rsid w:val="4F8ED62E"/>
    <w:rsid w:val="4F995AA0"/>
    <w:rsid w:val="4FA97338"/>
    <w:rsid w:val="4FAC4DC3"/>
    <w:rsid w:val="4FB4EC75"/>
    <w:rsid w:val="4FB87421"/>
    <w:rsid w:val="4FBA02EB"/>
    <w:rsid w:val="4FBAA084"/>
    <w:rsid w:val="4FBE5860"/>
    <w:rsid w:val="4FC03821"/>
    <w:rsid w:val="4FC65B91"/>
    <w:rsid w:val="4FC6ED17"/>
    <w:rsid w:val="4FC86FEA"/>
    <w:rsid w:val="4FCCEAF8"/>
    <w:rsid w:val="4FD0BDED"/>
    <w:rsid w:val="4FD30019"/>
    <w:rsid w:val="4FD7BA6B"/>
    <w:rsid w:val="4FDBD480"/>
    <w:rsid w:val="4FE07F88"/>
    <w:rsid w:val="4FE0BF65"/>
    <w:rsid w:val="4FE15BD9"/>
    <w:rsid w:val="4FE3AB85"/>
    <w:rsid w:val="4FE46FA0"/>
    <w:rsid w:val="4FE56544"/>
    <w:rsid w:val="4FEB51FB"/>
    <w:rsid w:val="4FEB90FE"/>
    <w:rsid w:val="4FF53605"/>
    <w:rsid w:val="4FF5F1E1"/>
    <w:rsid w:val="4FF7B9BA"/>
    <w:rsid w:val="5008282E"/>
    <w:rsid w:val="50092D6E"/>
    <w:rsid w:val="500E385C"/>
    <w:rsid w:val="500E7733"/>
    <w:rsid w:val="50100F3F"/>
    <w:rsid w:val="5010EA37"/>
    <w:rsid w:val="501156DE"/>
    <w:rsid w:val="501776D6"/>
    <w:rsid w:val="501E939A"/>
    <w:rsid w:val="5022DEFF"/>
    <w:rsid w:val="50248EEA"/>
    <w:rsid w:val="50256738"/>
    <w:rsid w:val="50267CDA"/>
    <w:rsid w:val="502D7B2A"/>
    <w:rsid w:val="50313A84"/>
    <w:rsid w:val="5031728C"/>
    <w:rsid w:val="50363185"/>
    <w:rsid w:val="5039AEA0"/>
    <w:rsid w:val="505E1548"/>
    <w:rsid w:val="5060848C"/>
    <w:rsid w:val="5067E6B3"/>
    <w:rsid w:val="506F68CF"/>
    <w:rsid w:val="507A2BD8"/>
    <w:rsid w:val="507B9A15"/>
    <w:rsid w:val="508331BD"/>
    <w:rsid w:val="508F98BB"/>
    <w:rsid w:val="50920559"/>
    <w:rsid w:val="509271B7"/>
    <w:rsid w:val="50A4F731"/>
    <w:rsid w:val="50A6CF7E"/>
    <w:rsid w:val="50A70DCE"/>
    <w:rsid w:val="50A7C51E"/>
    <w:rsid w:val="50A878A3"/>
    <w:rsid w:val="50AD6B61"/>
    <w:rsid w:val="50B7F7AE"/>
    <w:rsid w:val="50BA0E2D"/>
    <w:rsid w:val="50BADA6B"/>
    <w:rsid w:val="50BE3136"/>
    <w:rsid w:val="50BE916E"/>
    <w:rsid w:val="50BF50B5"/>
    <w:rsid w:val="50C4AFA0"/>
    <w:rsid w:val="50CE27BA"/>
    <w:rsid w:val="50D5D520"/>
    <w:rsid w:val="50D6A165"/>
    <w:rsid w:val="50D9303F"/>
    <w:rsid w:val="50DAA848"/>
    <w:rsid w:val="50DDFCB3"/>
    <w:rsid w:val="50E1E387"/>
    <w:rsid w:val="50E64706"/>
    <w:rsid w:val="51002F0A"/>
    <w:rsid w:val="5111D533"/>
    <w:rsid w:val="5112714E"/>
    <w:rsid w:val="51135197"/>
    <w:rsid w:val="511A924C"/>
    <w:rsid w:val="511C6F62"/>
    <w:rsid w:val="51227A78"/>
    <w:rsid w:val="5123D0B3"/>
    <w:rsid w:val="5127A990"/>
    <w:rsid w:val="512DCAC9"/>
    <w:rsid w:val="512FFBE7"/>
    <w:rsid w:val="5137EEB7"/>
    <w:rsid w:val="51398F02"/>
    <w:rsid w:val="5139B70F"/>
    <w:rsid w:val="513B622E"/>
    <w:rsid w:val="514A1946"/>
    <w:rsid w:val="514E710C"/>
    <w:rsid w:val="5153638F"/>
    <w:rsid w:val="51582964"/>
    <w:rsid w:val="515938ED"/>
    <w:rsid w:val="515D56E3"/>
    <w:rsid w:val="5165AA0C"/>
    <w:rsid w:val="51697527"/>
    <w:rsid w:val="516DE21D"/>
    <w:rsid w:val="516F8676"/>
    <w:rsid w:val="5174B3D8"/>
    <w:rsid w:val="51790C44"/>
    <w:rsid w:val="517BF055"/>
    <w:rsid w:val="51865C28"/>
    <w:rsid w:val="51883771"/>
    <w:rsid w:val="518FA5A2"/>
    <w:rsid w:val="51913FB7"/>
    <w:rsid w:val="5194FD6A"/>
    <w:rsid w:val="5198CE6F"/>
    <w:rsid w:val="519BF980"/>
    <w:rsid w:val="519D82D6"/>
    <w:rsid w:val="51A9BB51"/>
    <w:rsid w:val="51B036E0"/>
    <w:rsid w:val="51B22E18"/>
    <w:rsid w:val="51B83D24"/>
    <w:rsid w:val="51C61366"/>
    <w:rsid w:val="51C635D5"/>
    <w:rsid w:val="51C8130C"/>
    <w:rsid w:val="51D03F78"/>
    <w:rsid w:val="51D119BC"/>
    <w:rsid w:val="51D23D9B"/>
    <w:rsid w:val="51D47F2D"/>
    <w:rsid w:val="51D64939"/>
    <w:rsid w:val="51D89DDD"/>
    <w:rsid w:val="51DCA0F6"/>
    <w:rsid w:val="51E06A0E"/>
    <w:rsid w:val="51EC0AF0"/>
    <w:rsid w:val="51EF81CA"/>
    <w:rsid w:val="51F3DCEE"/>
    <w:rsid w:val="51F83F6C"/>
    <w:rsid w:val="51FC9BAD"/>
    <w:rsid w:val="51FD5EFF"/>
    <w:rsid w:val="5205F67F"/>
    <w:rsid w:val="520655C8"/>
    <w:rsid w:val="520A6599"/>
    <w:rsid w:val="520C0522"/>
    <w:rsid w:val="5210B427"/>
    <w:rsid w:val="5211908F"/>
    <w:rsid w:val="52150989"/>
    <w:rsid w:val="52174429"/>
    <w:rsid w:val="5218F94C"/>
    <w:rsid w:val="52297FA7"/>
    <w:rsid w:val="5229B15C"/>
    <w:rsid w:val="522B268E"/>
    <w:rsid w:val="523782A4"/>
    <w:rsid w:val="5238832B"/>
    <w:rsid w:val="52479127"/>
    <w:rsid w:val="52554086"/>
    <w:rsid w:val="525EF35D"/>
    <w:rsid w:val="52645D29"/>
    <w:rsid w:val="52650CDC"/>
    <w:rsid w:val="526558E9"/>
    <w:rsid w:val="526D5178"/>
    <w:rsid w:val="526D8D6F"/>
    <w:rsid w:val="526F4161"/>
    <w:rsid w:val="52760776"/>
    <w:rsid w:val="527BB0E0"/>
    <w:rsid w:val="52831C5B"/>
    <w:rsid w:val="5285B2EE"/>
    <w:rsid w:val="528C888C"/>
    <w:rsid w:val="528D601E"/>
    <w:rsid w:val="52918673"/>
    <w:rsid w:val="5294768E"/>
    <w:rsid w:val="529598A8"/>
    <w:rsid w:val="5295FACC"/>
    <w:rsid w:val="5296BCBE"/>
    <w:rsid w:val="529A79C0"/>
    <w:rsid w:val="529C4550"/>
    <w:rsid w:val="52A6F580"/>
    <w:rsid w:val="52AE9B26"/>
    <w:rsid w:val="52B49AFE"/>
    <w:rsid w:val="52BADA9A"/>
    <w:rsid w:val="52BE1D2C"/>
    <w:rsid w:val="52CBE4B6"/>
    <w:rsid w:val="52CCA6AF"/>
    <w:rsid w:val="52D05AD8"/>
    <w:rsid w:val="52D20858"/>
    <w:rsid w:val="52D20B16"/>
    <w:rsid w:val="52DB25AB"/>
    <w:rsid w:val="52DF6E1C"/>
    <w:rsid w:val="52F8214E"/>
    <w:rsid w:val="52F8A33F"/>
    <w:rsid w:val="52FC5031"/>
    <w:rsid w:val="5301EDB1"/>
    <w:rsid w:val="53024466"/>
    <w:rsid w:val="530936A9"/>
    <w:rsid w:val="530C3606"/>
    <w:rsid w:val="530DE475"/>
    <w:rsid w:val="53100F16"/>
    <w:rsid w:val="5311DE0E"/>
    <w:rsid w:val="5312DC94"/>
    <w:rsid w:val="5319B1F0"/>
    <w:rsid w:val="531BBA7A"/>
    <w:rsid w:val="531ECB33"/>
    <w:rsid w:val="5320AA83"/>
    <w:rsid w:val="532256F5"/>
    <w:rsid w:val="53277EFE"/>
    <w:rsid w:val="532958D7"/>
    <w:rsid w:val="53296DB3"/>
    <w:rsid w:val="53363C3F"/>
    <w:rsid w:val="53375285"/>
    <w:rsid w:val="53400DBD"/>
    <w:rsid w:val="53405DDA"/>
    <w:rsid w:val="5342BA04"/>
    <w:rsid w:val="53472054"/>
    <w:rsid w:val="5348DF03"/>
    <w:rsid w:val="534933DA"/>
    <w:rsid w:val="534B8252"/>
    <w:rsid w:val="534DB783"/>
    <w:rsid w:val="5355C4EF"/>
    <w:rsid w:val="535B2352"/>
    <w:rsid w:val="535BD259"/>
    <w:rsid w:val="535CEFD2"/>
    <w:rsid w:val="535DBF06"/>
    <w:rsid w:val="5366CAA4"/>
    <w:rsid w:val="5369ED54"/>
    <w:rsid w:val="536F1F13"/>
    <w:rsid w:val="536F6689"/>
    <w:rsid w:val="537371AB"/>
    <w:rsid w:val="537D6309"/>
    <w:rsid w:val="537EECFB"/>
    <w:rsid w:val="5386E2A4"/>
    <w:rsid w:val="53886E91"/>
    <w:rsid w:val="5399A926"/>
    <w:rsid w:val="539E6790"/>
    <w:rsid w:val="53A0FC03"/>
    <w:rsid w:val="53A6BB64"/>
    <w:rsid w:val="53A75C50"/>
    <w:rsid w:val="53A93E24"/>
    <w:rsid w:val="53B44DD8"/>
    <w:rsid w:val="53C23CA1"/>
    <w:rsid w:val="53C56538"/>
    <w:rsid w:val="53CFD9BF"/>
    <w:rsid w:val="53DEAE68"/>
    <w:rsid w:val="53E02135"/>
    <w:rsid w:val="53E8E361"/>
    <w:rsid w:val="53EE7F4B"/>
    <w:rsid w:val="53F0515E"/>
    <w:rsid w:val="53F2EB27"/>
    <w:rsid w:val="53F307E1"/>
    <w:rsid w:val="53F44E07"/>
    <w:rsid w:val="53F80050"/>
    <w:rsid w:val="53F921DC"/>
    <w:rsid w:val="5406FD29"/>
    <w:rsid w:val="540DC0F2"/>
    <w:rsid w:val="54141B2E"/>
    <w:rsid w:val="541E6D62"/>
    <w:rsid w:val="541F21F8"/>
    <w:rsid w:val="5426EE81"/>
    <w:rsid w:val="5429A3D6"/>
    <w:rsid w:val="542B2053"/>
    <w:rsid w:val="542B3C0D"/>
    <w:rsid w:val="542C82D1"/>
    <w:rsid w:val="5432ADBE"/>
    <w:rsid w:val="543330DF"/>
    <w:rsid w:val="54349F10"/>
    <w:rsid w:val="5434E4BC"/>
    <w:rsid w:val="543EF550"/>
    <w:rsid w:val="5441169C"/>
    <w:rsid w:val="5444D755"/>
    <w:rsid w:val="5449AAA9"/>
    <w:rsid w:val="544B73E6"/>
    <w:rsid w:val="544CE802"/>
    <w:rsid w:val="5453188C"/>
    <w:rsid w:val="5454E7E2"/>
    <w:rsid w:val="54556262"/>
    <w:rsid w:val="545C6599"/>
    <w:rsid w:val="545DE28D"/>
    <w:rsid w:val="546A1A52"/>
    <w:rsid w:val="546C8108"/>
    <w:rsid w:val="5470F9DF"/>
    <w:rsid w:val="54777E4F"/>
    <w:rsid w:val="548078B1"/>
    <w:rsid w:val="5481C42B"/>
    <w:rsid w:val="54889F4C"/>
    <w:rsid w:val="548BBB9B"/>
    <w:rsid w:val="548D45AA"/>
    <w:rsid w:val="5490B5E7"/>
    <w:rsid w:val="54915570"/>
    <w:rsid w:val="5494445C"/>
    <w:rsid w:val="5499750F"/>
    <w:rsid w:val="549C02AB"/>
    <w:rsid w:val="54A0328C"/>
    <w:rsid w:val="54A56D9B"/>
    <w:rsid w:val="54ADC103"/>
    <w:rsid w:val="54B4D3FD"/>
    <w:rsid w:val="54C4504E"/>
    <w:rsid w:val="54CDFF9E"/>
    <w:rsid w:val="54D0910D"/>
    <w:rsid w:val="54D3C894"/>
    <w:rsid w:val="54D72289"/>
    <w:rsid w:val="54DF8963"/>
    <w:rsid w:val="54EDF1D0"/>
    <w:rsid w:val="54F2FCB4"/>
    <w:rsid w:val="54F4F4DB"/>
    <w:rsid w:val="54F5EC2F"/>
    <w:rsid w:val="54FAC992"/>
    <w:rsid w:val="54FE97D9"/>
    <w:rsid w:val="54FED9DD"/>
    <w:rsid w:val="54FF93F9"/>
    <w:rsid w:val="55019583"/>
    <w:rsid w:val="55054842"/>
    <w:rsid w:val="5506C78B"/>
    <w:rsid w:val="55097768"/>
    <w:rsid w:val="550996D6"/>
    <w:rsid w:val="550F8F4D"/>
    <w:rsid w:val="551A7C35"/>
    <w:rsid w:val="551D8B5F"/>
    <w:rsid w:val="551DA9C2"/>
    <w:rsid w:val="5521A071"/>
    <w:rsid w:val="55294D74"/>
    <w:rsid w:val="553B46CD"/>
    <w:rsid w:val="553E1A00"/>
    <w:rsid w:val="55412D71"/>
    <w:rsid w:val="5558DC17"/>
    <w:rsid w:val="555D7990"/>
    <w:rsid w:val="556305D8"/>
    <w:rsid w:val="55729262"/>
    <w:rsid w:val="55838007"/>
    <w:rsid w:val="55906228"/>
    <w:rsid w:val="5593EAA7"/>
    <w:rsid w:val="5599D596"/>
    <w:rsid w:val="55A9F33E"/>
    <w:rsid w:val="55AE4AEC"/>
    <w:rsid w:val="55B587A6"/>
    <w:rsid w:val="55C81E5C"/>
    <w:rsid w:val="55CDF43A"/>
    <w:rsid w:val="55D42F95"/>
    <w:rsid w:val="55D5CD5E"/>
    <w:rsid w:val="55D7E391"/>
    <w:rsid w:val="55DF2755"/>
    <w:rsid w:val="55E3F217"/>
    <w:rsid w:val="55E495D2"/>
    <w:rsid w:val="55E9EAD7"/>
    <w:rsid w:val="55F8672C"/>
    <w:rsid w:val="5623D579"/>
    <w:rsid w:val="5627B427"/>
    <w:rsid w:val="562D5C8B"/>
    <w:rsid w:val="56310797"/>
    <w:rsid w:val="5632566C"/>
    <w:rsid w:val="56325E3F"/>
    <w:rsid w:val="56335240"/>
    <w:rsid w:val="5653D920"/>
    <w:rsid w:val="56544A42"/>
    <w:rsid w:val="56687B30"/>
    <w:rsid w:val="5669A635"/>
    <w:rsid w:val="5669FAB9"/>
    <w:rsid w:val="567984CE"/>
    <w:rsid w:val="568F31BF"/>
    <w:rsid w:val="5692B88A"/>
    <w:rsid w:val="5698D518"/>
    <w:rsid w:val="569BC11C"/>
    <w:rsid w:val="569FC042"/>
    <w:rsid w:val="56A0039D"/>
    <w:rsid w:val="56A28675"/>
    <w:rsid w:val="56A3704F"/>
    <w:rsid w:val="56A378DA"/>
    <w:rsid w:val="56A5186C"/>
    <w:rsid w:val="56AB2C01"/>
    <w:rsid w:val="56AC22A6"/>
    <w:rsid w:val="56AE229F"/>
    <w:rsid w:val="56AE3F82"/>
    <w:rsid w:val="56AFCD02"/>
    <w:rsid w:val="56B90CFF"/>
    <w:rsid w:val="56BA4133"/>
    <w:rsid w:val="56BD4CD7"/>
    <w:rsid w:val="56C27AC2"/>
    <w:rsid w:val="56C2AE3B"/>
    <w:rsid w:val="56C3647D"/>
    <w:rsid w:val="56C81C8F"/>
    <w:rsid w:val="56CA1070"/>
    <w:rsid w:val="56D08D03"/>
    <w:rsid w:val="56D44137"/>
    <w:rsid w:val="56D8AF23"/>
    <w:rsid w:val="56DF5C70"/>
    <w:rsid w:val="56E17E5D"/>
    <w:rsid w:val="56E70FAB"/>
    <w:rsid w:val="56ECD3BC"/>
    <w:rsid w:val="56EFC83B"/>
    <w:rsid w:val="56EFE8AB"/>
    <w:rsid w:val="56F2EACB"/>
    <w:rsid w:val="56F64F7D"/>
    <w:rsid w:val="56FAA24C"/>
    <w:rsid w:val="56FFBF34"/>
    <w:rsid w:val="5712CE23"/>
    <w:rsid w:val="571344FD"/>
    <w:rsid w:val="57171F2D"/>
    <w:rsid w:val="57219AD1"/>
    <w:rsid w:val="5723DE7A"/>
    <w:rsid w:val="5725F563"/>
    <w:rsid w:val="573C3104"/>
    <w:rsid w:val="573DFBD7"/>
    <w:rsid w:val="57445137"/>
    <w:rsid w:val="5748E32B"/>
    <w:rsid w:val="574A2B84"/>
    <w:rsid w:val="574BC6BB"/>
    <w:rsid w:val="574F1366"/>
    <w:rsid w:val="574F1E7D"/>
    <w:rsid w:val="574F6D4A"/>
    <w:rsid w:val="5752C5C4"/>
    <w:rsid w:val="5753CAEC"/>
    <w:rsid w:val="5755C8AE"/>
    <w:rsid w:val="575772FB"/>
    <w:rsid w:val="575D8164"/>
    <w:rsid w:val="5765804A"/>
    <w:rsid w:val="576D522F"/>
    <w:rsid w:val="576FD84F"/>
    <w:rsid w:val="577D75F3"/>
    <w:rsid w:val="5786ACD2"/>
    <w:rsid w:val="578C50C6"/>
    <w:rsid w:val="578C8C8D"/>
    <w:rsid w:val="578D0064"/>
    <w:rsid w:val="578D90A7"/>
    <w:rsid w:val="5795EB8D"/>
    <w:rsid w:val="57A60619"/>
    <w:rsid w:val="57A6611E"/>
    <w:rsid w:val="57B2CE2A"/>
    <w:rsid w:val="57B3F93A"/>
    <w:rsid w:val="57B45CA4"/>
    <w:rsid w:val="57BB50BA"/>
    <w:rsid w:val="57C0F824"/>
    <w:rsid w:val="57C3B98B"/>
    <w:rsid w:val="57C49F65"/>
    <w:rsid w:val="57C6AF7B"/>
    <w:rsid w:val="57C87F24"/>
    <w:rsid w:val="57CBD356"/>
    <w:rsid w:val="57CC1457"/>
    <w:rsid w:val="57CC351F"/>
    <w:rsid w:val="57D0E870"/>
    <w:rsid w:val="57D1CCF6"/>
    <w:rsid w:val="57D4BCB4"/>
    <w:rsid w:val="57D8A395"/>
    <w:rsid w:val="57E3380B"/>
    <w:rsid w:val="57E359D7"/>
    <w:rsid w:val="57E49B3E"/>
    <w:rsid w:val="57E4CDD1"/>
    <w:rsid w:val="57F2F280"/>
    <w:rsid w:val="57F3FA22"/>
    <w:rsid w:val="57F728E9"/>
    <w:rsid w:val="57F8AEF9"/>
    <w:rsid w:val="57FED9A8"/>
    <w:rsid w:val="5800BA96"/>
    <w:rsid w:val="5804C79F"/>
    <w:rsid w:val="580BEEA1"/>
    <w:rsid w:val="580C47BD"/>
    <w:rsid w:val="58150CE4"/>
    <w:rsid w:val="58169342"/>
    <w:rsid w:val="581DE9C5"/>
    <w:rsid w:val="581FD8BA"/>
    <w:rsid w:val="58257FCC"/>
    <w:rsid w:val="582BDA6F"/>
    <w:rsid w:val="582DEF17"/>
    <w:rsid w:val="5831781F"/>
    <w:rsid w:val="5831CB9B"/>
    <w:rsid w:val="58323A04"/>
    <w:rsid w:val="58328F13"/>
    <w:rsid w:val="5834465B"/>
    <w:rsid w:val="58366094"/>
    <w:rsid w:val="58389EA8"/>
    <w:rsid w:val="583C423C"/>
    <w:rsid w:val="583F3289"/>
    <w:rsid w:val="5840A36F"/>
    <w:rsid w:val="5840B0A1"/>
    <w:rsid w:val="58439A17"/>
    <w:rsid w:val="58449035"/>
    <w:rsid w:val="58487AE6"/>
    <w:rsid w:val="584C7C08"/>
    <w:rsid w:val="584D3583"/>
    <w:rsid w:val="584EA1B6"/>
    <w:rsid w:val="58654BCE"/>
    <w:rsid w:val="586A576B"/>
    <w:rsid w:val="5871A60C"/>
    <w:rsid w:val="5872E4E7"/>
    <w:rsid w:val="5874C971"/>
    <w:rsid w:val="58750C20"/>
    <w:rsid w:val="587ADD57"/>
    <w:rsid w:val="5882E77B"/>
    <w:rsid w:val="588A5DBF"/>
    <w:rsid w:val="588B18B1"/>
    <w:rsid w:val="588B4DD1"/>
    <w:rsid w:val="589202FB"/>
    <w:rsid w:val="58956A31"/>
    <w:rsid w:val="589CCBB7"/>
    <w:rsid w:val="58A1327A"/>
    <w:rsid w:val="58A436D6"/>
    <w:rsid w:val="58AB6D23"/>
    <w:rsid w:val="58ACFB44"/>
    <w:rsid w:val="58B696A1"/>
    <w:rsid w:val="58B792C7"/>
    <w:rsid w:val="58BD95B3"/>
    <w:rsid w:val="58C20224"/>
    <w:rsid w:val="58C2268E"/>
    <w:rsid w:val="58D75CAF"/>
    <w:rsid w:val="58DC61D4"/>
    <w:rsid w:val="58DC95C4"/>
    <w:rsid w:val="58DEF6A1"/>
    <w:rsid w:val="58E10A4D"/>
    <w:rsid w:val="58E23A89"/>
    <w:rsid w:val="58EE1C0F"/>
    <w:rsid w:val="58F1E83B"/>
    <w:rsid w:val="58FA93A7"/>
    <w:rsid w:val="58FAF1C4"/>
    <w:rsid w:val="58FB1C31"/>
    <w:rsid w:val="58FEAD2F"/>
    <w:rsid w:val="590E6537"/>
    <w:rsid w:val="59106E78"/>
    <w:rsid w:val="5914B639"/>
    <w:rsid w:val="5914BFDA"/>
    <w:rsid w:val="59239A45"/>
    <w:rsid w:val="5929C5B3"/>
    <w:rsid w:val="5933343B"/>
    <w:rsid w:val="59395FB1"/>
    <w:rsid w:val="593CA099"/>
    <w:rsid w:val="594140A6"/>
    <w:rsid w:val="59494595"/>
    <w:rsid w:val="594D369A"/>
    <w:rsid w:val="59548273"/>
    <w:rsid w:val="5955687F"/>
    <w:rsid w:val="595A9022"/>
    <w:rsid w:val="59631617"/>
    <w:rsid w:val="5965D891"/>
    <w:rsid w:val="59667042"/>
    <w:rsid w:val="596889B5"/>
    <w:rsid w:val="59743F50"/>
    <w:rsid w:val="5978771A"/>
    <w:rsid w:val="597A79CE"/>
    <w:rsid w:val="5984274E"/>
    <w:rsid w:val="59894C42"/>
    <w:rsid w:val="59927A18"/>
    <w:rsid w:val="5994B5AE"/>
    <w:rsid w:val="59973698"/>
    <w:rsid w:val="599A1447"/>
    <w:rsid w:val="599ADAE0"/>
    <w:rsid w:val="599DDB01"/>
    <w:rsid w:val="599F7C5D"/>
    <w:rsid w:val="599F80B8"/>
    <w:rsid w:val="59A4F383"/>
    <w:rsid w:val="59B2AE10"/>
    <w:rsid w:val="59B69500"/>
    <w:rsid w:val="59C1A2E0"/>
    <w:rsid w:val="59C8BA74"/>
    <w:rsid w:val="59CC7999"/>
    <w:rsid w:val="59CE77DD"/>
    <w:rsid w:val="59D34CF2"/>
    <w:rsid w:val="59D6A5A4"/>
    <w:rsid w:val="59D9CEE8"/>
    <w:rsid w:val="59DB3C56"/>
    <w:rsid w:val="59DB7E18"/>
    <w:rsid w:val="59DEAF07"/>
    <w:rsid w:val="59E011A0"/>
    <w:rsid w:val="59E225B4"/>
    <w:rsid w:val="59E3A753"/>
    <w:rsid w:val="59E879FC"/>
    <w:rsid w:val="59E8B54A"/>
    <w:rsid w:val="59EC76AF"/>
    <w:rsid w:val="59F11A46"/>
    <w:rsid w:val="59F44C1D"/>
    <w:rsid w:val="59F8AE18"/>
    <w:rsid w:val="59FD67D4"/>
    <w:rsid w:val="59FDC99D"/>
    <w:rsid w:val="59FE8599"/>
    <w:rsid w:val="5A067272"/>
    <w:rsid w:val="5A15BCEB"/>
    <w:rsid w:val="5A181BF8"/>
    <w:rsid w:val="5A19DA7B"/>
    <w:rsid w:val="5A2DDA8F"/>
    <w:rsid w:val="5A3106FC"/>
    <w:rsid w:val="5A3A5202"/>
    <w:rsid w:val="5A3ABDFF"/>
    <w:rsid w:val="5A3C7D66"/>
    <w:rsid w:val="5A3C9498"/>
    <w:rsid w:val="5A3EFBD3"/>
    <w:rsid w:val="5A450302"/>
    <w:rsid w:val="5A4E467D"/>
    <w:rsid w:val="5A50C369"/>
    <w:rsid w:val="5A570772"/>
    <w:rsid w:val="5A587C39"/>
    <w:rsid w:val="5A65EBE5"/>
    <w:rsid w:val="5A6A2439"/>
    <w:rsid w:val="5A6AA241"/>
    <w:rsid w:val="5A6F90BD"/>
    <w:rsid w:val="5A70B751"/>
    <w:rsid w:val="5A76A361"/>
    <w:rsid w:val="5A794960"/>
    <w:rsid w:val="5A7D0888"/>
    <w:rsid w:val="5A8039B8"/>
    <w:rsid w:val="5A915DCF"/>
    <w:rsid w:val="5A9AD4B9"/>
    <w:rsid w:val="5A9C1C5B"/>
    <w:rsid w:val="5AA05F16"/>
    <w:rsid w:val="5AA5C23D"/>
    <w:rsid w:val="5AA7C11E"/>
    <w:rsid w:val="5AAE00A8"/>
    <w:rsid w:val="5AB24E53"/>
    <w:rsid w:val="5AB3DD81"/>
    <w:rsid w:val="5AB6D24B"/>
    <w:rsid w:val="5AB8954D"/>
    <w:rsid w:val="5ABBFE53"/>
    <w:rsid w:val="5ABC2C5D"/>
    <w:rsid w:val="5AC4A007"/>
    <w:rsid w:val="5ACF0AC8"/>
    <w:rsid w:val="5ACF8902"/>
    <w:rsid w:val="5AD3651B"/>
    <w:rsid w:val="5AD4D035"/>
    <w:rsid w:val="5AD5DB8B"/>
    <w:rsid w:val="5AE617A4"/>
    <w:rsid w:val="5AEAC9EC"/>
    <w:rsid w:val="5AEE5ABD"/>
    <w:rsid w:val="5AF7C483"/>
    <w:rsid w:val="5AF94B2A"/>
    <w:rsid w:val="5AFBFCBF"/>
    <w:rsid w:val="5AFF5C80"/>
    <w:rsid w:val="5B032606"/>
    <w:rsid w:val="5B038E25"/>
    <w:rsid w:val="5B0B783C"/>
    <w:rsid w:val="5B1D5B18"/>
    <w:rsid w:val="5B201255"/>
    <w:rsid w:val="5B231651"/>
    <w:rsid w:val="5B34B28A"/>
    <w:rsid w:val="5B34DE23"/>
    <w:rsid w:val="5B365E33"/>
    <w:rsid w:val="5B3DC1DB"/>
    <w:rsid w:val="5B40C8FF"/>
    <w:rsid w:val="5B415135"/>
    <w:rsid w:val="5B432173"/>
    <w:rsid w:val="5B44F088"/>
    <w:rsid w:val="5B4CC2CB"/>
    <w:rsid w:val="5B4DBD17"/>
    <w:rsid w:val="5B4FC1F7"/>
    <w:rsid w:val="5B57D796"/>
    <w:rsid w:val="5B5930DF"/>
    <w:rsid w:val="5B5D1BA0"/>
    <w:rsid w:val="5B61F445"/>
    <w:rsid w:val="5B6EA4D5"/>
    <w:rsid w:val="5B73C6CD"/>
    <w:rsid w:val="5B74D8DC"/>
    <w:rsid w:val="5B79B483"/>
    <w:rsid w:val="5B7AD813"/>
    <w:rsid w:val="5B83E4B8"/>
    <w:rsid w:val="5B8815BA"/>
    <w:rsid w:val="5B8921D7"/>
    <w:rsid w:val="5B8BD8D1"/>
    <w:rsid w:val="5B8F5D1C"/>
    <w:rsid w:val="5B9621E0"/>
    <w:rsid w:val="5B98B3F6"/>
    <w:rsid w:val="5B9B422F"/>
    <w:rsid w:val="5B9CED39"/>
    <w:rsid w:val="5B9DE7F4"/>
    <w:rsid w:val="5B9FF861"/>
    <w:rsid w:val="5BA21AF2"/>
    <w:rsid w:val="5BA2970B"/>
    <w:rsid w:val="5BA60BDE"/>
    <w:rsid w:val="5BAACC73"/>
    <w:rsid w:val="5BB732E4"/>
    <w:rsid w:val="5BB76F62"/>
    <w:rsid w:val="5BB83D5E"/>
    <w:rsid w:val="5BBC2AD1"/>
    <w:rsid w:val="5BBC37EE"/>
    <w:rsid w:val="5BC9E0C3"/>
    <w:rsid w:val="5BD029B9"/>
    <w:rsid w:val="5BD0F18C"/>
    <w:rsid w:val="5BD34F36"/>
    <w:rsid w:val="5BDD0B0E"/>
    <w:rsid w:val="5BE4749F"/>
    <w:rsid w:val="5BE5CF92"/>
    <w:rsid w:val="5BEB57F3"/>
    <w:rsid w:val="5BEE4AC9"/>
    <w:rsid w:val="5BF351F6"/>
    <w:rsid w:val="5BFB05DC"/>
    <w:rsid w:val="5BFD9D31"/>
    <w:rsid w:val="5BFEE9F1"/>
    <w:rsid w:val="5C03A5C2"/>
    <w:rsid w:val="5C2108BE"/>
    <w:rsid w:val="5C292F18"/>
    <w:rsid w:val="5C30213C"/>
    <w:rsid w:val="5C32CE34"/>
    <w:rsid w:val="5C336CF2"/>
    <w:rsid w:val="5C388A94"/>
    <w:rsid w:val="5C3A8D91"/>
    <w:rsid w:val="5C3E999C"/>
    <w:rsid w:val="5C41966B"/>
    <w:rsid w:val="5C4FF84F"/>
    <w:rsid w:val="5C51DB1C"/>
    <w:rsid w:val="5C696587"/>
    <w:rsid w:val="5C6EF5B9"/>
    <w:rsid w:val="5C718D43"/>
    <w:rsid w:val="5C73C063"/>
    <w:rsid w:val="5C8000EB"/>
    <w:rsid w:val="5C82DAB8"/>
    <w:rsid w:val="5C8E254A"/>
    <w:rsid w:val="5C9061F4"/>
    <w:rsid w:val="5C934F47"/>
    <w:rsid w:val="5C97C834"/>
    <w:rsid w:val="5C9A3FF3"/>
    <w:rsid w:val="5C9E6F0C"/>
    <w:rsid w:val="5CA027D3"/>
    <w:rsid w:val="5CA7F831"/>
    <w:rsid w:val="5CA87E9C"/>
    <w:rsid w:val="5CB50BDC"/>
    <w:rsid w:val="5CB5A3FE"/>
    <w:rsid w:val="5CB81933"/>
    <w:rsid w:val="5CBCF26D"/>
    <w:rsid w:val="5CBF343E"/>
    <w:rsid w:val="5CBF56D4"/>
    <w:rsid w:val="5CCA93FF"/>
    <w:rsid w:val="5CCB1E43"/>
    <w:rsid w:val="5CCBC5D0"/>
    <w:rsid w:val="5CD03C4F"/>
    <w:rsid w:val="5CE10E77"/>
    <w:rsid w:val="5CE1FAD0"/>
    <w:rsid w:val="5CE529E5"/>
    <w:rsid w:val="5CE9A031"/>
    <w:rsid w:val="5CF03F50"/>
    <w:rsid w:val="5CF907A1"/>
    <w:rsid w:val="5CFF1379"/>
    <w:rsid w:val="5CFFC96F"/>
    <w:rsid w:val="5D03BD2E"/>
    <w:rsid w:val="5D08168A"/>
    <w:rsid w:val="5D0ECAE8"/>
    <w:rsid w:val="5D13BAAA"/>
    <w:rsid w:val="5D167D6B"/>
    <w:rsid w:val="5D2CA1D5"/>
    <w:rsid w:val="5D2E5A70"/>
    <w:rsid w:val="5D31E88B"/>
    <w:rsid w:val="5D324679"/>
    <w:rsid w:val="5D369619"/>
    <w:rsid w:val="5D3802B1"/>
    <w:rsid w:val="5D46E984"/>
    <w:rsid w:val="5D48F17A"/>
    <w:rsid w:val="5D4D129B"/>
    <w:rsid w:val="5D4EE825"/>
    <w:rsid w:val="5D508371"/>
    <w:rsid w:val="5D55E39F"/>
    <w:rsid w:val="5D59B052"/>
    <w:rsid w:val="5D5DEBA6"/>
    <w:rsid w:val="5D5F5ED8"/>
    <w:rsid w:val="5D690BC1"/>
    <w:rsid w:val="5D6D4EF6"/>
    <w:rsid w:val="5D705CA8"/>
    <w:rsid w:val="5D789B80"/>
    <w:rsid w:val="5D7B4C08"/>
    <w:rsid w:val="5D89EB03"/>
    <w:rsid w:val="5D8A7A91"/>
    <w:rsid w:val="5D9258A7"/>
    <w:rsid w:val="5D931716"/>
    <w:rsid w:val="5D99CCC2"/>
    <w:rsid w:val="5DA4FC45"/>
    <w:rsid w:val="5DA5B9E2"/>
    <w:rsid w:val="5DAC4362"/>
    <w:rsid w:val="5DB7E0AF"/>
    <w:rsid w:val="5DBBCBE1"/>
    <w:rsid w:val="5DCE61A9"/>
    <w:rsid w:val="5DD0DCB4"/>
    <w:rsid w:val="5DD6EBF4"/>
    <w:rsid w:val="5DD8DFCE"/>
    <w:rsid w:val="5DDA4166"/>
    <w:rsid w:val="5DE1FBD1"/>
    <w:rsid w:val="5DE34FED"/>
    <w:rsid w:val="5DE68DB6"/>
    <w:rsid w:val="5DE6E450"/>
    <w:rsid w:val="5DEA641C"/>
    <w:rsid w:val="5DEB26C4"/>
    <w:rsid w:val="5DEE5439"/>
    <w:rsid w:val="5DF0FACE"/>
    <w:rsid w:val="5DF6F99E"/>
    <w:rsid w:val="5DFB6133"/>
    <w:rsid w:val="5E0DA185"/>
    <w:rsid w:val="5E125A45"/>
    <w:rsid w:val="5E1323F3"/>
    <w:rsid w:val="5E13FA80"/>
    <w:rsid w:val="5E296C41"/>
    <w:rsid w:val="5E2B6F76"/>
    <w:rsid w:val="5E34BE89"/>
    <w:rsid w:val="5E3C8A1B"/>
    <w:rsid w:val="5E3D6549"/>
    <w:rsid w:val="5E40C111"/>
    <w:rsid w:val="5E448F9F"/>
    <w:rsid w:val="5E46CA5D"/>
    <w:rsid w:val="5E4BBFB5"/>
    <w:rsid w:val="5E4F6345"/>
    <w:rsid w:val="5E53E144"/>
    <w:rsid w:val="5E57EC69"/>
    <w:rsid w:val="5E59510B"/>
    <w:rsid w:val="5E5E2127"/>
    <w:rsid w:val="5E60C19B"/>
    <w:rsid w:val="5E632D84"/>
    <w:rsid w:val="5E66AE43"/>
    <w:rsid w:val="5E715D26"/>
    <w:rsid w:val="5E7856EE"/>
    <w:rsid w:val="5E7A22CE"/>
    <w:rsid w:val="5E7AB274"/>
    <w:rsid w:val="5E7DA1BB"/>
    <w:rsid w:val="5E7F510C"/>
    <w:rsid w:val="5E81D1C9"/>
    <w:rsid w:val="5E8C58E3"/>
    <w:rsid w:val="5E9CE39A"/>
    <w:rsid w:val="5E9EA405"/>
    <w:rsid w:val="5EA1C491"/>
    <w:rsid w:val="5EA32050"/>
    <w:rsid w:val="5EA39230"/>
    <w:rsid w:val="5EA9070E"/>
    <w:rsid w:val="5EAC8335"/>
    <w:rsid w:val="5EB6B47A"/>
    <w:rsid w:val="5EB87C7D"/>
    <w:rsid w:val="5EBAD932"/>
    <w:rsid w:val="5EC895E4"/>
    <w:rsid w:val="5ECE3631"/>
    <w:rsid w:val="5ECFE0AA"/>
    <w:rsid w:val="5ED2FBB0"/>
    <w:rsid w:val="5ED60242"/>
    <w:rsid w:val="5ED856B1"/>
    <w:rsid w:val="5EDED778"/>
    <w:rsid w:val="5EE5D891"/>
    <w:rsid w:val="5EE5DE09"/>
    <w:rsid w:val="5EF0D7B3"/>
    <w:rsid w:val="5EF21D2C"/>
    <w:rsid w:val="5EF2DE69"/>
    <w:rsid w:val="5EFBA4CB"/>
    <w:rsid w:val="5EFFBE85"/>
    <w:rsid w:val="5F050DCE"/>
    <w:rsid w:val="5F08D613"/>
    <w:rsid w:val="5F101576"/>
    <w:rsid w:val="5F14BAFC"/>
    <w:rsid w:val="5F15FFAE"/>
    <w:rsid w:val="5F1AAC1C"/>
    <w:rsid w:val="5F1B4DED"/>
    <w:rsid w:val="5F1DCF71"/>
    <w:rsid w:val="5F1EC158"/>
    <w:rsid w:val="5F22C896"/>
    <w:rsid w:val="5F25882D"/>
    <w:rsid w:val="5F260244"/>
    <w:rsid w:val="5F286897"/>
    <w:rsid w:val="5F2B8F7E"/>
    <w:rsid w:val="5F2E8247"/>
    <w:rsid w:val="5F30431C"/>
    <w:rsid w:val="5F30E6F4"/>
    <w:rsid w:val="5F3550E1"/>
    <w:rsid w:val="5F357225"/>
    <w:rsid w:val="5F35A59D"/>
    <w:rsid w:val="5F431454"/>
    <w:rsid w:val="5F498DEA"/>
    <w:rsid w:val="5F49E190"/>
    <w:rsid w:val="5F4B86DB"/>
    <w:rsid w:val="5F4BB8A9"/>
    <w:rsid w:val="5F4CEC52"/>
    <w:rsid w:val="5F582E5A"/>
    <w:rsid w:val="5F589B92"/>
    <w:rsid w:val="5F592BA4"/>
    <w:rsid w:val="5F5ED6AA"/>
    <w:rsid w:val="5F5FD2E5"/>
    <w:rsid w:val="5F6032E6"/>
    <w:rsid w:val="5F625FDE"/>
    <w:rsid w:val="5F6F6206"/>
    <w:rsid w:val="5F702B9B"/>
    <w:rsid w:val="5F70E8D9"/>
    <w:rsid w:val="5F7300CE"/>
    <w:rsid w:val="5F755A3E"/>
    <w:rsid w:val="5F7721A8"/>
    <w:rsid w:val="5F78DBFA"/>
    <w:rsid w:val="5F794E2F"/>
    <w:rsid w:val="5F79D4E2"/>
    <w:rsid w:val="5F7FB116"/>
    <w:rsid w:val="5F838E8C"/>
    <w:rsid w:val="5F857E33"/>
    <w:rsid w:val="5F86E666"/>
    <w:rsid w:val="5F8B9B76"/>
    <w:rsid w:val="5F8D64D3"/>
    <w:rsid w:val="5F90C9B4"/>
    <w:rsid w:val="5FA1FCE3"/>
    <w:rsid w:val="5FA663D2"/>
    <w:rsid w:val="5FB52655"/>
    <w:rsid w:val="5FB811A2"/>
    <w:rsid w:val="5FB8D8F4"/>
    <w:rsid w:val="5FBB9B42"/>
    <w:rsid w:val="5FBE4AF0"/>
    <w:rsid w:val="5FC571ED"/>
    <w:rsid w:val="5FC5E6B2"/>
    <w:rsid w:val="5FC8CB04"/>
    <w:rsid w:val="5FCBB66C"/>
    <w:rsid w:val="5FCCBD6F"/>
    <w:rsid w:val="5FD1E4D6"/>
    <w:rsid w:val="5FD45811"/>
    <w:rsid w:val="5FD97FCF"/>
    <w:rsid w:val="5FDBC7E4"/>
    <w:rsid w:val="5FDC9A1A"/>
    <w:rsid w:val="5FE86815"/>
    <w:rsid w:val="5FF209C0"/>
    <w:rsid w:val="5FF40ABC"/>
    <w:rsid w:val="5FF6538B"/>
    <w:rsid w:val="5FFF2953"/>
    <w:rsid w:val="6004272A"/>
    <w:rsid w:val="6008B3A5"/>
    <w:rsid w:val="600EA567"/>
    <w:rsid w:val="60127478"/>
    <w:rsid w:val="6013EFD5"/>
    <w:rsid w:val="6018AAC9"/>
    <w:rsid w:val="601FC52D"/>
    <w:rsid w:val="602471AB"/>
    <w:rsid w:val="6024D5CD"/>
    <w:rsid w:val="602A3D11"/>
    <w:rsid w:val="60310EDC"/>
    <w:rsid w:val="60338BCB"/>
    <w:rsid w:val="60388E1F"/>
    <w:rsid w:val="603C06EE"/>
    <w:rsid w:val="603C726C"/>
    <w:rsid w:val="6044BD61"/>
    <w:rsid w:val="60467FB0"/>
    <w:rsid w:val="604EFF0B"/>
    <w:rsid w:val="605B1309"/>
    <w:rsid w:val="605BEA70"/>
    <w:rsid w:val="6064E960"/>
    <w:rsid w:val="60656894"/>
    <w:rsid w:val="60684CA7"/>
    <w:rsid w:val="60694D47"/>
    <w:rsid w:val="60696E3C"/>
    <w:rsid w:val="606DAF0B"/>
    <w:rsid w:val="6070A327"/>
    <w:rsid w:val="6070F25A"/>
    <w:rsid w:val="60730E54"/>
    <w:rsid w:val="607F1560"/>
    <w:rsid w:val="6081A680"/>
    <w:rsid w:val="6081F8BE"/>
    <w:rsid w:val="608ADCFB"/>
    <w:rsid w:val="609CF9B1"/>
    <w:rsid w:val="60A050E4"/>
    <w:rsid w:val="60AA9BAA"/>
    <w:rsid w:val="60B95D79"/>
    <w:rsid w:val="60CB9F01"/>
    <w:rsid w:val="60CC061B"/>
    <w:rsid w:val="60CF3E0B"/>
    <w:rsid w:val="60D0F42D"/>
    <w:rsid w:val="60E4ABAE"/>
    <w:rsid w:val="60F43F37"/>
    <w:rsid w:val="60F54119"/>
    <w:rsid w:val="60F9B68C"/>
    <w:rsid w:val="60F9BE9D"/>
    <w:rsid w:val="60FC028D"/>
    <w:rsid w:val="60FE06C2"/>
    <w:rsid w:val="60FEE624"/>
    <w:rsid w:val="61000252"/>
    <w:rsid w:val="61000D27"/>
    <w:rsid w:val="610122F9"/>
    <w:rsid w:val="610643B2"/>
    <w:rsid w:val="6113BF69"/>
    <w:rsid w:val="611A9C31"/>
    <w:rsid w:val="611EFACA"/>
    <w:rsid w:val="61213BEB"/>
    <w:rsid w:val="612B74D7"/>
    <w:rsid w:val="612CE8D4"/>
    <w:rsid w:val="6133103F"/>
    <w:rsid w:val="6135A52D"/>
    <w:rsid w:val="613E270B"/>
    <w:rsid w:val="613F4656"/>
    <w:rsid w:val="613FE5A3"/>
    <w:rsid w:val="6140EA66"/>
    <w:rsid w:val="6148198E"/>
    <w:rsid w:val="6151A7D6"/>
    <w:rsid w:val="615342FC"/>
    <w:rsid w:val="61548C7B"/>
    <w:rsid w:val="61587D8B"/>
    <w:rsid w:val="6159F5FE"/>
    <w:rsid w:val="61618B98"/>
    <w:rsid w:val="616437AD"/>
    <w:rsid w:val="616975C8"/>
    <w:rsid w:val="61712BBA"/>
    <w:rsid w:val="6172D18B"/>
    <w:rsid w:val="6174BEBE"/>
    <w:rsid w:val="6174F21E"/>
    <w:rsid w:val="61754906"/>
    <w:rsid w:val="617BB7BE"/>
    <w:rsid w:val="6186D6C3"/>
    <w:rsid w:val="618AB123"/>
    <w:rsid w:val="6190FE77"/>
    <w:rsid w:val="61919D85"/>
    <w:rsid w:val="619FF7E2"/>
    <w:rsid w:val="61AE4736"/>
    <w:rsid w:val="61B014FF"/>
    <w:rsid w:val="61B1E1D3"/>
    <w:rsid w:val="61B23136"/>
    <w:rsid w:val="61B2D695"/>
    <w:rsid w:val="61B5A8E1"/>
    <w:rsid w:val="61B965F9"/>
    <w:rsid w:val="61BFDEAF"/>
    <w:rsid w:val="61D26BC5"/>
    <w:rsid w:val="61DBF945"/>
    <w:rsid w:val="61DE0D60"/>
    <w:rsid w:val="61E64388"/>
    <w:rsid w:val="61EFD0A3"/>
    <w:rsid w:val="61F444A9"/>
    <w:rsid w:val="61F4B1A9"/>
    <w:rsid w:val="61F87A1A"/>
    <w:rsid w:val="61FEB3CB"/>
    <w:rsid w:val="61FFF28B"/>
    <w:rsid w:val="62006841"/>
    <w:rsid w:val="62083CFF"/>
    <w:rsid w:val="620E2BE1"/>
    <w:rsid w:val="62174DD6"/>
    <w:rsid w:val="6220C715"/>
    <w:rsid w:val="622C7AB6"/>
    <w:rsid w:val="6234ED23"/>
    <w:rsid w:val="62378AB5"/>
    <w:rsid w:val="6237984E"/>
    <w:rsid w:val="62497744"/>
    <w:rsid w:val="6251CAAC"/>
    <w:rsid w:val="6254A9B8"/>
    <w:rsid w:val="625649F6"/>
    <w:rsid w:val="62571890"/>
    <w:rsid w:val="6257B99B"/>
    <w:rsid w:val="62589D99"/>
    <w:rsid w:val="625B28C2"/>
    <w:rsid w:val="6266BE3A"/>
    <w:rsid w:val="626F7E9D"/>
    <w:rsid w:val="62722C2D"/>
    <w:rsid w:val="62778811"/>
    <w:rsid w:val="628223E3"/>
    <w:rsid w:val="628DF871"/>
    <w:rsid w:val="62919115"/>
    <w:rsid w:val="62941829"/>
    <w:rsid w:val="629484F5"/>
    <w:rsid w:val="62957FB8"/>
    <w:rsid w:val="6299A899"/>
    <w:rsid w:val="629A144D"/>
    <w:rsid w:val="629C34F0"/>
    <w:rsid w:val="629E220D"/>
    <w:rsid w:val="62A153E7"/>
    <w:rsid w:val="62A69ADA"/>
    <w:rsid w:val="62AA8C7C"/>
    <w:rsid w:val="62B10719"/>
    <w:rsid w:val="62B1DC72"/>
    <w:rsid w:val="62B495B7"/>
    <w:rsid w:val="62BB0EFC"/>
    <w:rsid w:val="62C03250"/>
    <w:rsid w:val="62C798B6"/>
    <w:rsid w:val="62CA1914"/>
    <w:rsid w:val="62CD6C88"/>
    <w:rsid w:val="62D3269B"/>
    <w:rsid w:val="62D75EF2"/>
    <w:rsid w:val="62DDB107"/>
    <w:rsid w:val="62ECCE4D"/>
    <w:rsid w:val="62ECE80C"/>
    <w:rsid w:val="62EF7AC2"/>
    <w:rsid w:val="62F7D80C"/>
    <w:rsid w:val="62F8FA21"/>
    <w:rsid w:val="63051F65"/>
    <w:rsid w:val="630628DF"/>
    <w:rsid w:val="630A9B76"/>
    <w:rsid w:val="630D60B6"/>
    <w:rsid w:val="630F79C8"/>
    <w:rsid w:val="6311EC92"/>
    <w:rsid w:val="6312B604"/>
    <w:rsid w:val="6312F86C"/>
    <w:rsid w:val="631B3061"/>
    <w:rsid w:val="6323C4E2"/>
    <w:rsid w:val="632EC510"/>
    <w:rsid w:val="6330E419"/>
    <w:rsid w:val="6335B283"/>
    <w:rsid w:val="63383FEB"/>
    <w:rsid w:val="633D2D1D"/>
    <w:rsid w:val="633E6F40"/>
    <w:rsid w:val="633FE705"/>
    <w:rsid w:val="6342CC48"/>
    <w:rsid w:val="6347E54D"/>
    <w:rsid w:val="63516342"/>
    <w:rsid w:val="6357832E"/>
    <w:rsid w:val="6359FD25"/>
    <w:rsid w:val="635B0A30"/>
    <w:rsid w:val="635CD077"/>
    <w:rsid w:val="635D86B3"/>
    <w:rsid w:val="635E5BA2"/>
    <w:rsid w:val="636A40C7"/>
    <w:rsid w:val="63753AA7"/>
    <w:rsid w:val="6378B182"/>
    <w:rsid w:val="637C32E3"/>
    <w:rsid w:val="638102FF"/>
    <w:rsid w:val="638DDEAF"/>
    <w:rsid w:val="639DC0FD"/>
    <w:rsid w:val="639F74CA"/>
    <w:rsid w:val="63A0AC5E"/>
    <w:rsid w:val="63A47E08"/>
    <w:rsid w:val="63AC723D"/>
    <w:rsid w:val="63AE0217"/>
    <w:rsid w:val="63AFF4DA"/>
    <w:rsid w:val="63B1CC13"/>
    <w:rsid w:val="63B26615"/>
    <w:rsid w:val="63B28A09"/>
    <w:rsid w:val="63B6F93A"/>
    <w:rsid w:val="63BAC10C"/>
    <w:rsid w:val="63BF5512"/>
    <w:rsid w:val="63CEADDB"/>
    <w:rsid w:val="63CECB4B"/>
    <w:rsid w:val="63D974E0"/>
    <w:rsid w:val="63E11C0E"/>
    <w:rsid w:val="63EA34BF"/>
    <w:rsid w:val="63ECA4C0"/>
    <w:rsid w:val="63F33A60"/>
    <w:rsid w:val="63F80EC4"/>
    <w:rsid w:val="63FC7975"/>
    <w:rsid w:val="6402FA46"/>
    <w:rsid w:val="6404E648"/>
    <w:rsid w:val="6409DE71"/>
    <w:rsid w:val="6412B133"/>
    <w:rsid w:val="641A0C5D"/>
    <w:rsid w:val="64231CDB"/>
    <w:rsid w:val="64240C80"/>
    <w:rsid w:val="642CED95"/>
    <w:rsid w:val="642DA750"/>
    <w:rsid w:val="6430BB9B"/>
    <w:rsid w:val="64324AE8"/>
    <w:rsid w:val="64331392"/>
    <w:rsid w:val="6434C1B6"/>
    <w:rsid w:val="643B2262"/>
    <w:rsid w:val="643D7CE0"/>
    <w:rsid w:val="644DB0C6"/>
    <w:rsid w:val="644DD4CB"/>
    <w:rsid w:val="6453ABD4"/>
    <w:rsid w:val="6457EE50"/>
    <w:rsid w:val="645C4AEE"/>
    <w:rsid w:val="646425B5"/>
    <w:rsid w:val="646E6887"/>
    <w:rsid w:val="6472E65F"/>
    <w:rsid w:val="6477E383"/>
    <w:rsid w:val="647F065D"/>
    <w:rsid w:val="6483B110"/>
    <w:rsid w:val="648CAE55"/>
    <w:rsid w:val="648E4157"/>
    <w:rsid w:val="648EA733"/>
    <w:rsid w:val="649000D9"/>
    <w:rsid w:val="64978BE9"/>
    <w:rsid w:val="649D8333"/>
    <w:rsid w:val="64A8294E"/>
    <w:rsid w:val="64A90B7D"/>
    <w:rsid w:val="64AD9055"/>
    <w:rsid w:val="64C0CFE2"/>
    <w:rsid w:val="64C39A21"/>
    <w:rsid w:val="64CF823C"/>
    <w:rsid w:val="64D3E1FE"/>
    <w:rsid w:val="64D5724E"/>
    <w:rsid w:val="64D7D6A0"/>
    <w:rsid w:val="64EC9C52"/>
    <w:rsid w:val="64EE090F"/>
    <w:rsid w:val="64EE8B28"/>
    <w:rsid w:val="64F13091"/>
    <w:rsid w:val="64F84494"/>
    <w:rsid w:val="64FB02DA"/>
    <w:rsid w:val="65096A52"/>
    <w:rsid w:val="650E19B3"/>
    <w:rsid w:val="652D02FA"/>
    <w:rsid w:val="6536D455"/>
    <w:rsid w:val="6542FEEC"/>
    <w:rsid w:val="654F78AF"/>
    <w:rsid w:val="6551B00D"/>
    <w:rsid w:val="655849CA"/>
    <w:rsid w:val="65585E40"/>
    <w:rsid w:val="6559115F"/>
    <w:rsid w:val="655AA3C9"/>
    <w:rsid w:val="655D5CCA"/>
    <w:rsid w:val="6561554F"/>
    <w:rsid w:val="656796AD"/>
    <w:rsid w:val="65681A02"/>
    <w:rsid w:val="65681ABE"/>
    <w:rsid w:val="657504BB"/>
    <w:rsid w:val="65798C6A"/>
    <w:rsid w:val="658583B8"/>
    <w:rsid w:val="65898229"/>
    <w:rsid w:val="658BB1DF"/>
    <w:rsid w:val="658EA267"/>
    <w:rsid w:val="659221A7"/>
    <w:rsid w:val="659254EC"/>
    <w:rsid w:val="65943D77"/>
    <w:rsid w:val="6596A441"/>
    <w:rsid w:val="659B0625"/>
    <w:rsid w:val="659B3066"/>
    <w:rsid w:val="659E118F"/>
    <w:rsid w:val="65A2423B"/>
    <w:rsid w:val="65AAE7E8"/>
    <w:rsid w:val="65ADC73F"/>
    <w:rsid w:val="65B1335A"/>
    <w:rsid w:val="65B653E1"/>
    <w:rsid w:val="65B8BCF7"/>
    <w:rsid w:val="65BCB0C1"/>
    <w:rsid w:val="65C11586"/>
    <w:rsid w:val="65C24D7A"/>
    <w:rsid w:val="65C39F88"/>
    <w:rsid w:val="65C6BEFE"/>
    <w:rsid w:val="65CBFA00"/>
    <w:rsid w:val="65CCD50B"/>
    <w:rsid w:val="65CDA94F"/>
    <w:rsid w:val="65CE057D"/>
    <w:rsid w:val="65CECDD6"/>
    <w:rsid w:val="65D733D7"/>
    <w:rsid w:val="65DD78BB"/>
    <w:rsid w:val="65E1F1DB"/>
    <w:rsid w:val="65E23DD0"/>
    <w:rsid w:val="65E48C5C"/>
    <w:rsid w:val="65E5DAC6"/>
    <w:rsid w:val="65E68EBF"/>
    <w:rsid w:val="65F02253"/>
    <w:rsid w:val="65F5C01C"/>
    <w:rsid w:val="65FE28C9"/>
    <w:rsid w:val="660BB416"/>
    <w:rsid w:val="6613544A"/>
    <w:rsid w:val="6614A29A"/>
    <w:rsid w:val="661505B5"/>
    <w:rsid w:val="662382E5"/>
    <w:rsid w:val="66262E75"/>
    <w:rsid w:val="6626308A"/>
    <w:rsid w:val="662941AD"/>
    <w:rsid w:val="6629491D"/>
    <w:rsid w:val="6630D3F3"/>
    <w:rsid w:val="66390E52"/>
    <w:rsid w:val="6639C7E4"/>
    <w:rsid w:val="664018A3"/>
    <w:rsid w:val="6640B3A0"/>
    <w:rsid w:val="66495D0D"/>
    <w:rsid w:val="664B406B"/>
    <w:rsid w:val="66520986"/>
    <w:rsid w:val="6652A445"/>
    <w:rsid w:val="66560883"/>
    <w:rsid w:val="6658F2E9"/>
    <w:rsid w:val="665CD365"/>
    <w:rsid w:val="666A843F"/>
    <w:rsid w:val="66721304"/>
    <w:rsid w:val="66745229"/>
    <w:rsid w:val="66749AB7"/>
    <w:rsid w:val="667DD5A9"/>
    <w:rsid w:val="667EF821"/>
    <w:rsid w:val="66817A61"/>
    <w:rsid w:val="668240D9"/>
    <w:rsid w:val="66838E20"/>
    <w:rsid w:val="66874789"/>
    <w:rsid w:val="6689A6C1"/>
    <w:rsid w:val="668A8FB0"/>
    <w:rsid w:val="668B5EF9"/>
    <w:rsid w:val="6693DEE1"/>
    <w:rsid w:val="669D925F"/>
    <w:rsid w:val="66A262C4"/>
    <w:rsid w:val="66A63C87"/>
    <w:rsid w:val="66AA17EA"/>
    <w:rsid w:val="66AFC318"/>
    <w:rsid w:val="66B4281B"/>
    <w:rsid w:val="66B6B6CF"/>
    <w:rsid w:val="66B88086"/>
    <w:rsid w:val="66BFFF2C"/>
    <w:rsid w:val="66C20D59"/>
    <w:rsid w:val="66C2D3E6"/>
    <w:rsid w:val="66C3F832"/>
    <w:rsid w:val="66C45544"/>
    <w:rsid w:val="66D83133"/>
    <w:rsid w:val="66DD3378"/>
    <w:rsid w:val="66DD643F"/>
    <w:rsid w:val="66DF6255"/>
    <w:rsid w:val="66E640A8"/>
    <w:rsid w:val="66E75AE8"/>
    <w:rsid w:val="66EFCF5A"/>
    <w:rsid w:val="66F3EEB2"/>
    <w:rsid w:val="66FB02EF"/>
    <w:rsid w:val="670189A6"/>
    <w:rsid w:val="6706D14F"/>
    <w:rsid w:val="6709B0C6"/>
    <w:rsid w:val="67115F16"/>
    <w:rsid w:val="6711FE4C"/>
    <w:rsid w:val="6713798D"/>
    <w:rsid w:val="671B5975"/>
    <w:rsid w:val="672163C9"/>
    <w:rsid w:val="67216D08"/>
    <w:rsid w:val="672735B7"/>
    <w:rsid w:val="67282632"/>
    <w:rsid w:val="67290FB9"/>
    <w:rsid w:val="672B0A7F"/>
    <w:rsid w:val="672C0C8A"/>
    <w:rsid w:val="6732865E"/>
    <w:rsid w:val="6734E27B"/>
    <w:rsid w:val="67374480"/>
    <w:rsid w:val="674019A1"/>
    <w:rsid w:val="6745A2D8"/>
    <w:rsid w:val="6745EE16"/>
    <w:rsid w:val="674B53BC"/>
    <w:rsid w:val="674C37DF"/>
    <w:rsid w:val="674F61E3"/>
    <w:rsid w:val="67541CC0"/>
    <w:rsid w:val="67542277"/>
    <w:rsid w:val="67551457"/>
    <w:rsid w:val="6759AEBB"/>
    <w:rsid w:val="675C066B"/>
    <w:rsid w:val="675FB249"/>
    <w:rsid w:val="6765070E"/>
    <w:rsid w:val="67699179"/>
    <w:rsid w:val="678C1949"/>
    <w:rsid w:val="678E26E9"/>
    <w:rsid w:val="6792F3C0"/>
    <w:rsid w:val="679B4104"/>
    <w:rsid w:val="679E5928"/>
    <w:rsid w:val="67A05994"/>
    <w:rsid w:val="67AE1D71"/>
    <w:rsid w:val="67AF97C7"/>
    <w:rsid w:val="67B63BDC"/>
    <w:rsid w:val="67B8D1C6"/>
    <w:rsid w:val="67BC71E2"/>
    <w:rsid w:val="67BF12BA"/>
    <w:rsid w:val="67C3E6C8"/>
    <w:rsid w:val="67C47BE0"/>
    <w:rsid w:val="67C5C840"/>
    <w:rsid w:val="67CE100D"/>
    <w:rsid w:val="67CEF0E9"/>
    <w:rsid w:val="67DA3C73"/>
    <w:rsid w:val="67DA96D3"/>
    <w:rsid w:val="67DBF712"/>
    <w:rsid w:val="67DDBF88"/>
    <w:rsid w:val="67DFB1D7"/>
    <w:rsid w:val="67E1E9D0"/>
    <w:rsid w:val="67E2F2AD"/>
    <w:rsid w:val="67E717F2"/>
    <w:rsid w:val="67EBB95A"/>
    <w:rsid w:val="67EE646B"/>
    <w:rsid w:val="67F722F2"/>
    <w:rsid w:val="67F90690"/>
    <w:rsid w:val="68014367"/>
    <w:rsid w:val="6805FB86"/>
    <w:rsid w:val="680C2A91"/>
    <w:rsid w:val="680C8C07"/>
    <w:rsid w:val="680D4448"/>
    <w:rsid w:val="680EE551"/>
    <w:rsid w:val="680FA849"/>
    <w:rsid w:val="68124D0B"/>
    <w:rsid w:val="68131B93"/>
    <w:rsid w:val="68156B46"/>
    <w:rsid w:val="6816C2EA"/>
    <w:rsid w:val="681A5FB2"/>
    <w:rsid w:val="681C6C70"/>
    <w:rsid w:val="681F1820"/>
    <w:rsid w:val="68214CF9"/>
    <w:rsid w:val="682CEF9B"/>
    <w:rsid w:val="682FE1E9"/>
    <w:rsid w:val="683A228E"/>
    <w:rsid w:val="6840825F"/>
    <w:rsid w:val="6842D237"/>
    <w:rsid w:val="68468A0E"/>
    <w:rsid w:val="684E1135"/>
    <w:rsid w:val="6851CDE5"/>
    <w:rsid w:val="68529B0D"/>
    <w:rsid w:val="6854CE2C"/>
    <w:rsid w:val="685EA6A6"/>
    <w:rsid w:val="68673C04"/>
    <w:rsid w:val="6872712C"/>
    <w:rsid w:val="687419F7"/>
    <w:rsid w:val="68747060"/>
    <w:rsid w:val="687F0380"/>
    <w:rsid w:val="688652F0"/>
    <w:rsid w:val="688970FD"/>
    <w:rsid w:val="688AC11A"/>
    <w:rsid w:val="688B8398"/>
    <w:rsid w:val="68958B05"/>
    <w:rsid w:val="689B23C1"/>
    <w:rsid w:val="68A0006E"/>
    <w:rsid w:val="68A26D0C"/>
    <w:rsid w:val="68A48712"/>
    <w:rsid w:val="68A68CDC"/>
    <w:rsid w:val="68AAA8FB"/>
    <w:rsid w:val="68B6E405"/>
    <w:rsid w:val="68B8E75E"/>
    <w:rsid w:val="68CAC636"/>
    <w:rsid w:val="68D1C63D"/>
    <w:rsid w:val="68D2036C"/>
    <w:rsid w:val="68D58423"/>
    <w:rsid w:val="68D9ABFE"/>
    <w:rsid w:val="68DBF663"/>
    <w:rsid w:val="68E64E07"/>
    <w:rsid w:val="68EBD775"/>
    <w:rsid w:val="68EC9386"/>
    <w:rsid w:val="68F4BA89"/>
    <w:rsid w:val="68F60687"/>
    <w:rsid w:val="68F8F642"/>
    <w:rsid w:val="68FA8A36"/>
    <w:rsid w:val="68FBE123"/>
    <w:rsid w:val="68FE5B5E"/>
    <w:rsid w:val="69029D12"/>
    <w:rsid w:val="690989B5"/>
    <w:rsid w:val="69122211"/>
    <w:rsid w:val="69173C89"/>
    <w:rsid w:val="69190F60"/>
    <w:rsid w:val="6922DBFC"/>
    <w:rsid w:val="6923FA4F"/>
    <w:rsid w:val="69249A58"/>
    <w:rsid w:val="692D9BDB"/>
    <w:rsid w:val="6931426C"/>
    <w:rsid w:val="6934A0D3"/>
    <w:rsid w:val="6939BA8F"/>
    <w:rsid w:val="693B71DB"/>
    <w:rsid w:val="693F27E8"/>
    <w:rsid w:val="6945F3A8"/>
    <w:rsid w:val="69484C5D"/>
    <w:rsid w:val="69565355"/>
    <w:rsid w:val="69588A0A"/>
    <w:rsid w:val="6958BB6C"/>
    <w:rsid w:val="695BEAEE"/>
    <w:rsid w:val="696095AF"/>
    <w:rsid w:val="6960A418"/>
    <w:rsid w:val="6960BE35"/>
    <w:rsid w:val="696455A0"/>
    <w:rsid w:val="69674748"/>
    <w:rsid w:val="696EE1FF"/>
    <w:rsid w:val="696F96E5"/>
    <w:rsid w:val="69700667"/>
    <w:rsid w:val="6978AB09"/>
    <w:rsid w:val="6979054E"/>
    <w:rsid w:val="69818CA3"/>
    <w:rsid w:val="6984AE73"/>
    <w:rsid w:val="6990F23D"/>
    <w:rsid w:val="69921357"/>
    <w:rsid w:val="6992612B"/>
    <w:rsid w:val="6995C946"/>
    <w:rsid w:val="6999751B"/>
    <w:rsid w:val="69997682"/>
    <w:rsid w:val="69A1EF25"/>
    <w:rsid w:val="69A8763C"/>
    <w:rsid w:val="69A93269"/>
    <w:rsid w:val="69AB1DC0"/>
    <w:rsid w:val="69B2706A"/>
    <w:rsid w:val="69B2F4F2"/>
    <w:rsid w:val="69B44636"/>
    <w:rsid w:val="69BE7560"/>
    <w:rsid w:val="69BF8D99"/>
    <w:rsid w:val="69C4E904"/>
    <w:rsid w:val="69C603FB"/>
    <w:rsid w:val="69C8196B"/>
    <w:rsid w:val="69CDED40"/>
    <w:rsid w:val="69D787E8"/>
    <w:rsid w:val="69D9A3DD"/>
    <w:rsid w:val="69E78287"/>
    <w:rsid w:val="69F05483"/>
    <w:rsid w:val="69F47980"/>
    <w:rsid w:val="69F5396A"/>
    <w:rsid w:val="69FC44CC"/>
    <w:rsid w:val="69FD6313"/>
    <w:rsid w:val="69FE2A59"/>
    <w:rsid w:val="69FF306B"/>
    <w:rsid w:val="6A003A46"/>
    <w:rsid w:val="6A0C5426"/>
    <w:rsid w:val="6A0F95B2"/>
    <w:rsid w:val="6A0FC1F9"/>
    <w:rsid w:val="6A165131"/>
    <w:rsid w:val="6A1A62C6"/>
    <w:rsid w:val="6A2602C7"/>
    <w:rsid w:val="6A36C79A"/>
    <w:rsid w:val="6A36F2DC"/>
    <w:rsid w:val="6A3CD6D8"/>
    <w:rsid w:val="6A447B3F"/>
    <w:rsid w:val="6A44CFA3"/>
    <w:rsid w:val="6A58484E"/>
    <w:rsid w:val="6A5E647A"/>
    <w:rsid w:val="6A650E96"/>
    <w:rsid w:val="6A672105"/>
    <w:rsid w:val="6A6E83A8"/>
    <w:rsid w:val="6A732D80"/>
    <w:rsid w:val="6A76D695"/>
    <w:rsid w:val="6A7703D7"/>
    <w:rsid w:val="6A7A2A70"/>
    <w:rsid w:val="6A837A1A"/>
    <w:rsid w:val="6A8EC9D9"/>
    <w:rsid w:val="6A974A13"/>
    <w:rsid w:val="6A9ED9D0"/>
    <w:rsid w:val="6AA1E5F2"/>
    <w:rsid w:val="6AA3B492"/>
    <w:rsid w:val="6AA523C2"/>
    <w:rsid w:val="6AAAC6A8"/>
    <w:rsid w:val="6AAB5597"/>
    <w:rsid w:val="6AAD453A"/>
    <w:rsid w:val="6AB2F2CF"/>
    <w:rsid w:val="6AB88E6D"/>
    <w:rsid w:val="6ABD9AE3"/>
    <w:rsid w:val="6ABEE407"/>
    <w:rsid w:val="6ABF66C0"/>
    <w:rsid w:val="6AC14341"/>
    <w:rsid w:val="6AC164EF"/>
    <w:rsid w:val="6AC8393A"/>
    <w:rsid w:val="6ACA8A91"/>
    <w:rsid w:val="6ACB13E5"/>
    <w:rsid w:val="6ACF1BD7"/>
    <w:rsid w:val="6AD5F6E4"/>
    <w:rsid w:val="6AD7DFDE"/>
    <w:rsid w:val="6ADEBE85"/>
    <w:rsid w:val="6AEB7DF9"/>
    <w:rsid w:val="6AF3CB82"/>
    <w:rsid w:val="6AF8AABA"/>
    <w:rsid w:val="6AF97B11"/>
    <w:rsid w:val="6AF9BCA4"/>
    <w:rsid w:val="6AFD68EF"/>
    <w:rsid w:val="6AFFCDEB"/>
    <w:rsid w:val="6B0D5FE5"/>
    <w:rsid w:val="6B0E56A2"/>
    <w:rsid w:val="6B0EA17F"/>
    <w:rsid w:val="6B0F34A5"/>
    <w:rsid w:val="6B1089EA"/>
    <w:rsid w:val="6B12E38B"/>
    <w:rsid w:val="6B185A04"/>
    <w:rsid w:val="6B1A0893"/>
    <w:rsid w:val="6B1D1005"/>
    <w:rsid w:val="6B221B33"/>
    <w:rsid w:val="6B23765E"/>
    <w:rsid w:val="6B241EE4"/>
    <w:rsid w:val="6B27F887"/>
    <w:rsid w:val="6B2B2D3E"/>
    <w:rsid w:val="6B2B4CD1"/>
    <w:rsid w:val="6B2CB399"/>
    <w:rsid w:val="6B37EDE4"/>
    <w:rsid w:val="6B385775"/>
    <w:rsid w:val="6B3A3BF9"/>
    <w:rsid w:val="6B425D51"/>
    <w:rsid w:val="6B42D104"/>
    <w:rsid w:val="6B4D24C0"/>
    <w:rsid w:val="6B51D78D"/>
    <w:rsid w:val="6B56299C"/>
    <w:rsid w:val="6B5C313E"/>
    <w:rsid w:val="6B6DE9B2"/>
    <w:rsid w:val="6B743D09"/>
    <w:rsid w:val="6B753857"/>
    <w:rsid w:val="6B76A9D0"/>
    <w:rsid w:val="6B7CD722"/>
    <w:rsid w:val="6B867714"/>
    <w:rsid w:val="6B87955D"/>
    <w:rsid w:val="6B879C7B"/>
    <w:rsid w:val="6B89E382"/>
    <w:rsid w:val="6B8CCB02"/>
    <w:rsid w:val="6B915B79"/>
    <w:rsid w:val="6B917DC0"/>
    <w:rsid w:val="6B94A43D"/>
    <w:rsid w:val="6B976680"/>
    <w:rsid w:val="6B9D91EA"/>
    <w:rsid w:val="6B9ECC0C"/>
    <w:rsid w:val="6BA1E1CE"/>
    <w:rsid w:val="6BA64B14"/>
    <w:rsid w:val="6BA7BD33"/>
    <w:rsid w:val="6BA81E17"/>
    <w:rsid w:val="6BA8E45A"/>
    <w:rsid w:val="6BB04E24"/>
    <w:rsid w:val="6BB0E0CA"/>
    <w:rsid w:val="6BB280D2"/>
    <w:rsid w:val="6BB5A8AA"/>
    <w:rsid w:val="6BB6D3F3"/>
    <w:rsid w:val="6BB754F2"/>
    <w:rsid w:val="6BC6EB79"/>
    <w:rsid w:val="6BC86F56"/>
    <w:rsid w:val="6BCF911A"/>
    <w:rsid w:val="6BD60295"/>
    <w:rsid w:val="6BDF1153"/>
    <w:rsid w:val="6BE2B464"/>
    <w:rsid w:val="6BE3E27C"/>
    <w:rsid w:val="6BED99D8"/>
    <w:rsid w:val="6BEF774A"/>
    <w:rsid w:val="6BF04B14"/>
    <w:rsid w:val="6BF12018"/>
    <w:rsid w:val="6C009650"/>
    <w:rsid w:val="6C023171"/>
    <w:rsid w:val="6C088965"/>
    <w:rsid w:val="6C0977C0"/>
    <w:rsid w:val="6C17675B"/>
    <w:rsid w:val="6C194F87"/>
    <w:rsid w:val="6C1BAE0D"/>
    <w:rsid w:val="6C1F9D6C"/>
    <w:rsid w:val="6C207BB0"/>
    <w:rsid w:val="6C20F317"/>
    <w:rsid w:val="6C25E66F"/>
    <w:rsid w:val="6C36BF95"/>
    <w:rsid w:val="6C39768D"/>
    <w:rsid w:val="6C39F3AD"/>
    <w:rsid w:val="6C3AA132"/>
    <w:rsid w:val="6C450B8C"/>
    <w:rsid w:val="6C47A0DB"/>
    <w:rsid w:val="6C49841D"/>
    <w:rsid w:val="6C49AF1C"/>
    <w:rsid w:val="6C4D1D1D"/>
    <w:rsid w:val="6C4EDA28"/>
    <w:rsid w:val="6C5C262A"/>
    <w:rsid w:val="6C5D0852"/>
    <w:rsid w:val="6C60DCC0"/>
    <w:rsid w:val="6C62EAE3"/>
    <w:rsid w:val="6C6A9032"/>
    <w:rsid w:val="6C6FB2DF"/>
    <w:rsid w:val="6C709F4B"/>
    <w:rsid w:val="6C79B69F"/>
    <w:rsid w:val="6C7B0693"/>
    <w:rsid w:val="6C8C0026"/>
    <w:rsid w:val="6C8D291B"/>
    <w:rsid w:val="6C91A588"/>
    <w:rsid w:val="6C934C7D"/>
    <w:rsid w:val="6C96D47D"/>
    <w:rsid w:val="6CA31D94"/>
    <w:rsid w:val="6CA85E54"/>
    <w:rsid w:val="6CADCDF3"/>
    <w:rsid w:val="6CB30596"/>
    <w:rsid w:val="6CB8CDE8"/>
    <w:rsid w:val="6CB98044"/>
    <w:rsid w:val="6CBD7386"/>
    <w:rsid w:val="6CC15F08"/>
    <w:rsid w:val="6CC78EBC"/>
    <w:rsid w:val="6CC955C6"/>
    <w:rsid w:val="6CCAB52C"/>
    <w:rsid w:val="6CD03661"/>
    <w:rsid w:val="6CD8E70B"/>
    <w:rsid w:val="6CDD3EBF"/>
    <w:rsid w:val="6CDDFF88"/>
    <w:rsid w:val="6CE215B7"/>
    <w:rsid w:val="6CE31A1B"/>
    <w:rsid w:val="6CF10DBF"/>
    <w:rsid w:val="6CFA100A"/>
    <w:rsid w:val="6D05888C"/>
    <w:rsid w:val="6D0BEE35"/>
    <w:rsid w:val="6D0EB5BB"/>
    <w:rsid w:val="6D1025BC"/>
    <w:rsid w:val="6D104E55"/>
    <w:rsid w:val="6D126B38"/>
    <w:rsid w:val="6D137A30"/>
    <w:rsid w:val="6D16D6E6"/>
    <w:rsid w:val="6D25025C"/>
    <w:rsid w:val="6D285369"/>
    <w:rsid w:val="6D348763"/>
    <w:rsid w:val="6D3916AC"/>
    <w:rsid w:val="6D39DB79"/>
    <w:rsid w:val="6D497F8B"/>
    <w:rsid w:val="6D4C1CE8"/>
    <w:rsid w:val="6D4CA291"/>
    <w:rsid w:val="6D4F8DA9"/>
    <w:rsid w:val="6D57B730"/>
    <w:rsid w:val="6D5A49ED"/>
    <w:rsid w:val="6D5CB135"/>
    <w:rsid w:val="6D6D3658"/>
    <w:rsid w:val="6D711546"/>
    <w:rsid w:val="6D7F4FFE"/>
    <w:rsid w:val="6D832286"/>
    <w:rsid w:val="6D84637E"/>
    <w:rsid w:val="6D87E5CF"/>
    <w:rsid w:val="6D89C23B"/>
    <w:rsid w:val="6D9120FD"/>
    <w:rsid w:val="6D93C186"/>
    <w:rsid w:val="6D97E3A6"/>
    <w:rsid w:val="6D98A629"/>
    <w:rsid w:val="6D9AF9BF"/>
    <w:rsid w:val="6D9C0EF6"/>
    <w:rsid w:val="6DA4CED5"/>
    <w:rsid w:val="6DA78062"/>
    <w:rsid w:val="6DA8B430"/>
    <w:rsid w:val="6DB6D443"/>
    <w:rsid w:val="6DB7DC97"/>
    <w:rsid w:val="6DCDC459"/>
    <w:rsid w:val="6DCF7E44"/>
    <w:rsid w:val="6DD82362"/>
    <w:rsid w:val="6DD8DD9E"/>
    <w:rsid w:val="6DDAEF96"/>
    <w:rsid w:val="6DE217E3"/>
    <w:rsid w:val="6DE5E9D1"/>
    <w:rsid w:val="6DE78F61"/>
    <w:rsid w:val="6DEEB8C7"/>
    <w:rsid w:val="6DF8CA93"/>
    <w:rsid w:val="6DFC0446"/>
    <w:rsid w:val="6DFE876B"/>
    <w:rsid w:val="6E021705"/>
    <w:rsid w:val="6E023222"/>
    <w:rsid w:val="6E042668"/>
    <w:rsid w:val="6E06A129"/>
    <w:rsid w:val="6E07550B"/>
    <w:rsid w:val="6E0FC64F"/>
    <w:rsid w:val="6E18B367"/>
    <w:rsid w:val="6E18F72F"/>
    <w:rsid w:val="6E1AC0D5"/>
    <w:rsid w:val="6E21C5A6"/>
    <w:rsid w:val="6E3964D7"/>
    <w:rsid w:val="6E469D35"/>
    <w:rsid w:val="6E4DF61B"/>
    <w:rsid w:val="6E51FEC3"/>
    <w:rsid w:val="6E56FB14"/>
    <w:rsid w:val="6E64C789"/>
    <w:rsid w:val="6E651944"/>
    <w:rsid w:val="6E6958BC"/>
    <w:rsid w:val="6E6AB37D"/>
    <w:rsid w:val="6E722B5D"/>
    <w:rsid w:val="6E7396E1"/>
    <w:rsid w:val="6E7E6CC0"/>
    <w:rsid w:val="6E8124E1"/>
    <w:rsid w:val="6E8C627C"/>
    <w:rsid w:val="6E8D44A7"/>
    <w:rsid w:val="6E927573"/>
    <w:rsid w:val="6E995DB9"/>
    <w:rsid w:val="6E9CFC1C"/>
    <w:rsid w:val="6E9E0318"/>
    <w:rsid w:val="6EA599BB"/>
    <w:rsid w:val="6EA75F7B"/>
    <w:rsid w:val="6EAB7DD7"/>
    <w:rsid w:val="6EAEC78A"/>
    <w:rsid w:val="6EB96F7A"/>
    <w:rsid w:val="6EBB703E"/>
    <w:rsid w:val="6EBF334F"/>
    <w:rsid w:val="6EC4203A"/>
    <w:rsid w:val="6EC774C8"/>
    <w:rsid w:val="6EDC5A5E"/>
    <w:rsid w:val="6EDCC13D"/>
    <w:rsid w:val="6EDD7018"/>
    <w:rsid w:val="6EDFD4FC"/>
    <w:rsid w:val="6EE0AF35"/>
    <w:rsid w:val="6EE72E2F"/>
    <w:rsid w:val="6EE943A6"/>
    <w:rsid w:val="6EEE349A"/>
    <w:rsid w:val="6EF4725D"/>
    <w:rsid w:val="6EF6241D"/>
    <w:rsid w:val="6EFA67CB"/>
    <w:rsid w:val="6EFCC2AD"/>
    <w:rsid w:val="6F08D3C8"/>
    <w:rsid w:val="6F0B7436"/>
    <w:rsid w:val="6F0C177C"/>
    <w:rsid w:val="6F1693F1"/>
    <w:rsid w:val="6F1976B9"/>
    <w:rsid w:val="6F205CA5"/>
    <w:rsid w:val="6F211DCF"/>
    <w:rsid w:val="6F2DBD26"/>
    <w:rsid w:val="6F348142"/>
    <w:rsid w:val="6F378927"/>
    <w:rsid w:val="6F396AAB"/>
    <w:rsid w:val="6F3F3A06"/>
    <w:rsid w:val="6F40F36B"/>
    <w:rsid w:val="6F420F57"/>
    <w:rsid w:val="6F46BE2C"/>
    <w:rsid w:val="6F4ED61B"/>
    <w:rsid w:val="6F598D25"/>
    <w:rsid w:val="6F5DFE80"/>
    <w:rsid w:val="6F65BC50"/>
    <w:rsid w:val="6F6AC578"/>
    <w:rsid w:val="6F6B3202"/>
    <w:rsid w:val="6F7154D8"/>
    <w:rsid w:val="6F732215"/>
    <w:rsid w:val="6F75A78B"/>
    <w:rsid w:val="6F784BB0"/>
    <w:rsid w:val="6F7ADBB1"/>
    <w:rsid w:val="6F84DEB1"/>
    <w:rsid w:val="6F86BBB1"/>
    <w:rsid w:val="6F87F292"/>
    <w:rsid w:val="6F885CDF"/>
    <w:rsid w:val="6F8CABAE"/>
    <w:rsid w:val="6F90A9BD"/>
    <w:rsid w:val="6F969AAA"/>
    <w:rsid w:val="6F976FB3"/>
    <w:rsid w:val="6F984C5A"/>
    <w:rsid w:val="6F989E82"/>
    <w:rsid w:val="6F98AA7C"/>
    <w:rsid w:val="6F9BF90C"/>
    <w:rsid w:val="6FA71381"/>
    <w:rsid w:val="6FA8FC6D"/>
    <w:rsid w:val="6FABDD0E"/>
    <w:rsid w:val="6FAFB8E5"/>
    <w:rsid w:val="6FB5AB9E"/>
    <w:rsid w:val="6FB6E6A6"/>
    <w:rsid w:val="6FB70A76"/>
    <w:rsid w:val="6FB824C5"/>
    <w:rsid w:val="6FBB827C"/>
    <w:rsid w:val="6FBDCD24"/>
    <w:rsid w:val="6FBEEF15"/>
    <w:rsid w:val="6FC1B2AC"/>
    <w:rsid w:val="6FC7742D"/>
    <w:rsid w:val="6FCE2EA1"/>
    <w:rsid w:val="6FE6920D"/>
    <w:rsid w:val="6FE6B9FF"/>
    <w:rsid w:val="70045B49"/>
    <w:rsid w:val="700B8CAD"/>
    <w:rsid w:val="700F0B17"/>
    <w:rsid w:val="700F8E94"/>
    <w:rsid w:val="700FB9BF"/>
    <w:rsid w:val="701716FF"/>
    <w:rsid w:val="701A549E"/>
    <w:rsid w:val="701A997F"/>
    <w:rsid w:val="702020FE"/>
    <w:rsid w:val="7031FC87"/>
    <w:rsid w:val="703B1E45"/>
    <w:rsid w:val="70407097"/>
    <w:rsid w:val="7041E19C"/>
    <w:rsid w:val="7043543A"/>
    <w:rsid w:val="70496637"/>
    <w:rsid w:val="704C3506"/>
    <w:rsid w:val="706B77B5"/>
    <w:rsid w:val="706D9C4C"/>
    <w:rsid w:val="706EA45D"/>
    <w:rsid w:val="707A5DD9"/>
    <w:rsid w:val="707B7995"/>
    <w:rsid w:val="707EB1FC"/>
    <w:rsid w:val="70811D1E"/>
    <w:rsid w:val="70893684"/>
    <w:rsid w:val="708AAB2D"/>
    <w:rsid w:val="708ABABA"/>
    <w:rsid w:val="708EA668"/>
    <w:rsid w:val="708FF619"/>
    <w:rsid w:val="7097976A"/>
    <w:rsid w:val="7097FB6E"/>
    <w:rsid w:val="70981171"/>
    <w:rsid w:val="709BF4B5"/>
    <w:rsid w:val="709C91F9"/>
    <w:rsid w:val="70A409E0"/>
    <w:rsid w:val="70AEC6AA"/>
    <w:rsid w:val="70B4139F"/>
    <w:rsid w:val="70BB0962"/>
    <w:rsid w:val="70BD1ACE"/>
    <w:rsid w:val="70BE13EB"/>
    <w:rsid w:val="70BEAD15"/>
    <w:rsid w:val="70C1808A"/>
    <w:rsid w:val="70C4A07C"/>
    <w:rsid w:val="70C5E551"/>
    <w:rsid w:val="70CC76F4"/>
    <w:rsid w:val="70CCB701"/>
    <w:rsid w:val="70D9A289"/>
    <w:rsid w:val="70DD8348"/>
    <w:rsid w:val="70E8716E"/>
    <w:rsid w:val="70E9EA1F"/>
    <w:rsid w:val="70F75318"/>
    <w:rsid w:val="70F7CDB2"/>
    <w:rsid w:val="70F8039C"/>
    <w:rsid w:val="70F8A0C6"/>
    <w:rsid w:val="70FD7FAE"/>
    <w:rsid w:val="7103E213"/>
    <w:rsid w:val="710EE752"/>
    <w:rsid w:val="710F5489"/>
    <w:rsid w:val="7112C181"/>
    <w:rsid w:val="711C2AD3"/>
    <w:rsid w:val="71252D47"/>
    <w:rsid w:val="7126095D"/>
    <w:rsid w:val="7127C3C4"/>
    <w:rsid w:val="712ABE20"/>
    <w:rsid w:val="713C77DF"/>
    <w:rsid w:val="713FBE82"/>
    <w:rsid w:val="7146B649"/>
    <w:rsid w:val="714C288F"/>
    <w:rsid w:val="714D6207"/>
    <w:rsid w:val="7152AF7B"/>
    <w:rsid w:val="7155256A"/>
    <w:rsid w:val="71588EC0"/>
    <w:rsid w:val="7158DB15"/>
    <w:rsid w:val="7159403E"/>
    <w:rsid w:val="715A5C67"/>
    <w:rsid w:val="715B4AE0"/>
    <w:rsid w:val="715EC2CB"/>
    <w:rsid w:val="716F9BC7"/>
    <w:rsid w:val="7179668B"/>
    <w:rsid w:val="717A1814"/>
    <w:rsid w:val="718A202C"/>
    <w:rsid w:val="7190A287"/>
    <w:rsid w:val="71914311"/>
    <w:rsid w:val="719414E6"/>
    <w:rsid w:val="7194B2A8"/>
    <w:rsid w:val="719C9672"/>
    <w:rsid w:val="719CCAB6"/>
    <w:rsid w:val="71A38EB3"/>
    <w:rsid w:val="71A40516"/>
    <w:rsid w:val="71A497CB"/>
    <w:rsid w:val="71A9D7AC"/>
    <w:rsid w:val="71B54A2B"/>
    <w:rsid w:val="71BD2A8E"/>
    <w:rsid w:val="71BFA283"/>
    <w:rsid w:val="71C17CF6"/>
    <w:rsid w:val="71C458B1"/>
    <w:rsid w:val="71C981A5"/>
    <w:rsid w:val="71CFBEFA"/>
    <w:rsid w:val="71D0B208"/>
    <w:rsid w:val="71D3A36F"/>
    <w:rsid w:val="71D57AF9"/>
    <w:rsid w:val="71D95087"/>
    <w:rsid w:val="71D972D3"/>
    <w:rsid w:val="71DB7302"/>
    <w:rsid w:val="71DE1BB9"/>
    <w:rsid w:val="71E10E4D"/>
    <w:rsid w:val="71E44842"/>
    <w:rsid w:val="71E44C21"/>
    <w:rsid w:val="71E54530"/>
    <w:rsid w:val="71E69C94"/>
    <w:rsid w:val="71E82334"/>
    <w:rsid w:val="71ECBA76"/>
    <w:rsid w:val="71F35A30"/>
    <w:rsid w:val="71F5DCF1"/>
    <w:rsid w:val="71FD4DF7"/>
    <w:rsid w:val="72046F8C"/>
    <w:rsid w:val="7204965F"/>
    <w:rsid w:val="7204A71A"/>
    <w:rsid w:val="72067A01"/>
    <w:rsid w:val="7209FF51"/>
    <w:rsid w:val="72107B6C"/>
    <w:rsid w:val="721713E0"/>
    <w:rsid w:val="722EB40C"/>
    <w:rsid w:val="722F7CD8"/>
    <w:rsid w:val="7233F35B"/>
    <w:rsid w:val="72358026"/>
    <w:rsid w:val="72374EF2"/>
    <w:rsid w:val="7237EA93"/>
    <w:rsid w:val="723D05FF"/>
    <w:rsid w:val="723F4686"/>
    <w:rsid w:val="72479BDA"/>
    <w:rsid w:val="7249506E"/>
    <w:rsid w:val="724B01BF"/>
    <w:rsid w:val="725093AC"/>
    <w:rsid w:val="7254B834"/>
    <w:rsid w:val="725D6266"/>
    <w:rsid w:val="7262D0F4"/>
    <w:rsid w:val="726616E1"/>
    <w:rsid w:val="726B2B66"/>
    <w:rsid w:val="726DAEA2"/>
    <w:rsid w:val="727D2477"/>
    <w:rsid w:val="728B0F19"/>
    <w:rsid w:val="728F2618"/>
    <w:rsid w:val="72907981"/>
    <w:rsid w:val="7296A5CF"/>
    <w:rsid w:val="7298C37B"/>
    <w:rsid w:val="7299DABB"/>
    <w:rsid w:val="729AA111"/>
    <w:rsid w:val="72A3C59C"/>
    <w:rsid w:val="72A53C31"/>
    <w:rsid w:val="72ACB145"/>
    <w:rsid w:val="72B06F3D"/>
    <w:rsid w:val="72B879FF"/>
    <w:rsid w:val="72C5E1E3"/>
    <w:rsid w:val="72DAFFDE"/>
    <w:rsid w:val="72DBB332"/>
    <w:rsid w:val="72DCAE21"/>
    <w:rsid w:val="72E23A1F"/>
    <w:rsid w:val="72E60F05"/>
    <w:rsid w:val="72F68B6B"/>
    <w:rsid w:val="72F8CC37"/>
    <w:rsid w:val="72FA7F5D"/>
    <w:rsid w:val="72FD855B"/>
    <w:rsid w:val="72FDE243"/>
    <w:rsid w:val="72FFA53D"/>
    <w:rsid w:val="730292A4"/>
    <w:rsid w:val="7308EB5E"/>
    <w:rsid w:val="730FDDDD"/>
    <w:rsid w:val="731074D1"/>
    <w:rsid w:val="73126756"/>
    <w:rsid w:val="7314A30F"/>
    <w:rsid w:val="73194BE5"/>
    <w:rsid w:val="731A3097"/>
    <w:rsid w:val="731A390A"/>
    <w:rsid w:val="731DE240"/>
    <w:rsid w:val="732104E0"/>
    <w:rsid w:val="732CF428"/>
    <w:rsid w:val="73322042"/>
    <w:rsid w:val="733FAE71"/>
    <w:rsid w:val="7343ADFF"/>
    <w:rsid w:val="7349D69A"/>
    <w:rsid w:val="734BC2EF"/>
    <w:rsid w:val="734E72A4"/>
    <w:rsid w:val="736318E3"/>
    <w:rsid w:val="73644EB4"/>
    <w:rsid w:val="73666C39"/>
    <w:rsid w:val="7385757D"/>
    <w:rsid w:val="73867355"/>
    <w:rsid w:val="7389C9E7"/>
    <w:rsid w:val="738B90CF"/>
    <w:rsid w:val="738C1324"/>
    <w:rsid w:val="738F22CB"/>
    <w:rsid w:val="73905A72"/>
    <w:rsid w:val="7390A5E6"/>
    <w:rsid w:val="73942B30"/>
    <w:rsid w:val="7394D5C6"/>
    <w:rsid w:val="73973696"/>
    <w:rsid w:val="739DB2D8"/>
    <w:rsid w:val="73A2A76D"/>
    <w:rsid w:val="73A3E3A6"/>
    <w:rsid w:val="73A4EC89"/>
    <w:rsid w:val="73AACCB6"/>
    <w:rsid w:val="73B00644"/>
    <w:rsid w:val="73B4531B"/>
    <w:rsid w:val="73BF9692"/>
    <w:rsid w:val="73C20101"/>
    <w:rsid w:val="73C394B8"/>
    <w:rsid w:val="73CCD608"/>
    <w:rsid w:val="73CEB647"/>
    <w:rsid w:val="73CFE01C"/>
    <w:rsid w:val="73D53112"/>
    <w:rsid w:val="73D60761"/>
    <w:rsid w:val="73E16BDB"/>
    <w:rsid w:val="73E28D48"/>
    <w:rsid w:val="73E3B5B4"/>
    <w:rsid w:val="73E5BB65"/>
    <w:rsid w:val="73EDB2AF"/>
    <w:rsid w:val="73EE93A1"/>
    <w:rsid w:val="73F22CC3"/>
    <w:rsid w:val="73F8CF43"/>
    <w:rsid w:val="73FD5C3E"/>
    <w:rsid w:val="740850C1"/>
    <w:rsid w:val="7413B5C5"/>
    <w:rsid w:val="7420EE6C"/>
    <w:rsid w:val="74211140"/>
    <w:rsid w:val="742C0431"/>
    <w:rsid w:val="742EA8F2"/>
    <w:rsid w:val="74314459"/>
    <w:rsid w:val="7432F870"/>
    <w:rsid w:val="74365925"/>
    <w:rsid w:val="743FD7FD"/>
    <w:rsid w:val="74469ABD"/>
    <w:rsid w:val="7446BE9F"/>
    <w:rsid w:val="74480C17"/>
    <w:rsid w:val="745069E1"/>
    <w:rsid w:val="745D0169"/>
    <w:rsid w:val="745DE78C"/>
    <w:rsid w:val="74624A84"/>
    <w:rsid w:val="7463BA11"/>
    <w:rsid w:val="7469D97D"/>
    <w:rsid w:val="746C5C73"/>
    <w:rsid w:val="746ECAAC"/>
    <w:rsid w:val="746FB684"/>
    <w:rsid w:val="74742DD3"/>
    <w:rsid w:val="74783AA6"/>
    <w:rsid w:val="74821E14"/>
    <w:rsid w:val="748929DE"/>
    <w:rsid w:val="748AAA7B"/>
    <w:rsid w:val="74938603"/>
    <w:rsid w:val="7494A8FD"/>
    <w:rsid w:val="74972ACA"/>
    <w:rsid w:val="749D8C30"/>
    <w:rsid w:val="74A1B60D"/>
    <w:rsid w:val="74A2F1D9"/>
    <w:rsid w:val="74A3AEFA"/>
    <w:rsid w:val="74A5B4A5"/>
    <w:rsid w:val="74A69278"/>
    <w:rsid w:val="74A8B6C3"/>
    <w:rsid w:val="74AC5DC9"/>
    <w:rsid w:val="74ADACA0"/>
    <w:rsid w:val="74AFA45C"/>
    <w:rsid w:val="74B5CAD0"/>
    <w:rsid w:val="74BB9ABD"/>
    <w:rsid w:val="74C1D574"/>
    <w:rsid w:val="74C5535A"/>
    <w:rsid w:val="74C9A518"/>
    <w:rsid w:val="74CE2629"/>
    <w:rsid w:val="74CF2454"/>
    <w:rsid w:val="74D07FD6"/>
    <w:rsid w:val="74D09114"/>
    <w:rsid w:val="74D14C2C"/>
    <w:rsid w:val="74D3D571"/>
    <w:rsid w:val="74D476F4"/>
    <w:rsid w:val="74EFF98B"/>
    <w:rsid w:val="74F8D7A0"/>
    <w:rsid w:val="74FCD5B4"/>
    <w:rsid w:val="75062CBB"/>
    <w:rsid w:val="750B11A6"/>
    <w:rsid w:val="75239CAA"/>
    <w:rsid w:val="752691A4"/>
    <w:rsid w:val="752DDCDF"/>
    <w:rsid w:val="75392A9C"/>
    <w:rsid w:val="7540B9BE"/>
    <w:rsid w:val="75455F8B"/>
    <w:rsid w:val="75493EF6"/>
    <w:rsid w:val="7549A7B7"/>
    <w:rsid w:val="754DD491"/>
    <w:rsid w:val="754DDE29"/>
    <w:rsid w:val="755BB84F"/>
    <w:rsid w:val="755D42F5"/>
    <w:rsid w:val="755EF2CD"/>
    <w:rsid w:val="75615994"/>
    <w:rsid w:val="75682490"/>
    <w:rsid w:val="756DC258"/>
    <w:rsid w:val="756EFC5B"/>
    <w:rsid w:val="7572A754"/>
    <w:rsid w:val="75750AD8"/>
    <w:rsid w:val="75751785"/>
    <w:rsid w:val="75779E74"/>
    <w:rsid w:val="757E56DD"/>
    <w:rsid w:val="75839E16"/>
    <w:rsid w:val="758BD4EB"/>
    <w:rsid w:val="758CAE35"/>
    <w:rsid w:val="75A256EA"/>
    <w:rsid w:val="75A6AE09"/>
    <w:rsid w:val="75AB79D9"/>
    <w:rsid w:val="75B24570"/>
    <w:rsid w:val="75B2A1D7"/>
    <w:rsid w:val="75B8A59A"/>
    <w:rsid w:val="75B92D29"/>
    <w:rsid w:val="75BA735B"/>
    <w:rsid w:val="75BF1874"/>
    <w:rsid w:val="75C52E2B"/>
    <w:rsid w:val="75C6C59C"/>
    <w:rsid w:val="75CBF303"/>
    <w:rsid w:val="75D12F29"/>
    <w:rsid w:val="75DAD944"/>
    <w:rsid w:val="75E19079"/>
    <w:rsid w:val="75E20032"/>
    <w:rsid w:val="75EB3037"/>
    <w:rsid w:val="75EC93AE"/>
    <w:rsid w:val="75EEEF32"/>
    <w:rsid w:val="75FCC87C"/>
    <w:rsid w:val="75FF900D"/>
    <w:rsid w:val="7602A599"/>
    <w:rsid w:val="761A2DBD"/>
    <w:rsid w:val="7629E82E"/>
    <w:rsid w:val="7630C527"/>
    <w:rsid w:val="76321ED8"/>
    <w:rsid w:val="76388574"/>
    <w:rsid w:val="763A5DA1"/>
    <w:rsid w:val="763D0E4E"/>
    <w:rsid w:val="7649F444"/>
    <w:rsid w:val="765CAFD9"/>
    <w:rsid w:val="765DFB37"/>
    <w:rsid w:val="76631D8F"/>
    <w:rsid w:val="766448A1"/>
    <w:rsid w:val="76684224"/>
    <w:rsid w:val="766AC0DD"/>
    <w:rsid w:val="766AF34F"/>
    <w:rsid w:val="766AF694"/>
    <w:rsid w:val="766DB0FB"/>
    <w:rsid w:val="766EA934"/>
    <w:rsid w:val="7684EC8F"/>
    <w:rsid w:val="768C7AFD"/>
    <w:rsid w:val="7696ACEA"/>
    <w:rsid w:val="7698BB3C"/>
    <w:rsid w:val="769F1B46"/>
    <w:rsid w:val="76A61EC4"/>
    <w:rsid w:val="76A63E57"/>
    <w:rsid w:val="76ACE804"/>
    <w:rsid w:val="76AD6DF6"/>
    <w:rsid w:val="76B244FC"/>
    <w:rsid w:val="76B8CAC1"/>
    <w:rsid w:val="76BDF636"/>
    <w:rsid w:val="76C47F78"/>
    <w:rsid w:val="76C8158B"/>
    <w:rsid w:val="76CA37A3"/>
    <w:rsid w:val="76CD57F9"/>
    <w:rsid w:val="76CD94C5"/>
    <w:rsid w:val="76CDED5B"/>
    <w:rsid w:val="76CFDDC1"/>
    <w:rsid w:val="76D1CB83"/>
    <w:rsid w:val="76D2E0FB"/>
    <w:rsid w:val="76D4F3B4"/>
    <w:rsid w:val="76DE6B53"/>
    <w:rsid w:val="76DFCBBF"/>
    <w:rsid w:val="76E3EE62"/>
    <w:rsid w:val="76E6BE95"/>
    <w:rsid w:val="76EA042B"/>
    <w:rsid w:val="76EA6C8C"/>
    <w:rsid w:val="76EBF16A"/>
    <w:rsid w:val="76EED457"/>
    <w:rsid w:val="76F6B824"/>
    <w:rsid w:val="76F971AD"/>
    <w:rsid w:val="770C8B92"/>
    <w:rsid w:val="770DC5AD"/>
    <w:rsid w:val="77215F9A"/>
    <w:rsid w:val="7723866F"/>
    <w:rsid w:val="7730E109"/>
    <w:rsid w:val="7735D424"/>
    <w:rsid w:val="77397EBB"/>
    <w:rsid w:val="77481CD7"/>
    <w:rsid w:val="774A5EEB"/>
    <w:rsid w:val="77531384"/>
    <w:rsid w:val="77576207"/>
    <w:rsid w:val="776274D3"/>
    <w:rsid w:val="776E2EA0"/>
    <w:rsid w:val="777129C6"/>
    <w:rsid w:val="77733A34"/>
    <w:rsid w:val="7775801F"/>
    <w:rsid w:val="77787012"/>
    <w:rsid w:val="7779F2B1"/>
    <w:rsid w:val="777F1E5D"/>
    <w:rsid w:val="77801704"/>
    <w:rsid w:val="778ED070"/>
    <w:rsid w:val="7794ECA1"/>
    <w:rsid w:val="779B59E9"/>
    <w:rsid w:val="779DC3C8"/>
    <w:rsid w:val="779E4177"/>
    <w:rsid w:val="779E4FD8"/>
    <w:rsid w:val="77A099D0"/>
    <w:rsid w:val="77A78E6B"/>
    <w:rsid w:val="77A95299"/>
    <w:rsid w:val="77C1E466"/>
    <w:rsid w:val="77C403CA"/>
    <w:rsid w:val="77C5A44C"/>
    <w:rsid w:val="77C845CA"/>
    <w:rsid w:val="77C922D9"/>
    <w:rsid w:val="77CB000C"/>
    <w:rsid w:val="77CF0FC9"/>
    <w:rsid w:val="77E9AD7C"/>
    <w:rsid w:val="77EC64D5"/>
    <w:rsid w:val="77F3C4A1"/>
    <w:rsid w:val="77F86801"/>
    <w:rsid w:val="77FAECD6"/>
    <w:rsid w:val="77FC671C"/>
    <w:rsid w:val="7801CBF0"/>
    <w:rsid w:val="7804B8F7"/>
    <w:rsid w:val="7805AD98"/>
    <w:rsid w:val="7806B815"/>
    <w:rsid w:val="7809D053"/>
    <w:rsid w:val="780B3DD5"/>
    <w:rsid w:val="780D2B05"/>
    <w:rsid w:val="78206505"/>
    <w:rsid w:val="78210105"/>
    <w:rsid w:val="78216E9D"/>
    <w:rsid w:val="78217D04"/>
    <w:rsid w:val="782951D0"/>
    <w:rsid w:val="782B348B"/>
    <w:rsid w:val="78312C0D"/>
    <w:rsid w:val="783797C6"/>
    <w:rsid w:val="7838ED89"/>
    <w:rsid w:val="784A453D"/>
    <w:rsid w:val="785A3047"/>
    <w:rsid w:val="785F9519"/>
    <w:rsid w:val="78601381"/>
    <w:rsid w:val="7860AE31"/>
    <w:rsid w:val="78655F36"/>
    <w:rsid w:val="786AE444"/>
    <w:rsid w:val="786DB8CB"/>
    <w:rsid w:val="786E1A3C"/>
    <w:rsid w:val="786E6E8A"/>
    <w:rsid w:val="787A7BD5"/>
    <w:rsid w:val="7882A842"/>
    <w:rsid w:val="788444F8"/>
    <w:rsid w:val="7889D21F"/>
    <w:rsid w:val="788CCBE6"/>
    <w:rsid w:val="789110FE"/>
    <w:rsid w:val="789A1506"/>
    <w:rsid w:val="78A7917F"/>
    <w:rsid w:val="78B3D510"/>
    <w:rsid w:val="78B567CB"/>
    <w:rsid w:val="78BB4CF7"/>
    <w:rsid w:val="78CCF451"/>
    <w:rsid w:val="78CD2BB3"/>
    <w:rsid w:val="78D7F512"/>
    <w:rsid w:val="78E07C07"/>
    <w:rsid w:val="78F38A82"/>
    <w:rsid w:val="78F990B1"/>
    <w:rsid w:val="78FAE802"/>
    <w:rsid w:val="78FBAA54"/>
    <w:rsid w:val="78FEE2E5"/>
    <w:rsid w:val="79022880"/>
    <w:rsid w:val="79033AC4"/>
    <w:rsid w:val="7906AC47"/>
    <w:rsid w:val="7909ABE4"/>
    <w:rsid w:val="790DA340"/>
    <w:rsid w:val="791196F3"/>
    <w:rsid w:val="7911E321"/>
    <w:rsid w:val="791207FE"/>
    <w:rsid w:val="791C1253"/>
    <w:rsid w:val="79222004"/>
    <w:rsid w:val="792DBD48"/>
    <w:rsid w:val="79445EAC"/>
    <w:rsid w:val="79472A43"/>
    <w:rsid w:val="794A3171"/>
    <w:rsid w:val="794B5347"/>
    <w:rsid w:val="794C479A"/>
    <w:rsid w:val="79562871"/>
    <w:rsid w:val="7956CF7C"/>
    <w:rsid w:val="7956E9CC"/>
    <w:rsid w:val="795B5954"/>
    <w:rsid w:val="7965499E"/>
    <w:rsid w:val="796D06FA"/>
    <w:rsid w:val="7971D228"/>
    <w:rsid w:val="79773480"/>
    <w:rsid w:val="797C76A4"/>
    <w:rsid w:val="79854038"/>
    <w:rsid w:val="79860315"/>
    <w:rsid w:val="79898C50"/>
    <w:rsid w:val="798C173E"/>
    <w:rsid w:val="798DFA01"/>
    <w:rsid w:val="798F530E"/>
    <w:rsid w:val="79921A59"/>
    <w:rsid w:val="7993C404"/>
    <w:rsid w:val="799D923F"/>
    <w:rsid w:val="79A194E4"/>
    <w:rsid w:val="79A2DA19"/>
    <w:rsid w:val="79A9D751"/>
    <w:rsid w:val="79ACCBB2"/>
    <w:rsid w:val="79B65966"/>
    <w:rsid w:val="79B68209"/>
    <w:rsid w:val="79BB47F9"/>
    <w:rsid w:val="79C0F5AA"/>
    <w:rsid w:val="79C18C52"/>
    <w:rsid w:val="79CBAB5F"/>
    <w:rsid w:val="79D3125F"/>
    <w:rsid w:val="79D49F86"/>
    <w:rsid w:val="79D595FC"/>
    <w:rsid w:val="79E3D23D"/>
    <w:rsid w:val="79E40B69"/>
    <w:rsid w:val="79F0FF3B"/>
    <w:rsid w:val="79F2F38A"/>
    <w:rsid w:val="79F4D88A"/>
    <w:rsid w:val="79FF6A45"/>
    <w:rsid w:val="7A067A7B"/>
    <w:rsid w:val="7A095AD3"/>
    <w:rsid w:val="7A0CBABC"/>
    <w:rsid w:val="7A0F3F66"/>
    <w:rsid w:val="7A1297E2"/>
    <w:rsid w:val="7A18B180"/>
    <w:rsid w:val="7A1BCBE4"/>
    <w:rsid w:val="7A1E0F68"/>
    <w:rsid w:val="7A222D3A"/>
    <w:rsid w:val="7A2B212B"/>
    <w:rsid w:val="7A32E979"/>
    <w:rsid w:val="7A35024F"/>
    <w:rsid w:val="7A39A745"/>
    <w:rsid w:val="7A40053A"/>
    <w:rsid w:val="7A4531E1"/>
    <w:rsid w:val="7A493200"/>
    <w:rsid w:val="7A4A239A"/>
    <w:rsid w:val="7A4C372A"/>
    <w:rsid w:val="7A5EE66C"/>
    <w:rsid w:val="7A66742C"/>
    <w:rsid w:val="7A67BFE0"/>
    <w:rsid w:val="7A740789"/>
    <w:rsid w:val="7A7570CE"/>
    <w:rsid w:val="7A779C24"/>
    <w:rsid w:val="7A7CC8C8"/>
    <w:rsid w:val="7A7D53AA"/>
    <w:rsid w:val="7A81548D"/>
    <w:rsid w:val="7A81D421"/>
    <w:rsid w:val="7A8EE1FB"/>
    <w:rsid w:val="7A969414"/>
    <w:rsid w:val="7A987CA5"/>
    <w:rsid w:val="7A9DA481"/>
    <w:rsid w:val="7A9E3915"/>
    <w:rsid w:val="7A9F84BC"/>
    <w:rsid w:val="7AA8180D"/>
    <w:rsid w:val="7AAB42E2"/>
    <w:rsid w:val="7AABF29C"/>
    <w:rsid w:val="7AB0E191"/>
    <w:rsid w:val="7AB135E9"/>
    <w:rsid w:val="7AB634E9"/>
    <w:rsid w:val="7ABE7A76"/>
    <w:rsid w:val="7AC21144"/>
    <w:rsid w:val="7AC83930"/>
    <w:rsid w:val="7AD20BE2"/>
    <w:rsid w:val="7ADF94AC"/>
    <w:rsid w:val="7AE39F1E"/>
    <w:rsid w:val="7AE50865"/>
    <w:rsid w:val="7AE64FC9"/>
    <w:rsid w:val="7AE99C32"/>
    <w:rsid w:val="7AF916E5"/>
    <w:rsid w:val="7AFFE403"/>
    <w:rsid w:val="7B005025"/>
    <w:rsid w:val="7B03575A"/>
    <w:rsid w:val="7B06E560"/>
    <w:rsid w:val="7B0A73CC"/>
    <w:rsid w:val="7B0D6CCE"/>
    <w:rsid w:val="7B0E02D7"/>
    <w:rsid w:val="7B1A402E"/>
    <w:rsid w:val="7B27FF38"/>
    <w:rsid w:val="7B288DCE"/>
    <w:rsid w:val="7B32FCAB"/>
    <w:rsid w:val="7B337299"/>
    <w:rsid w:val="7B362FC3"/>
    <w:rsid w:val="7B392AF1"/>
    <w:rsid w:val="7B4E8043"/>
    <w:rsid w:val="7B53B9FC"/>
    <w:rsid w:val="7B583FF8"/>
    <w:rsid w:val="7B5CB1A4"/>
    <w:rsid w:val="7B61CA81"/>
    <w:rsid w:val="7B676E8C"/>
    <w:rsid w:val="7B694CA1"/>
    <w:rsid w:val="7B6D99BD"/>
    <w:rsid w:val="7B7350ED"/>
    <w:rsid w:val="7B7D796F"/>
    <w:rsid w:val="7B86DDC6"/>
    <w:rsid w:val="7B9400DD"/>
    <w:rsid w:val="7B956A77"/>
    <w:rsid w:val="7B981C9D"/>
    <w:rsid w:val="7B98C12C"/>
    <w:rsid w:val="7B9F9D30"/>
    <w:rsid w:val="7BA8E803"/>
    <w:rsid w:val="7BC65908"/>
    <w:rsid w:val="7BC7C82E"/>
    <w:rsid w:val="7BD38E18"/>
    <w:rsid w:val="7BDCCB48"/>
    <w:rsid w:val="7BE6ADD9"/>
    <w:rsid w:val="7BE8D468"/>
    <w:rsid w:val="7BEA15B8"/>
    <w:rsid w:val="7BEDFA36"/>
    <w:rsid w:val="7BF657B2"/>
    <w:rsid w:val="7BF7001F"/>
    <w:rsid w:val="7BFE41E7"/>
    <w:rsid w:val="7C07EDD4"/>
    <w:rsid w:val="7C14F6E0"/>
    <w:rsid w:val="7C1C05C0"/>
    <w:rsid w:val="7C1EC8C5"/>
    <w:rsid w:val="7C20BE84"/>
    <w:rsid w:val="7C265247"/>
    <w:rsid w:val="7C28377D"/>
    <w:rsid w:val="7C28AA11"/>
    <w:rsid w:val="7C35AFD5"/>
    <w:rsid w:val="7C37788A"/>
    <w:rsid w:val="7C38157A"/>
    <w:rsid w:val="7C3CF7E6"/>
    <w:rsid w:val="7C3E3259"/>
    <w:rsid w:val="7C3F5A0A"/>
    <w:rsid w:val="7C3FFA0D"/>
    <w:rsid w:val="7C509350"/>
    <w:rsid w:val="7C529374"/>
    <w:rsid w:val="7C5DCB6F"/>
    <w:rsid w:val="7C61C186"/>
    <w:rsid w:val="7C6F5D9C"/>
    <w:rsid w:val="7C70DAB1"/>
    <w:rsid w:val="7C7B878E"/>
    <w:rsid w:val="7C7BBCB5"/>
    <w:rsid w:val="7C82ED30"/>
    <w:rsid w:val="7C86B555"/>
    <w:rsid w:val="7C9B475D"/>
    <w:rsid w:val="7C9DE0D7"/>
    <w:rsid w:val="7CAE3BAC"/>
    <w:rsid w:val="7CAE6009"/>
    <w:rsid w:val="7CB5DED3"/>
    <w:rsid w:val="7CB6064E"/>
    <w:rsid w:val="7CB62560"/>
    <w:rsid w:val="7CB64268"/>
    <w:rsid w:val="7CB70FE5"/>
    <w:rsid w:val="7CBB58C2"/>
    <w:rsid w:val="7CBB7BB3"/>
    <w:rsid w:val="7CBC9820"/>
    <w:rsid w:val="7CC172E5"/>
    <w:rsid w:val="7CDAE2FA"/>
    <w:rsid w:val="7CDBB938"/>
    <w:rsid w:val="7CDEF65C"/>
    <w:rsid w:val="7CE1216A"/>
    <w:rsid w:val="7CE16347"/>
    <w:rsid w:val="7CE3291F"/>
    <w:rsid w:val="7CE685E3"/>
    <w:rsid w:val="7CEA5585"/>
    <w:rsid w:val="7CF527F1"/>
    <w:rsid w:val="7CFACB92"/>
    <w:rsid w:val="7D01CA54"/>
    <w:rsid w:val="7D0F8ED5"/>
    <w:rsid w:val="7D21EC00"/>
    <w:rsid w:val="7D21F8A3"/>
    <w:rsid w:val="7D222D8D"/>
    <w:rsid w:val="7D272498"/>
    <w:rsid w:val="7D2C23F8"/>
    <w:rsid w:val="7D301199"/>
    <w:rsid w:val="7D30DBF8"/>
    <w:rsid w:val="7D375D60"/>
    <w:rsid w:val="7D380F45"/>
    <w:rsid w:val="7D3822ED"/>
    <w:rsid w:val="7D39384E"/>
    <w:rsid w:val="7D3ACDED"/>
    <w:rsid w:val="7D425859"/>
    <w:rsid w:val="7D426CD0"/>
    <w:rsid w:val="7D44D404"/>
    <w:rsid w:val="7D44F98D"/>
    <w:rsid w:val="7D5A5BE2"/>
    <w:rsid w:val="7D5B7647"/>
    <w:rsid w:val="7D5E5C85"/>
    <w:rsid w:val="7D5EEC77"/>
    <w:rsid w:val="7D6257CD"/>
    <w:rsid w:val="7D662A54"/>
    <w:rsid w:val="7D68270E"/>
    <w:rsid w:val="7D6A7CB3"/>
    <w:rsid w:val="7D6AB278"/>
    <w:rsid w:val="7D71EDA9"/>
    <w:rsid w:val="7D7E8203"/>
    <w:rsid w:val="7D820FCA"/>
    <w:rsid w:val="7D88ADDA"/>
    <w:rsid w:val="7D8B377D"/>
    <w:rsid w:val="7D920437"/>
    <w:rsid w:val="7D96DB09"/>
    <w:rsid w:val="7DA3DE80"/>
    <w:rsid w:val="7DB3BE7C"/>
    <w:rsid w:val="7DBBDD95"/>
    <w:rsid w:val="7DC14450"/>
    <w:rsid w:val="7DC87D78"/>
    <w:rsid w:val="7DCE44F5"/>
    <w:rsid w:val="7DCF661E"/>
    <w:rsid w:val="7DD1E2E1"/>
    <w:rsid w:val="7DD44BDC"/>
    <w:rsid w:val="7DD5F077"/>
    <w:rsid w:val="7DD61E2E"/>
    <w:rsid w:val="7DD967FA"/>
    <w:rsid w:val="7DDB1919"/>
    <w:rsid w:val="7DDB49D3"/>
    <w:rsid w:val="7DE0D9F0"/>
    <w:rsid w:val="7DE3BA53"/>
    <w:rsid w:val="7DE6416B"/>
    <w:rsid w:val="7DE6C5E3"/>
    <w:rsid w:val="7DF2A694"/>
    <w:rsid w:val="7DF56450"/>
    <w:rsid w:val="7DF584B2"/>
    <w:rsid w:val="7DFA9CD1"/>
    <w:rsid w:val="7DFC1976"/>
    <w:rsid w:val="7E00AC62"/>
    <w:rsid w:val="7E02C5DF"/>
    <w:rsid w:val="7E085B31"/>
    <w:rsid w:val="7E09EE1B"/>
    <w:rsid w:val="7E1512D7"/>
    <w:rsid w:val="7E15D3AD"/>
    <w:rsid w:val="7E194EEA"/>
    <w:rsid w:val="7E1E181B"/>
    <w:rsid w:val="7E271181"/>
    <w:rsid w:val="7E2762A2"/>
    <w:rsid w:val="7E2C0270"/>
    <w:rsid w:val="7E2CE612"/>
    <w:rsid w:val="7E2DA6C3"/>
    <w:rsid w:val="7E3F584D"/>
    <w:rsid w:val="7E452B45"/>
    <w:rsid w:val="7E475BA9"/>
    <w:rsid w:val="7E4EBDA8"/>
    <w:rsid w:val="7E4F2AC1"/>
    <w:rsid w:val="7E570342"/>
    <w:rsid w:val="7E59F9C4"/>
    <w:rsid w:val="7E5A46A1"/>
    <w:rsid w:val="7E5C1D3C"/>
    <w:rsid w:val="7E5DB57B"/>
    <w:rsid w:val="7E5FC38D"/>
    <w:rsid w:val="7E6438DE"/>
    <w:rsid w:val="7E6A945A"/>
    <w:rsid w:val="7E7158E2"/>
    <w:rsid w:val="7E7369B0"/>
    <w:rsid w:val="7E77F384"/>
    <w:rsid w:val="7E786629"/>
    <w:rsid w:val="7E786DC7"/>
    <w:rsid w:val="7E80A44C"/>
    <w:rsid w:val="7E81305F"/>
    <w:rsid w:val="7E81A7C8"/>
    <w:rsid w:val="7E8450C5"/>
    <w:rsid w:val="7E88B5FA"/>
    <w:rsid w:val="7E8A6DA4"/>
    <w:rsid w:val="7E8FA99E"/>
    <w:rsid w:val="7E9B1D00"/>
    <w:rsid w:val="7EA63807"/>
    <w:rsid w:val="7EB07061"/>
    <w:rsid w:val="7EB48733"/>
    <w:rsid w:val="7EC08182"/>
    <w:rsid w:val="7EC157D1"/>
    <w:rsid w:val="7ECEBD5A"/>
    <w:rsid w:val="7ED2AC6B"/>
    <w:rsid w:val="7EDAEF98"/>
    <w:rsid w:val="7EDD611D"/>
    <w:rsid w:val="7EE17B9D"/>
    <w:rsid w:val="7EE1F50F"/>
    <w:rsid w:val="7EE36148"/>
    <w:rsid w:val="7EE5DD06"/>
    <w:rsid w:val="7EE60F08"/>
    <w:rsid w:val="7EE7026A"/>
    <w:rsid w:val="7EF9BEE0"/>
    <w:rsid w:val="7EFB1CB5"/>
    <w:rsid w:val="7F01536D"/>
    <w:rsid w:val="7F097A21"/>
    <w:rsid w:val="7F09C7CC"/>
    <w:rsid w:val="7F0CA388"/>
    <w:rsid w:val="7F1AB0A9"/>
    <w:rsid w:val="7F1AD8E1"/>
    <w:rsid w:val="7F1B14D3"/>
    <w:rsid w:val="7F1C2E95"/>
    <w:rsid w:val="7F20367E"/>
    <w:rsid w:val="7F232588"/>
    <w:rsid w:val="7F2981F9"/>
    <w:rsid w:val="7F33EC5E"/>
    <w:rsid w:val="7F350E46"/>
    <w:rsid w:val="7F368286"/>
    <w:rsid w:val="7F3AA9C2"/>
    <w:rsid w:val="7F3B9E1E"/>
    <w:rsid w:val="7F3CC162"/>
    <w:rsid w:val="7F3D67D1"/>
    <w:rsid w:val="7F41A53D"/>
    <w:rsid w:val="7F4DB702"/>
    <w:rsid w:val="7F5109C1"/>
    <w:rsid w:val="7F5961E3"/>
    <w:rsid w:val="7F5AC0A2"/>
    <w:rsid w:val="7F65A313"/>
    <w:rsid w:val="7F699647"/>
    <w:rsid w:val="7F6D0CA5"/>
    <w:rsid w:val="7F6E4A91"/>
    <w:rsid w:val="7F721CD4"/>
    <w:rsid w:val="7F722793"/>
    <w:rsid w:val="7F73A754"/>
    <w:rsid w:val="7F767223"/>
    <w:rsid w:val="7F769CC8"/>
    <w:rsid w:val="7F79A144"/>
    <w:rsid w:val="7F84DF1E"/>
    <w:rsid w:val="7F989E83"/>
    <w:rsid w:val="7FA0426C"/>
    <w:rsid w:val="7FA9AE46"/>
    <w:rsid w:val="7FAAEB61"/>
    <w:rsid w:val="7FB58275"/>
    <w:rsid w:val="7FB698E3"/>
    <w:rsid w:val="7FB7BD3A"/>
    <w:rsid w:val="7FBA1FF8"/>
    <w:rsid w:val="7FBDB72C"/>
    <w:rsid w:val="7FC2EE43"/>
    <w:rsid w:val="7FC347E3"/>
    <w:rsid w:val="7FC5F085"/>
    <w:rsid w:val="7FC7A86D"/>
    <w:rsid w:val="7FC7EA8D"/>
    <w:rsid w:val="7FC8407B"/>
    <w:rsid w:val="7FCE4CFA"/>
    <w:rsid w:val="7FD1E28E"/>
    <w:rsid w:val="7FD1FFC0"/>
    <w:rsid w:val="7FD3D0B2"/>
    <w:rsid w:val="7FD4F42A"/>
    <w:rsid w:val="7FD62411"/>
    <w:rsid w:val="7FD6743A"/>
    <w:rsid w:val="7FDE3104"/>
    <w:rsid w:val="7FED9CA3"/>
    <w:rsid w:val="7FEF771D"/>
    <w:rsid w:val="7FF642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F3E50"/>
  <w15:chartTrackingRefBased/>
  <w15:docId w15:val="{61DE0A48-FA4F-431D-AE78-9AC3221D2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60F"/>
    <w:pPr>
      <w:tabs>
        <w:tab w:val="left" w:pos="0"/>
      </w:tabs>
      <w:spacing w:after="240"/>
    </w:pPr>
    <w:rPr>
      <w:rFonts w:ascii="Times New Roman" w:eastAsia="Times New Roman" w:hAnsi="Times New Roman" w:cs="Times New Roman"/>
      <w:color w:val="000000" w:themeColor="text1"/>
      <w:sz w:val="22"/>
      <w:szCs w:val="22"/>
      <w:lang w:val="en-CA"/>
    </w:rPr>
  </w:style>
  <w:style w:type="paragraph" w:styleId="Heading1">
    <w:name w:val="heading 1"/>
    <w:aliases w:val="Para (1),Heading 1 Char1 Char,Heading 1 Char Char Char,Para (1) Char Char Char,Para (1) Char1 Char,Heading 1 Char1,Heading 1 Char Char,Para (1) Char Char,Para (1) Char1,Heading 1 Char1 Char Char,Heading 1 Char2 Char1 Char Char,Heading 1 Char3"/>
    <w:basedOn w:val="Normal"/>
    <w:next w:val="Normal"/>
    <w:link w:val="Heading1Char"/>
    <w:autoRedefine/>
    <w:uiPriority w:val="9"/>
    <w:qFormat/>
    <w:rsid w:val="001D68B9"/>
    <w:pPr>
      <w:keepNext/>
      <w:keepLines/>
      <w:spacing w:before="120"/>
      <w:ind w:left="709" w:hanging="709"/>
      <w:outlineLvl w:val="0"/>
    </w:pPr>
    <w:rPr>
      <w:rFonts w:eastAsia="Calibri"/>
      <w:b/>
      <w:sz w:val="28"/>
      <w:szCs w:val="28"/>
      <w:lang w:eastAsia="zh-CN"/>
    </w:rPr>
  </w:style>
  <w:style w:type="paragraph" w:styleId="Heading2">
    <w:name w:val="heading 2"/>
    <w:aliases w:val="SubPara (a),Heading 2 Char1 Char,Heading 2 Char Char Char,SubPara (a) Char Char Char,Heading 2 Char3 Char Char Char,Heading 2 Char Char2 Char Char Char,Heading 2 Char1 Char Char1 Char Char Char,Heading 2 Char3,Heading 2 Char2"/>
    <w:basedOn w:val="Normal"/>
    <w:next w:val="Normal"/>
    <w:link w:val="Heading2Char"/>
    <w:autoRedefine/>
    <w:uiPriority w:val="9"/>
    <w:unhideWhenUsed/>
    <w:qFormat/>
    <w:rsid w:val="002D02B7"/>
    <w:pPr>
      <w:keepNext/>
      <w:keepLines/>
      <w:tabs>
        <w:tab w:val="clear" w:pos="0"/>
        <w:tab w:val="left" w:pos="709"/>
      </w:tabs>
      <w:spacing w:before="240"/>
      <w:ind w:left="709" w:hanging="709"/>
      <w:outlineLvl w:val="1"/>
    </w:pPr>
    <w:rPr>
      <w:rFonts w:eastAsia="MS Mincho"/>
      <w:b/>
      <w:bCs/>
      <w:snapToGrid w:val="0"/>
      <w:sz w:val="24"/>
      <w:szCs w:val="24"/>
    </w:rPr>
  </w:style>
  <w:style w:type="paragraph" w:styleId="Heading3">
    <w:name w:val="heading 3"/>
    <w:aliases w:val="Heading 3 Char1 Char,Heading 3 Char Char Char,Char Char Char Char,Char Char1 Char,Sec,Char,Heading 3 Char1,Heading 3 Char Char,Char Char1,Heading 3 Char2,Char Char2,Char Char Char1,Heading 3 Char Char1"/>
    <w:basedOn w:val="Normal"/>
    <w:next w:val="Normal"/>
    <w:link w:val="Heading3Char"/>
    <w:autoRedefine/>
    <w:uiPriority w:val="9"/>
    <w:unhideWhenUsed/>
    <w:qFormat/>
    <w:rsid w:val="007C77CF"/>
    <w:pPr>
      <w:keepNext/>
      <w:tabs>
        <w:tab w:val="clear" w:pos="0"/>
        <w:tab w:val="left" w:pos="851"/>
      </w:tabs>
      <w:spacing w:before="240"/>
      <w:ind w:left="851" w:hanging="851"/>
      <w:outlineLvl w:val="2"/>
    </w:pPr>
    <w:rPr>
      <w:rFonts w:eastAsia="Calibri"/>
      <w:b/>
      <w:bCs/>
      <w:i/>
    </w:rPr>
  </w:style>
  <w:style w:type="paragraph" w:styleId="Heading4">
    <w:name w:val="heading 4"/>
    <w:aliases w:val="Heading 11,para 4,Título 41,Heading 41,heading 4,标题 41,He=ding 41"/>
    <w:basedOn w:val="Normal"/>
    <w:next w:val="Normal"/>
    <w:link w:val="Heading4Char"/>
    <w:uiPriority w:val="9"/>
    <w:unhideWhenUsed/>
    <w:qFormat/>
    <w:rsid w:val="001F1A93"/>
    <w:pPr>
      <w:keepNext/>
      <w:outlineLvl w:val="3"/>
    </w:pPr>
    <w:rPr>
      <w:rFonts w:eastAsiaTheme="minorEastAsia"/>
      <w:b/>
      <w:bCs/>
      <w:i/>
      <w:iCs/>
    </w:rPr>
  </w:style>
  <w:style w:type="paragraph" w:styleId="Heading5">
    <w:name w:val="heading 5"/>
    <w:basedOn w:val="Normal"/>
    <w:next w:val="Normal"/>
    <w:link w:val="Heading5Char"/>
    <w:uiPriority w:val="9"/>
    <w:qFormat/>
    <w:rsid w:val="004812B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4812B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qFormat/>
    <w:rsid w:val="004812B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qFormat/>
    <w:rsid w:val="004812B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4812B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1Light-Accent51">
    <w:name w:val="Grid Table 1 Light - Accent 51"/>
    <w:basedOn w:val="TableNormal"/>
    <w:next w:val="GridTable1Light-Accent5"/>
    <w:uiPriority w:val="46"/>
    <w:rsid w:val="00F34EA9"/>
    <w:rPr>
      <w:sz w:val="22"/>
      <w:szCs w:val="22"/>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FootnoteText">
    <w:name w:val="footnote text"/>
    <w:aliases w:val="Geneva 9,Font: Geneva 9,Boston 10,f,Fußnotentextf,-E Fußnotentext,Fußnotentext Ursprung,-E Fußnotentext1,-E Fußnotentext2,-E Fußnotentext3,Fußnotentext Char1,Fußnotentext Char Char,Fußnotentext Char1 Char Char, Char1, Char1 Char Char,Char1"/>
    <w:basedOn w:val="Normal"/>
    <w:link w:val="FootnoteTextChar"/>
    <w:uiPriority w:val="99"/>
    <w:unhideWhenUsed/>
    <w:qFormat/>
    <w:rsid w:val="00B8742E"/>
    <w:pPr>
      <w:spacing w:after="120"/>
    </w:pPr>
    <w:rPr>
      <w:sz w:val="18"/>
      <w:szCs w:val="18"/>
    </w:rPr>
  </w:style>
  <w:style w:type="character" w:customStyle="1" w:styleId="FootnoteTextChar">
    <w:name w:val="Footnote Text Char"/>
    <w:aliases w:val="Geneva 9 Char,Font: Geneva 9 Char,Boston 10 Char,f Char,Fußnotentextf Char,-E Fußnotentext Char,Fußnotentext Ursprung Char,-E Fußnotentext1 Char,-E Fußnotentext2 Char,-E Fußnotentext3 Char,Fußnotentext Char1 Char, Char1 Char"/>
    <w:basedOn w:val="DefaultParagraphFont"/>
    <w:link w:val="FootnoteText"/>
    <w:uiPriority w:val="99"/>
    <w:rsid w:val="00B8742E"/>
    <w:rPr>
      <w:rFonts w:ascii="Times New Roman" w:eastAsia="Times New Roman" w:hAnsi="Times New Roman" w:cs="Times New Roman"/>
      <w:color w:val="000000" w:themeColor="text1"/>
      <w:sz w:val="18"/>
      <w:szCs w:val="18"/>
      <w:lang w:val="en-GB"/>
    </w:r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ce,f"/>
    <w:link w:val="CharCharCharCharCarChar"/>
    <w:qFormat/>
    <w:rsid w:val="00FC3B44"/>
    <w:rPr>
      <w:vertAlign w:val="superscript"/>
    </w:rPr>
  </w:style>
  <w:style w:type="character" w:styleId="Hyperlink">
    <w:name w:val="Hyperlink"/>
    <w:uiPriority w:val="99"/>
    <w:rsid w:val="00FC3B44"/>
    <w:rPr>
      <w:color w:val="0000FF"/>
      <w:u w:val="single"/>
    </w:rPr>
  </w:style>
  <w:style w:type="table" w:styleId="TableGrid">
    <w:name w:val="Table Grid"/>
    <w:basedOn w:val="TableNormal"/>
    <w:uiPriority w:val="39"/>
    <w:rsid w:val="00FC3B44"/>
    <w:rPr>
      <w:rFonts w:ascii="Cambria" w:eastAsia="Cambria" w:hAnsi="Cambria"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D49F7"/>
    <w:pPr>
      <w:numPr>
        <w:numId w:val="5"/>
      </w:numPr>
      <w:tabs>
        <w:tab w:val="clear" w:pos="0"/>
      </w:tabs>
    </w:pPr>
    <w:rPr>
      <w:rFonts w:eastAsia="SimSun"/>
      <w:color w:val="auto"/>
      <w:lang w:val="en-AU"/>
    </w:rPr>
  </w:style>
  <w:style w:type="character" w:customStyle="1" w:styleId="Heading1Char">
    <w:name w:val="Heading 1 Char"/>
    <w:aliases w:val="Para (1) Char2,Heading 1 Char1 Char Char2,Heading 1 Char Char Char Char1,Para (1) Char Char Char Char1,Para (1) Char1 Char Char1,Heading 1 Char1 Char2,Heading 1 Char Char Char2,Para (1) Char Char Char2,Para (1) Char1 Char2"/>
    <w:basedOn w:val="DefaultParagraphFont"/>
    <w:link w:val="Heading1"/>
    <w:uiPriority w:val="9"/>
    <w:rsid w:val="001D68B9"/>
    <w:rPr>
      <w:rFonts w:ascii="Times New Roman" w:eastAsia="Calibri" w:hAnsi="Times New Roman" w:cs="Times New Roman"/>
      <w:b/>
      <w:color w:val="000000" w:themeColor="text1"/>
      <w:sz w:val="28"/>
      <w:szCs w:val="28"/>
      <w:lang w:val="en-CA" w:eastAsia="zh-CN"/>
    </w:rPr>
  </w:style>
  <w:style w:type="character" w:customStyle="1" w:styleId="Heading2Char">
    <w:name w:val="Heading 2 Char"/>
    <w:aliases w:val="SubPara (a) Char2,Heading 2 Char1 Char Char2,Heading 2 Char Char Char Char2,SubPara (a) Char Char Char Char2,Heading 2 Char3 Char Char Char Char2,Heading 2 Char Char2 Char Char Char Char2,Heading 2 Char1 Char Char1 Char Char Char Char1"/>
    <w:basedOn w:val="DefaultParagraphFont"/>
    <w:link w:val="Heading2"/>
    <w:uiPriority w:val="9"/>
    <w:rsid w:val="002D02B7"/>
    <w:rPr>
      <w:rFonts w:ascii="Times New Roman" w:eastAsia="MS Mincho" w:hAnsi="Times New Roman" w:cs="Times New Roman"/>
      <w:b/>
      <w:bCs/>
      <w:snapToGrid w:val="0"/>
      <w:color w:val="000000" w:themeColor="text1"/>
      <w:lang w:val="en-CA"/>
    </w:rPr>
  </w:style>
  <w:style w:type="character" w:customStyle="1" w:styleId="Heading3Char">
    <w:name w:val="Heading 3 Char"/>
    <w:aliases w:val="Heading 3 Char1 Char Char,Heading 3 Char Char Char Char,Char Char Char Char Char,Char Char1 Char Char,Sec Char,Char Char3,Heading 3 Char1 Char1,Heading 3 Char Char Char1,Char Char1 Char1,Heading 3 Char2 Char,Char Char2 Char"/>
    <w:basedOn w:val="DefaultParagraphFont"/>
    <w:link w:val="Heading3"/>
    <w:uiPriority w:val="9"/>
    <w:rsid w:val="007C77CF"/>
    <w:rPr>
      <w:rFonts w:ascii="Times New Roman" w:eastAsia="Calibri" w:hAnsi="Times New Roman" w:cs="Times New Roman"/>
      <w:b/>
      <w:bCs/>
      <w:i/>
      <w:color w:val="000000" w:themeColor="text1"/>
      <w:sz w:val="22"/>
      <w:szCs w:val="22"/>
      <w:lang w:val="en-CA"/>
    </w:rPr>
  </w:style>
  <w:style w:type="character" w:styleId="CommentReference">
    <w:name w:val="annotation reference"/>
    <w:basedOn w:val="DefaultParagraphFont"/>
    <w:uiPriority w:val="99"/>
    <w:semiHidden/>
    <w:unhideWhenUsed/>
    <w:rsid w:val="007D5773"/>
    <w:rPr>
      <w:sz w:val="16"/>
      <w:szCs w:val="16"/>
    </w:rPr>
  </w:style>
  <w:style w:type="paragraph" w:styleId="CommentText">
    <w:name w:val="annotation text"/>
    <w:basedOn w:val="Normal"/>
    <w:link w:val="CommentTextChar"/>
    <w:uiPriority w:val="99"/>
    <w:unhideWhenUsed/>
    <w:rsid w:val="007D5773"/>
    <w:rPr>
      <w:sz w:val="20"/>
      <w:szCs w:val="20"/>
    </w:rPr>
  </w:style>
  <w:style w:type="character" w:customStyle="1" w:styleId="CommentTextChar">
    <w:name w:val="Comment Text Char"/>
    <w:basedOn w:val="DefaultParagraphFont"/>
    <w:link w:val="CommentText"/>
    <w:uiPriority w:val="99"/>
    <w:rsid w:val="007D5773"/>
    <w:rPr>
      <w:rFonts w:ascii="Times New Roman" w:eastAsia="Times New Roman" w:hAnsi="Times New Roman" w:cs="Times New Roman"/>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7D5773"/>
    <w:rPr>
      <w:b/>
      <w:bCs/>
    </w:rPr>
  </w:style>
  <w:style w:type="character" w:customStyle="1" w:styleId="CommentSubjectChar">
    <w:name w:val="Comment Subject Char"/>
    <w:basedOn w:val="CommentTextChar"/>
    <w:link w:val="CommentSubject"/>
    <w:uiPriority w:val="99"/>
    <w:semiHidden/>
    <w:rsid w:val="007D5773"/>
    <w:rPr>
      <w:rFonts w:ascii="Times New Roman" w:eastAsia="Times New Roman" w:hAnsi="Times New Roman" w:cs="Times New Roman"/>
      <w:b/>
      <w:bCs/>
      <w:color w:val="000000" w:themeColor="text1"/>
      <w:sz w:val="20"/>
      <w:szCs w:val="20"/>
      <w:lang w:val="en-GB"/>
    </w:rPr>
  </w:style>
  <w:style w:type="paragraph" w:styleId="NormalWeb">
    <w:name w:val="Normal (Web)"/>
    <w:basedOn w:val="Normal"/>
    <w:uiPriority w:val="99"/>
    <w:unhideWhenUsed/>
    <w:rsid w:val="006A1EBC"/>
    <w:pPr>
      <w:tabs>
        <w:tab w:val="clear" w:pos="0"/>
      </w:tabs>
      <w:spacing w:before="100" w:beforeAutospacing="1" w:after="100" w:afterAutospacing="1"/>
    </w:pPr>
    <w:rPr>
      <w:color w:val="auto"/>
      <w:sz w:val="24"/>
      <w:szCs w:val="24"/>
      <w:lang w:val="en-AU" w:eastAsia="en-GB"/>
    </w:rPr>
  </w:style>
  <w:style w:type="paragraph" w:styleId="Revision">
    <w:name w:val="Revision"/>
    <w:hidden/>
    <w:uiPriority w:val="99"/>
    <w:rsid w:val="004E765C"/>
    <w:rPr>
      <w:rFonts w:ascii="Times New Roman" w:eastAsia="Times New Roman" w:hAnsi="Times New Roman" w:cs="Times New Roman"/>
      <w:color w:val="000000" w:themeColor="text1"/>
      <w:sz w:val="22"/>
      <w:szCs w:val="22"/>
      <w:lang w:val="en-GB"/>
    </w:rPr>
  </w:style>
  <w:style w:type="paragraph" w:styleId="EndnoteText">
    <w:name w:val="endnote text"/>
    <w:basedOn w:val="Normal"/>
    <w:link w:val="EndnoteTextChar"/>
    <w:uiPriority w:val="99"/>
    <w:semiHidden/>
    <w:unhideWhenUsed/>
    <w:rsid w:val="003E72C8"/>
    <w:pPr>
      <w:spacing w:after="0"/>
    </w:pPr>
    <w:rPr>
      <w:sz w:val="20"/>
      <w:szCs w:val="20"/>
    </w:rPr>
  </w:style>
  <w:style w:type="character" w:customStyle="1" w:styleId="EndnoteTextChar">
    <w:name w:val="Endnote Text Char"/>
    <w:basedOn w:val="DefaultParagraphFont"/>
    <w:link w:val="EndnoteText"/>
    <w:uiPriority w:val="99"/>
    <w:semiHidden/>
    <w:rsid w:val="003E72C8"/>
    <w:rPr>
      <w:rFonts w:ascii="Times New Roman" w:eastAsia="Times New Roman" w:hAnsi="Times New Roman" w:cs="Times New Roman"/>
      <w:color w:val="000000" w:themeColor="text1"/>
      <w:sz w:val="20"/>
      <w:szCs w:val="20"/>
      <w:lang w:val="en-GB"/>
    </w:rPr>
  </w:style>
  <w:style w:type="character" w:styleId="EndnoteReference">
    <w:name w:val="endnote reference"/>
    <w:basedOn w:val="DefaultParagraphFont"/>
    <w:uiPriority w:val="99"/>
    <w:semiHidden/>
    <w:unhideWhenUsed/>
    <w:rsid w:val="003E72C8"/>
    <w:rPr>
      <w:vertAlign w:val="superscript"/>
    </w:rPr>
  </w:style>
  <w:style w:type="character" w:styleId="UnresolvedMention">
    <w:name w:val="Unresolved Mention"/>
    <w:basedOn w:val="DefaultParagraphFont"/>
    <w:uiPriority w:val="99"/>
    <w:semiHidden/>
    <w:unhideWhenUsed/>
    <w:rsid w:val="00B814FD"/>
    <w:rPr>
      <w:color w:val="605E5C"/>
      <w:shd w:val="clear" w:color="auto" w:fill="E1DFDD"/>
    </w:rPr>
  </w:style>
  <w:style w:type="paragraph" w:styleId="Footer">
    <w:name w:val="footer"/>
    <w:basedOn w:val="Normal"/>
    <w:link w:val="FooterChar"/>
    <w:uiPriority w:val="99"/>
    <w:unhideWhenUsed/>
    <w:rsid w:val="003C3196"/>
    <w:pPr>
      <w:tabs>
        <w:tab w:val="clear" w:pos="0"/>
        <w:tab w:val="center" w:pos="4513"/>
        <w:tab w:val="right" w:pos="9026"/>
      </w:tabs>
      <w:spacing w:after="0"/>
    </w:pPr>
  </w:style>
  <w:style w:type="character" w:customStyle="1" w:styleId="FooterChar">
    <w:name w:val="Footer Char"/>
    <w:basedOn w:val="DefaultParagraphFont"/>
    <w:link w:val="Footer"/>
    <w:uiPriority w:val="99"/>
    <w:rsid w:val="003C3196"/>
    <w:rPr>
      <w:rFonts w:ascii="Times New Roman" w:eastAsia="Times New Roman" w:hAnsi="Times New Roman" w:cs="Times New Roman"/>
      <w:color w:val="000000" w:themeColor="text1"/>
      <w:sz w:val="22"/>
      <w:szCs w:val="22"/>
      <w:lang w:val="en-GB"/>
    </w:rPr>
  </w:style>
  <w:style w:type="paragraph" w:styleId="Header">
    <w:name w:val="header"/>
    <w:aliases w:val="EthylHeader"/>
    <w:basedOn w:val="Normal"/>
    <w:link w:val="HeaderChar"/>
    <w:uiPriority w:val="99"/>
    <w:unhideWhenUsed/>
    <w:rsid w:val="003C3196"/>
    <w:pPr>
      <w:tabs>
        <w:tab w:val="clear" w:pos="0"/>
        <w:tab w:val="center" w:pos="4513"/>
        <w:tab w:val="right" w:pos="9026"/>
      </w:tabs>
      <w:spacing w:after="0"/>
    </w:pPr>
  </w:style>
  <w:style w:type="character" w:customStyle="1" w:styleId="HeaderChar">
    <w:name w:val="Header Char"/>
    <w:aliases w:val="EthylHeader Char"/>
    <w:basedOn w:val="DefaultParagraphFont"/>
    <w:link w:val="Header"/>
    <w:uiPriority w:val="99"/>
    <w:rsid w:val="003C3196"/>
    <w:rPr>
      <w:rFonts w:ascii="Times New Roman" w:eastAsia="Times New Roman" w:hAnsi="Times New Roman" w:cs="Times New Roman"/>
      <w:color w:val="000000" w:themeColor="text1"/>
      <w:sz w:val="22"/>
      <w:szCs w:val="22"/>
      <w:lang w:val="en-GB"/>
    </w:rPr>
  </w:style>
  <w:style w:type="table" w:styleId="GridTable1Light-Accent5">
    <w:name w:val="Grid Table 1 Light Accent 5"/>
    <w:basedOn w:val="TableNormal"/>
    <w:uiPriority w:val="46"/>
    <w:rsid w:val="00F34EA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AA722C"/>
    <w:pPr>
      <w:tabs>
        <w:tab w:val="clear" w:pos="0"/>
      </w:tabs>
      <w:spacing w:after="100"/>
      <w:ind w:left="720"/>
    </w:pPr>
    <w:rPr>
      <w:rFonts w:asciiTheme="minorHAnsi" w:eastAsiaTheme="minorEastAsia" w:hAnsiTheme="minorHAnsi" w:cstheme="minorBidi"/>
      <w:color w:val="auto"/>
      <w:sz w:val="24"/>
      <w:szCs w:val="24"/>
      <w:lang w:val="en-AU" w:eastAsia="en-GB"/>
    </w:rPr>
  </w:style>
  <w:style w:type="paragraph" w:styleId="TOC5">
    <w:name w:val="toc 5"/>
    <w:basedOn w:val="Normal"/>
    <w:next w:val="Normal"/>
    <w:autoRedefine/>
    <w:uiPriority w:val="39"/>
    <w:unhideWhenUsed/>
    <w:rsid w:val="00AA722C"/>
    <w:pPr>
      <w:tabs>
        <w:tab w:val="clear" w:pos="0"/>
      </w:tabs>
      <w:spacing w:after="100"/>
      <w:ind w:left="960"/>
    </w:pPr>
    <w:rPr>
      <w:rFonts w:asciiTheme="minorHAnsi" w:eastAsiaTheme="minorEastAsia" w:hAnsiTheme="minorHAnsi" w:cstheme="minorBidi"/>
      <w:color w:val="auto"/>
      <w:sz w:val="24"/>
      <w:szCs w:val="24"/>
      <w:lang w:val="en-AU" w:eastAsia="en-GB"/>
    </w:rPr>
  </w:style>
  <w:style w:type="paragraph" w:styleId="TOC1">
    <w:name w:val="toc 1"/>
    <w:basedOn w:val="Normal"/>
    <w:next w:val="Normal"/>
    <w:autoRedefine/>
    <w:uiPriority w:val="39"/>
    <w:unhideWhenUsed/>
    <w:qFormat/>
    <w:rsid w:val="000A5309"/>
    <w:pPr>
      <w:tabs>
        <w:tab w:val="clear" w:pos="0"/>
        <w:tab w:val="left" w:pos="426"/>
        <w:tab w:val="right" w:leader="dot" w:pos="8931"/>
      </w:tabs>
      <w:spacing w:before="120" w:after="120"/>
      <w:ind w:left="426" w:right="-45" w:hanging="426"/>
    </w:pPr>
    <w:rPr>
      <w:rFonts w:asciiTheme="minorHAnsi" w:hAnsiTheme="minorHAnsi" w:cstheme="minorHAnsi"/>
      <w:b/>
      <w:bCs/>
      <w:caps/>
      <w:color w:val="000000"/>
      <w:lang w:eastAsia="zh-CN"/>
    </w:rPr>
  </w:style>
  <w:style w:type="paragraph" w:styleId="TOC2">
    <w:name w:val="toc 2"/>
    <w:basedOn w:val="Normal"/>
    <w:next w:val="Normal"/>
    <w:autoRedefine/>
    <w:uiPriority w:val="39"/>
    <w:unhideWhenUsed/>
    <w:rsid w:val="00FD4E0A"/>
    <w:pPr>
      <w:tabs>
        <w:tab w:val="clear" w:pos="0"/>
        <w:tab w:val="left" w:pos="960"/>
        <w:tab w:val="right" w:leader="dot" w:pos="8303"/>
      </w:tabs>
      <w:spacing w:after="0"/>
      <w:ind w:left="993" w:hanging="773"/>
    </w:pPr>
    <w:rPr>
      <w:rFonts w:asciiTheme="minorHAnsi" w:eastAsia="Calibri" w:hAnsiTheme="minorHAnsi" w:cs="Calibri (Body)"/>
      <w:b/>
      <w:bCs/>
      <w:smallCaps/>
      <w:lang w:eastAsia="zh-CN"/>
    </w:rPr>
  </w:style>
  <w:style w:type="paragraph" w:styleId="TOC3">
    <w:name w:val="toc 3"/>
    <w:basedOn w:val="Normal"/>
    <w:next w:val="Normal"/>
    <w:autoRedefine/>
    <w:uiPriority w:val="39"/>
    <w:unhideWhenUsed/>
    <w:rsid w:val="00914163"/>
    <w:pPr>
      <w:tabs>
        <w:tab w:val="clear" w:pos="0"/>
        <w:tab w:val="left" w:pos="1440"/>
        <w:tab w:val="right" w:leader="dot" w:pos="8303"/>
      </w:tabs>
      <w:spacing w:after="0"/>
      <w:ind w:left="1418" w:hanging="978"/>
    </w:pPr>
    <w:rPr>
      <w:rFonts w:asciiTheme="minorHAnsi" w:eastAsia="MS Mincho" w:hAnsiTheme="minorHAnsi" w:cs="Calibri (Body)"/>
      <w:i/>
      <w:iCs/>
      <w:smallCaps/>
      <w:snapToGrid w:val="0"/>
      <w:lang w:eastAsia="fr-FR"/>
    </w:rPr>
  </w:style>
  <w:style w:type="character" w:customStyle="1" w:styleId="Heading4Char">
    <w:name w:val="Heading 4 Char"/>
    <w:aliases w:val="Heading 11 Char,para 4 Char,Título 41 Char,Heading 41 Char,heading 4 Char,标题 41 Char,He=ding 41 Char"/>
    <w:basedOn w:val="DefaultParagraphFont"/>
    <w:link w:val="Heading4"/>
    <w:uiPriority w:val="9"/>
    <w:rsid w:val="001F1A93"/>
    <w:rPr>
      <w:rFonts w:ascii="Times New Roman" w:eastAsiaTheme="minorEastAsia" w:hAnsi="Times New Roman" w:cs="Times New Roman"/>
      <w:b/>
      <w:bCs/>
      <w:i/>
      <w:iCs/>
      <w:color w:val="000000" w:themeColor="text1"/>
      <w:sz w:val="22"/>
      <w:szCs w:val="22"/>
      <w:lang w:val="en-GB"/>
    </w:rPr>
  </w:style>
  <w:style w:type="table" w:customStyle="1" w:styleId="TableGrid2">
    <w:name w:val="Table Grid2"/>
    <w:basedOn w:val="TableNormal"/>
    <w:next w:val="TableGrid"/>
    <w:uiPriority w:val="39"/>
    <w:rsid w:val="0023490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39"/>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400CB"/>
    <w:rPr>
      <w:rFonts w:eastAsia="DengXia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00CB"/>
    <w:pPr>
      <w:tabs>
        <w:tab w:val="clear" w:pos="0"/>
      </w:tabs>
      <w:spacing w:after="0"/>
    </w:pPr>
    <w:rPr>
      <w:rFonts w:ascii="DengXian" w:eastAsia="DengXian" w:hAnsi="DengXian"/>
      <w:color w:val="auto"/>
      <w:sz w:val="18"/>
      <w:szCs w:val="18"/>
      <w:lang w:val="en-AU"/>
    </w:rPr>
  </w:style>
  <w:style w:type="character" w:customStyle="1" w:styleId="BalloonTextChar">
    <w:name w:val="Balloon Text Char"/>
    <w:basedOn w:val="DefaultParagraphFont"/>
    <w:link w:val="BalloonText"/>
    <w:uiPriority w:val="99"/>
    <w:semiHidden/>
    <w:rsid w:val="003400CB"/>
    <w:rPr>
      <w:rFonts w:ascii="DengXian" w:eastAsia="DengXian" w:hAnsi="DengXian" w:cs="Times New Roman"/>
      <w:sz w:val="18"/>
      <w:szCs w:val="18"/>
    </w:rPr>
  </w:style>
  <w:style w:type="paragraph" w:styleId="TOC6">
    <w:name w:val="toc 6"/>
    <w:basedOn w:val="Normal"/>
    <w:next w:val="Normal"/>
    <w:autoRedefine/>
    <w:uiPriority w:val="39"/>
    <w:unhideWhenUsed/>
    <w:rsid w:val="00AA722C"/>
    <w:pPr>
      <w:tabs>
        <w:tab w:val="clear" w:pos="0"/>
      </w:tabs>
      <w:spacing w:after="100"/>
      <w:ind w:left="1200"/>
    </w:pPr>
    <w:rPr>
      <w:rFonts w:asciiTheme="minorHAnsi" w:eastAsiaTheme="minorEastAsia" w:hAnsiTheme="minorHAnsi" w:cstheme="minorBidi"/>
      <w:color w:val="auto"/>
      <w:sz w:val="24"/>
      <w:szCs w:val="24"/>
      <w:lang w:val="en-AU" w:eastAsia="en-GB"/>
    </w:rPr>
  </w:style>
  <w:style w:type="paragraph" w:styleId="TOC7">
    <w:name w:val="toc 7"/>
    <w:basedOn w:val="Normal"/>
    <w:next w:val="Normal"/>
    <w:autoRedefine/>
    <w:uiPriority w:val="39"/>
    <w:unhideWhenUsed/>
    <w:rsid w:val="00AA722C"/>
    <w:pPr>
      <w:tabs>
        <w:tab w:val="clear" w:pos="0"/>
      </w:tabs>
      <w:spacing w:after="100"/>
      <w:ind w:left="1440"/>
    </w:pPr>
    <w:rPr>
      <w:rFonts w:asciiTheme="minorHAnsi" w:eastAsiaTheme="minorEastAsia" w:hAnsiTheme="minorHAnsi" w:cstheme="minorBidi"/>
      <w:color w:val="auto"/>
      <w:sz w:val="24"/>
      <w:szCs w:val="24"/>
      <w:lang w:val="en-AU" w:eastAsia="en-GB"/>
    </w:rPr>
  </w:style>
  <w:style w:type="paragraph" w:customStyle="1" w:styleId="Default">
    <w:name w:val="Default"/>
    <w:rsid w:val="00117C5F"/>
    <w:pPr>
      <w:autoSpaceDE w:val="0"/>
      <w:autoSpaceDN w:val="0"/>
      <w:adjustRightInd w:val="0"/>
    </w:pPr>
    <w:rPr>
      <w:rFonts w:ascii="Times New Roman" w:hAnsi="Times New Roman" w:cs="Times New Roman"/>
      <w:color w:val="000000"/>
      <w:lang w:val="en-GB"/>
    </w:rPr>
  </w:style>
  <w:style w:type="table" w:customStyle="1" w:styleId="11">
    <w:name w:val="网格型11"/>
    <w:basedOn w:val="TableNormal"/>
    <w:next w:val="TableGrid"/>
    <w:uiPriority w:val="39"/>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39"/>
    <w:rsid w:val="003400CB"/>
    <w:rPr>
      <w:rFonts w:eastAsia="DengXia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TableNormal"/>
    <w:next w:val="TableGrid"/>
    <w:rsid w:val="003400CB"/>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10A4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351C2"/>
    <w:rPr>
      <w:rFonts w:eastAsia="DengXi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uiPriority w:val="39"/>
    <w:unhideWhenUsed/>
    <w:rsid w:val="00AA722C"/>
    <w:pPr>
      <w:tabs>
        <w:tab w:val="clear" w:pos="0"/>
      </w:tabs>
      <w:spacing w:after="100"/>
      <w:ind w:left="1680"/>
    </w:pPr>
    <w:rPr>
      <w:rFonts w:asciiTheme="minorHAnsi" w:eastAsiaTheme="minorEastAsia" w:hAnsiTheme="minorHAnsi" w:cstheme="minorBidi"/>
      <w:color w:val="auto"/>
      <w:sz w:val="24"/>
      <w:szCs w:val="24"/>
      <w:lang w:val="en-AU" w:eastAsia="en-GB"/>
    </w:rPr>
  </w:style>
  <w:style w:type="paragraph" w:styleId="TOC9">
    <w:name w:val="toc 9"/>
    <w:basedOn w:val="Normal"/>
    <w:next w:val="Normal"/>
    <w:autoRedefine/>
    <w:uiPriority w:val="39"/>
    <w:unhideWhenUsed/>
    <w:rsid w:val="00AA722C"/>
    <w:pPr>
      <w:tabs>
        <w:tab w:val="clear" w:pos="0"/>
      </w:tabs>
      <w:spacing w:after="100"/>
      <w:ind w:left="1920"/>
    </w:pPr>
    <w:rPr>
      <w:rFonts w:asciiTheme="minorHAnsi" w:eastAsiaTheme="minorEastAsia" w:hAnsiTheme="minorHAnsi" w:cstheme="minorBidi"/>
      <w:color w:val="auto"/>
      <w:sz w:val="24"/>
      <w:szCs w:val="24"/>
      <w:lang w:val="en-AU" w:eastAsia="en-GB"/>
    </w:rPr>
  </w:style>
  <w:style w:type="character" w:styleId="PageNumber">
    <w:name w:val="page number"/>
    <w:basedOn w:val="DefaultParagraphFont"/>
    <w:uiPriority w:val="99"/>
    <w:unhideWhenUsed/>
    <w:rsid w:val="00AA722C"/>
  </w:style>
  <w:style w:type="character" w:styleId="FollowedHyperlink">
    <w:name w:val="FollowedHyperlink"/>
    <w:basedOn w:val="DefaultParagraphFont"/>
    <w:uiPriority w:val="99"/>
    <w:semiHidden/>
    <w:unhideWhenUsed/>
    <w:rsid w:val="00CB64F9"/>
    <w:rPr>
      <w:color w:val="954F72" w:themeColor="followedHyperlink"/>
      <w:u w:val="single"/>
    </w:rPr>
  </w:style>
  <w:style w:type="character" w:styleId="PlaceholderText">
    <w:name w:val="Placeholder Text"/>
    <w:basedOn w:val="DefaultParagraphFont"/>
    <w:uiPriority w:val="99"/>
    <w:semiHidden/>
    <w:rsid w:val="00CD2741"/>
    <w:rPr>
      <w:color w:val="808080"/>
    </w:rPr>
  </w:style>
  <w:style w:type="character" w:customStyle="1" w:styleId="UnresolvedMention1">
    <w:name w:val="Unresolved Mention1"/>
    <w:basedOn w:val="DefaultParagraphFont"/>
    <w:uiPriority w:val="99"/>
    <w:unhideWhenUsed/>
    <w:rsid w:val="00FA01FC"/>
    <w:rPr>
      <w:color w:val="605E5C"/>
      <w:shd w:val="clear" w:color="auto" w:fill="E1DFDD"/>
    </w:rPr>
  </w:style>
  <w:style w:type="paragraph" w:styleId="Caption">
    <w:name w:val="caption"/>
    <w:basedOn w:val="Normal"/>
    <w:next w:val="Normal"/>
    <w:uiPriority w:val="35"/>
    <w:unhideWhenUsed/>
    <w:qFormat/>
    <w:rsid w:val="00CF0D13"/>
    <w:pPr>
      <w:spacing w:after="200"/>
    </w:pPr>
    <w:rPr>
      <w:i/>
      <w:iCs/>
      <w:color w:val="44546A" w:themeColor="text2"/>
      <w:sz w:val="18"/>
      <w:szCs w:val="18"/>
    </w:rPr>
  </w:style>
  <w:style w:type="character" w:styleId="Emphasis">
    <w:name w:val="Emphasis"/>
    <w:basedOn w:val="DefaultParagraphFont"/>
    <w:uiPriority w:val="20"/>
    <w:qFormat/>
    <w:rsid w:val="00F71B3B"/>
    <w:rPr>
      <w:i/>
      <w:iCs/>
    </w:rPr>
  </w:style>
  <w:style w:type="paragraph" w:styleId="NoSpacing">
    <w:name w:val="No Spacing"/>
    <w:uiPriority w:val="1"/>
    <w:qFormat/>
    <w:rsid w:val="009E0843"/>
    <w:rPr>
      <w:rFonts w:eastAsiaTheme="minorEastAsia"/>
      <w:sz w:val="22"/>
      <w:szCs w:val="22"/>
      <w:lang w:eastAsia="ja-JP"/>
    </w:rPr>
  </w:style>
  <w:style w:type="character" w:customStyle="1" w:styleId="apple-converted-space">
    <w:name w:val="apple-converted-space"/>
    <w:basedOn w:val="DefaultParagraphFont"/>
    <w:rsid w:val="009E0843"/>
  </w:style>
  <w:style w:type="character" w:customStyle="1" w:styleId="docsum-journal-citation">
    <w:name w:val="docsum-journal-citation"/>
    <w:basedOn w:val="DefaultParagraphFont"/>
    <w:rsid w:val="009E0843"/>
  </w:style>
  <w:style w:type="paragraph" w:styleId="PlainText">
    <w:name w:val="Plain Text"/>
    <w:basedOn w:val="Normal"/>
    <w:link w:val="PlainTextChar"/>
    <w:uiPriority w:val="99"/>
    <w:semiHidden/>
    <w:unhideWhenUsed/>
    <w:rsid w:val="00E47D0A"/>
    <w:pPr>
      <w:tabs>
        <w:tab w:val="clear" w:pos="0"/>
      </w:tabs>
      <w:spacing w:before="100" w:beforeAutospacing="1" w:after="100" w:afterAutospacing="1"/>
    </w:pPr>
    <w:rPr>
      <w:color w:val="auto"/>
      <w:sz w:val="24"/>
      <w:szCs w:val="24"/>
      <w:lang w:val="en-AU" w:eastAsia="en-GB"/>
    </w:rPr>
  </w:style>
  <w:style w:type="character" w:customStyle="1" w:styleId="PlainTextChar">
    <w:name w:val="Plain Text Char"/>
    <w:basedOn w:val="DefaultParagraphFont"/>
    <w:link w:val="PlainText"/>
    <w:uiPriority w:val="99"/>
    <w:semiHidden/>
    <w:rsid w:val="00E47D0A"/>
    <w:rPr>
      <w:rFonts w:ascii="Times New Roman" w:eastAsia="Times New Roman" w:hAnsi="Times New Roman" w:cs="Times New Roman"/>
      <w:lang w:eastAsia="en-GB"/>
    </w:rPr>
  </w:style>
  <w:style w:type="character" w:customStyle="1" w:styleId="HeaderChar1">
    <w:name w:val="Header Char1"/>
    <w:aliases w:val="EthylHeader Char1"/>
    <w:uiPriority w:val="99"/>
    <w:rsid w:val="004812D9"/>
    <w:rPr>
      <w:rFonts w:ascii="Times New Roman" w:hAnsi="Times New Roman"/>
      <w:color w:val="000000"/>
      <w:sz w:val="22"/>
      <w:lang w:val="en-GB" w:eastAsia="zh-CN"/>
    </w:rPr>
  </w:style>
  <w:style w:type="paragraph" w:customStyle="1" w:styleId="MainTextNon-indent">
    <w:name w:val="Main Text Non-indent"/>
    <w:basedOn w:val="Normal"/>
    <w:rsid w:val="00EF0F20"/>
    <w:pPr>
      <w:widowControl w:val="0"/>
      <w:tabs>
        <w:tab w:val="clear" w:pos="0"/>
      </w:tabs>
      <w:spacing w:after="0" w:line="240" w:lineRule="exact"/>
    </w:pPr>
    <w:rPr>
      <w:rFonts w:ascii="Times" w:hAnsi="Times"/>
      <w:color w:val="000000"/>
      <w:sz w:val="20"/>
      <w:szCs w:val="20"/>
      <w:lang w:val="en-US" w:eastAsia="zh-CN"/>
    </w:rPr>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autoRedefine/>
    <w:uiPriority w:val="9"/>
    <w:qFormat/>
    <w:rsid w:val="00EF0F20"/>
    <w:rPr>
      <w:rFonts w:ascii="Cambria" w:hAnsi="Cambria"/>
      <w:sz w:val="28"/>
    </w:rPr>
  </w:style>
  <w:style w:type="paragraph" w:customStyle="1" w:styleId="Style15">
    <w:name w:val="Style15"/>
    <w:basedOn w:val="Normal"/>
    <w:qFormat/>
    <w:rsid w:val="00EF0F20"/>
    <w:pPr>
      <w:tabs>
        <w:tab w:val="clear" w:pos="0"/>
        <w:tab w:val="left" w:pos="720"/>
        <w:tab w:val="left" w:pos="1080"/>
      </w:tabs>
      <w:spacing w:after="0"/>
    </w:pPr>
    <w:rPr>
      <w:b/>
      <w:color w:val="000000"/>
      <w:sz w:val="20"/>
      <w:szCs w:val="20"/>
      <w:lang w:eastAsia="zh-CN"/>
    </w:rPr>
  </w:style>
  <w:style w:type="character" w:customStyle="1" w:styleId="FooterChar1">
    <w:name w:val="Footer Char1"/>
    <w:uiPriority w:val="99"/>
    <w:rsid w:val="00EF0F20"/>
    <w:rPr>
      <w:rFonts w:ascii="Times New Roman" w:hAnsi="Times New Roman"/>
      <w:color w:val="000000"/>
      <w:sz w:val="22"/>
      <w:lang w:val="en-GB" w:eastAsia="zh-CN"/>
    </w:rPr>
  </w:style>
  <w:style w:type="paragraph" w:styleId="BodyText">
    <w:name w:val="Body Text"/>
    <w:aliases w:val=" Char Char,Char Char,Body Text Char Char Char Char Char,Body Text Char Char Char Char, Char Char Char Char Char Char Char Char Char Char Char Char Char Char Char Char Char Char Char Char Char Char Char Char Char Char Char Char Char Char Char"/>
    <w:basedOn w:val="Normal"/>
    <w:link w:val="BodyTextChar1"/>
    <w:uiPriority w:val="99"/>
    <w:rsid w:val="00617A00"/>
    <w:pPr>
      <w:tabs>
        <w:tab w:val="clear" w:pos="0"/>
      </w:tabs>
      <w:spacing w:line="240" w:lineRule="atLeast"/>
    </w:pPr>
    <w:rPr>
      <w:color w:val="000000"/>
      <w:szCs w:val="20"/>
      <w:lang w:eastAsia="zh-CN"/>
    </w:rPr>
  </w:style>
  <w:style w:type="character" w:customStyle="1" w:styleId="BodyTextChar">
    <w:name w:val="Body Text Char"/>
    <w:aliases w:val="Char Char3 Char"/>
    <w:basedOn w:val="DefaultParagraphFont"/>
    <w:uiPriority w:val="1"/>
    <w:rsid w:val="00617A00"/>
    <w:rPr>
      <w:rFonts w:ascii="Times New Roman" w:eastAsia="Times New Roman" w:hAnsi="Times New Roman" w:cs="Times New Roman"/>
      <w:color w:val="000000" w:themeColor="text1"/>
      <w:sz w:val="22"/>
      <w:szCs w:val="22"/>
      <w:lang w:val="en-GB"/>
    </w:rPr>
  </w:style>
  <w:style w:type="character" w:customStyle="1" w:styleId="BodyTextChar1">
    <w:name w:val="Body Text Char1"/>
    <w:aliases w:val=" Char Char Char,Char Char Char,Body Text Char Char Char Char Char Char,Body Text Char Char Char Char Char1"/>
    <w:link w:val="BodyText"/>
    <w:uiPriority w:val="99"/>
    <w:rsid w:val="00617A00"/>
    <w:rPr>
      <w:rFonts w:ascii="Times New Roman" w:eastAsia="Times New Roman" w:hAnsi="Times New Roman" w:cs="Times New Roman"/>
      <w:color w:val="000000"/>
      <w:sz w:val="22"/>
      <w:szCs w:val="20"/>
      <w:lang w:val="en-GB" w:eastAsia="zh-CN"/>
    </w:rPr>
  </w:style>
  <w:style w:type="table" w:customStyle="1" w:styleId="TableGrid0">
    <w:name w:val="Table Grid0"/>
    <w:basedOn w:val="TableNormal"/>
    <w:uiPriority w:val="39"/>
    <w:locked/>
    <w:rsid w:val="00581DD0"/>
    <w:rPr>
      <w:rFonts w:ascii="Calibri" w:eastAsia="SimSun" w:hAnsi="Calibri"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5E0BE4"/>
    <w:pPr>
      <w:tabs>
        <w:tab w:val="clear" w:pos="0"/>
      </w:tabs>
      <w:spacing w:after="160" w:line="240" w:lineRule="exact"/>
      <w:jc w:val="both"/>
    </w:pPr>
    <w:rPr>
      <w:rFonts w:asciiTheme="minorHAnsi" w:eastAsiaTheme="minorHAnsi" w:hAnsiTheme="minorHAnsi" w:cstheme="minorBidi"/>
      <w:color w:val="auto"/>
      <w:sz w:val="24"/>
      <w:szCs w:val="24"/>
      <w:vertAlign w:val="superscript"/>
      <w:lang w:val="en-AU"/>
    </w:rPr>
  </w:style>
  <w:style w:type="character" w:customStyle="1" w:styleId="ListParagraphChar">
    <w:name w:val="List Paragraph Char"/>
    <w:link w:val="ListParagraph"/>
    <w:uiPriority w:val="34"/>
    <w:locked/>
    <w:rsid w:val="00774DC3"/>
    <w:rPr>
      <w:rFonts w:ascii="Times New Roman" w:eastAsia="SimSun" w:hAnsi="Times New Roman" w:cs="Times New Roman"/>
      <w:sz w:val="22"/>
      <w:szCs w:val="22"/>
    </w:rPr>
  </w:style>
  <w:style w:type="numbering" w:customStyle="1" w:styleId="Normallist241">
    <w:name w:val="Normal_list241"/>
    <w:rsid w:val="00774DC3"/>
    <w:pPr>
      <w:numPr>
        <w:numId w:val="11"/>
      </w:numPr>
    </w:pPr>
  </w:style>
  <w:style w:type="character" w:customStyle="1" w:styleId="CommentTextChar1">
    <w:name w:val="Comment Text Char1"/>
    <w:basedOn w:val="DefaultParagraphFont"/>
    <w:uiPriority w:val="99"/>
    <w:rsid w:val="00455EB4"/>
    <w:rPr>
      <w:rFonts w:ascii="Times New Roman" w:hAnsi="Times New Roman"/>
      <w:sz w:val="24"/>
      <w:szCs w:val="24"/>
      <w:lang w:val="nl-NL" w:eastAsia="en-US"/>
    </w:rPr>
  </w:style>
  <w:style w:type="paragraph" w:customStyle="1" w:styleId="a">
    <w:name w:val="列出段落"/>
    <w:basedOn w:val="Normal"/>
    <w:uiPriority w:val="34"/>
    <w:qFormat/>
    <w:locked/>
    <w:rsid w:val="009B23E6"/>
    <w:pPr>
      <w:tabs>
        <w:tab w:val="clear" w:pos="0"/>
      </w:tabs>
      <w:autoSpaceDE w:val="0"/>
      <w:autoSpaceDN w:val="0"/>
      <w:spacing w:after="200"/>
      <w:ind w:left="720"/>
    </w:pPr>
    <w:rPr>
      <w:rFonts w:ascii="Cambria" w:hAnsi="Cambria"/>
      <w:color w:val="auto"/>
    </w:rPr>
  </w:style>
  <w:style w:type="paragraph" w:customStyle="1" w:styleId="TableParagraph">
    <w:name w:val="Table Paragraph"/>
    <w:basedOn w:val="Normal"/>
    <w:uiPriority w:val="1"/>
    <w:qFormat/>
    <w:locked/>
    <w:rsid w:val="00A72029"/>
    <w:pPr>
      <w:tabs>
        <w:tab w:val="clear" w:pos="0"/>
      </w:tabs>
      <w:autoSpaceDE w:val="0"/>
      <w:autoSpaceDN w:val="0"/>
      <w:adjustRightInd w:val="0"/>
      <w:spacing w:beforeLines="50" w:before="50" w:after="0"/>
      <w:jc w:val="center"/>
    </w:pPr>
    <w:rPr>
      <w:rFonts w:eastAsia="DengXian"/>
      <w:b/>
      <w:color w:val="auto"/>
      <w:szCs w:val="24"/>
      <w:lang w:val="en-US"/>
    </w:rPr>
  </w:style>
  <w:style w:type="paragraph" w:customStyle="1" w:styleId="Title2">
    <w:name w:val="Title2"/>
    <w:rsid w:val="00247D86"/>
    <w:pPr>
      <w:jc w:val="center"/>
      <w:outlineLvl w:val="0"/>
    </w:pPr>
    <w:rPr>
      <w:rFonts w:ascii="Times New Roman" w:eastAsia="Times New Roman" w:hAnsi="Times New Roman" w:cs="Times New Roman"/>
      <w:b/>
      <w:caps/>
      <w:sz w:val="22"/>
      <w:szCs w:val="22"/>
      <w:lang w:val="en-GB"/>
    </w:rPr>
  </w:style>
  <w:style w:type="table" w:styleId="GridTable5Dark-Accent5">
    <w:name w:val="Grid Table 5 Dark Accent 5"/>
    <w:basedOn w:val="TableNormal"/>
    <w:uiPriority w:val="50"/>
    <w:rsid w:val="001F1323"/>
    <w:rPr>
      <w:rFonts w:ascii="Calibri" w:eastAsia="SimSun" w:hAnsi="Calibri" w:cs="Times New Roman"/>
      <w:sz w:val="20"/>
      <w:szCs w:val="20"/>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GridLight">
    <w:name w:val="Grid Table Light"/>
    <w:basedOn w:val="TableNormal"/>
    <w:uiPriority w:val="40"/>
    <w:rsid w:val="00B33E09"/>
    <w:rPr>
      <w:rFonts w:ascii="Calibri" w:eastAsia="SimSun" w:hAnsi="Calibri" w:cs="Times New Roman"/>
      <w:sz w:val="20"/>
      <w:szCs w:val="20"/>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11">
    <w:name w:val="Grid Table 5 Dark - Accent 11"/>
    <w:basedOn w:val="TableNormal"/>
    <w:next w:val="GridTable5Dark-Accent1"/>
    <w:uiPriority w:val="50"/>
    <w:rsid w:val="00650665"/>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rsid w:val="006506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16">
    <w:name w:val="Table Grid16"/>
    <w:basedOn w:val="TableNormal"/>
    <w:next w:val="TableGrid"/>
    <w:uiPriority w:val="39"/>
    <w:rsid w:val="00E860F6"/>
    <w:rPr>
      <w:rFonts w:ascii="Aptos" w:eastAsia="Aptos" w:hAnsi="Apto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93558"/>
    <w:rPr>
      <w:kern w:val="2"/>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1">
    <w:name w:val="Body Text1"/>
    <w:basedOn w:val="Normal"/>
    <w:next w:val="BodyText"/>
    <w:uiPriority w:val="1"/>
    <w:qFormat/>
    <w:locked/>
    <w:rsid w:val="002732E5"/>
    <w:pPr>
      <w:tabs>
        <w:tab w:val="clear" w:pos="0"/>
      </w:tabs>
      <w:autoSpaceDE w:val="0"/>
      <w:autoSpaceDN w:val="0"/>
      <w:adjustRightInd w:val="0"/>
      <w:spacing w:after="0"/>
    </w:pPr>
    <w:rPr>
      <w:rFonts w:ascii="Tahoma" w:hAnsi="Tahoma"/>
      <w:color w:val="000000"/>
      <w:lang w:val="en-US" w:eastAsia="zh-CN"/>
    </w:rPr>
  </w:style>
  <w:style w:type="character" w:customStyle="1" w:styleId="Heading5Char">
    <w:name w:val="Heading 5 Char"/>
    <w:basedOn w:val="DefaultParagraphFont"/>
    <w:link w:val="Heading5"/>
    <w:uiPriority w:val="9"/>
    <w:rsid w:val="004812BA"/>
    <w:rPr>
      <w:rFonts w:asciiTheme="majorHAnsi" w:eastAsiaTheme="majorEastAsia" w:hAnsiTheme="majorHAnsi" w:cstheme="majorBidi"/>
      <w:color w:val="2F5496" w:themeColor="accent1" w:themeShade="BF"/>
      <w:sz w:val="22"/>
      <w:szCs w:val="22"/>
      <w:lang w:val="en-GB"/>
    </w:rPr>
  </w:style>
  <w:style w:type="character" w:customStyle="1" w:styleId="Heading6Char">
    <w:name w:val="Heading 6 Char"/>
    <w:basedOn w:val="DefaultParagraphFont"/>
    <w:link w:val="Heading6"/>
    <w:uiPriority w:val="9"/>
    <w:rsid w:val="004812BA"/>
    <w:rPr>
      <w:rFonts w:asciiTheme="majorHAnsi" w:eastAsiaTheme="majorEastAsia" w:hAnsiTheme="majorHAnsi" w:cstheme="majorBidi"/>
      <w:color w:val="1F3763" w:themeColor="accent1" w:themeShade="7F"/>
      <w:sz w:val="22"/>
      <w:szCs w:val="22"/>
      <w:lang w:val="en-GB"/>
    </w:rPr>
  </w:style>
  <w:style w:type="character" w:customStyle="1" w:styleId="Heading7Char">
    <w:name w:val="Heading 7 Char"/>
    <w:basedOn w:val="DefaultParagraphFont"/>
    <w:link w:val="Heading7"/>
    <w:uiPriority w:val="9"/>
    <w:rsid w:val="004812BA"/>
    <w:rPr>
      <w:rFonts w:asciiTheme="majorHAnsi" w:eastAsiaTheme="majorEastAsia" w:hAnsiTheme="majorHAnsi" w:cstheme="majorBidi"/>
      <w:i/>
      <w:iCs/>
      <w:color w:val="1F3763" w:themeColor="accent1" w:themeShade="7F"/>
      <w:sz w:val="22"/>
      <w:szCs w:val="22"/>
      <w:lang w:val="en-GB"/>
    </w:rPr>
  </w:style>
  <w:style w:type="character" w:customStyle="1" w:styleId="Heading8Char">
    <w:name w:val="Heading 8 Char"/>
    <w:basedOn w:val="DefaultParagraphFont"/>
    <w:link w:val="Heading8"/>
    <w:uiPriority w:val="9"/>
    <w:rsid w:val="004812B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4812BA"/>
    <w:rPr>
      <w:rFonts w:asciiTheme="majorHAnsi" w:eastAsiaTheme="majorEastAsia" w:hAnsiTheme="majorHAnsi" w:cstheme="majorBidi"/>
      <w:i/>
      <w:iCs/>
      <w:color w:val="272727" w:themeColor="text1" w:themeTint="D8"/>
      <w:sz w:val="21"/>
      <w:szCs w:val="21"/>
      <w:lang w:val="en-GB"/>
    </w:rPr>
  </w:style>
  <w:style w:type="paragraph" w:styleId="BodyText2">
    <w:name w:val="Body Text 2"/>
    <w:basedOn w:val="Normal"/>
    <w:link w:val="BodyText2Char"/>
    <w:semiHidden/>
    <w:rsid w:val="004812BA"/>
    <w:pPr>
      <w:tabs>
        <w:tab w:val="clear" w:pos="0"/>
      </w:tabs>
      <w:spacing w:after="0"/>
    </w:pPr>
    <w:rPr>
      <w:rFonts w:ascii="Tahoma" w:hAnsi="Tahoma"/>
      <w:b/>
      <w:i/>
      <w:color w:val="000000"/>
      <w:lang w:val="en-US" w:eastAsia="nl-NL"/>
    </w:rPr>
  </w:style>
  <w:style w:type="character" w:customStyle="1" w:styleId="BodyText2Char">
    <w:name w:val="Body Text 2 Char"/>
    <w:basedOn w:val="DefaultParagraphFont"/>
    <w:link w:val="BodyText2"/>
    <w:semiHidden/>
    <w:rsid w:val="004812BA"/>
    <w:rPr>
      <w:rFonts w:ascii="Tahoma" w:eastAsia="Times New Roman" w:hAnsi="Tahoma" w:cs="Times New Roman"/>
      <w:b/>
      <w:i/>
      <w:color w:val="000000"/>
      <w:sz w:val="22"/>
      <w:szCs w:val="22"/>
      <w:lang w:val="en-US" w:eastAsia="nl-NL"/>
    </w:rPr>
  </w:style>
  <w:style w:type="paragraph" w:customStyle="1" w:styleId="MediumList2-Accent21">
    <w:name w:val="Medium List 2 - Accent 21"/>
    <w:hidden/>
    <w:semiHidden/>
    <w:rsid w:val="004812BA"/>
    <w:rPr>
      <w:rFonts w:ascii="Calibri" w:eastAsia="SimSun" w:hAnsi="Calibri" w:cs="Times New Roman"/>
      <w:sz w:val="22"/>
      <w:szCs w:val="22"/>
      <w:lang w:val="nl-NL"/>
    </w:rPr>
  </w:style>
  <w:style w:type="paragraph" w:customStyle="1" w:styleId="MediumGrid1-Accent21">
    <w:name w:val="Medium Grid 1 - Accent 21"/>
    <w:basedOn w:val="Normal"/>
    <w:qFormat/>
    <w:locked/>
    <w:rsid w:val="004812BA"/>
    <w:pPr>
      <w:tabs>
        <w:tab w:val="clear" w:pos="0"/>
      </w:tabs>
      <w:spacing w:after="0"/>
      <w:ind w:left="720"/>
    </w:pPr>
    <w:rPr>
      <w:color w:val="auto"/>
      <w:sz w:val="24"/>
    </w:rPr>
  </w:style>
  <w:style w:type="paragraph" w:customStyle="1" w:styleId="Normal-pool">
    <w:name w:val="Normal-pool"/>
    <w:link w:val="Normal-poolChar"/>
    <w:locked/>
    <w:rsid w:val="004812BA"/>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en-GB"/>
    </w:rPr>
  </w:style>
  <w:style w:type="paragraph" w:customStyle="1" w:styleId="Bullet">
    <w:name w:val="Bullet"/>
    <w:basedOn w:val="Normal"/>
    <w:locked/>
    <w:rsid w:val="004812BA"/>
    <w:pPr>
      <w:numPr>
        <w:numId w:val="31"/>
      </w:numPr>
      <w:tabs>
        <w:tab w:val="clear" w:pos="0"/>
      </w:tabs>
      <w:spacing w:before="120" w:after="0"/>
      <w:ind w:left="0" w:firstLine="0"/>
    </w:pPr>
    <w:rPr>
      <w:rFonts w:eastAsia="SimSun"/>
      <w:color w:val="000000"/>
      <w:sz w:val="24"/>
      <w:lang w:val="en-US"/>
    </w:rPr>
  </w:style>
  <w:style w:type="paragraph" w:customStyle="1" w:styleId="ToDoList">
    <w:name w:val="ToDoList"/>
    <w:basedOn w:val="Normal"/>
    <w:locked/>
    <w:rsid w:val="004812BA"/>
    <w:pPr>
      <w:numPr>
        <w:numId w:val="32"/>
      </w:numPr>
      <w:tabs>
        <w:tab w:val="clear" w:pos="0"/>
      </w:tabs>
      <w:spacing w:before="240"/>
      <w:ind w:left="0" w:firstLine="0"/>
    </w:pPr>
    <w:rPr>
      <w:rFonts w:eastAsia="MS ??"/>
      <w:color w:val="auto"/>
      <w:sz w:val="24"/>
    </w:rPr>
  </w:style>
  <w:style w:type="paragraph" w:customStyle="1" w:styleId="List1">
    <w:name w:val="List1"/>
    <w:basedOn w:val="Normal"/>
    <w:autoRedefine/>
    <w:locked/>
    <w:rsid w:val="004812BA"/>
    <w:pPr>
      <w:numPr>
        <w:numId w:val="33"/>
      </w:numPr>
      <w:tabs>
        <w:tab w:val="clear" w:pos="0"/>
      </w:tabs>
      <w:spacing w:before="120" w:after="120"/>
      <w:ind w:left="0" w:firstLine="0"/>
    </w:pPr>
    <w:rPr>
      <w:rFonts w:eastAsia="MS ??"/>
      <w:color w:val="auto"/>
      <w:sz w:val="24"/>
    </w:rPr>
  </w:style>
  <w:style w:type="paragraph" w:customStyle="1" w:styleId="Ballontekst">
    <w:name w:val="Ballontekst"/>
    <w:basedOn w:val="Normal"/>
    <w:semiHidden/>
    <w:unhideWhenUsed/>
    <w:locked/>
    <w:rsid w:val="004812BA"/>
    <w:pPr>
      <w:tabs>
        <w:tab w:val="clear" w:pos="0"/>
      </w:tabs>
      <w:spacing w:after="0"/>
      <w:ind w:left="1080"/>
    </w:pPr>
    <w:rPr>
      <w:rFonts w:ascii="Tahoma" w:eastAsia="SimSun" w:hAnsi="Tahoma"/>
      <w:color w:val="000000"/>
      <w:sz w:val="16"/>
      <w:lang w:val="en-US"/>
    </w:rPr>
  </w:style>
  <w:style w:type="paragraph" w:customStyle="1" w:styleId="10">
    <w:name w:val="目录 1"/>
    <w:basedOn w:val="Normal"/>
    <w:next w:val="Normal"/>
    <w:autoRedefine/>
    <w:uiPriority w:val="39"/>
    <w:locked/>
    <w:rsid w:val="004812BA"/>
    <w:pPr>
      <w:keepNext/>
      <w:tabs>
        <w:tab w:val="clear" w:pos="0"/>
        <w:tab w:val="left" w:pos="426"/>
        <w:tab w:val="right" w:leader="dot" w:pos="8587"/>
      </w:tabs>
      <w:spacing w:before="120" w:after="120"/>
      <w:ind w:left="425" w:hanging="425"/>
    </w:pPr>
    <w:rPr>
      <w:rFonts w:eastAsia="SimSun"/>
      <w:b/>
      <w:caps/>
      <w:color w:val="000000"/>
      <w:sz w:val="20"/>
    </w:rPr>
  </w:style>
  <w:style w:type="paragraph" w:customStyle="1" w:styleId="20">
    <w:name w:val="目录 2"/>
    <w:basedOn w:val="Normal"/>
    <w:next w:val="Normal"/>
    <w:autoRedefine/>
    <w:uiPriority w:val="39"/>
    <w:locked/>
    <w:rsid w:val="004812BA"/>
    <w:pPr>
      <w:tabs>
        <w:tab w:val="clear" w:pos="0"/>
        <w:tab w:val="left" w:pos="709"/>
        <w:tab w:val="left" w:pos="851"/>
        <w:tab w:val="right" w:leader="dot" w:pos="8587"/>
      </w:tabs>
      <w:spacing w:after="0"/>
      <w:ind w:left="696" w:hanging="469"/>
    </w:pPr>
    <w:rPr>
      <w:rFonts w:eastAsia="SimSun"/>
      <w:smallCaps/>
      <w:color w:val="000000"/>
      <w:sz w:val="20"/>
    </w:rPr>
  </w:style>
  <w:style w:type="paragraph" w:customStyle="1" w:styleId="30">
    <w:name w:val="目录 3"/>
    <w:basedOn w:val="Normal"/>
    <w:next w:val="Normal"/>
    <w:autoRedefine/>
    <w:uiPriority w:val="39"/>
    <w:locked/>
    <w:rsid w:val="004812BA"/>
    <w:pPr>
      <w:tabs>
        <w:tab w:val="clear" w:pos="0"/>
      </w:tabs>
      <w:spacing w:after="0"/>
      <w:ind w:left="480"/>
    </w:pPr>
    <w:rPr>
      <w:rFonts w:eastAsia="SimSun"/>
      <w:i/>
      <w:color w:val="000000"/>
      <w:sz w:val="20"/>
      <w:lang w:val="en-US"/>
    </w:rPr>
  </w:style>
  <w:style w:type="character" w:customStyle="1" w:styleId="SubParaaChar">
    <w:name w:val="SubPara (a) Char"/>
    <w:aliases w:val="Heading 2 Char1 Char Char,Heading 2 Char Char Char Char,SubPara (a) Char Char Char Char,Heading 2 Char3 Char Char Char Char,Heading 2 Char Char2 Char Char Char Char,Heading 2 Char1 Char Char1 Char Char Char Char,Heading 2 Char1"/>
    <w:locked/>
    <w:rsid w:val="004812BA"/>
    <w:rPr>
      <w:rFonts w:ascii="Times New Roman" w:eastAsia="Times New Roman" w:hAnsi="Times New Roman"/>
      <w:b/>
      <w:noProof w:val="0"/>
      <w:color w:val="000000"/>
      <w:sz w:val="22"/>
      <w:szCs w:val="22"/>
      <w:lang w:val="en-US" w:eastAsia="en-US"/>
    </w:rPr>
  </w:style>
  <w:style w:type="paragraph" w:customStyle="1" w:styleId="ZZAnxheader">
    <w:name w:val="ZZ_Anx_header"/>
    <w:basedOn w:val="Normal"/>
    <w:locked/>
    <w:rsid w:val="004812BA"/>
    <w:pPr>
      <w:tabs>
        <w:tab w:val="clear" w:pos="0"/>
        <w:tab w:val="left" w:pos="1247"/>
        <w:tab w:val="left" w:pos="1814"/>
        <w:tab w:val="left" w:pos="2381"/>
        <w:tab w:val="left" w:pos="2948"/>
        <w:tab w:val="left" w:pos="3515"/>
        <w:tab w:val="left" w:pos="4082"/>
      </w:tabs>
      <w:spacing w:after="0"/>
    </w:pPr>
    <w:rPr>
      <w:b/>
      <w:bCs/>
      <w:color w:val="auto"/>
      <w:sz w:val="28"/>
      <w:lang w:val="fr-CA"/>
    </w:rPr>
  </w:style>
  <w:style w:type="paragraph" w:customStyle="1" w:styleId="ColorfulList-Accent11">
    <w:name w:val="Colorful List - Accent 11"/>
    <w:basedOn w:val="Normal"/>
    <w:qFormat/>
    <w:locked/>
    <w:rsid w:val="004812BA"/>
    <w:pPr>
      <w:tabs>
        <w:tab w:val="clear" w:pos="0"/>
      </w:tabs>
      <w:spacing w:after="200"/>
      <w:ind w:left="708"/>
    </w:pPr>
    <w:rPr>
      <w:rFonts w:eastAsia="SimSun"/>
      <w:color w:val="auto"/>
    </w:rPr>
  </w:style>
  <w:style w:type="paragraph" w:customStyle="1" w:styleId="ColorfulList-Accent12">
    <w:name w:val="Colorful List - Accent 12"/>
    <w:basedOn w:val="Normal"/>
    <w:qFormat/>
    <w:locked/>
    <w:rsid w:val="004812BA"/>
    <w:pPr>
      <w:tabs>
        <w:tab w:val="clear" w:pos="0"/>
      </w:tabs>
      <w:spacing w:after="200"/>
      <w:ind w:left="708"/>
    </w:pPr>
    <w:rPr>
      <w:rFonts w:eastAsia="SimSun"/>
      <w:color w:val="auto"/>
    </w:rPr>
  </w:style>
  <w:style w:type="paragraph" w:customStyle="1" w:styleId="Execlevel3">
    <w:name w:val="Exec level3"/>
    <w:basedOn w:val="Normal"/>
    <w:locked/>
    <w:rsid w:val="004812BA"/>
    <w:pPr>
      <w:tabs>
        <w:tab w:val="clear" w:pos="0"/>
        <w:tab w:val="left" w:pos="1080"/>
      </w:tabs>
      <w:spacing w:after="0"/>
    </w:pPr>
    <w:rPr>
      <w:b/>
      <w:i/>
      <w:color w:val="000000"/>
      <w:lang w:eastAsia="zh-CN"/>
    </w:rPr>
  </w:style>
  <w:style w:type="paragraph" w:styleId="BodyTextIndent3">
    <w:name w:val="Body Text Indent 3"/>
    <w:basedOn w:val="Normal"/>
    <w:link w:val="BodyTextIndent3Char"/>
    <w:semiHidden/>
    <w:rsid w:val="004812BA"/>
    <w:pPr>
      <w:tabs>
        <w:tab w:val="clear" w:pos="0"/>
      </w:tabs>
      <w:spacing w:after="200"/>
      <w:ind w:left="1134" w:firstLine="11"/>
    </w:pPr>
    <w:rPr>
      <w:rFonts w:eastAsia="SimSun"/>
      <w:b/>
      <w:i/>
      <w:color w:val="auto"/>
    </w:rPr>
  </w:style>
  <w:style w:type="character" w:customStyle="1" w:styleId="BodyTextIndent3Char">
    <w:name w:val="Body Text Indent 3 Char"/>
    <w:basedOn w:val="DefaultParagraphFont"/>
    <w:link w:val="BodyTextIndent3"/>
    <w:semiHidden/>
    <w:rsid w:val="004812BA"/>
    <w:rPr>
      <w:rFonts w:ascii="Times New Roman" w:eastAsia="SimSun" w:hAnsi="Times New Roman" w:cs="Times New Roman"/>
      <w:b/>
      <w:i/>
      <w:sz w:val="22"/>
      <w:szCs w:val="22"/>
      <w:lang w:val="en-GB"/>
    </w:rPr>
  </w:style>
  <w:style w:type="paragraph" w:styleId="BodyText3">
    <w:name w:val="Body Text 3"/>
    <w:basedOn w:val="Normal"/>
    <w:link w:val="BodyText3Char"/>
    <w:semiHidden/>
    <w:rsid w:val="004812BA"/>
    <w:pPr>
      <w:tabs>
        <w:tab w:val="clear" w:pos="0"/>
      </w:tabs>
      <w:spacing w:after="120"/>
      <w:ind w:right="249"/>
    </w:pPr>
    <w:rPr>
      <w:rFonts w:eastAsia="SimSun"/>
      <w:color w:val="auto"/>
      <w:sz w:val="20"/>
    </w:rPr>
  </w:style>
  <w:style w:type="character" w:customStyle="1" w:styleId="BodyText3Char">
    <w:name w:val="Body Text 3 Char"/>
    <w:basedOn w:val="DefaultParagraphFont"/>
    <w:link w:val="BodyText3"/>
    <w:semiHidden/>
    <w:rsid w:val="004812BA"/>
    <w:rPr>
      <w:rFonts w:ascii="Times New Roman" w:eastAsia="SimSun" w:hAnsi="Times New Roman" w:cs="Times New Roman"/>
      <w:sz w:val="20"/>
      <w:szCs w:val="22"/>
      <w:lang w:val="en-GB"/>
    </w:rPr>
  </w:style>
  <w:style w:type="paragraph" w:customStyle="1" w:styleId="40">
    <w:name w:val="目录 4"/>
    <w:basedOn w:val="Normal"/>
    <w:next w:val="Normal"/>
    <w:autoRedefine/>
    <w:uiPriority w:val="39"/>
    <w:locked/>
    <w:rsid w:val="004812BA"/>
    <w:pPr>
      <w:tabs>
        <w:tab w:val="clear" w:pos="0"/>
      </w:tabs>
      <w:spacing w:after="200"/>
      <w:ind w:left="660"/>
    </w:pPr>
    <w:rPr>
      <w:rFonts w:eastAsia="SimSun"/>
      <w:color w:val="auto"/>
    </w:rPr>
  </w:style>
  <w:style w:type="paragraph" w:customStyle="1" w:styleId="50">
    <w:name w:val="目录 5"/>
    <w:basedOn w:val="Normal"/>
    <w:next w:val="Normal"/>
    <w:autoRedefine/>
    <w:uiPriority w:val="39"/>
    <w:locked/>
    <w:rsid w:val="004812BA"/>
    <w:pPr>
      <w:tabs>
        <w:tab w:val="clear" w:pos="0"/>
      </w:tabs>
      <w:spacing w:after="200"/>
      <w:ind w:left="880"/>
    </w:pPr>
    <w:rPr>
      <w:rFonts w:eastAsia="SimSun"/>
      <w:color w:val="auto"/>
    </w:rPr>
  </w:style>
  <w:style w:type="paragraph" w:customStyle="1" w:styleId="60">
    <w:name w:val="目录 6"/>
    <w:basedOn w:val="Normal"/>
    <w:next w:val="Normal"/>
    <w:autoRedefine/>
    <w:uiPriority w:val="39"/>
    <w:locked/>
    <w:rsid w:val="004812BA"/>
    <w:pPr>
      <w:tabs>
        <w:tab w:val="clear" w:pos="0"/>
      </w:tabs>
      <w:spacing w:after="200"/>
      <w:ind w:left="1100"/>
    </w:pPr>
    <w:rPr>
      <w:rFonts w:eastAsia="SimSun"/>
      <w:color w:val="auto"/>
    </w:rPr>
  </w:style>
  <w:style w:type="paragraph" w:customStyle="1" w:styleId="70">
    <w:name w:val="目录 7"/>
    <w:basedOn w:val="Normal"/>
    <w:next w:val="Normal"/>
    <w:autoRedefine/>
    <w:uiPriority w:val="39"/>
    <w:locked/>
    <w:rsid w:val="004812BA"/>
    <w:pPr>
      <w:tabs>
        <w:tab w:val="clear" w:pos="0"/>
      </w:tabs>
      <w:spacing w:after="200"/>
      <w:ind w:left="1320"/>
    </w:pPr>
    <w:rPr>
      <w:rFonts w:eastAsia="SimSun"/>
      <w:color w:val="auto"/>
    </w:rPr>
  </w:style>
  <w:style w:type="paragraph" w:customStyle="1" w:styleId="80">
    <w:name w:val="目录 8"/>
    <w:basedOn w:val="Normal"/>
    <w:next w:val="Normal"/>
    <w:autoRedefine/>
    <w:uiPriority w:val="39"/>
    <w:locked/>
    <w:rsid w:val="004812BA"/>
    <w:pPr>
      <w:tabs>
        <w:tab w:val="clear" w:pos="0"/>
      </w:tabs>
      <w:spacing w:after="200"/>
      <w:ind w:left="1540"/>
    </w:pPr>
    <w:rPr>
      <w:rFonts w:eastAsia="SimSun"/>
      <w:color w:val="auto"/>
    </w:rPr>
  </w:style>
  <w:style w:type="paragraph" w:customStyle="1" w:styleId="9">
    <w:name w:val="目录 9"/>
    <w:basedOn w:val="Normal"/>
    <w:next w:val="Normal"/>
    <w:autoRedefine/>
    <w:uiPriority w:val="39"/>
    <w:locked/>
    <w:rsid w:val="004812BA"/>
    <w:pPr>
      <w:tabs>
        <w:tab w:val="clear" w:pos="0"/>
      </w:tabs>
      <w:spacing w:after="200"/>
      <w:ind w:left="1760"/>
    </w:pPr>
    <w:rPr>
      <w:rFonts w:eastAsia="SimSun"/>
      <w:color w:val="auto"/>
    </w:rPr>
  </w:style>
  <w:style w:type="paragraph" w:styleId="BodyTextIndent2">
    <w:name w:val="Body Text Indent 2"/>
    <w:basedOn w:val="Normal"/>
    <w:link w:val="BodyTextIndent2Char"/>
    <w:semiHidden/>
    <w:rsid w:val="004812BA"/>
    <w:pPr>
      <w:tabs>
        <w:tab w:val="clear" w:pos="0"/>
      </w:tabs>
      <w:spacing w:after="0"/>
      <w:ind w:left="1080"/>
    </w:pPr>
    <w:rPr>
      <w:rFonts w:eastAsia="SimSun"/>
      <w:color w:val="000000"/>
      <w:sz w:val="20"/>
      <w:lang w:val="en-US"/>
    </w:rPr>
  </w:style>
  <w:style w:type="character" w:customStyle="1" w:styleId="BodyTextIndent2Char">
    <w:name w:val="Body Text Indent 2 Char"/>
    <w:basedOn w:val="DefaultParagraphFont"/>
    <w:link w:val="BodyTextIndent2"/>
    <w:semiHidden/>
    <w:rsid w:val="004812BA"/>
    <w:rPr>
      <w:rFonts w:ascii="Times New Roman" w:eastAsia="SimSun" w:hAnsi="Times New Roman" w:cs="Times New Roman"/>
      <w:color w:val="000000"/>
      <w:sz w:val="20"/>
      <w:szCs w:val="22"/>
      <w:lang w:val="en-US"/>
    </w:rPr>
  </w:style>
  <w:style w:type="paragraph" w:styleId="BlockText">
    <w:name w:val="Block Text"/>
    <w:basedOn w:val="Normal"/>
    <w:semiHidden/>
    <w:rsid w:val="004812BA"/>
    <w:pPr>
      <w:tabs>
        <w:tab w:val="clear" w:pos="0"/>
      </w:tabs>
      <w:suppressAutoHyphens/>
      <w:spacing w:after="0"/>
      <w:ind w:left="1080" w:right="216"/>
    </w:pPr>
    <w:rPr>
      <w:rFonts w:eastAsia="SimSun"/>
      <w:color w:val="000000"/>
    </w:rPr>
  </w:style>
  <w:style w:type="paragraph" w:styleId="BodyTextIndent">
    <w:name w:val="Body Text Indent"/>
    <w:basedOn w:val="Normal"/>
    <w:link w:val="BodyTextIndentChar"/>
    <w:semiHidden/>
    <w:rsid w:val="004812BA"/>
    <w:pPr>
      <w:tabs>
        <w:tab w:val="clear" w:pos="0"/>
      </w:tabs>
      <w:spacing w:after="0"/>
      <w:ind w:left="709"/>
    </w:pPr>
    <w:rPr>
      <w:rFonts w:eastAsia="SimSun"/>
      <w:b/>
      <w:i/>
      <w:color w:val="000000"/>
      <w:lang w:val="en-US"/>
    </w:rPr>
  </w:style>
  <w:style w:type="character" w:customStyle="1" w:styleId="BodyTextIndentChar">
    <w:name w:val="Body Text Indent Char"/>
    <w:basedOn w:val="DefaultParagraphFont"/>
    <w:link w:val="BodyTextIndent"/>
    <w:semiHidden/>
    <w:rsid w:val="004812BA"/>
    <w:rPr>
      <w:rFonts w:ascii="Times New Roman" w:eastAsia="SimSun" w:hAnsi="Times New Roman" w:cs="Times New Roman"/>
      <w:b/>
      <w:i/>
      <w:color w:val="000000"/>
      <w:sz w:val="22"/>
      <w:szCs w:val="22"/>
      <w:lang w:val="en-US"/>
    </w:rPr>
  </w:style>
  <w:style w:type="paragraph" w:customStyle="1" w:styleId="MediumGrid1-Accent22">
    <w:name w:val="Medium Grid 1 - Accent 22"/>
    <w:basedOn w:val="Normal"/>
    <w:uiPriority w:val="34"/>
    <w:qFormat/>
    <w:locked/>
    <w:rsid w:val="004812BA"/>
    <w:pPr>
      <w:tabs>
        <w:tab w:val="clear" w:pos="0"/>
      </w:tabs>
      <w:autoSpaceDE w:val="0"/>
      <w:autoSpaceDN w:val="0"/>
      <w:spacing w:after="0"/>
      <w:ind w:left="720"/>
    </w:pPr>
    <w:rPr>
      <w:rFonts w:ascii="Cambria" w:hAnsi="Cambria"/>
      <w:color w:val="auto"/>
      <w:szCs w:val="24"/>
    </w:rPr>
  </w:style>
  <w:style w:type="paragraph" w:customStyle="1" w:styleId="footnotedescription">
    <w:name w:val="footnote description"/>
    <w:next w:val="Normal"/>
    <w:link w:val="footnotedescriptionChar"/>
    <w:hidden/>
    <w:rsid w:val="004812BA"/>
    <w:pPr>
      <w:spacing w:line="262" w:lineRule="auto"/>
      <w:ind w:left="432"/>
    </w:pPr>
    <w:rPr>
      <w:rFonts w:ascii="Times New Roman" w:eastAsia="Times New Roman" w:hAnsi="Times New Roman" w:cs="Times New Roman"/>
      <w:color w:val="000000"/>
      <w:sz w:val="20"/>
      <w:szCs w:val="22"/>
      <w:lang w:val="nl-NL" w:eastAsia="nl-NL"/>
    </w:rPr>
  </w:style>
  <w:style w:type="character" w:customStyle="1" w:styleId="footnotedescriptionChar">
    <w:name w:val="footnote description Char"/>
    <w:link w:val="footnotedescription"/>
    <w:rsid w:val="004812BA"/>
    <w:rPr>
      <w:rFonts w:ascii="Times New Roman" w:eastAsia="Times New Roman" w:hAnsi="Times New Roman" w:cs="Times New Roman"/>
      <w:color w:val="000000"/>
      <w:sz w:val="20"/>
      <w:szCs w:val="22"/>
      <w:lang w:val="nl-NL" w:eastAsia="nl-NL"/>
    </w:rPr>
  </w:style>
  <w:style w:type="character" w:customStyle="1" w:styleId="footnotemark">
    <w:name w:val="footnote mark"/>
    <w:hidden/>
    <w:rsid w:val="004812BA"/>
    <w:rPr>
      <w:rFonts w:ascii="Times New Roman" w:eastAsia="Times New Roman" w:hAnsi="Times New Roman" w:cs="Times New Roman"/>
      <w:color w:val="000000"/>
      <w:sz w:val="20"/>
      <w:vertAlign w:val="superscript"/>
    </w:rPr>
  </w:style>
  <w:style w:type="paragraph" w:customStyle="1" w:styleId="MediumList2-Accent22">
    <w:name w:val="Medium List 2 - Accent 22"/>
    <w:hidden/>
    <w:uiPriority w:val="71"/>
    <w:rsid w:val="004812BA"/>
    <w:rPr>
      <w:rFonts w:ascii="Times New Roman" w:eastAsia="SimSun" w:hAnsi="Times New Roman" w:cs="Times New Roman"/>
      <w:sz w:val="22"/>
      <w:szCs w:val="22"/>
      <w:lang w:val="nl-NL"/>
    </w:rPr>
  </w:style>
  <w:style w:type="paragraph" w:customStyle="1" w:styleId="GridTable31">
    <w:name w:val="Grid Table 31"/>
    <w:basedOn w:val="Heading1"/>
    <w:next w:val="Normal"/>
    <w:uiPriority w:val="39"/>
    <w:unhideWhenUsed/>
    <w:qFormat/>
    <w:locked/>
    <w:rsid w:val="004812BA"/>
  </w:style>
  <w:style w:type="paragraph" w:customStyle="1" w:styleId="ColorfulShading-Accent11">
    <w:name w:val="Colorful Shading - Accent 11"/>
    <w:hidden/>
    <w:uiPriority w:val="71"/>
    <w:rsid w:val="004812BA"/>
    <w:rPr>
      <w:rFonts w:ascii="Times New Roman" w:eastAsia="SimSun" w:hAnsi="Times New Roman" w:cs="Times New Roman"/>
      <w:sz w:val="22"/>
      <w:szCs w:val="22"/>
      <w:lang w:val="nl-NL"/>
    </w:rPr>
  </w:style>
  <w:style w:type="paragraph" w:customStyle="1" w:styleId="refs">
    <w:name w:val="refs"/>
    <w:basedOn w:val="Normal"/>
    <w:locked/>
    <w:rsid w:val="004812BA"/>
    <w:pPr>
      <w:tabs>
        <w:tab w:val="clear" w:pos="0"/>
      </w:tabs>
      <w:spacing w:before="100" w:after="100"/>
    </w:pPr>
    <w:rPr>
      <w:i/>
      <w:color w:val="auto"/>
      <w:sz w:val="18"/>
      <w:szCs w:val="20"/>
      <w:lang w:eastAsia="zh-CN"/>
    </w:rPr>
  </w:style>
  <w:style w:type="paragraph" w:customStyle="1" w:styleId="BBTitle">
    <w:name w:val="BB_Title"/>
    <w:basedOn w:val="Normal"/>
    <w:link w:val="BBTitleChar"/>
    <w:locked/>
    <w:rsid w:val="004812BA"/>
    <w:pPr>
      <w:keepNext/>
      <w:keepLines/>
      <w:tabs>
        <w:tab w:val="clear" w:pos="0"/>
        <w:tab w:val="left" w:pos="1247"/>
        <w:tab w:val="left" w:pos="1814"/>
        <w:tab w:val="left" w:pos="2381"/>
        <w:tab w:val="left" w:pos="2948"/>
        <w:tab w:val="left" w:pos="3515"/>
        <w:tab w:val="left" w:pos="4082"/>
      </w:tabs>
      <w:suppressAutoHyphens/>
      <w:spacing w:before="320"/>
      <w:ind w:left="1247" w:right="567"/>
    </w:pPr>
    <w:rPr>
      <w:b/>
      <w:color w:val="auto"/>
      <w:sz w:val="28"/>
      <w:szCs w:val="28"/>
    </w:rPr>
  </w:style>
  <w:style w:type="character" w:customStyle="1" w:styleId="BBTitleChar">
    <w:name w:val="BB_Title Char"/>
    <w:link w:val="BBTitle"/>
    <w:locked/>
    <w:rsid w:val="004812BA"/>
    <w:rPr>
      <w:rFonts w:ascii="Times New Roman" w:eastAsia="Times New Roman" w:hAnsi="Times New Roman" w:cs="Times New Roman"/>
      <w:b/>
      <w:sz w:val="28"/>
      <w:szCs w:val="28"/>
      <w:lang w:val="en-GB"/>
    </w:rPr>
  </w:style>
  <w:style w:type="character" w:customStyle="1" w:styleId="hlfld-title">
    <w:name w:val="hlfld-title"/>
    <w:locked/>
    <w:rsid w:val="004812BA"/>
  </w:style>
  <w:style w:type="character" w:styleId="HTMLCite">
    <w:name w:val="HTML Cite"/>
    <w:uiPriority w:val="99"/>
    <w:semiHidden/>
    <w:unhideWhenUsed/>
    <w:rsid w:val="004812BA"/>
    <w:rPr>
      <w:i/>
      <w:iCs/>
    </w:rPr>
  </w:style>
  <w:style w:type="character" w:customStyle="1" w:styleId="citationyear">
    <w:name w:val="citation_year"/>
    <w:locked/>
    <w:rsid w:val="004812BA"/>
  </w:style>
  <w:style w:type="character" w:customStyle="1" w:styleId="citationvolume">
    <w:name w:val="citation_volume"/>
    <w:locked/>
    <w:rsid w:val="004812BA"/>
  </w:style>
  <w:style w:type="character" w:styleId="Strong">
    <w:name w:val="Strong"/>
    <w:uiPriority w:val="22"/>
    <w:qFormat/>
    <w:rsid w:val="004812BA"/>
    <w:rPr>
      <w:b/>
      <w:bCs/>
    </w:rPr>
  </w:style>
  <w:style w:type="paragraph" w:customStyle="1" w:styleId="CH2">
    <w:name w:val="CH2"/>
    <w:basedOn w:val="Normalpool"/>
    <w:next w:val="Normalnumber"/>
    <w:link w:val="CH2Char"/>
    <w:locked/>
    <w:rsid w:val="004812BA"/>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link w:val="CH3Char"/>
    <w:locked/>
    <w:rsid w:val="004812BA"/>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locked/>
    <w:rsid w:val="004812BA"/>
    <w:pPr>
      <w:keepNext/>
      <w:keepLines/>
      <w:tabs>
        <w:tab w:val="right" w:pos="851"/>
      </w:tabs>
      <w:suppressAutoHyphens/>
      <w:spacing w:after="120"/>
      <w:ind w:left="1247" w:right="284" w:hanging="1247"/>
    </w:pPr>
    <w:rPr>
      <w:b/>
      <w:lang w:val="en-GB"/>
    </w:rPr>
  </w:style>
  <w:style w:type="paragraph" w:customStyle="1" w:styleId="Normalpool">
    <w:name w:val="Normal_pool"/>
    <w:link w:val="NormalpoolChar"/>
    <w:locked/>
    <w:rsid w:val="004812BA"/>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fr-FR"/>
    </w:rPr>
  </w:style>
  <w:style w:type="character" w:customStyle="1" w:styleId="NormalNonumberChar">
    <w:name w:val="Normal_No_number Char"/>
    <w:link w:val="NormalNonumber"/>
    <w:locked/>
    <w:rsid w:val="004812BA"/>
  </w:style>
  <w:style w:type="character" w:customStyle="1" w:styleId="CH2Char">
    <w:name w:val="CH2 Char"/>
    <w:link w:val="CH2"/>
    <w:locked/>
    <w:rsid w:val="004812BA"/>
    <w:rPr>
      <w:rFonts w:ascii="Times New Roman" w:eastAsia="Times New Roman" w:hAnsi="Times New Roman" w:cs="Times New Roman"/>
      <w:b/>
      <w:lang w:val="en-GB"/>
    </w:rPr>
  </w:style>
  <w:style w:type="character" w:customStyle="1" w:styleId="NormalnumberChar">
    <w:name w:val="Normal_number Char"/>
    <w:link w:val="Normalnumber"/>
    <w:locked/>
    <w:rsid w:val="004812BA"/>
    <w:rPr>
      <w:lang w:val="nl-NL"/>
    </w:rPr>
  </w:style>
  <w:style w:type="character" w:customStyle="1" w:styleId="NormalpoolChar">
    <w:name w:val="Normal_pool Char"/>
    <w:link w:val="Normalpool"/>
    <w:locked/>
    <w:rsid w:val="004812BA"/>
    <w:rPr>
      <w:rFonts w:ascii="Times New Roman" w:eastAsia="Times New Roman" w:hAnsi="Times New Roman" w:cs="Times New Roman"/>
      <w:sz w:val="20"/>
      <w:szCs w:val="20"/>
      <w:lang w:val="fr-FR"/>
    </w:rPr>
  </w:style>
  <w:style w:type="numbering" w:customStyle="1" w:styleId="Normallist">
    <w:name w:val="Normal_list"/>
    <w:basedOn w:val="NoList"/>
    <w:locked/>
    <w:rsid w:val="004812BA"/>
    <w:pPr>
      <w:numPr>
        <w:numId w:val="46"/>
      </w:numPr>
    </w:pPr>
  </w:style>
  <w:style w:type="paragraph" w:customStyle="1" w:styleId="NormalNonumber">
    <w:name w:val="Normal_No_number"/>
    <w:basedOn w:val="Normalpool"/>
    <w:link w:val="NormalNonumberChar"/>
    <w:locked/>
    <w:rsid w:val="004812BA"/>
    <w:pPr>
      <w:spacing w:after="120"/>
      <w:ind w:left="1247"/>
    </w:pPr>
    <w:rPr>
      <w:rFonts w:asciiTheme="minorHAnsi" w:eastAsiaTheme="minorHAnsi" w:hAnsiTheme="minorHAnsi" w:cstheme="minorBidi"/>
      <w:sz w:val="24"/>
      <w:szCs w:val="24"/>
      <w:lang w:val="en-AU"/>
    </w:rPr>
  </w:style>
  <w:style w:type="paragraph" w:customStyle="1" w:styleId="Normalnumber">
    <w:name w:val="Normal_number"/>
    <w:basedOn w:val="Normalpool"/>
    <w:link w:val="NormalnumberChar"/>
    <w:autoRedefine/>
    <w:locked/>
    <w:rsid w:val="004812BA"/>
    <w:pPr>
      <w:keepNext/>
      <w:tabs>
        <w:tab w:val="clear" w:pos="1247"/>
        <w:tab w:val="clear" w:pos="1814"/>
        <w:tab w:val="clear" w:pos="2381"/>
        <w:tab w:val="clear" w:pos="2948"/>
        <w:tab w:val="clear" w:pos="3515"/>
        <w:tab w:val="clear" w:pos="4082"/>
        <w:tab w:val="left" w:pos="624"/>
        <w:tab w:val="num" w:pos="1134"/>
      </w:tabs>
      <w:spacing w:after="120"/>
      <w:ind w:left="1530" w:hanging="360"/>
    </w:pPr>
    <w:rPr>
      <w:rFonts w:asciiTheme="minorHAnsi" w:eastAsiaTheme="minorHAnsi" w:hAnsiTheme="minorHAnsi" w:cstheme="minorBidi"/>
      <w:sz w:val="24"/>
      <w:szCs w:val="24"/>
      <w:lang w:val="nl-NL"/>
    </w:rPr>
  </w:style>
  <w:style w:type="character" w:customStyle="1" w:styleId="Hyperlink0">
    <w:name w:val="Hyperlink.0"/>
    <w:locked/>
    <w:rsid w:val="004812BA"/>
    <w:rPr>
      <w:strike w:val="0"/>
      <w:dstrike w:val="0"/>
      <w:color w:val="000000"/>
      <w:sz w:val="18"/>
      <w:szCs w:val="18"/>
      <w:u w:val="none" w:color="000000"/>
      <w:effect w:val="none"/>
      <w:lang w:val="en-US"/>
    </w:rPr>
  </w:style>
  <w:style w:type="character" w:customStyle="1" w:styleId="CH3Char">
    <w:name w:val="CH3 Char"/>
    <w:link w:val="CH3"/>
    <w:rsid w:val="004812BA"/>
    <w:rPr>
      <w:rFonts w:ascii="Times New Roman" w:eastAsia="Times New Roman" w:hAnsi="Times New Roman" w:cs="Times New Roman"/>
      <w:b/>
      <w:sz w:val="20"/>
      <w:szCs w:val="20"/>
      <w:lang w:val="en-GB"/>
    </w:rPr>
  </w:style>
  <w:style w:type="character" w:customStyle="1" w:styleId="Normal-poolChar">
    <w:name w:val="Normal-pool Char"/>
    <w:link w:val="Normal-pool"/>
    <w:locked/>
    <w:rsid w:val="004812BA"/>
    <w:rPr>
      <w:rFonts w:ascii="Times New Roman" w:eastAsia="Times New Roman" w:hAnsi="Times New Roman" w:cs="Times New Roman"/>
      <w:sz w:val="20"/>
      <w:szCs w:val="20"/>
      <w:lang w:val="en-GB"/>
    </w:rPr>
  </w:style>
  <w:style w:type="character" w:customStyle="1" w:styleId="BalloonTextChar1">
    <w:name w:val="Balloon Text Char1"/>
    <w:basedOn w:val="DefaultParagraphFont"/>
    <w:uiPriority w:val="99"/>
    <w:semiHidden/>
    <w:rsid w:val="004812BA"/>
    <w:rPr>
      <w:rFonts w:ascii="Lucida Grande" w:hAnsi="Lucida Grande" w:cs="SimSun"/>
      <w:sz w:val="18"/>
      <w:szCs w:val="18"/>
      <w:lang w:val="nl-NL" w:eastAsia="en-US"/>
    </w:rPr>
  </w:style>
  <w:style w:type="table" w:styleId="GridTable3-Accent4">
    <w:name w:val="Grid Table 3 Accent 4"/>
    <w:basedOn w:val="TableNormal"/>
    <w:uiPriority w:val="48"/>
    <w:rsid w:val="004812BA"/>
    <w:rPr>
      <w:rFonts w:eastAsia="SimSun"/>
      <w:sz w:val="22"/>
      <w:szCs w:val="22"/>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5Dark-Accent4">
    <w:name w:val="Grid Table 5 Dark Accent 4"/>
    <w:basedOn w:val="TableNormal"/>
    <w:uiPriority w:val="50"/>
    <w:rsid w:val="004812BA"/>
    <w:rPr>
      <w:rFonts w:eastAsia="SimSun"/>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CommentSubjectChar1">
    <w:name w:val="Comment Subject Char1"/>
    <w:basedOn w:val="CommentTextChar1"/>
    <w:uiPriority w:val="99"/>
    <w:semiHidden/>
    <w:rsid w:val="004812BA"/>
    <w:rPr>
      <w:rFonts w:ascii="Times New Roman" w:hAnsi="Times New Roman"/>
      <w:b/>
      <w:bCs/>
      <w:sz w:val="24"/>
      <w:szCs w:val="24"/>
      <w:lang w:val="nl-NL" w:eastAsia="en-US"/>
    </w:rPr>
  </w:style>
  <w:style w:type="character" w:customStyle="1" w:styleId="Heading2Char4">
    <w:name w:val="Heading 2 Char4"/>
    <w:aliases w:val="SubPara (a) Char1,Heading 2 Char Char,Heading 2 Char1 Char Char1,Heading 2 Char Char Char Char1,SubPara (a) Char Char Char Char1,Heading 2 Char3 Char Char Char Char1,Heading 2 Char Char2 Char Char Char Char1,Heading 2 Char3 Char"/>
    <w:basedOn w:val="DefaultParagraphFont"/>
    <w:uiPriority w:val="9"/>
    <w:rsid w:val="004812BA"/>
    <w:rPr>
      <w:rFonts w:ascii="Times New Roman" w:eastAsia="Times New Roman" w:hAnsi="Times New Roman"/>
      <w:b/>
      <w:caps/>
      <w:color w:val="000000" w:themeColor="text1"/>
      <w:sz w:val="22"/>
      <w:szCs w:val="22"/>
      <w:lang w:eastAsia="nl-NL"/>
    </w:rPr>
  </w:style>
  <w:style w:type="character" w:customStyle="1" w:styleId="32">
    <w:name w:val="标题 3 字符"/>
    <w:basedOn w:val="DefaultParagraphFont"/>
    <w:uiPriority w:val="9"/>
    <w:locked/>
    <w:rsid w:val="004812BA"/>
    <w:rPr>
      <w:rFonts w:ascii="Calibri Light" w:eastAsia="DengXian Light" w:hAnsi="Calibri Light" w:cs="Times New Roman"/>
      <w:color w:val="1F3763"/>
      <w:lang w:val="nl-NL"/>
    </w:rPr>
  </w:style>
  <w:style w:type="paragraph" w:customStyle="1" w:styleId="Heading11">
    <w:name w:val="Heading11"/>
    <w:basedOn w:val="Normal"/>
    <w:next w:val="Normal"/>
    <w:qFormat/>
    <w:locked/>
    <w:rsid w:val="004812BA"/>
    <w:pPr>
      <w:keepNext/>
      <w:keepLines/>
      <w:tabs>
        <w:tab w:val="clear" w:pos="0"/>
      </w:tabs>
      <w:spacing w:before="240" w:after="0"/>
      <w:outlineLvl w:val="0"/>
    </w:pPr>
    <w:rPr>
      <w:rFonts w:ascii="Calibri Light" w:eastAsia="DengXian Light" w:hAnsi="Calibri Light"/>
      <w:color w:val="2F5496"/>
      <w:sz w:val="32"/>
      <w:szCs w:val="32"/>
    </w:rPr>
  </w:style>
  <w:style w:type="paragraph" w:customStyle="1" w:styleId="table">
    <w:name w:val="table"/>
    <w:basedOn w:val="Normal"/>
    <w:next w:val="Normal"/>
    <w:unhideWhenUsed/>
    <w:qFormat/>
    <w:locked/>
    <w:rsid w:val="004812BA"/>
    <w:pPr>
      <w:keepNext/>
      <w:keepLines/>
      <w:tabs>
        <w:tab w:val="clear" w:pos="0"/>
      </w:tabs>
      <w:spacing w:before="40" w:after="0"/>
      <w:outlineLvl w:val="2"/>
    </w:pPr>
    <w:rPr>
      <w:rFonts w:ascii="Calibri Light" w:hAnsi="Calibri Light"/>
      <w:sz w:val="24"/>
      <w:szCs w:val="24"/>
    </w:rPr>
  </w:style>
  <w:style w:type="table" w:styleId="GridTable1Light">
    <w:name w:val="Grid Table 1 Light"/>
    <w:basedOn w:val="TableNormal"/>
    <w:uiPriority w:val="46"/>
    <w:rsid w:val="004812BA"/>
    <w:rPr>
      <w:rFonts w:ascii="Calibri" w:eastAsia="SimSun" w:hAnsi="Calibri" w:cs="Times New Roman"/>
      <w:sz w:val="20"/>
      <w:szCs w:val="20"/>
      <w:lang w:val="en-US"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yperlink1">
    <w:name w:val="Hyperlink1"/>
    <w:basedOn w:val="DefaultParagraphFont"/>
    <w:uiPriority w:val="99"/>
    <w:unhideWhenUsed/>
    <w:locked/>
    <w:rsid w:val="004812BA"/>
    <w:rPr>
      <w:color w:val="0563C1"/>
      <w:u w:val="single"/>
    </w:rPr>
  </w:style>
  <w:style w:type="character" w:customStyle="1" w:styleId="Heading4Char1">
    <w:name w:val="Heading 4 Char1"/>
    <w:aliases w:val="Heading 11 Char1,para 4 Char1,Título 41 Char1,heading 4 Char1,Heading 41 Char1,标题 41 Char1"/>
    <w:basedOn w:val="DefaultParagraphFont"/>
    <w:semiHidden/>
    <w:locked/>
    <w:rsid w:val="004812BA"/>
    <w:rPr>
      <w:rFonts w:ascii="Calibri Light" w:eastAsia="Times New Roman" w:hAnsi="Calibri Light" w:cs="Times New Roman"/>
      <w:i/>
      <w:iCs/>
      <w:color w:val="2F5496"/>
    </w:rPr>
  </w:style>
  <w:style w:type="character" w:customStyle="1" w:styleId="Hyperlink2">
    <w:name w:val="Hyperlink2"/>
    <w:basedOn w:val="DefaultParagraphFont"/>
    <w:uiPriority w:val="99"/>
    <w:semiHidden/>
    <w:unhideWhenUsed/>
    <w:locked/>
    <w:rsid w:val="004812BA"/>
    <w:rPr>
      <w:color w:val="0563C1"/>
      <w:u w:val="single"/>
    </w:rPr>
  </w:style>
  <w:style w:type="character" w:customStyle="1" w:styleId="12">
    <w:name w:val="@他1"/>
    <w:basedOn w:val="DefaultParagraphFont"/>
    <w:uiPriority w:val="99"/>
    <w:unhideWhenUsed/>
    <w:locked/>
    <w:rsid w:val="004812BA"/>
    <w:rPr>
      <w:color w:val="2B579A"/>
      <w:shd w:val="clear" w:color="auto" w:fill="E1DFDD"/>
    </w:rPr>
  </w:style>
  <w:style w:type="table" w:customStyle="1" w:styleId="TableGrid5">
    <w:name w:val="Table Grid5"/>
    <w:basedOn w:val="TableNormal"/>
    <w:next w:val="TableGrid0"/>
    <w:uiPriority w:val="39"/>
    <w:locked/>
    <w:rsid w:val="004812BA"/>
    <w:rPr>
      <w:rFonts w:eastAsiaTheme="minorEastAsia"/>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locked/>
    <w:rsid w:val="004812BA"/>
    <w:pPr>
      <w:tabs>
        <w:tab w:val="clear" w:pos="0"/>
      </w:tabs>
      <w:spacing w:before="100" w:beforeAutospacing="1" w:after="100" w:afterAutospacing="1"/>
    </w:pPr>
    <w:rPr>
      <w:color w:val="auto"/>
      <w:sz w:val="24"/>
      <w:szCs w:val="24"/>
      <w:lang w:val="en-US"/>
    </w:rPr>
  </w:style>
  <w:style w:type="paragraph" w:customStyle="1" w:styleId="xl66">
    <w:name w:val="xl66"/>
    <w:basedOn w:val="Normal"/>
    <w:locked/>
    <w:rsid w:val="004812BA"/>
    <w:pPr>
      <w:tabs>
        <w:tab w:val="clear" w:pos="0"/>
      </w:tabs>
      <w:spacing w:before="100" w:beforeAutospacing="1" w:after="100" w:afterAutospacing="1"/>
    </w:pPr>
    <w:rPr>
      <w:b/>
      <w:bCs/>
      <w:color w:val="auto"/>
      <w:sz w:val="24"/>
      <w:szCs w:val="24"/>
      <w:lang w:val="en-US"/>
    </w:rPr>
  </w:style>
  <w:style w:type="paragraph" w:customStyle="1" w:styleId="xl67">
    <w:name w:val="xl67"/>
    <w:basedOn w:val="Normal"/>
    <w:locked/>
    <w:rsid w:val="004812BA"/>
    <w:pPr>
      <w:pBdr>
        <w:top w:val="single" w:sz="4" w:space="0" w:color="auto"/>
        <w:left w:val="single" w:sz="4"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68">
    <w:name w:val="xl68"/>
    <w:basedOn w:val="Normal"/>
    <w:locked/>
    <w:rsid w:val="004812BA"/>
    <w:pPr>
      <w:pBdr>
        <w:top w:val="single" w:sz="4" w:space="0" w:color="auto"/>
        <w:left w:val="single" w:sz="4"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69">
    <w:name w:val="xl69"/>
    <w:basedOn w:val="Normal"/>
    <w:locked/>
    <w:rsid w:val="004812BA"/>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pPr>
    <w:rPr>
      <w:color w:val="auto"/>
      <w:sz w:val="24"/>
      <w:szCs w:val="24"/>
      <w:lang w:val="en-US"/>
    </w:rPr>
  </w:style>
  <w:style w:type="paragraph" w:customStyle="1" w:styleId="xl70">
    <w:name w:val="xl70"/>
    <w:basedOn w:val="Normal"/>
    <w:locked/>
    <w:rsid w:val="004812BA"/>
    <w:pPr>
      <w:pBdr>
        <w:top w:val="single" w:sz="8" w:space="0" w:color="auto"/>
        <w:left w:val="single" w:sz="4"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71">
    <w:name w:val="xl71"/>
    <w:basedOn w:val="Normal"/>
    <w:locked/>
    <w:rsid w:val="004812BA"/>
    <w:pPr>
      <w:pBdr>
        <w:top w:val="single" w:sz="4" w:space="0" w:color="auto"/>
        <w:left w:val="single" w:sz="4" w:space="0" w:color="auto"/>
        <w:bottom w:val="single" w:sz="4" w:space="0" w:color="auto"/>
        <w:right w:val="single" w:sz="8"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72">
    <w:name w:val="xl72"/>
    <w:basedOn w:val="Normal"/>
    <w:locked/>
    <w:rsid w:val="004812BA"/>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pPr>
    <w:rPr>
      <w:color w:val="auto"/>
      <w:sz w:val="24"/>
      <w:szCs w:val="24"/>
      <w:lang w:val="en-US"/>
    </w:rPr>
  </w:style>
  <w:style w:type="paragraph" w:customStyle="1" w:styleId="xl73">
    <w:name w:val="xl73"/>
    <w:basedOn w:val="Normal"/>
    <w:locked/>
    <w:rsid w:val="004812BA"/>
    <w:pPr>
      <w:pBdr>
        <w:top w:val="single" w:sz="4" w:space="0" w:color="auto"/>
        <w:left w:val="single" w:sz="8"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74">
    <w:name w:val="xl74"/>
    <w:basedOn w:val="Normal"/>
    <w:locked/>
    <w:rsid w:val="004812BA"/>
    <w:pPr>
      <w:pBdr>
        <w:top w:val="single" w:sz="8" w:space="0" w:color="auto"/>
        <w:left w:val="single" w:sz="8" w:space="0" w:color="auto"/>
        <w:bottom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75">
    <w:name w:val="xl75"/>
    <w:basedOn w:val="Normal"/>
    <w:locked/>
    <w:rsid w:val="004812BA"/>
    <w:pPr>
      <w:pBdr>
        <w:top w:val="single" w:sz="4" w:space="0" w:color="auto"/>
        <w:left w:val="single" w:sz="8" w:space="0" w:color="auto"/>
        <w:bottom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76">
    <w:name w:val="xl76"/>
    <w:basedOn w:val="Normal"/>
    <w:locked/>
    <w:rsid w:val="004812BA"/>
    <w:pPr>
      <w:pBdr>
        <w:top w:val="single" w:sz="4" w:space="0" w:color="auto"/>
        <w:left w:val="single" w:sz="8" w:space="0" w:color="auto"/>
        <w:bottom w:val="single" w:sz="4" w:space="0" w:color="auto"/>
      </w:pBdr>
      <w:tabs>
        <w:tab w:val="clear" w:pos="0"/>
      </w:tabs>
      <w:spacing w:before="100" w:beforeAutospacing="1" w:after="100" w:afterAutospacing="1"/>
    </w:pPr>
    <w:rPr>
      <w:b/>
      <w:bCs/>
      <w:color w:val="auto"/>
      <w:sz w:val="24"/>
      <w:szCs w:val="24"/>
      <w:lang w:val="en-US"/>
    </w:rPr>
  </w:style>
  <w:style w:type="paragraph" w:customStyle="1" w:styleId="xl77">
    <w:name w:val="xl77"/>
    <w:basedOn w:val="Normal"/>
    <w:locked/>
    <w:rsid w:val="004812BA"/>
    <w:pPr>
      <w:pBdr>
        <w:top w:val="single" w:sz="4" w:space="0" w:color="auto"/>
        <w:left w:val="single" w:sz="8" w:space="0" w:color="auto"/>
        <w:bottom w:val="single" w:sz="8" w:space="0" w:color="auto"/>
      </w:pBdr>
      <w:tabs>
        <w:tab w:val="clear" w:pos="0"/>
      </w:tabs>
      <w:spacing w:before="100" w:beforeAutospacing="1" w:after="100" w:afterAutospacing="1"/>
    </w:pPr>
    <w:rPr>
      <w:b/>
      <w:bCs/>
      <w:color w:val="auto"/>
      <w:sz w:val="24"/>
      <w:szCs w:val="24"/>
      <w:lang w:val="en-US"/>
    </w:rPr>
  </w:style>
  <w:style w:type="paragraph" w:customStyle="1" w:styleId="xl78">
    <w:name w:val="xl78"/>
    <w:basedOn w:val="Normal"/>
    <w:locked/>
    <w:rsid w:val="004812BA"/>
    <w:pPr>
      <w:pBdr>
        <w:top w:val="single" w:sz="8" w:space="0" w:color="auto"/>
        <w:left w:val="single" w:sz="8"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79">
    <w:name w:val="xl79"/>
    <w:basedOn w:val="Normal"/>
    <w:locked/>
    <w:rsid w:val="004812BA"/>
    <w:pPr>
      <w:pBdr>
        <w:top w:val="single" w:sz="8" w:space="0" w:color="auto"/>
        <w:left w:val="single" w:sz="4" w:space="0" w:color="auto"/>
        <w:bottom w:val="single" w:sz="4" w:space="0" w:color="auto"/>
        <w:right w:val="single" w:sz="8"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80">
    <w:name w:val="xl80"/>
    <w:basedOn w:val="Normal"/>
    <w:locked/>
    <w:rsid w:val="004812BA"/>
    <w:pPr>
      <w:pBdr>
        <w:top w:val="single" w:sz="4" w:space="0" w:color="auto"/>
        <w:left w:val="single" w:sz="8"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81">
    <w:name w:val="xl81"/>
    <w:basedOn w:val="Normal"/>
    <w:locked/>
    <w:rsid w:val="004812BA"/>
    <w:pPr>
      <w:pBdr>
        <w:top w:val="single" w:sz="4" w:space="0" w:color="auto"/>
        <w:left w:val="single" w:sz="4" w:space="0" w:color="auto"/>
        <w:bottom w:val="single" w:sz="4" w:space="0" w:color="auto"/>
        <w:right w:val="single" w:sz="8"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82">
    <w:name w:val="xl82"/>
    <w:basedOn w:val="Normal"/>
    <w:locked/>
    <w:rsid w:val="004812BA"/>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pPr>
    <w:rPr>
      <w:color w:val="auto"/>
      <w:sz w:val="24"/>
      <w:szCs w:val="24"/>
      <w:lang w:val="en-US"/>
    </w:rPr>
  </w:style>
  <w:style w:type="paragraph" w:customStyle="1" w:styleId="xl83">
    <w:name w:val="xl83"/>
    <w:basedOn w:val="Normal"/>
    <w:locked/>
    <w:rsid w:val="004812BA"/>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pPr>
    <w:rPr>
      <w:color w:val="auto"/>
      <w:sz w:val="24"/>
      <w:szCs w:val="24"/>
      <w:lang w:val="en-US"/>
    </w:rPr>
  </w:style>
  <w:style w:type="paragraph" w:customStyle="1" w:styleId="xl84">
    <w:name w:val="xl84"/>
    <w:basedOn w:val="Normal"/>
    <w:locked/>
    <w:rsid w:val="004812BA"/>
    <w:pPr>
      <w:pBdr>
        <w:top w:val="single" w:sz="4" w:space="0" w:color="auto"/>
        <w:left w:val="single" w:sz="8" w:space="0" w:color="auto"/>
        <w:bottom w:val="single" w:sz="8" w:space="0" w:color="auto"/>
        <w:right w:val="single" w:sz="4" w:space="0" w:color="auto"/>
      </w:pBdr>
      <w:tabs>
        <w:tab w:val="clear" w:pos="0"/>
      </w:tabs>
      <w:spacing w:before="100" w:beforeAutospacing="1" w:after="100" w:afterAutospacing="1"/>
    </w:pPr>
    <w:rPr>
      <w:color w:val="auto"/>
      <w:sz w:val="24"/>
      <w:szCs w:val="24"/>
      <w:lang w:val="en-US"/>
    </w:rPr>
  </w:style>
  <w:style w:type="paragraph" w:customStyle="1" w:styleId="xl85">
    <w:name w:val="xl85"/>
    <w:basedOn w:val="Normal"/>
    <w:locked/>
    <w:rsid w:val="004812BA"/>
    <w:pPr>
      <w:pBdr>
        <w:top w:val="single" w:sz="4" w:space="0" w:color="auto"/>
        <w:left w:val="single" w:sz="4" w:space="0" w:color="auto"/>
        <w:bottom w:val="single" w:sz="8" w:space="0" w:color="auto"/>
        <w:right w:val="single" w:sz="8" w:space="0" w:color="auto"/>
      </w:pBdr>
      <w:tabs>
        <w:tab w:val="clear" w:pos="0"/>
      </w:tabs>
      <w:spacing w:before="100" w:beforeAutospacing="1" w:after="100" w:afterAutospacing="1"/>
    </w:pPr>
    <w:rPr>
      <w:color w:val="auto"/>
      <w:sz w:val="24"/>
      <w:szCs w:val="24"/>
      <w:lang w:val="en-US"/>
    </w:rPr>
  </w:style>
  <w:style w:type="paragraph" w:customStyle="1" w:styleId="xl86">
    <w:name w:val="xl86"/>
    <w:basedOn w:val="Normal"/>
    <w:locked/>
    <w:rsid w:val="004812BA"/>
    <w:pPr>
      <w:pBdr>
        <w:top w:val="single" w:sz="4" w:space="0" w:color="auto"/>
        <w:left w:val="single" w:sz="8"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87">
    <w:name w:val="xl87"/>
    <w:basedOn w:val="Normal"/>
    <w:locked/>
    <w:rsid w:val="004812BA"/>
    <w:pPr>
      <w:pBdr>
        <w:top w:val="single" w:sz="4" w:space="0" w:color="auto"/>
        <w:left w:val="single" w:sz="8"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88">
    <w:name w:val="xl88"/>
    <w:basedOn w:val="Normal"/>
    <w:locked/>
    <w:rsid w:val="004812BA"/>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pPr>
    <w:rPr>
      <w:color w:val="auto"/>
      <w:sz w:val="24"/>
      <w:szCs w:val="24"/>
      <w:lang w:val="en-US"/>
    </w:rPr>
  </w:style>
  <w:style w:type="paragraph" w:customStyle="1" w:styleId="xl89">
    <w:name w:val="xl89"/>
    <w:basedOn w:val="Normal"/>
    <w:locked/>
    <w:rsid w:val="004812BA"/>
    <w:pPr>
      <w:pBdr>
        <w:top w:val="single" w:sz="4" w:space="0" w:color="auto"/>
        <w:left w:val="single" w:sz="8" w:space="0" w:color="auto"/>
        <w:bottom w:val="single" w:sz="8" w:space="0" w:color="auto"/>
        <w:right w:val="single" w:sz="4" w:space="0" w:color="auto"/>
      </w:pBdr>
      <w:tabs>
        <w:tab w:val="clear" w:pos="0"/>
      </w:tabs>
      <w:spacing w:before="100" w:beforeAutospacing="1" w:after="100" w:afterAutospacing="1"/>
      <w:jc w:val="center"/>
    </w:pPr>
    <w:rPr>
      <w:color w:val="auto"/>
      <w:sz w:val="24"/>
      <w:szCs w:val="24"/>
      <w:lang w:val="en-US"/>
    </w:rPr>
  </w:style>
  <w:style w:type="paragraph" w:customStyle="1" w:styleId="xl90">
    <w:name w:val="xl90"/>
    <w:basedOn w:val="Normal"/>
    <w:locked/>
    <w:rsid w:val="004812BA"/>
    <w:pPr>
      <w:pBdr>
        <w:top w:val="single" w:sz="8" w:space="0" w:color="auto"/>
        <w:left w:val="single" w:sz="8" w:space="0" w:color="auto"/>
        <w:bottom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91">
    <w:name w:val="xl91"/>
    <w:basedOn w:val="Normal"/>
    <w:locked/>
    <w:rsid w:val="004812BA"/>
    <w:pPr>
      <w:pBdr>
        <w:top w:val="single" w:sz="4" w:space="0" w:color="auto"/>
        <w:left w:val="single" w:sz="8" w:space="0" w:color="auto"/>
        <w:bottom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92">
    <w:name w:val="xl92"/>
    <w:basedOn w:val="Normal"/>
    <w:locked/>
    <w:rsid w:val="004812BA"/>
    <w:pPr>
      <w:pBdr>
        <w:top w:val="single" w:sz="4" w:space="0" w:color="auto"/>
        <w:left w:val="single" w:sz="8" w:space="0" w:color="auto"/>
        <w:bottom w:val="single" w:sz="4" w:space="0" w:color="auto"/>
      </w:pBdr>
      <w:tabs>
        <w:tab w:val="clear" w:pos="0"/>
      </w:tabs>
      <w:spacing w:before="100" w:beforeAutospacing="1" w:after="100" w:afterAutospacing="1"/>
    </w:pPr>
    <w:rPr>
      <w:b/>
      <w:bCs/>
      <w:color w:val="auto"/>
      <w:sz w:val="24"/>
      <w:szCs w:val="24"/>
      <w:lang w:val="en-US"/>
    </w:rPr>
  </w:style>
  <w:style w:type="paragraph" w:customStyle="1" w:styleId="xl93">
    <w:name w:val="xl93"/>
    <w:basedOn w:val="Normal"/>
    <w:locked/>
    <w:rsid w:val="004812BA"/>
    <w:pPr>
      <w:pBdr>
        <w:top w:val="single" w:sz="4" w:space="0" w:color="auto"/>
        <w:left w:val="single" w:sz="8" w:space="0" w:color="auto"/>
        <w:bottom w:val="single" w:sz="8" w:space="0" w:color="auto"/>
      </w:pBdr>
      <w:tabs>
        <w:tab w:val="clear" w:pos="0"/>
      </w:tabs>
      <w:spacing w:before="100" w:beforeAutospacing="1" w:after="100" w:afterAutospacing="1"/>
    </w:pPr>
    <w:rPr>
      <w:b/>
      <w:bCs/>
      <w:color w:val="auto"/>
      <w:sz w:val="24"/>
      <w:szCs w:val="24"/>
      <w:lang w:val="en-US"/>
    </w:rPr>
  </w:style>
  <w:style w:type="paragraph" w:customStyle="1" w:styleId="xl94">
    <w:name w:val="xl94"/>
    <w:basedOn w:val="Normal"/>
    <w:locked/>
    <w:rsid w:val="004812BA"/>
    <w:pPr>
      <w:pBdr>
        <w:top w:val="single" w:sz="8" w:space="0" w:color="auto"/>
        <w:left w:val="single" w:sz="8"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95">
    <w:name w:val="xl95"/>
    <w:basedOn w:val="Normal"/>
    <w:locked/>
    <w:rsid w:val="004812BA"/>
    <w:pPr>
      <w:pBdr>
        <w:top w:val="single" w:sz="8" w:space="0" w:color="auto"/>
        <w:left w:val="single" w:sz="4" w:space="0" w:color="auto"/>
        <w:bottom w:val="single" w:sz="4" w:space="0" w:color="auto"/>
        <w:right w:val="single" w:sz="8"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96">
    <w:name w:val="xl96"/>
    <w:basedOn w:val="Normal"/>
    <w:locked/>
    <w:rsid w:val="004812BA"/>
    <w:pPr>
      <w:pBdr>
        <w:top w:val="single" w:sz="4" w:space="0" w:color="auto"/>
        <w:left w:val="single" w:sz="8" w:space="0" w:color="auto"/>
        <w:bottom w:val="single" w:sz="4" w:space="0" w:color="auto"/>
        <w:right w:val="single" w:sz="4"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97">
    <w:name w:val="xl97"/>
    <w:basedOn w:val="Normal"/>
    <w:locked/>
    <w:rsid w:val="004812BA"/>
    <w:pPr>
      <w:pBdr>
        <w:top w:val="single" w:sz="4" w:space="0" w:color="auto"/>
        <w:left w:val="single" w:sz="4" w:space="0" w:color="auto"/>
        <w:bottom w:val="single" w:sz="4" w:space="0" w:color="auto"/>
        <w:right w:val="single" w:sz="8" w:space="0" w:color="auto"/>
      </w:pBdr>
      <w:shd w:val="clear" w:color="000000" w:fill="CCECFF"/>
      <w:tabs>
        <w:tab w:val="clear" w:pos="0"/>
      </w:tabs>
      <w:spacing w:before="100" w:beforeAutospacing="1" w:after="100" w:afterAutospacing="1"/>
      <w:jc w:val="center"/>
      <w:textAlignment w:val="center"/>
    </w:pPr>
    <w:rPr>
      <w:b/>
      <w:bCs/>
      <w:color w:val="auto"/>
      <w:sz w:val="24"/>
      <w:szCs w:val="24"/>
      <w:lang w:val="en-US"/>
    </w:rPr>
  </w:style>
  <w:style w:type="paragraph" w:customStyle="1" w:styleId="xl98">
    <w:name w:val="xl98"/>
    <w:basedOn w:val="Normal"/>
    <w:locked/>
    <w:rsid w:val="004812BA"/>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pPr>
    <w:rPr>
      <w:color w:val="auto"/>
      <w:sz w:val="24"/>
      <w:szCs w:val="24"/>
      <w:lang w:val="en-US"/>
    </w:rPr>
  </w:style>
  <w:style w:type="paragraph" w:customStyle="1" w:styleId="xl99">
    <w:name w:val="xl99"/>
    <w:basedOn w:val="Normal"/>
    <w:locked/>
    <w:rsid w:val="004812BA"/>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pPr>
    <w:rPr>
      <w:color w:val="auto"/>
      <w:sz w:val="24"/>
      <w:szCs w:val="24"/>
      <w:lang w:val="en-US"/>
    </w:rPr>
  </w:style>
  <w:style w:type="paragraph" w:customStyle="1" w:styleId="xl100">
    <w:name w:val="xl100"/>
    <w:basedOn w:val="Normal"/>
    <w:locked/>
    <w:rsid w:val="004812BA"/>
    <w:pPr>
      <w:pBdr>
        <w:top w:val="single" w:sz="4" w:space="0" w:color="auto"/>
        <w:left w:val="single" w:sz="8" w:space="0" w:color="auto"/>
        <w:bottom w:val="single" w:sz="8" w:space="0" w:color="auto"/>
        <w:right w:val="single" w:sz="4" w:space="0" w:color="auto"/>
      </w:pBdr>
      <w:tabs>
        <w:tab w:val="clear" w:pos="0"/>
      </w:tabs>
      <w:spacing w:before="100" w:beforeAutospacing="1" w:after="100" w:afterAutospacing="1"/>
    </w:pPr>
    <w:rPr>
      <w:color w:val="auto"/>
      <w:sz w:val="24"/>
      <w:szCs w:val="24"/>
      <w:lang w:val="en-US"/>
    </w:rPr>
  </w:style>
  <w:style w:type="paragraph" w:customStyle="1" w:styleId="xl101">
    <w:name w:val="xl101"/>
    <w:basedOn w:val="Normal"/>
    <w:locked/>
    <w:rsid w:val="004812BA"/>
    <w:pPr>
      <w:pBdr>
        <w:top w:val="single" w:sz="4" w:space="0" w:color="auto"/>
        <w:left w:val="single" w:sz="4" w:space="0" w:color="auto"/>
        <w:bottom w:val="single" w:sz="8" w:space="0" w:color="auto"/>
        <w:right w:val="single" w:sz="8" w:space="0" w:color="auto"/>
      </w:pBdr>
      <w:tabs>
        <w:tab w:val="clear" w:pos="0"/>
      </w:tabs>
      <w:spacing w:before="100" w:beforeAutospacing="1" w:after="100" w:afterAutospacing="1"/>
    </w:pPr>
    <w:rPr>
      <w:color w:val="auto"/>
      <w:sz w:val="24"/>
      <w:szCs w:val="24"/>
      <w:lang w:val="en-US"/>
    </w:rPr>
  </w:style>
  <w:style w:type="paragraph" w:customStyle="1" w:styleId="xl102">
    <w:name w:val="xl102"/>
    <w:basedOn w:val="Normal"/>
    <w:locked/>
    <w:rsid w:val="004812BA"/>
    <w:pPr>
      <w:pBdr>
        <w:top w:val="single" w:sz="8" w:space="0" w:color="auto"/>
        <w:left w:val="single" w:sz="8" w:space="0" w:color="auto"/>
        <w:bottom w:val="single" w:sz="4" w:space="0" w:color="auto"/>
        <w:right w:val="single" w:sz="8" w:space="0" w:color="auto"/>
      </w:pBdr>
      <w:shd w:val="clear" w:color="000000" w:fill="CCFFCC"/>
      <w:tabs>
        <w:tab w:val="clear" w:pos="0"/>
      </w:tabs>
      <w:spacing w:before="100" w:beforeAutospacing="1" w:after="100" w:afterAutospacing="1"/>
      <w:jc w:val="center"/>
      <w:textAlignment w:val="center"/>
    </w:pPr>
    <w:rPr>
      <w:b/>
      <w:bCs/>
      <w:color w:val="auto"/>
      <w:sz w:val="24"/>
      <w:szCs w:val="24"/>
      <w:lang w:val="en-US"/>
    </w:rPr>
  </w:style>
  <w:style w:type="paragraph" w:customStyle="1" w:styleId="xl103">
    <w:name w:val="xl103"/>
    <w:basedOn w:val="Normal"/>
    <w:locked/>
    <w:rsid w:val="004812BA"/>
    <w:pPr>
      <w:pBdr>
        <w:top w:val="single" w:sz="4" w:space="0" w:color="auto"/>
        <w:left w:val="single" w:sz="8" w:space="0" w:color="auto"/>
        <w:bottom w:val="single" w:sz="4" w:space="0" w:color="auto"/>
        <w:right w:val="single" w:sz="8" w:space="0" w:color="auto"/>
      </w:pBdr>
      <w:shd w:val="clear" w:color="000000" w:fill="CCFFCC"/>
      <w:tabs>
        <w:tab w:val="clear" w:pos="0"/>
      </w:tabs>
      <w:spacing w:before="100" w:beforeAutospacing="1" w:after="100" w:afterAutospacing="1"/>
      <w:jc w:val="center"/>
      <w:textAlignment w:val="center"/>
    </w:pPr>
    <w:rPr>
      <w:b/>
      <w:bCs/>
      <w:color w:val="auto"/>
      <w:sz w:val="24"/>
      <w:szCs w:val="24"/>
      <w:lang w:val="en-US"/>
    </w:rPr>
  </w:style>
  <w:style w:type="paragraph" w:customStyle="1" w:styleId="xl104">
    <w:name w:val="xl104"/>
    <w:basedOn w:val="Normal"/>
    <w:locked/>
    <w:rsid w:val="004812BA"/>
    <w:pPr>
      <w:pBdr>
        <w:top w:val="single" w:sz="4" w:space="0" w:color="auto"/>
        <w:left w:val="single" w:sz="8" w:space="0" w:color="auto"/>
        <w:bottom w:val="single" w:sz="4" w:space="0" w:color="auto"/>
        <w:right w:val="single" w:sz="8" w:space="0" w:color="auto"/>
      </w:pBdr>
      <w:shd w:val="clear" w:color="000000" w:fill="CCFFCC"/>
      <w:tabs>
        <w:tab w:val="clear" w:pos="0"/>
      </w:tabs>
      <w:spacing w:before="100" w:beforeAutospacing="1" w:after="100" w:afterAutospacing="1"/>
      <w:jc w:val="center"/>
    </w:pPr>
    <w:rPr>
      <w:color w:val="auto"/>
      <w:sz w:val="24"/>
      <w:szCs w:val="24"/>
      <w:lang w:val="en-US"/>
    </w:rPr>
  </w:style>
  <w:style w:type="paragraph" w:customStyle="1" w:styleId="xl105">
    <w:name w:val="xl105"/>
    <w:basedOn w:val="Normal"/>
    <w:locked/>
    <w:rsid w:val="004812BA"/>
    <w:pPr>
      <w:pBdr>
        <w:top w:val="single" w:sz="4" w:space="0" w:color="auto"/>
        <w:left w:val="single" w:sz="8" w:space="0" w:color="auto"/>
        <w:bottom w:val="single" w:sz="8" w:space="0" w:color="auto"/>
        <w:right w:val="single" w:sz="8" w:space="0" w:color="auto"/>
      </w:pBdr>
      <w:shd w:val="clear" w:color="000000" w:fill="CCFFCC"/>
      <w:tabs>
        <w:tab w:val="clear" w:pos="0"/>
      </w:tabs>
      <w:spacing w:before="100" w:beforeAutospacing="1" w:after="100" w:afterAutospacing="1"/>
      <w:jc w:val="center"/>
    </w:pPr>
    <w:rPr>
      <w:color w:val="auto"/>
      <w:sz w:val="24"/>
      <w:szCs w:val="24"/>
      <w:lang w:val="en-US"/>
    </w:rPr>
  </w:style>
  <w:style w:type="table" w:customStyle="1" w:styleId="TableGrid6">
    <w:name w:val="Table Grid6"/>
    <w:basedOn w:val="TableNormal"/>
    <w:next w:val="TableGrid0"/>
    <w:uiPriority w:val="39"/>
    <w:locked/>
    <w:rsid w:val="004812BA"/>
    <w:rPr>
      <w:rFonts w:eastAsia="DengXia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locked/>
    <w:rsid w:val="004812BA"/>
    <w:rPr>
      <w:rFonts w:ascii="Calibri" w:eastAsia="DengXian" w:hAnsi="Calibri" w:cs="Arial"/>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812BA"/>
    <w:pPr>
      <w:spacing w:before="240" w:after="0"/>
      <w:outlineLvl w:val="9"/>
    </w:pPr>
    <w:rPr>
      <w:rFonts w:asciiTheme="majorHAnsi" w:eastAsiaTheme="majorEastAsia" w:hAnsiTheme="majorHAnsi" w:cstheme="majorBidi"/>
      <w:b w:val="0"/>
      <w:color w:val="2F5496" w:themeColor="accent1" w:themeShade="BF"/>
      <w:sz w:val="32"/>
      <w:szCs w:val="32"/>
      <w:lang w:eastAsia="en-US"/>
    </w:rPr>
  </w:style>
  <w:style w:type="table" w:customStyle="1" w:styleId="TableGrid8">
    <w:name w:val="Table Grid8"/>
    <w:basedOn w:val="TableNormal"/>
    <w:next w:val="TableGrid0"/>
    <w:uiPriority w:val="39"/>
    <w:locked/>
    <w:rsid w:val="004812BA"/>
    <w:rPr>
      <w:rFonts w:ascii="Calibri" w:eastAsia="DengXian" w:hAnsi="Calibri" w:cs="Arial"/>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locked/>
    <w:rsid w:val="004812BA"/>
    <w:rPr>
      <w:rFonts w:ascii="Calibri" w:eastAsia="DengXian" w:hAnsi="Calibri" w:cs="Arial"/>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0"/>
    <w:uiPriority w:val="39"/>
    <w:locked/>
    <w:rsid w:val="004812BA"/>
    <w:rPr>
      <w:rFonts w:ascii="Calibri" w:eastAsia="DengXian" w:hAnsi="Calibri" w:cs="Arial"/>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0"/>
    <w:uiPriority w:val="39"/>
    <w:locked/>
    <w:rsid w:val="004812BA"/>
    <w:rPr>
      <w:rFonts w:ascii="Calibri" w:eastAsia="Times New Roman" w:hAnsi="Calibri" w:cs="Times New Roma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ocked/>
    <w:rsid w:val="004812BA"/>
    <w:pPr>
      <w:tabs>
        <w:tab w:val="clear" w:pos="0"/>
      </w:tabs>
      <w:spacing w:before="100" w:beforeAutospacing="1" w:after="100" w:afterAutospacing="1"/>
    </w:pPr>
    <w:rPr>
      <w:color w:val="auto"/>
      <w:sz w:val="24"/>
      <w:szCs w:val="24"/>
      <w:lang w:val="en-US"/>
    </w:rPr>
  </w:style>
  <w:style w:type="character" w:customStyle="1" w:styleId="normaltextrun">
    <w:name w:val="normaltextrun"/>
    <w:basedOn w:val="DefaultParagraphFont"/>
    <w:locked/>
    <w:rsid w:val="004812BA"/>
  </w:style>
  <w:style w:type="character" w:customStyle="1" w:styleId="eop">
    <w:name w:val="eop"/>
    <w:basedOn w:val="DefaultParagraphFont"/>
    <w:locked/>
    <w:rsid w:val="004812BA"/>
  </w:style>
  <w:style w:type="paragraph" w:customStyle="1" w:styleId="xl65">
    <w:name w:val="xl65"/>
    <w:basedOn w:val="Normal"/>
    <w:locked/>
    <w:rsid w:val="004812BA"/>
    <w:pPr>
      <w:tabs>
        <w:tab w:val="clear" w:pos="0"/>
      </w:tabs>
      <w:spacing w:before="100" w:beforeAutospacing="1" w:after="100" w:afterAutospacing="1"/>
    </w:pPr>
    <w:rPr>
      <w:color w:val="auto"/>
      <w:sz w:val="24"/>
      <w:szCs w:val="24"/>
      <w:lang w:val="en-US"/>
    </w:rPr>
  </w:style>
  <w:style w:type="paragraph" w:customStyle="1" w:styleId="xl106">
    <w:name w:val="xl106"/>
    <w:basedOn w:val="Normal"/>
    <w:locked/>
    <w:rsid w:val="004812BA"/>
    <w:pPr>
      <w:pBdr>
        <w:left w:val="single" w:sz="4" w:space="0" w:color="auto"/>
        <w:bottom w:val="single" w:sz="4" w:space="0" w:color="auto"/>
        <w:right w:val="single" w:sz="4" w:space="0" w:color="auto"/>
      </w:pBdr>
      <w:shd w:val="clear" w:color="000000" w:fill="FFFFCC"/>
      <w:tabs>
        <w:tab w:val="clear" w:pos="0"/>
      </w:tabs>
      <w:spacing w:before="100" w:beforeAutospacing="1" w:after="100" w:afterAutospacing="1"/>
      <w:jc w:val="center"/>
    </w:pPr>
    <w:rPr>
      <w:color w:val="auto"/>
      <w:sz w:val="24"/>
      <w:szCs w:val="24"/>
      <w:lang w:val="en-US"/>
    </w:rPr>
  </w:style>
  <w:style w:type="paragraph" w:customStyle="1" w:styleId="xl107">
    <w:name w:val="xl107"/>
    <w:basedOn w:val="Normal"/>
    <w:locked/>
    <w:rsid w:val="004812BA"/>
    <w:pPr>
      <w:pBdr>
        <w:left w:val="single" w:sz="4" w:space="0" w:color="auto"/>
        <w:bottom w:val="single" w:sz="4" w:space="0" w:color="auto"/>
        <w:right w:val="single" w:sz="8" w:space="0" w:color="auto"/>
      </w:pBdr>
      <w:shd w:val="clear" w:color="000000" w:fill="FFFFCC"/>
      <w:tabs>
        <w:tab w:val="clear" w:pos="0"/>
      </w:tabs>
      <w:spacing w:before="100" w:beforeAutospacing="1" w:after="100" w:afterAutospacing="1"/>
      <w:jc w:val="center"/>
    </w:pPr>
    <w:rPr>
      <w:color w:val="auto"/>
      <w:sz w:val="24"/>
      <w:szCs w:val="24"/>
      <w:lang w:val="en-US"/>
    </w:rPr>
  </w:style>
  <w:style w:type="paragraph" w:customStyle="1" w:styleId="xl108">
    <w:name w:val="xl108"/>
    <w:basedOn w:val="Normal"/>
    <w:locked/>
    <w:rsid w:val="004812BA"/>
    <w:pPr>
      <w:pBdr>
        <w:top w:val="single" w:sz="4" w:space="0" w:color="auto"/>
        <w:left w:val="single" w:sz="4" w:space="0" w:color="auto"/>
        <w:bottom w:val="single" w:sz="4" w:space="0" w:color="auto"/>
        <w:right w:val="single" w:sz="4" w:space="0" w:color="auto"/>
      </w:pBdr>
      <w:shd w:val="clear" w:color="000000" w:fill="FFFFCC"/>
      <w:tabs>
        <w:tab w:val="clear" w:pos="0"/>
      </w:tabs>
      <w:spacing w:before="100" w:beforeAutospacing="1" w:after="100" w:afterAutospacing="1"/>
      <w:jc w:val="center"/>
    </w:pPr>
    <w:rPr>
      <w:color w:val="auto"/>
      <w:sz w:val="24"/>
      <w:szCs w:val="24"/>
      <w:lang w:val="en-US"/>
    </w:rPr>
  </w:style>
  <w:style w:type="paragraph" w:customStyle="1" w:styleId="xl109">
    <w:name w:val="xl109"/>
    <w:basedOn w:val="Normal"/>
    <w:locked/>
    <w:rsid w:val="004812BA"/>
    <w:pPr>
      <w:pBdr>
        <w:top w:val="single" w:sz="4" w:space="0" w:color="auto"/>
        <w:left w:val="single" w:sz="4" w:space="0" w:color="auto"/>
        <w:bottom w:val="single" w:sz="4" w:space="0" w:color="auto"/>
        <w:right w:val="single" w:sz="8" w:space="0" w:color="auto"/>
      </w:pBdr>
      <w:shd w:val="clear" w:color="000000" w:fill="FFFFCC"/>
      <w:tabs>
        <w:tab w:val="clear" w:pos="0"/>
      </w:tabs>
      <w:spacing w:before="100" w:beforeAutospacing="1" w:after="100" w:afterAutospacing="1"/>
      <w:jc w:val="center"/>
    </w:pPr>
    <w:rPr>
      <w:color w:val="auto"/>
      <w:sz w:val="24"/>
      <w:szCs w:val="24"/>
      <w:lang w:val="en-US"/>
    </w:rPr>
  </w:style>
  <w:style w:type="paragraph" w:customStyle="1" w:styleId="xl110">
    <w:name w:val="xl110"/>
    <w:basedOn w:val="Normal"/>
    <w:locked/>
    <w:rsid w:val="004812BA"/>
    <w:pPr>
      <w:pBdr>
        <w:top w:val="single" w:sz="4" w:space="0" w:color="auto"/>
        <w:left w:val="single" w:sz="4" w:space="0" w:color="auto"/>
        <w:bottom w:val="single" w:sz="8" w:space="0" w:color="auto"/>
        <w:right w:val="single" w:sz="4" w:space="0" w:color="auto"/>
      </w:pBdr>
      <w:shd w:val="clear" w:color="000000" w:fill="FFFFCC"/>
      <w:tabs>
        <w:tab w:val="clear" w:pos="0"/>
      </w:tabs>
      <w:spacing w:before="100" w:beforeAutospacing="1" w:after="100" w:afterAutospacing="1"/>
      <w:jc w:val="center"/>
    </w:pPr>
    <w:rPr>
      <w:color w:val="auto"/>
      <w:sz w:val="24"/>
      <w:szCs w:val="24"/>
      <w:lang w:val="en-US"/>
    </w:rPr>
  </w:style>
  <w:style w:type="paragraph" w:customStyle="1" w:styleId="xl111">
    <w:name w:val="xl111"/>
    <w:basedOn w:val="Normal"/>
    <w:locked/>
    <w:rsid w:val="004812BA"/>
    <w:pPr>
      <w:pBdr>
        <w:top w:val="single" w:sz="4" w:space="0" w:color="auto"/>
        <w:left w:val="single" w:sz="4" w:space="0" w:color="auto"/>
        <w:bottom w:val="single" w:sz="8" w:space="0" w:color="auto"/>
        <w:right w:val="single" w:sz="8" w:space="0" w:color="auto"/>
      </w:pBdr>
      <w:shd w:val="clear" w:color="000000" w:fill="FFFFCC"/>
      <w:tabs>
        <w:tab w:val="clear" w:pos="0"/>
      </w:tabs>
      <w:spacing w:before="100" w:beforeAutospacing="1" w:after="100" w:afterAutospacing="1"/>
      <w:jc w:val="center"/>
    </w:pPr>
    <w:rPr>
      <w:color w:val="auto"/>
      <w:sz w:val="24"/>
      <w:szCs w:val="24"/>
      <w:lang w:val="en-US"/>
    </w:rPr>
  </w:style>
  <w:style w:type="paragraph" w:customStyle="1" w:styleId="xl112">
    <w:name w:val="xl112"/>
    <w:basedOn w:val="Normal"/>
    <w:locked/>
    <w:rsid w:val="004812BA"/>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
      <w:bCs/>
      <w:color w:val="auto"/>
      <w:sz w:val="18"/>
      <w:szCs w:val="18"/>
      <w:lang w:val="en-US"/>
    </w:rPr>
  </w:style>
  <w:style w:type="paragraph" w:customStyle="1" w:styleId="xl113">
    <w:name w:val="xl113"/>
    <w:basedOn w:val="Normal"/>
    <w:locked/>
    <w:rsid w:val="004812BA"/>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
      <w:bCs/>
      <w:color w:val="auto"/>
      <w:sz w:val="18"/>
      <w:szCs w:val="18"/>
      <w:lang w:val="en-US"/>
    </w:rPr>
  </w:style>
  <w:style w:type="paragraph" w:customStyle="1" w:styleId="xl114">
    <w:name w:val="xl114"/>
    <w:basedOn w:val="Normal"/>
    <w:locked/>
    <w:rsid w:val="004812BA"/>
    <w:pPr>
      <w:pBdr>
        <w:left w:val="single" w:sz="4" w:space="0" w:color="auto"/>
        <w:bottom w:val="single" w:sz="4" w:space="0" w:color="auto"/>
        <w:right w:val="single" w:sz="4" w:space="0" w:color="auto"/>
      </w:pBdr>
      <w:shd w:val="clear" w:color="000000" w:fill="F2F2F2"/>
      <w:tabs>
        <w:tab w:val="clear" w:pos="0"/>
      </w:tabs>
      <w:spacing w:before="100" w:beforeAutospacing="1" w:after="100" w:afterAutospacing="1"/>
    </w:pPr>
    <w:rPr>
      <w:color w:val="auto"/>
      <w:sz w:val="24"/>
      <w:szCs w:val="24"/>
      <w:lang w:val="en-US"/>
    </w:rPr>
  </w:style>
  <w:style w:type="paragraph" w:customStyle="1" w:styleId="xl115">
    <w:name w:val="xl115"/>
    <w:basedOn w:val="Normal"/>
    <w:locked/>
    <w:rsid w:val="004812BA"/>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pPr>
    <w:rPr>
      <w:color w:val="auto"/>
      <w:sz w:val="24"/>
      <w:szCs w:val="24"/>
      <w:lang w:val="en-US"/>
    </w:rPr>
  </w:style>
  <w:style w:type="paragraph" w:customStyle="1" w:styleId="xl116">
    <w:name w:val="xl116"/>
    <w:basedOn w:val="Normal"/>
    <w:locked/>
    <w:rsid w:val="004812BA"/>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pPr>
    <w:rPr>
      <w:color w:val="auto"/>
      <w:sz w:val="24"/>
      <w:szCs w:val="24"/>
      <w:lang w:val="en-US"/>
    </w:rPr>
  </w:style>
  <w:style w:type="paragraph" w:customStyle="1" w:styleId="xl117">
    <w:name w:val="xl117"/>
    <w:basedOn w:val="Normal"/>
    <w:locked/>
    <w:rsid w:val="004812BA"/>
    <w:pPr>
      <w:pBdr>
        <w:top w:val="single" w:sz="4" w:space="0" w:color="auto"/>
        <w:left w:val="single" w:sz="4" w:space="0" w:color="auto"/>
        <w:bottom w:val="single" w:sz="4" w:space="0" w:color="auto"/>
        <w:right w:val="single" w:sz="8" w:space="0" w:color="auto"/>
      </w:pBdr>
      <w:shd w:val="clear" w:color="000000" w:fill="F2F2F2"/>
      <w:tabs>
        <w:tab w:val="clear" w:pos="0"/>
      </w:tabs>
      <w:spacing w:before="100" w:beforeAutospacing="1" w:after="100" w:afterAutospacing="1"/>
      <w:jc w:val="center"/>
      <w:textAlignment w:val="center"/>
    </w:pPr>
    <w:rPr>
      <w:b/>
      <w:bCs/>
      <w:color w:val="auto"/>
      <w:sz w:val="18"/>
      <w:szCs w:val="18"/>
      <w:lang w:val="en-US"/>
    </w:rPr>
  </w:style>
  <w:style w:type="paragraph" w:customStyle="1" w:styleId="xl118">
    <w:name w:val="xl118"/>
    <w:basedOn w:val="Normal"/>
    <w:locked/>
    <w:rsid w:val="004812BA"/>
    <w:pPr>
      <w:pBdr>
        <w:top w:val="single" w:sz="4" w:space="0" w:color="auto"/>
        <w:left w:val="single" w:sz="4" w:space="0" w:color="auto"/>
        <w:bottom w:val="single" w:sz="8" w:space="0" w:color="auto"/>
        <w:right w:val="single" w:sz="8" w:space="0" w:color="auto"/>
      </w:pBdr>
      <w:shd w:val="clear" w:color="000000" w:fill="F2F2F2"/>
      <w:tabs>
        <w:tab w:val="clear" w:pos="0"/>
      </w:tabs>
      <w:spacing w:before="100" w:beforeAutospacing="1" w:after="100" w:afterAutospacing="1"/>
      <w:jc w:val="center"/>
      <w:textAlignment w:val="center"/>
    </w:pPr>
    <w:rPr>
      <w:b/>
      <w:bCs/>
      <w:color w:val="auto"/>
      <w:sz w:val="18"/>
      <w:szCs w:val="18"/>
      <w:lang w:val="en-US"/>
    </w:rPr>
  </w:style>
  <w:style w:type="paragraph" w:customStyle="1" w:styleId="xl119">
    <w:name w:val="xl119"/>
    <w:basedOn w:val="Normal"/>
    <w:locked/>
    <w:rsid w:val="004812BA"/>
    <w:pPr>
      <w:pBdr>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pPr>
    <w:rPr>
      <w:color w:val="auto"/>
      <w:sz w:val="24"/>
      <w:szCs w:val="24"/>
      <w:lang w:val="en-US"/>
    </w:rPr>
  </w:style>
  <w:style w:type="paragraph" w:customStyle="1" w:styleId="xl120">
    <w:name w:val="xl120"/>
    <w:basedOn w:val="Normal"/>
    <w:locked/>
    <w:rsid w:val="004812BA"/>
    <w:pPr>
      <w:pBdr>
        <w:left w:val="single" w:sz="4" w:space="0" w:color="auto"/>
        <w:bottom w:val="single" w:sz="4" w:space="0" w:color="auto"/>
        <w:right w:val="single" w:sz="8" w:space="0" w:color="auto"/>
      </w:pBdr>
      <w:shd w:val="clear" w:color="000000" w:fill="F2F2F2"/>
      <w:tabs>
        <w:tab w:val="clear" w:pos="0"/>
      </w:tabs>
      <w:spacing w:before="100" w:beforeAutospacing="1" w:after="100" w:afterAutospacing="1"/>
    </w:pPr>
    <w:rPr>
      <w:color w:val="auto"/>
      <w:sz w:val="24"/>
      <w:szCs w:val="24"/>
      <w:lang w:val="en-US"/>
    </w:rPr>
  </w:style>
  <w:style w:type="paragraph" w:customStyle="1" w:styleId="xl121">
    <w:name w:val="xl121"/>
    <w:basedOn w:val="Normal"/>
    <w:locked/>
    <w:rsid w:val="004812BA"/>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pPr>
    <w:rPr>
      <w:color w:val="auto"/>
      <w:sz w:val="24"/>
      <w:szCs w:val="24"/>
      <w:lang w:val="en-US"/>
    </w:rPr>
  </w:style>
  <w:style w:type="paragraph" w:customStyle="1" w:styleId="xl122">
    <w:name w:val="xl122"/>
    <w:basedOn w:val="Normal"/>
    <w:locked/>
    <w:rsid w:val="004812BA"/>
    <w:pPr>
      <w:pBdr>
        <w:top w:val="single" w:sz="4" w:space="0" w:color="auto"/>
        <w:left w:val="single" w:sz="4" w:space="0" w:color="auto"/>
        <w:bottom w:val="single" w:sz="4" w:space="0" w:color="auto"/>
        <w:right w:val="single" w:sz="8" w:space="0" w:color="auto"/>
      </w:pBdr>
      <w:shd w:val="clear" w:color="000000" w:fill="F2F2F2"/>
      <w:tabs>
        <w:tab w:val="clear" w:pos="0"/>
      </w:tabs>
      <w:spacing w:before="100" w:beforeAutospacing="1" w:after="100" w:afterAutospacing="1"/>
    </w:pPr>
    <w:rPr>
      <w:color w:val="auto"/>
      <w:sz w:val="24"/>
      <w:szCs w:val="24"/>
      <w:lang w:val="en-US"/>
    </w:rPr>
  </w:style>
  <w:style w:type="paragraph" w:customStyle="1" w:styleId="xl123">
    <w:name w:val="xl123"/>
    <w:basedOn w:val="Normal"/>
    <w:locked/>
    <w:rsid w:val="004812BA"/>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pPr>
    <w:rPr>
      <w:color w:val="auto"/>
      <w:sz w:val="24"/>
      <w:szCs w:val="24"/>
      <w:lang w:val="en-US"/>
    </w:rPr>
  </w:style>
  <w:style w:type="paragraph" w:customStyle="1" w:styleId="xl124">
    <w:name w:val="xl124"/>
    <w:basedOn w:val="Normal"/>
    <w:locked/>
    <w:rsid w:val="004812BA"/>
    <w:pPr>
      <w:pBdr>
        <w:top w:val="single" w:sz="4" w:space="0" w:color="auto"/>
        <w:left w:val="single" w:sz="4" w:space="0" w:color="auto"/>
        <w:bottom w:val="single" w:sz="8" w:space="0" w:color="auto"/>
        <w:right w:val="single" w:sz="8" w:space="0" w:color="auto"/>
      </w:pBdr>
      <w:shd w:val="clear" w:color="000000" w:fill="F2F2F2"/>
      <w:tabs>
        <w:tab w:val="clear" w:pos="0"/>
      </w:tabs>
      <w:spacing w:before="100" w:beforeAutospacing="1" w:after="100" w:afterAutospacing="1"/>
    </w:pPr>
    <w:rPr>
      <w:color w:val="auto"/>
      <w:sz w:val="24"/>
      <w:szCs w:val="24"/>
      <w:lang w:val="en-US"/>
    </w:rPr>
  </w:style>
  <w:style w:type="table" w:styleId="GridTable4-Accent6">
    <w:name w:val="Grid Table 4 Accent 6"/>
    <w:basedOn w:val="TableNormal"/>
    <w:uiPriority w:val="49"/>
    <w:rsid w:val="004812BA"/>
    <w:rPr>
      <w:rFonts w:ascii="Calibri" w:eastAsia="SimSun" w:hAnsi="Calibri" w:cs="Times New Roman"/>
      <w:sz w:val="20"/>
      <w:szCs w:val="20"/>
      <w:lang w:val="en-US" w:eastAsia="zh-C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4812BA"/>
    <w:rPr>
      <w:rFonts w:ascii="Calibri" w:eastAsia="SimSun" w:hAnsi="Calibri" w:cs="Times New Roman"/>
      <w:sz w:val="20"/>
      <w:szCs w:val="20"/>
      <w:lang w:val="en-US"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4812BA"/>
    <w:rPr>
      <w:rFonts w:ascii="Calibri" w:eastAsia="SimSun" w:hAnsi="Calibri" w:cs="Times New Roman"/>
      <w:sz w:val="20"/>
      <w:szCs w:val="20"/>
      <w:lang w:val="en-US"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4812BA"/>
    <w:rPr>
      <w:rFonts w:ascii="Calibri" w:eastAsia="SimSun" w:hAnsi="Calibri" w:cs="Times New Roman"/>
      <w:sz w:val="20"/>
      <w:szCs w:val="20"/>
      <w:lang w:val="en-US" w:eastAsia="zh-CN"/>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6">
    <w:name w:val="Grid Table 5 Dark Accent 6"/>
    <w:basedOn w:val="TableNormal"/>
    <w:uiPriority w:val="50"/>
    <w:rsid w:val="004812BA"/>
    <w:rPr>
      <w:rFonts w:ascii="Calibri" w:eastAsia="SimSun" w:hAnsi="Calibri" w:cs="Times New Roman"/>
      <w:sz w:val="20"/>
      <w:szCs w:val="20"/>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Accent6">
    <w:name w:val="Grid Table 6 Colorful Accent 6"/>
    <w:basedOn w:val="TableNormal"/>
    <w:uiPriority w:val="51"/>
    <w:rsid w:val="004812BA"/>
    <w:rPr>
      <w:rFonts w:ascii="Calibri" w:eastAsia="SimSun" w:hAnsi="Calibri" w:cs="Times New Roman"/>
      <w:color w:val="538135" w:themeColor="accent6" w:themeShade="BF"/>
      <w:sz w:val="20"/>
      <w:szCs w:val="20"/>
      <w:lang w:val="en-US" w:eastAsia="zh-C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2">
    <w:name w:val="Unresolved Mention2"/>
    <w:basedOn w:val="DefaultParagraphFont"/>
    <w:uiPriority w:val="99"/>
    <w:semiHidden/>
    <w:unhideWhenUsed/>
    <w:locked/>
    <w:rsid w:val="004812BA"/>
    <w:rPr>
      <w:color w:val="605E5C"/>
      <w:shd w:val="clear" w:color="auto" w:fill="E1DFDD"/>
    </w:rPr>
  </w:style>
  <w:style w:type="table" w:customStyle="1" w:styleId="TableGrid11">
    <w:name w:val="Table Grid11"/>
    <w:basedOn w:val="TableNormal"/>
    <w:next w:val="TableGrid"/>
    <w:uiPriority w:val="39"/>
    <w:locked/>
    <w:rsid w:val="004812BA"/>
    <w:rPr>
      <w:rFonts w:ascii="Calibri" w:eastAsia="Calibri" w:hAnsi="Calibri" w:cs="Times New Roman"/>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812BA"/>
    <w:rPr>
      <w:rFonts w:ascii="Calibri" w:eastAsia="Calibri" w:hAnsi="Calibri" w:cs="Times New Roman"/>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812BA"/>
  </w:style>
  <w:style w:type="numbering" w:styleId="111111">
    <w:name w:val="Outline List 2"/>
    <w:basedOn w:val="NoList"/>
    <w:uiPriority w:val="99"/>
    <w:semiHidden/>
    <w:rsid w:val="004812BA"/>
    <w:pPr>
      <w:numPr>
        <w:numId w:val="39"/>
      </w:numPr>
    </w:pPr>
  </w:style>
  <w:style w:type="paragraph" w:customStyle="1" w:styleId="sub-title">
    <w:name w:val="sub-title"/>
    <w:rsid w:val="004812BA"/>
    <w:pPr>
      <w:jc w:val="both"/>
      <w:outlineLvl w:val="0"/>
    </w:pPr>
    <w:rPr>
      <w:rFonts w:ascii="Times New Roman" w:eastAsia="Times New Roman" w:hAnsi="Times New Roman" w:cs="Times New Roman"/>
      <w:b/>
      <w:noProof/>
      <w:sz w:val="22"/>
      <w:szCs w:val="22"/>
      <w:lang w:val="en-US"/>
    </w:rPr>
  </w:style>
  <w:style w:type="paragraph" w:customStyle="1" w:styleId="Title1">
    <w:name w:val="Title1"/>
    <w:rsid w:val="004812BA"/>
    <w:pPr>
      <w:jc w:val="center"/>
      <w:outlineLvl w:val="0"/>
    </w:pPr>
    <w:rPr>
      <w:rFonts w:ascii="Times New Roman" w:eastAsia="Times New Roman" w:hAnsi="Times New Roman" w:cs="Times New Roman"/>
      <w:b/>
      <w:caps/>
      <w:sz w:val="22"/>
      <w:szCs w:val="22"/>
      <w:lang w:val="en-GB"/>
    </w:rPr>
  </w:style>
  <w:style w:type="paragraph" w:customStyle="1" w:styleId="Decision">
    <w:name w:val="Decision"/>
    <w:basedOn w:val="Normal"/>
    <w:rsid w:val="004812BA"/>
    <w:pPr>
      <w:keepLines/>
      <w:tabs>
        <w:tab w:val="clear" w:pos="0"/>
      </w:tabs>
      <w:spacing w:after="0"/>
      <w:jc w:val="right"/>
    </w:pPr>
    <w:rPr>
      <w:b/>
      <w:color w:val="auto"/>
    </w:rPr>
  </w:style>
  <w:style w:type="paragraph" w:customStyle="1" w:styleId="0Heading0">
    <w:name w:val="0 Heading 0"/>
    <w:link w:val="0Heading0Char2"/>
    <w:rsid w:val="004812BA"/>
    <w:rPr>
      <w:rFonts w:ascii="Times New Roman" w:eastAsia="Times New Roman" w:hAnsi="Times New Roman" w:cs="Times New Roman"/>
      <w:sz w:val="22"/>
      <w:szCs w:val="22"/>
      <w:lang w:val="en-GB"/>
    </w:rPr>
  </w:style>
  <w:style w:type="numbering" w:styleId="1ai">
    <w:name w:val="Outline List 1"/>
    <w:basedOn w:val="NoList"/>
    <w:semiHidden/>
    <w:rsid w:val="004812BA"/>
    <w:pPr>
      <w:numPr>
        <w:numId w:val="44"/>
      </w:numPr>
    </w:pPr>
  </w:style>
  <w:style w:type="numbering" w:styleId="ArticleSection">
    <w:name w:val="Outline List 3"/>
    <w:basedOn w:val="NoList"/>
    <w:semiHidden/>
    <w:rsid w:val="004812BA"/>
    <w:pPr>
      <w:numPr>
        <w:numId w:val="34"/>
      </w:numPr>
    </w:pPr>
  </w:style>
  <w:style w:type="table" w:styleId="Table3Deffects1">
    <w:name w:val="Table 3D effects 1"/>
    <w:basedOn w:val="TableNormal"/>
    <w:semiHidden/>
    <w:rsid w:val="004812BA"/>
    <w:pPr>
      <w:jc w:val="both"/>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812BA"/>
    <w:pPr>
      <w:jc w:val="both"/>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812BA"/>
    <w:pPr>
      <w:jc w:val="both"/>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812BA"/>
    <w:pPr>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812BA"/>
    <w:pPr>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812BA"/>
    <w:pPr>
      <w:jc w:val="both"/>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812BA"/>
    <w:pPr>
      <w:jc w:val="both"/>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4812BA"/>
    <w:pPr>
      <w:jc w:val="both"/>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4812BA"/>
    <w:pPr>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4812BA"/>
    <w:pPr>
      <w:jc w:val="both"/>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812BA"/>
    <w:pPr>
      <w:jc w:val="both"/>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812BA"/>
    <w:pPr>
      <w:jc w:val="both"/>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812BA"/>
    <w:pPr>
      <w:jc w:val="both"/>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812BA"/>
    <w:pPr>
      <w:jc w:val="both"/>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812BA"/>
    <w:pPr>
      <w:jc w:val="both"/>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812BA"/>
    <w:pPr>
      <w:jc w:val="both"/>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812BA"/>
    <w:pPr>
      <w:jc w:val="both"/>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13"/>
    <w:basedOn w:val="TableNormal"/>
    <w:next w:val="TableGrid"/>
    <w:rsid w:val="004812BA"/>
    <w:pPr>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4">
    <w:name w:val="Table Grid 1"/>
    <w:basedOn w:val="TableNormal"/>
    <w:semiHidden/>
    <w:rsid w:val="004812BA"/>
    <w:pPr>
      <w:jc w:val="both"/>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812BA"/>
    <w:pPr>
      <w:jc w:val="both"/>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812BA"/>
    <w:pPr>
      <w:jc w:val="both"/>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812BA"/>
    <w:pPr>
      <w:jc w:val="both"/>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812BA"/>
    <w:pPr>
      <w:jc w:val="both"/>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812BA"/>
    <w:pPr>
      <w:jc w:val="both"/>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812BA"/>
    <w:pPr>
      <w:jc w:val="both"/>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812BA"/>
    <w:pPr>
      <w:jc w:val="both"/>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812BA"/>
    <w:pPr>
      <w:jc w:val="both"/>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812BA"/>
    <w:pPr>
      <w:jc w:val="both"/>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812BA"/>
    <w:pPr>
      <w:jc w:val="both"/>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812BA"/>
    <w:pPr>
      <w:jc w:val="both"/>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812BA"/>
    <w:pPr>
      <w:jc w:val="both"/>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812BA"/>
    <w:pPr>
      <w:jc w:val="both"/>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812BA"/>
    <w:pPr>
      <w:jc w:val="both"/>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812BA"/>
    <w:pPr>
      <w:jc w:val="both"/>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812BA"/>
    <w:pPr>
      <w:jc w:val="both"/>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812BA"/>
    <w:pPr>
      <w:jc w:val="both"/>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812BA"/>
    <w:pPr>
      <w:jc w:val="both"/>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812BA"/>
    <w:pPr>
      <w:jc w:val="both"/>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812BA"/>
    <w:pPr>
      <w:jc w:val="both"/>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812BA"/>
    <w:pPr>
      <w:jc w:val="both"/>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812BA"/>
    <w:pPr>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812BA"/>
    <w:pPr>
      <w:jc w:val="both"/>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812BA"/>
    <w:pPr>
      <w:jc w:val="both"/>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812BA"/>
    <w:pPr>
      <w:jc w:val="both"/>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4">
    <w:name w:val="Header4"/>
    <w:aliases w:val="Para 4"/>
    <w:basedOn w:val="Normal"/>
    <w:next w:val="Normal"/>
    <w:rsid w:val="004812BA"/>
    <w:pPr>
      <w:widowControl w:val="0"/>
      <w:tabs>
        <w:tab w:val="clear" w:pos="0"/>
        <w:tab w:val="left" w:pos="2880"/>
        <w:tab w:val="left" w:pos="5760"/>
      </w:tabs>
      <w:ind w:left="1080" w:hanging="360"/>
      <w:jc w:val="both"/>
      <w:outlineLvl w:val="3"/>
    </w:pPr>
    <w:rPr>
      <w:color w:val="auto"/>
    </w:rPr>
  </w:style>
  <w:style w:type="paragraph" w:styleId="Subtitle">
    <w:name w:val="Subtitle"/>
    <w:basedOn w:val="Normal"/>
    <w:link w:val="SubtitleChar"/>
    <w:uiPriority w:val="11"/>
    <w:qFormat/>
    <w:rsid w:val="004812BA"/>
    <w:pPr>
      <w:tabs>
        <w:tab w:val="clear" w:pos="0"/>
      </w:tabs>
      <w:spacing w:after="60"/>
      <w:jc w:val="center"/>
      <w:outlineLvl w:val="1"/>
    </w:pPr>
    <w:rPr>
      <w:rFonts w:ascii="Arial" w:hAnsi="Arial" w:cs="Arial"/>
      <w:color w:val="auto"/>
    </w:rPr>
  </w:style>
  <w:style w:type="character" w:customStyle="1" w:styleId="SubtitleChar">
    <w:name w:val="Subtitle Char"/>
    <w:basedOn w:val="DefaultParagraphFont"/>
    <w:link w:val="Subtitle"/>
    <w:uiPriority w:val="11"/>
    <w:rsid w:val="004812BA"/>
    <w:rPr>
      <w:rFonts w:ascii="Arial" w:eastAsia="Times New Roman" w:hAnsi="Arial" w:cs="Arial"/>
      <w:sz w:val="22"/>
      <w:szCs w:val="22"/>
      <w:lang w:val="en-CA"/>
    </w:rPr>
  </w:style>
  <w:style w:type="paragraph" w:styleId="Title">
    <w:name w:val="Title"/>
    <w:basedOn w:val="Normal"/>
    <w:link w:val="TitleChar"/>
    <w:uiPriority w:val="10"/>
    <w:qFormat/>
    <w:rsid w:val="004812BA"/>
    <w:pPr>
      <w:tabs>
        <w:tab w:val="clear" w:pos="0"/>
      </w:tabs>
      <w:spacing w:before="240" w:after="60"/>
      <w:jc w:val="center"/>
      <w:outlineLvl w:val="0"/>
    </w:pPr>
    <w:rPr>
      <w:rFonts w:ascii="Arial" w:hAnsi="Arial" w:cs="Arial"/>
      <w:b/>
      <w:bCs/>
      <w:color w:val="auto"/>
      <w:kern w:val="28"/>
    </w:rPr>
  </w:style>
  <w:style w:type="character" w:customStyle="1" w:styleId="TitleChar">
    <w:name w:val="Title Char"/>
    <w:basedOn w:val="DefaultParagraphFont"/>
    <w:link w:val="Title"/>
    <w:uiPriority w:val="10"/>
    <w:rsid w:val="004812BA"/>
    <w:rPr>
      <w:rFonts w:ascii="Arial" w:eastAsia="Times New Roman" w:hAnsi="Arial" w:cs="Arial"/>
      <w:b/>
      <w:bCs/>
      <w:kern w:val="28"/>
      <w:sz w:val="22"/>
      <w:szCs w:val="22"/>
      <w:lang w:val="en-CA"/>
    </w:rPr>
  </w:style>
  <w:style w:type="paragraph" w:styleId="Date">
    <w:name w:val="Date"/>
    <w:basedOn w:val="Normal"/>
    <w:next w:val="Normal"/>
    <w:link w:val="DateChar"/>
    <w:rsid w:val="004812BA"/>
    <w:pPr>
      <w:tabs>
        <w:tab w:val="clear" w:pos="0"/>
      </w:tabs>
      <w:spacing w:after="0"/>
      <w:jc w:val="both"/>
    </w:pPr>
    <w:rPr>
      <w:color w:val="auto"/>
    </w:rPr>
  </w:style>
  <w:style w:type="character" w:customStyle="1" w:styleId="DateChar">
    <w:name w:val="Date Char"/>
    <w:basedOn w:val="DefaultParagraphFont"/>
    <w:link w:val="Date"/>
    <w:rsid w:val="004812BA"/>
    <w:rPr>
      <w:rFonts w:ascii="Times New Roman" w:eastAsia="Times New Roman" w:hAnsi="Times New Roman" w:cs="Times New Roman"/>
      <w:sz w:val="22"/>
      <w:szCs w:val="22"/>
      <w:lang w:val="en-CA"/>
    </w:rPr>
  </w:style>
  <w:style w:type="paragraph" w:customStyle="1" w:styleId="StyleHeader4Para4Left0Firstline0">
    <w:name w:val="Style Header4Para 4 + Left:  0&quot; First line:  0&quot;"/>
    <w:basedOn w:val="Header4"/>
    <w:rsid w:val="004812BA"/>
    <w:rPr>
      <w:sz w:val="20"/>
    </w:rPr>
  </w:style>
  <w:style w:type="paragraph" w:customStyle="1" w:styleId="Newheader4">
    <w:name w:val="New header 4"/>
    <w:basedOn w:val="Heading4"/>
    <w:next w:val="Normal"/>
    <w:qFormat/>
    <w:rsid w:val="004812BA"/>
    <w:pPr>
      <w:tabs>
        <w:tab w:val="clear" w:pos="0"/>
      </w:tabs>
      <w:jc w:val="both"/>
    </w:pPr>
    <w:rPr>
      <w:rFonts w:eastAsia="Times New Roman"/>
      <w:b w:val="0"/>
      <w:bCs w:val="0"/>
      <w:i w:val="0"/>
      <w:iCs w:val="0"/>
      <w:color w:val="auto"/>
    </w:rPr>
  </w:style>
  <w:style w:type="character" w:customStyle="1" w:styleId="Heading1Char3CharChar1">
    <w:name w:val="Heading 1 Char3 Char Char1"/>
    <w:aliases w:val="Heading 1 Char Char1 Char Char1,Heading 1 Char1 Char Char1 Char Char1,Heading 1 Char Char Char Char1 Char1 Char1,Para (1) Char Char Char Char1 Char Char1,Heading 1 Char3 Char2,Heading1 Char"/>
    <w:basedOn w:val="DefaultParagraphFont"/>
    <w:uiPriority w:val="9"/>
    <w:rsid w:val="004812BA"/>
    <w:rPr>
      <w:rFonts w:ascii="Cambria" w:eastAsia="SimSun" w:hAnsi="Cambria" w:cs="Times New Roman"/>
      <w:color w:val="365F91"/>
      <w:sz w:val="32"/>
      <w:szCs w:val="32"/>
      <w:lang w:val="en-CA"/>
    </w:rPr>
  </w:style>
  <w:style w:type="paragraph" w:styleId="TableofFigures">
    <w:name w:val="table of figures"/>
    <w:basedOn w:val="Normal"/>
    <w:next w:val="Normal"/>
    <w:autoRedefine/>
    <w:semiHidden/>
    <w:unhideWhenUsed/>
    <w:rsid w:val="004812BA"/>
    <w:pPr>
      <w:tabs>
        <w:tab w:val="clear" w:pos="0"/>
        <w:tab w:val="left" w:pos="1247"/>
      </w:tabs>
      <w:spacing w:after="0"/>
      <w:ind w:left="1814" w:hanging="567"/>
    </w:pPr>
    <w:rPr>
      <w:color w:val="auto"/>
      <w:sz w:val="20"/>
      <w:szCs w:val="20"/>
    </w:rPr>
  </w:style>
  <w:style w:type="paragraph" w:styleId="DocumentMap">
    <w:name w:val="Document Map"/>
    <w:basedOn w:val="Normal"/>
    <w:link w:val="DocumentMapChar"/>
    <w:uiPriority w:val="99"/>
    <w:semiHidden/>
    <w:unhideWhenUsed/>
    <w:rsid w:val="004812BA"/>
    <w:pPr>
      <w:tabs>
        <w:tab w:val="clear" w:pos="0"/>
      </w:tabs>
      <w:spacing w:after="0"/>
      <w:jc w:val="both"/>
    </w:pPr>
    <w:rPr>
      <w:rFonts w:ascii="Lucida Grande" w:hAnsi="Lucida Grande" w:cs="Lucida Grande"/>
      <w:color w:val="auto"/>
      <w:sz w:val="24"/>
      <w:szCs w:val="24"/>
    </w:rPr>
  </w:style>
  <w:style w:type="character" w:customStyle="1" w:styleId="DocumentMapChar">
    <w:name w:val="Document Map Char"/>
    <w:basedOn w:val="DefaultParagraphFont"/>
    <w:link w:val="DocumentMap"/>
    <w:uiPriority w:val="99"/>
    <w:semiHidden/>
    <w:rsid w:val="004812BA"/>
    <w:rPr>
      <w:rFonts w:ascii="Lucida Grande" w:eastAsia="Times New Roman" w:hAnsi="Lucida Grande" w:cs="Lucida Grande"/>
      <w:lang w:val="en-GB"/>
    </w:rPr>
  </w:style>
  <w:style w:type="character" w:customStyle="1" w:styleId="0Heading0Char2">
    <w:name w:val="0 Heading 0 Char2"/>
    <w:link w:val="0Heading0"/>
    <w:locked/>
    <w:rsid w:val="004812BA"/>
    <w:rPr>
      <w:rFonts w:ascii="Times New Roman" w:eastAsia="Times New Roman" w:hAnsi="Times New Roman" w:cs="Times New Roman"/>
      <w:sz w:val="22"/>
      <w:szCs w:val="22"/>
      <w:lang w:val="en-GB"/>
    </w:rPr>
  </w:style>
  <w:style w:type="paragraph" w:customStyle="1" w:styleId="CH1">
    <w:name w:val="CH1"/>
    <w:basedOn w:val="Normal"/>
    <w:next w:val="Normal"/>
    <w:rsid w:val="004812BA"/>
    <w:pPr>
      <w:keepNext/>
      <w:keepLines/>
      <w:tabs>
        <w:tab w:val="clear" w:pos="0"/>
        <w:tab w:val="right" w:pos="851"/>
        <w:tab w:val="left" w:pos="1247"/>
        <w:tab w:val="left" w:pos="1814"/>
        <w:tab w:val="left" w:pos="2381"/>
        <w:tab w:val="left" w:pos="2948"/>
        <w:tab w:val="left" w:pos="3515"/>
      </w:tabs>
      <w:suppressAutoHyphens/>
      <w:spacing w:before="240" w:after="120"/>
      <w:ind w:left="1247" w:right="284" w:hanging="1247"/>
    </w:pPr>
    <w:rPr>
      <w:b/>
      <w:color w:val="auto"/>
      <w:sz w:val="28"/>
      <w:szCs w:val="28"/>
    </w:rPr>
  </w:style>
  <w:style w:type="paragraph" w:customStyle="1" w:styleId="CH5">
    <w:name w:val="CH5"/>
    <w:basedOn w:val="Normal"/>
    <w:next w:val="Normal"/>
    <w:rsid w:val="004812BA"/>
    <w:pPr>
      <w:keepNext/>
      <w:keepLines/>
      <w:tabs>
        <w:tab w:val="clear" w:pos="0"/>
        <w:tab w:val="right" w:pos="851"/>
        <w:tab w:val="left" w:pos="1247"/>
        <w:tab w:val="left" w:pos="1814"/>
        <w:tab w:val="left" w:pos="2381"/>
        <w:tab w:val="left" w:pos="2948"/>
        <w:tab w:val="left" w:pos="3515"/>
      </w:tabs>
      <w:suppressAutoHyphens/>
      <w:spacing w:after="120"/>
      <w:ind w:left="1247" w:right="284" w:hanging="1247"/>
    </w:pPr>
    <w:rPr>
      <w:b/>
      <w:color w:val="auto"/>
      <w:sz w:val="20"/>
      <w:szCs w:val="20"/>
    </w:rPr>
  </w:style>
  <w:style w:type="paragraph" w:customStyle="1" w:styleId="Footerpool">
    <w:name w:val="Footer_pool"/>
    <w:basedOn w:val="Normal"/>
    <w:next w:val="Normal"/>
    <w:semiHidden/>
    <w:rsid w:val="004812BA"/>
    <w:pPr>
      <w:tabs>
        <w:tab w:val="clear" w:pos="0"/>
        <w:tab w:val="left" w:pos="1247"/>
        <w:tab w:val="left" w:pos="1814"/>
        <w:tab w:val="left" w:pos="2381"/>
        <w:tab w:val="left" w:pos="2948"/>
        <w:tab w:val="left" w:pos="3515"/>
        <w:tab w:val="left" w:pos="4321"/>
        <w:tab w:val="right" w:pos="8641"/>
      </w:tabs>
      <w:spacing w:before="60" w:after="120"/>
    </w:pPr>
    <w:rPr>
      <w:b/>
      <w:color w:val="auto"/>
      <w:sz w:val="18"/>
      <w:szCs w:val="20"/>
    </w:rPr>
  </w:style>
  <w:style w:type="paragraph" w:customStyle="1" w:styleId="Headerpool">
    <w:name w:val="Header_pool"/>
    <w:basedOn w:val="Normal"/>
    <w:next w:val="Normal"/>
    <w:semiHidden/>
    <w:rsid w:val="004812BA"/>
    <w:pPr>
      <w:pBdr>
        <w:bottom w:val="single" w:sz="4" w:space="1" w:color="auto"/>
      </w:pBdr>
      <w:tabs>
        <w:tab w:val="clear" w:pos="0"/>
        <w:tab w:val="left" w:pos="1247"/>
        <w:tab w:val="center" w:pos="4536"/>
        <w:tab w:val="right" w:pos="9072"/>
      </w:tabs>
      <w:spacing w:after="120"/>
    </w:pPr>
    <w:rPr>
      <w:b/>
      <w:color w:val="auto"/>
      <w:sz w:val="18"/>
      <w:szCs w:val="20"/>
    </w:rPr>
  </w:style>
  <w:style w:type="paragraph" w:customStyle="1" w:styleId="AATitle">
    <w:name w:val="AA_Title"/>
    <w:basedOn w:val="Normal"/>
    <w:rsid w:val="004812BA"/>
    <w:pPr>
      <w:keepNext/>
      <w:keepLines/>
      <w:tabs>
        <w:tab w:val="clear" w:pos="0"/>
        <w:tab w:val="left" w:pos="1247"/>
        <w:tab w:val="left" w:pos="1814"/>
        <w:tab w:val="left" w:pos="2381"/>
        <w:tab w:val="left" w:pos="2948"/>
        <w:tab w:val="left" w:pos="3515"/>
      </w:tabs>
      <w:suppressAutoHyphens/>
      <w:spacing w:after="0"/>
      <w:ind w:right="3402"/>
    </w:pPr>
    <w:rPr>
      <w:b/>
      <w:color w:val="auto"/>
      <w:sz w:val="20"/>
      <w:szCs w:val="20"/>
    </w:rPr>
  </w:style>
  <w:style w:type="paragraph" w:customStyle="1" w:styleId="AATitle2">
    <w:name w:val="AA_Title2"/>
    <w:basedOn w:val="AATitle"/>
    <w:rsid w:val="004812BA"/>
    <w:pPr>
      <w:tabs>
        <w:tab w:val="clear" w:pos="1247"/>
        <w:tab w:val="clear" w:pos="1814"/>
        <w:tab w:val="clear" w:pos="2381"/>
        <w:tab w:val="clear" w:pos="2948"/>
        <w:tab w:val="clear" w:pos="3515"/>
        <w:tab w:val="left" w:pos="624"/>
      </w:tabs>
      <w:spacing w:before="60"/>
      <w:ind w:right="1701"/>
    </w:pPr>
  </w:style>
  <w:style w:type="paragraph" w:customStyle="1" w:styleId="Titletable">
    <w:name w:val="Title_table"/>
    <w:basedOn w:val="Normal"/>
    <w:rsid w:val="004812BA"/>
    <w:pPr>
      <w:keepNext/>
      <w:keepLines/>
      <w:tabs>
        <w:tab w:val="clear" w:pos="0"/>
        <w:tab w:val="left" w:pos="1247"/>
        <w:tab w:val="left" w:pos="1814"/>
        <w:tab w:val="left" w:pos="2381"/>
        <w:tab w:val="left" w:pos="2948"/>
        <w:tab w:val="left" w:pos="3515"/>
      </w:tabs>
      <w:suppressAutoHyphens/>
      <w:spacing w:after="60"/>
      <w:ind w:left="1247"/>
    </w:pPr>
    <w:rPr>
      <w:b/>
      <w:bCs/>
      <w:color w:val="auto"/>
      <w:sz w:val="20"/>
      <w:szCs w:val="20"/>
    </w:rPr>
  </w:style>
  <w:style w:type="paragraph" w:customStyle="1" w:styleId="ZZAnxtitle">
    <w:name w:val="ZZ_Anx_title"/>
    <w:basedOn w:val="Normal"/>
    <w:rsid w:val="004812BA"/>
    <w:pPr>
      <w:tabs>
        <w:tab w:val="clear" w:pos="0"/>
        <w:tab w:val="left" w:pos="1247"/>
        <w:tab w:val="left" w:pos="1814"/>
        <w:tab w:val="left" w:pos="2381"/>
        <w:tab w:val="left" w:pos="2948"/>
        <w:tab w:val="left" w:pos="3515"/>
      </w:tabs>
      <w:spacing w:before="360" w:after="120"/>
      <w:ind w:left="1247"/>
    </w:pPr>
    <w:rPr>
      <w:b/>
      <w:bCs/>
      <w:color w:val="auto"/>
      <w:sz w:val="28"/>
      <w:szCs w:val="26"/>
    </w:rPr>
  </w:style>
  <w:style w:type="paragraph" w:customStyle="1" w:styleId="xl63">
    <w:name w:val="xl63"/>
    <w:basedOn w:val="Normal"/>
    <w:rsid w:val="004812BA"/>
    <w:pPr>
      <w:tabs>
        <w:tab w:val="clear" w:pos="0"/>
      </w:tabs>
      <w:spacing w:before="100" w:beforeAutospacing="1" w:after="100" w:afterAutospacing="1"/>
    </w:pPr>
    <w:rPr>
      <w:color w:val="auto"/>
      <w:sz w:val="16"/>
      <w:szCs w:val="16"/>
      <w:lang w:eastAsia="en-CA"/>
    </w:rPr>
  </w:style>
  <w:style w:type="paragraph" w:customStyle="1" w:styleId="xl64">
    <w:name w:val="xl64"/>
    <w:basedOn w:val="Normal"/>
    <w:rsid w:val="004812BA"/>
    <w:pPr>
      <w:tabs>
        <w:tab w:val="clear" w:pos="0"/>
      </w:tabs>
      <w:spacing w:before="100" w:beforeAutospacing="1" w:after="100" w:afterAutospacing="1"/>
    </w:pPr>
    <w:rPr>
      <w:color w:val="auto"/>
      <w:sz w:val="16"/>
      <w:szCs w:val="16"/>
      <w:lang w:eastAsia="en-CA"/>
    </w:rPr>
  </w:style>
  <w:style w:type="paragraph" w:customStyle="1" w:styleId="Indent1">
    <w:name w:val="Indent 1"/>
    <w:basedOn w:val="Normal"/>
    <w:qFormat/>
    <w:rsid w:val="004812BA"/>
    <w:pPr>
      <w:tabs>
        <w:tab w:val="clear" w:pos="0"/>
      </w:tabs>
      <w:spacing w:line="360" w:lineRule="auto"/>
      <w:ind w:left="1440" w:hanging="720"/>
    </w:pPr>
    <w:rPr>
      <w:color w:val="auto"/>
      <w:sz w:val="24"/>
      <w:szCs w:val="24"/>
      <w:lang w:val="en-US"/>
    </w:rPr>
  </w:style>
  <w:style w:type="table" w:customStyle="1" w:styleId="Tabledocright">
    <w:name w:val="Table_doc_right"/>
    <w:basedOn w:val="TableNormal"/>
    <w:rsid w:val="004812BA"/>
    <w:pPr>
      <w:spacing w:before="40" w:after="40"/>
    </w:pPr>
    <w:rPr>
      <w:rFonts w:ascii="Times New Roman" w:eastAsia="Times New Roman" w:hAnsi="Times New Roman" w:cs="Times New Roman"/>
      <w:sz w:val="1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style>
  <w:style w:type="table" w:customStyle="1" w:styleId="Footertable">
    <w:name w:val="Footer_table"/>
    <w:basedOn w:val="TableNormal"/>
    <w:semiHidden/>
    <w:rsid w:val="004812BA"/>
    <w:rPr>
      <w:rFonts w:ascii="Arial" w:eastAsia="Times New Roman" w:hAnsi="Arial" w:cs="Times New Roman"/>
      <w:sz w:val="16"/>
      <w:szCs w:val="20"/>
      <w:lang w:val="en-US"/>
    </w:rPr>
    <w:tblPr>
      <w:tblInd w:w="0" w:type="nil"/>
      <w:tblBorders>
        <w:top w:val="double" w:sz="4" w:space="0" w:color="auto"/>
        <w:left w:val="double" w:sz="4" w:space="0" w:color="auto"/>
        <w:bottom w:val="double" w:sz="4" w:space="0" w:color="auto"/>
        <w:right w:val="double" w:sz="4" w:space="0" w:color="auto"/>
      </w:tblBorders>
    </w:tblPr>
  </w:style>
  <w:style w:type="table" w:customStyle="1" w:styleId="AATable">
    <w:name w:val="AA_Table"/>
    <w:basedOn w:val="TableNormal"/>
    <w:rsid w:val="004812BA"/>
    <w:rPr>
      <w:rFonts w:ascii="Times New Roman" w:eastAsia="Times New Roman" w:hAnsi="Times New Roman" w:cs="Times New Roman"/>
      <w:sz w:val="20"/>
      <w:szCs w:val="20"/>
      <w:lang w:val="en-US"/>
    </w:rPr>
    <w:tblPr>
      <w:tblStyleRowBandSize w:val="1"/>
      <w:tblStyleColBandSize w:val="1"/>
      <w:tblInd w:w="0" w:type="nil"/>
    </w:tblPr>
    <w:tblStylePr w:type="firstRow">
      <w:pPr>
        <w:wordWrap/>
        <w:spacing w:beforeLines="0" w:before="100" w:beforeAutospacing="1" w:afterLines="0" w:after="100" w:afterAutospacing="1"/>
        <w:jc w:val="left"/>
      </w:pPr>
      <w:rPr>
        <w:rFonts w:ascii="Arial" w:hAnsi="Arial" w:cs="Arial" w:hint="default"/>
        <w:b/>
        <w:i w:val="0"/>
        <w:caps/>
        <w:smallCaps w:val="0"/>
        <w:color w:val="auto"/>
        <w:sz w:val="27"/>
        <w:szCs w:val="27"/>
      </w:rPr>
    </w:tblStylePr>
    <w:tblStylePr w:type="lastRow">
      <w:pPr>
        <w:wordWrap/>
        <w:ind w:rightChars="0" w:right="0"/>
      </w:pPr>
      <w:rPr>
        <w:rFonts w:ascii="Arial" w:hAnsi="Arial" w:cs="Arial" w:hint="default"/>
        <w:b/>
        <w:sz w:val="32"/>
        <w:szCs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cs="Times New Roman" w:hint="default"/>
        <w:sz w:val="20"/>
        <w:szCs w:val="20"/>
      </w:rPr>
    </w:tblStylePr>
    <w:tblStylePr w:type="band1Vert">
      <w:rPr>
        <w:rFonts w:ascii="Times New Roman" w:hAnsi="Times New Roman" w:cs="Times New Roman" w:hint="default"/>
      </w:rPr>
    </w:tblStylePr>
    <w:tblStylePr w:type="band2Vert">
      <w:pPr>
        <w:wordWrap/>
        <w:spacing w:beforeLines="0" w:before="100" w:beforeAutospacing="1" w:afterLines="0" w:after="100" w:afterAutospacing="1"/>
      </w:pPr>
      <w:rPr>
        <w:rFonts w:ascii="Times New Roman" w:hAnsi="Times New Roman" w:cs="Times New Roman" w:hint="default"/>
        <w:b/>
        <w:i w:val="0"/>
        <w:color w:val="auto"/>
        <w:sz w:val="20"/>
        <w:szCs w:val="32"/>
      </w:rPr>
    </w:tblStylePr>
    <w:tblStylePr w:type="band1Horz">
      <w:rPr>
        <w:rFonts w:ascii="Times New Roman" w:hAnsi="Times New Roman" w:cs="Times New Roman" w:hint="default"/>
        <w:sz w:val="20"/>
        <w:szCs w:val="20"/>
      </w:rPr>
      <w:tblPr/>
      <w:tcPr>
        <w:tcBorders>
          <w:bottom w:val="single" w:sz="4" w:space="0" w:color="auto"/>
        </w:tcBorders>
      </w:tcPr>
    </w:tblStylePr>
    <w:tblStylePr w:type="band2Horz">
      <w:rPr>
        <w:rFonts w:ascii="Times New Roman" w:hAnsi="Times New Roman" w:cs="Times New Roman" w:hint="default"/>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100" w:beforeAutospacing="1" w:afterLines="0" w:after="100" w:afterAutospacing="1"/>
        <w:jc w:val="right"/>
      </w:pPr>
      <w:rPr>
        <w:rFonts w:ascii="Arial" w:hAnsi="Arial" w:cs="Arial" w:hint="default"/>
        <w:b/>
        <w:i w:val="0"/>
        <w:color w:val="auto"/>
        <w:sz w:val="64"/>
        <w:szCs w:val="64"/>
      </w:rPr>
    </w:tblStylePr>
    <w:tblStylePr w:type="nwCell">
      <w:rPr>
        <w:rFonts w:ascii="Arial" w:hAnsi="Arial" w:cs="Arial" w:hint="default"/>
        <w:b/>
        <w:i w:val="0"/>
        <w:caps/>
        <w:smallCaps w:val="0"/>
        <w:color w:val="auto"/>
        <w:sz w:val="27"/>
        <w:szCs w:val="27"/>
      </w:rPr>
    </w:tblStylePr>
    <w:tblStylePr w:type="seCell">
      <w:pPr>
        <w:wordWrap/>
        <w:spacing w:beforeLines="0" w:before="100" w:beforeAutospacing="1" w:afterLines="0" w:after="100" w:afterAutospacing="1"/>
        <w:ind w:leftChars="0" w:left="0" w:rightChars="0" w:right="0"/>
      </w:pPr>
      <w:rPr>
        <w:rFonts w:ascii="Times New Roman" w:hAnsi="Times New Roman" w:cs="Times New Roman" w:hint="default"/>
        <w:b w:val="0"/>
        <w:sz w:val="20"/>
        <w:szCs w:val="20"/>
      </w:rPr>
    </w:tblStylePr>
    <w:tblStylePr w:type="swCell">
      <w:pPr>
        <w:wordWrap/>
        <w:spacing w:afterLines="0" w:after="100" w:afterAutospacing="1"/>
        <w:ind w:rightChars="0" w:right="0"/>
      </w:pPr>
      <w:rPr>
        <w:rFonts w:ascii="Times New Roman" w:hAnsi="Times New Roman" w:cs="Times New Roman" w:hint="default"/>
      </w:rPr>
    </w:tblStylePr>
  </w:style>
  <w:style w:type="paragraph" w:customStyle="1" w:styleId="Titlefigure">
    <w:name w:val="Title_figure"/>
    <w:basedOn w:val="Titletable"/>
    <w:next w:val="NormalNonumber"/>
    <w:rsid w:val="004812BA"/>
    <w:rPr>
      <w:bCs w:val="0"/>
    </w:rPr>
  </w:style>
  <w:style w:type="paragraph" w:customStyle="1" w:styleId="Header-pool">
    <w:name w:val="Header-pool"/>
    <w:basedOn w:val="Normal-pool"/>
    <w:next w:val="Normal-pool"/>
    <w:rsid w:val="004812BA"/>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Footer-pool">
    <w:name w:val="Footer-pool"/>
    <w:basedOn w:val="Normal-pool"/>
    <w:next w:val="Normal-pool"/>
    <w:rsid w:val="004812BA"/>
    <w:pPr>
      <w:tabs>
        <w:tab w:val="left" w:pos="4321"/>
        <w:tab w:val="right" w:pos="8641"/>
      </w:tabs>
      <w:spacing w:before="60" w:after="120"/>
    </w:pPr>
    <w:rPr>
      <w:b/>
      <w:sz w:val="18"/>
    </w:rPr>
  </w:style>
  <w:style w:type="numbering" w:customStyle="1" w:styleId="Normallist24">
    <w:name w:val="Normal_list24"/>
    <w:rsid w:val="004812BA"/>
    <w:pPr>
      <w:numPr>
        <w:numId w:val="45"/>
      </w:numPr>
    </w:pPr>
  </w:style>
  <w:style w:type="numbering" w:customStyle="1" w:styleId="Normallist1">
    <w:name w:val="Normal_list1"/>
    <w:rsid w:val="004812BA"/>
  </w:style>
  <w:style w:type="character" w:customStyle="1" w:styleId="cf01">
    <w:name w:val="cf01"/>
    <w:basedOn w:val="DefaultParagraphFont"/>
    <w:rsid w:val="004812BA"/>
    <w:rPr>
      <w:rFonts w:ascii="Segoe UI" w:hAnsi="Segoe UI" w:cs="Segoe UI" w:hint="default"/>
      <w:sz w:val="18"/>
      <w:szCs w:val="18"/>
    </w:rPr>
  </w:style>
  <w:style w:type="numbering" w:customStyle="1" w:styleId="NoList11">
    <w:name w:val="No List11"/>
    <w:next w:val="NoList"/>
    <w:uiPriority w:val="99"/>
    <w:semiHidden/>
    <w:unhideWhenUsed/>
    <w:rsid w:val="004812BA"/>
  </w:style>
  <w:style w:type="paragraph" w:customStyle="1" w:styleId="font5">
    <w:name w:val="font5"/>
    <w:basedOn w:val="Normal"/>
    <w:rsid w:val="004812BA"/>
    <w:pPr>
      <w:tabs>
        <w:tab w:val="clear" w:pos="0"/>
      </w:tabs>
      <w:spacing w:before="100" w:beforeAutospacing="1" w:after="100" w:afterAutospacing="1"/>
    </w:pPr>
    <w:rPr>
      <w:b/>
      <w:bCs/>
      <w:color w:val="auto"/>
      <w:sz w:val="20"/>
      <w:szCs w:val="20"/>
      <w:lang w:eastAsia="en-CA"/>
    </w:rPr>
  </w:style>
  <w:style w:type="paragraph" w:customStyle="1" w:styleId="font6">
    <w:name w:val="font6"/>
    <w:basedOn w:val="Normal"/>
    <w:rsid w:val="004812BA"/>
    <w:pPr>
      <w:tabs>
        <w:tab w:val="clear" w:pos="0"/>
      </w:tabs>
      <w:spacing w:before="100" w:beforeAutospacing="1" w:after="100" w:afterAutospacing="1"/>
    </w:pPr>
    <w:rPr>
      <w:color w:val="auto"/>
      <w:sz w:val="20"/>
      <w:szCs w:val="20"/>
      <w:lang w:eastAsia="en-CA"/>
    </w:rPr>
  </w:style>
  <w:style w:type="paragraph" w:customStyle="1" w:styleId="font7">
    <w:name w:val="font7"/>
    <w:basedOn w:val="Normal"/>
    <w:rsid w:val="004812BA"/>
    <w:pPr>
      <w:tabs>
        <w:tab w:val="clear" w:pos="0"/>
      </w:tabs>
      <w:spacing w:before="100" w:beforeAutospacing="1" w:after="100" w:afterAutospacing="1"/>
    </w:pPr>
    <w:rPr>
      <w:b/>
      <w:bCs/>
      <w:color w:val="auto"/>
      <w:sz w:val="20"/>
      <w:szCs w:val="20"/>
      <w:lang w:eastAsia="en-CA"/>
    </w:rPr>
  </w:style>
  <w:style w:type="paragraph" w:customStyle="1" w:styleId="font8">
    <w:name w:val="font8"/>
    <w:basedOn w:val="Normal"/>
    <w:rsid w:val="004812BA"/>
    <w:pPr>
      <w:tabs>
        <w:tab w:val="clear" w:pos="0"/>
      </w:tabs>
      <w:spacing w:before="100" w:beforeAutospacing="1" w:after="100" w:afterAutospacing="1"/>
    </w:pPr>
    <w:rPr>
      <w:b/>
      <w:bCs/>
      <w:color w:val="DD0806"/>
      <w:sz w:val="20"/>
      <w:szCs w:val="20"/>
      <w:lang w:eastAsia="en-CA"/>
    </w:rPr>
  </w:style>
  <w:style w:type="paragraph" w:customStyle="1" w:styleId="font9">
    <w:name w:val="font9"/>
    <w:basedOn w:val="Normal"/>
    <w:rsid w:val="004812BA"/>
    <w:pPr>
      <w:tabs>
        <w:tab w:val="clear" w:pos="0"/>
      </w:tabs>
      <w:spacing w:before="100" w:beforeAutospacing="1" w:after="100" w:afterAutospacing="1"/>
    </w:pPr>
    <w:rPr>
      <w:color w:val="DD0806"/>
      <w:sz w:val="20"/>
      <w:szCs w:val="20"/>
      <w:lang w:eastAsia="en-CA"/>
    </w:rPr>
  </w:style>
  <w:style w:type="paragraph" w:customStyle="1" w:styleId="font10">
    <w:name w:val="font10"/>
    <w:basedOn w:val="Normal"/>
    <w:rsid w:val="004812BA"/>
    <w:pPr>
      <w:tabs>
        <w:tab w:val="clear" w:pos="0"/>
      </w:tabs>
      <w:spacing w:before="100" w:beforeAutospacing="1" w:after="100" w:afterAutospacing="1"/>
    </w:pPr>
    <w:rPr>
      <w:color w:val="DD0806"/>
      <w:sz w:val="20"/>
      <w:szCs w:val="20"/>
      <w:lang w:eastAsia="en-CA"/>
    </w:rPr>
  </w:style>
  <w:style w:type="paragraph" w:customStyle="1" w:styleId="xl125">
    <w:name w:val="xl125"/>
    <w:basedOn w:val="Normal"/>
    <w:rsid w:val="004812BA"/>
    <w:pPr>
      <w:pBdr>
        <w:top w:val="single" w:sz="8" w:space="0" w:color="auto"/>
        <w:left w:val="single" w:sz="8" w:space="0" w:color="auto"/>
        <w:bottom w:val="single" w:sz="4" w:space="0" w:color="auto"/>
        <w:right w:val="single" w:sz="8" w:space="0" w:color="auto"/>
      </w:pBdr>
      <w:tabs>
        <w:tab w:val="clear" w:pos="0"/>
      </w:tabs>
      <w:spacing w:before="100" w:beforeAutospacing="1" w:after="100" w:afterAutospacing="1"/>
      <w:textAlignment w:val="top"/>
    </w:pPr>
    <w:rPr>
      <w:b/>
      <w:bCs/>
      <w:color w:val="auto"/>
      <w:sz w:val="24"/>
      <w:szCs w:val="24"/>
      <w:lang w:eastAsia="en-CA"/>
    </w:rPr>
  </w:style>
  <w:style w:type="paragraph" w:customStyle="1" w:styleId="xl126">
    <w:name w:val="xl126"/>
    <w:basedOn w:val="Normal"/>
    <w:rsid w:val="004812BA"/>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right"/>
      <w:textAlignment w:val="top"/>
    </w:pPr>
    <w:rPr>
      <w:color w:val="auto"/>
      <w:sz w:val="24"/>
      <w:szCs w:val="24"/>
      <w:lang w:eastAsia="en-CA"/>
    </w:rPr>
  </w:style>
  <w:style w:type="paragraph" w:customStyle="1" w:styleId="xl127">
    <w:name w:val="xl127"/>
    <w:basedOn w:val="Normal"/>
    <w:rsid w:val="004812BA"/>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right"/>
      <w:textAlignment w:val="top"/>
    </w:pPr>
    <w:rPr>
      <w:color w:val="auto"/>
      <w:sz w:val="24"/>
      <w:szCs w:val="24"/>
      <w:lang w:eastAsia="en-CA"/>
    </w:rPr>
  </w:style>
  <w:style w:type="paragraph" w:customStyle="1" w:styleId="xl128">
    <w:name w:val="xl128"/>
    <w:basedOn w:val="Normal"/>
    <w:rsid w:val="004812BA"/>
    <w:pPr>
      <w:pBdr>
        <w:top w:val="single" w:sz="4" w:space="0" w:color="auto"/>
        <w:bottom w:val="single" w:sz="4" w:space="0" w:color="auto"/>
        <w:right w:val="single" w:sz="8" w:space="0" w:color="auto"/>
      </w:pBdr>
      <w:tabs>
        <w:tab w:val="clear" w:pos="0"/>
      </w:tabs>
      <w:spacing w:before="100" w:beforeAutospacing="1" w:after="100" w:afterAutospacing="1"/>
      <w:jc w:val="right"/>
      <w:textAlignment w:val="top"/>
    </w:pPr>
    <w:rPr>
      <w:color w:val="auto"/>
      <w:sz w:val="24"/>
      <w:szCs w:val="24"/>
      <w:lang w:eastAsia="en-CA"/>
    </w:rPr>
  </w:style>
  <w:style w:type="paragraph" w:customStyle="1" w:styleId="xl129">
    <w:name w:val="xl129"/>
    <w:basedOn w:val="Normal"/>
    <w:rsid w:val="004812BA"/>
    <w:pPr>
      <w:pBdr>
        <w:top w:val="single" w:sz="4" w:space="0" w:color="auto"/>
        <w:left w:val="single" w:sz="8" w:space="0" w:color="auto"/>
        <w:bottom w:val="single" w:sz="8" w:space="0" w:color="auto"/>
        <w:right w:val="single" w:sz="4"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30">
    <w:name w:val="xl130"/>
    <w:basedOn w:val="Normal"/>
    <w:rsid w:val="004812BA"/>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31">
    <w:name w:val="xl131"/>
    <w:basedOn w:val="Normal"/>
    <w:rsid w:val="004812BA"/>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32">
    <w:name w:val="xl132"/>
    <w:basedOn w:val="Normal"/>
    <w:rsid w:val="004812BA"/>
    <w:pPr>
      <w:pBdr>
        <w:top w:val="single" w:sz="4" w:space="0" w:color="auto"/>
        <w:left w:val="single" w:sz="4" w:space="0" w:color="auto"/>
        <w:bottom w:val="single" w:sz="8" w:space="0" w:color="auto"/>
        <w:right w:val="single" w:sz="8"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33">
    <w:name w:val="xl133"/>
    <w:basedOn w:val="Normal"/>
    <w:rsid w:val="004812BA"/>
    <w:pPr>
      <w:pBdr>
        <w:top w:val="single" w:sz="4" w:space="0" w:color="auto"/>
        <w:left w:val="single" w:sz="4" w:space="0" w:color="auto"/>
        <w:bottom w:val="single" w:sz="8" w:space="0" w:color="auto"/>
        <w:right w:val="single" w:sz="8" w:space="0" w:color="auto"/>
      </w:pBdr>
      <w:shd w:val="clear" w:color="000000" w:fill="A6A6A6"/>
      <w:tabs>
        <w:tab w:val="clear" w:pos="0"/>
      </w:tabs>
      <w:spacing w:before="100" w:beforeAutospacing="1" w:after="100" w:afterAutospacing="1"/>
      <w:jc w:val="right"/>
      <w:textAlignment w:val="top"/>
    </w:pPr>
    <w:rPr>
      <w:b/>
      <w:bCs/>
      <w:color w:val="auto"/>
      <w:sz w:val="24"/>
      <w:szCs w:val="24"/>
      <w:lang w:eastAsia="en-CA"/>
    </w:rPr>
  </w:style>
  <w:style w:type="paragraph" w:customStyle="1" w:styleId="xl134">
    <w:name w:val="xl134"/>
    <w:basedOn w:val="Normal"/>
    <w:rsid w:val="004812BA"/>
    <w:pPr>
      <w:pBdr>
        <w:top w:val="single" w:sz="4" w:space="0" w:color="auto"/>
        <w:bottom w:val="single" w:sz="8" w:space="0" w:color="auto"/>
        <w:right w:val="single" w:sz="8"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35">
    <w:name w:val="xl135"/>
    <w:basedOn w:val="Normal"/>
    <w:rsid w:val="004812BA"/>
    <w:pPr>
      <w:pBdr>
        <w:top w:val="single" w:sz="4" w:space="0" w:color="auto"/>
        <w:left w:val="single" w:sz="8" w:space="0" w:color="auto"/>
        <w:right w:val="single" w:sz="8" w:space="0" w:color="auto"/>
      </w:pBdr>
      <w:tabs>
        <w:tab w:val="clear" w:pos="0"/>
      </w:tabs>
      <w:spacing w:before="100" w:beforeAutospacing="1" w:after="100" w:afterAutospacing="1"/>
      <w:jc w:val="right"/>
      <w:textAlignment w:val="top"/>
    </w:pPr>
    <w:rPr>
      <w:color w:val="auto"/>
      <w:sz w:val="24"/>
      <w:szCs w:val="24"/>
      <w:lang w:eastAsia="en-CA"/>
    </w:rPr>
  </w:style>
  <w:style w:type="paragraph" w:customStyle="1" w:styleId="xl136">
    <w:name w:val="xl136"/>
    <w:basedOn w:val="Normal"/>
    <w:rsid w:val="004812BA"/>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textAlignment w:val="top"/>
    </w:pPr>
    <w:rPr>
      <w:b/>
      <w:bCs/>
      <w:color w:val="auto"/>
      <w:sz w:val="24"/>
      <w:szCs w:val="24"/>
      <w:lang w:eastAsia="en-CA"/>
    </w:rPr>
  </w:style>
  <w:style w:type="paragraph" w:customStyle="1" w:styleId="xl137">
    <w:name w:val="xl137"/>
    <w:basedOn w:val="Normal"/>
    <w:rsid w:val="004812BA"/>
    <w:pPr>
      <w:pBdr>
        <w:top w:val="single" w:sz="8" w:space="0" w:color="auto"/>
        <w:left w:val="single" w:sz="8" w:space="0" w:color="auto"/>
        <w:bottom w:val="single" w:sz="8" w:space="0" w:color="auto"/>
        <w:right w:val="single" w:sz="4"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38">
    <w:name w:val="xl138"/>
    <w:basedOn w:val="Normal"/>
    <w:rsid w:val="004812BA"/>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39">
    <w:name w:val="xl139"/>
    <w:basedOn w:val="Normal"/>
    <w:rsid w:val="004812BA"/>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40">
    <w:name w:val="xl140"/>
    <w:basedOn w:val="Normal"/>
    <w:rsid w:val="004812BA"/>
    <w:pPr>
      <w:pBdr>
        <w:top w:val="single" w:sz="8" w:space="0" w:color="auto"/>
        <w:left w:val="single" w:sz="4" w:space="0" w:color="auto"/>
        <w:bottom w:val="single" w:sz="8" w:space="0" w:color="auto"/>
        <w:right w:val="single" w:sz="8"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41">
    <w:name w:val="xl141"/>
    <w:basedOn w:val="Normal"/>
    <w:rsid w:val="004812BA"/>
    <w:pPr>
      <w:pBdr>
        <w:top w:val="single" w:sz="8" w:space="0" w:color="auto"/>
        <w:bottom w:val="single" w:sz="8" w:space="0" w:color="auto"/>
        <w:right w:val="single" w:sz="8" w:space="0" w:color="auto"/>
      </w:pBdr>
      <w:tabs>
        <w:tab w:val="clear" w:pos="0"/>
      </w:tabs>
      <w:spacing w:before="100" w:beforeAutospacing="1" w:after="100" w:afterAutospacing="1"/>
      <w:jc w:val="right"/>
      <w:textAlignment w:val="top"/>
    </w:pPr>
    <w:rPr>
      <w:b/>
      <w:bCs/>
      <w:color w:val="auto"/>
      <w:sz w:val="24"/>
      <w:szCs w:val="24"/>
      <w:lang w:eastAsia="en-CA"/>
    </w:rPr>
  </w:style>
  <w:style w:type="paragraph" w:customStyle="1" w:styleId="xl142">
    <w:name w:val="xl142"/>
    <w:basedOn w:val="Normal"/>
    <w:rsid w:val="004812BA"/>
    <w:pPr>
      <w:pBdr>
        <w:top w:val="single" w:sz="8" w:space="0" w:color="auto"/>
        <w:left w:val="single" w:sz="4" w:space="0" w:color="auto"/>
      </w:pBdr>
      <w:shd w:val="thinDiagStripe" w:color="FFFFFF" w:fill="000000"/>
      <w:tabs>
        <w:tab w:val="clear" w:pos="0"/>
      </w:tabs>
      <w:spacing w:before="100" w:beforeAutospacing="1" w:after="100" w:afterAutospacing="1"/>
      <w:jc w:val="right"/>
      <w:textAlignment w:val="top"/>
    </w:pPr>
    <w:rPr>
      <w:color w:val="auto"/>
      <w:sz w:val="24"/>
      <w:szCs w:val="24"/>
      <w:lang w:eastAsia="en-CA"/>
    </w:rPr>
  </w:style>
  <w:style w:type="paragraph" w:customStyle="1" w:styleId="xl143">
    <w:name w:val="xl143"/>
    <w:basedOn w:val="Normal"/>
    <w:rsid w:val="004812BA"/>
    <w:pPr>
      <w:pBdr>
        <w:top w:val="single" w:sz="8" w:space="0" w:color="auto"/>
        <w:left w:val="single" w:sz="4" w:space="0" w:color="auto"/>
        <w:bottom w:val="single" w:sz="4" w:space="0" w:color="auto"/>
      </w:pBdr>
      <w:shd w:val="thinDiagStripe" w:color="FFFFFF" w:fill="000000"/>
      <w:tabs>
        <w:tab w:val="clear" w:pos="0"/>
      </w:tabs>
      <w:spacing w:before="100" w:beforeAutospacing="1" w:after="100" w:afterAutospacing="1"/>
      <w:textAlignment w:val="top"/>
    </w:pPr>
    <w:rPr>
      <w:color w:val="auto"/>
      <w:sz w:val="24"/>
      <w:szCs w:val="24"/>
      <w:lang w:eastAsia="en-CA"/>
    </w:rPr>
  </w:style>
  <w:style w:type="paragraph" w:customStyle="1" w:styleId="xl144">
    <w:name w:val="xl144"/>
    <w:basedOn w:val="Normal"/>
    <w:rsid w:val="004812BA"/>
    <w:pPr>
      <w:pBdr>
        <w:top w:val="single" w:sz="4" w:space="0" w:color="auto"/>
        <w:left w:val="single" w:sz="4" w:space="0" w:color="auto"/>
        <w:bottom w:val="single" w:sz="4" w:space="0" w:color="auto"/>
      </w:pBdr>
      <w:shd w:val="clear" w:color="000000" w:fill="A6A6A6"/>
      <w:tabs>
        <w:tab w:val="clear" w:pos="0"/>
      </w:tabs>
      <w:spacing w:before="100" w:beforeAutospacing="1" w:after="100" w:afterAutospacing="1"/>
      <w:jc w:val="right"/>
      <w:textAlignment w:val="top"/>
    </w:pPr>
    <w:rPr>
      <w:color w:val="auto"/>
      <w:sz w:val="24"/>
      <w:szCs w:val="24"/>
      <w:lang w:eastAsia="en-CA"/>
    </w:rPr>
  </w:style>
  <w:style w:type="paragraph" w:customStyle="1" w:styleId="xl145">
    <w:name w:val="xl145"/>
    <w:basedOn w:val="Normal"/>
    <w:rsid w:val="004812BA"/>
    <w:pPr>
      <w:pBdr>
        <w:left w:val="single" w:sz="4" w:space="0" w:color="auto"/>
        <w:bottom w:val="single" w:sz="8" w:space="0" w:color="auto"/>
      </w:pBdr>
      <w:shd w:val="clear" w:color="000000" w:fill="A6A6A6"/>
      <w:tabs>
        <w:tab w:val="clear" w:pos="0"/>
      </w:tabs>
      <w:spacing w:before="100" w:beforeAutospacing="1" w:after="100" w:afterAutospacing="1"/>
      <w:jc w:val="right"/>
      <w:textAlignment w:val="top"/>
    </w:pPr>
    <w:rPr>
      <w:b/>
      <w:bCs/>
      <w:color w:val="auto"/>
      <w:sz w:val="24"/>
      <w:szCs w:val="24"/>
      <w:lang w:eastAsia="en-CA"/>
    </w:rPr>
  </w:style>
  <w:style w:type="paragraph" w:customStyle="1" w:styleId="xl146">
    <w:name w:val="xl146"/>
    <w:basedOn w:val="Normal"/>
    <w:rsid w:val="004812BA"/>
    <w:pPr>
      <w:pBdr>
        <w:top w:val="single" w:sz="4" w:space="0" w:color="auto"/>
        <w:left w:val="single" w:sz="4" w:space="0" w:color="auto"/>
        <w:bottom w:val="single" w:sz="4" w:space="0" w:color="auto"/>
      </w:pBdr>
      <w:tabs>
        <w:tab w:val="clear" w:pos="0"/>
      </w:tabs>
      <w:spacing w:before="100" w:beforeAutospacing="1" w:after="100" w:afterAutospacing="1"/>
      <w:jc w:val="right"/>
      <w:textAlignment w:val="top"/>
    </w:pPr>
    <w:rPr>
      <w:color w:val="auto"/>
      <w:sz w:val="24"/>
      <w:szCs w:val="24"/>
      <w:lang w:eastAsia="en-CA"/>
    </w:rPr>
  </w:style>
  <w:style w:type="paragraph" w:customStyle="1" w:styleId="xl147">
    <w:name w:val="xl147"/>
    <w:basedOn w:val="Normal"/>
    <w:rsid w:val="004812BA"/>
    <w:pPr>
      <w:pBdr>
        <w:top w:val="single" w:sz="4" w:space="0" w:color="auto"/>
        <w:left w:val="single" w:sz="4" w:space="0" w:color="auto"/>
      </w:pBdr>
      <w:shd w:val="clear" w:color="000000" w:fill="A6A6A6"/>
      <w:tabs>
        <w:tab w:val="clear" w:pos="0"/>
      </w:tabs>
      <w:spacing w:before="100" w:beforeAutospacing="1" w:after="100" w:afterAutospacing="1"/>
      <w:jc w:val="right"/>
      <w:textAlignment w:val="top"/>
    </w:pPr>
    <w:rPr>
      <w:color w:val="auto"/>
      <w:sz w:val="24"/>
      <w:szCs w:val="24"/>
      <w:lang w:eastAsia="en-CA"/>
    </w:rPr>
  </w:style>
  <w:style w:type="paragraph" w:customStyle="1" w:styleId="xl148">
    <w:name w:val="xl148"/>
    <w:basedOn w:val="Normal"/>
    <w:rsid w:val="004812BA"/>
    <w:pPr>
      <w:pBdr>
        <w:top w:val="single" w:sz="4" w:space="0" w:color="auto"/>
        <w:left w:val="single" w:sz="4" w:space="0" w:color="auto"/>
        <w:bottom w:val="single" w:sz="8" w:space="0" w:color="auto"/>
      </w:pBdr>
      <w:shd w:val="clear" w:color="000000" w:fill="A6A6A6"/>
      <w:tabs>
        <w:tab w:val="clear" w:pos="0"/>
      </w:tabs>
      <w:spacing w:before="100" w:beforeAutospacing="1" w:after="100" w:afterAutospacing="1"/>
      <w:jc w:val="right"/>
      <w:textAlignment w:val="top"/>
    </w:pPr>
    <w:rPr>
      <w:b/>
      <w:bCs/>
      <w:color w:val="auto"/>
      <w:sz w:val="24"/>
      <w:szCs w:val="24"/>
      <w:lang w:eastAsia="en-CA"/>
    </w:rPr>
  </w:style>
  <w:style w:type="paragraph" w:customStyle="1" w:styleId="xl149">
    <w:name w:val="xl149"/>
    <w:basedOn w:val="Normal"/>
    <w:rsid w:val="004812BA"/>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top"/>
    </w:pPr>
    <w:rPr>
      <w:b/>
      <w:bCs/>
      <w:color w:val="FF0000"/>
      <w:sz w:val="24"/>
      <w:szCs w:val="24"/>
      <w:lang w:eastAsia="en-CA"/>
    </w:rPr>
  </w:style>
  <w:style w:type="paragraph" w:customStyle="1" w:styleId="xl150">
    <w:name w:val="xl150"/>
    <w:basedOn w:val="Normal"/>
    <w:rsid w:val="004812BA"/>
    <w:pPr>
      <w:tabs>
        <w:tab w:val="clear" w:pos="0"/>
      </w:tabs>
      <w:spacing w:before="100" w:beforeAutospacing="1" w:after="100" w:afterAutospacing="1"/>
      <w:jc w:val="center"/>
      <w:textAlignment w:val="top"/>
    </w:pPr>
    <w:rPr>
      <w:b/>
      <w:bCs/>
      <w:color w:val="FF0000"/>
      <w:sz w:val="24"/>
      <w:szCs w:val="24"/>
      <w:lang w:eastAsia="en-CA"/>
    </w:rPr>
  </w:style>
  <w:style w:type="paragraph" w:customStyle="1" w:styleId="xl151">
    <w:name w:val="xl151"/>
    <w:basedOn w:val="Normal"/>
    <w:rsid w:val="004812BA"/>
    <w:pPr>
      <w:tabs>
        <w:tab w:val="clear" w:pos="0"/>
      </w:tabs>
      <w:spacing w:before="100" w:beforeAutospacing="1" w:after="100" w:afterAutospacing="1"/>
      <w:textAlignment w:val="top"/>
    </w:pPr>
    <w:rPr>
      <w:color w:val="FF0000"/>
      <w:sz w:val="24"/>
      <w:szCs w:val="24"/>
      <w:lang w:eastAsia="en-CA"/>
    </w:rPr>
  </w:style>
  <w:style w:type="paragraph" w:customStyle="1" w:styleId="xl152">
    <w:name w:val="xl152"/>
    <w:basedOn w:val="Normal"/>
    <w:rsid w:val="004812BA"/>
    <w:pPr>
      <w:pBdr>
        <w:top w:val="single" w:sz="8" w:space="0" w:color="auto"/>
        <w:right w:val="single" w:sz="4" w:space="0" w:color="auto"/>
      </w:pBdr>
      <w:shd w:val="thinDiagStripe" w:color="FFFFFF" w:fill="000000"/>
      <w:tabs>
        <w:tab w:val="clear" w:pos="0"/>
      </w:tabs>
      <w:spacing w:before="100" w:beforeAutospacing="1" w:after="100" w:afterAutospacing="1"/>
      <w:textAlignment w:val="top"/>
    </w:pPr>
    <w:rPr>
      <w:color w:val="auto"/>
      <w:sz w:val="24"/>
      <w:szCs w:val="24"/>
      <w:lang w:eastAsia="en-CA"/>
    </w:rPr>
  </w:style>
  <w:style w:type="paragraph" w:customStyle="1" w:styleId="xl153">
    <w:name w:val="xl153"/>
    <w:basedOn w:val="Normal"/>
    <w:rsid w:val="004812BA"/>
    <w:pPr>
      <w:pBdr>
        <w:top w:val="single" w:sz="8" w:space="0" w:color="auto"/>
        <w:bottom w:val="single" w:sz="4" w:space="0" w:color="auto"/>
        <w:right w:val="single" w:sz="4" w:space="0" w:color="auto"/>
      </w:pBdr>
      <w:shd w:val="thinDiagStripe" w:color="FFFFFF" w:fill="000000"/>
      <w:tabs>
        <w:tab w:val="clear" w:pos="0"/>
      </w:tabs>
      <w:spacing w:before="100" w:beforeAutospacing="1" w:after="100" w:afterAutospacing="1"/>
      <w:textAlignment w:val="top"/>
    </w:pPr>
    <w:rPr>
      <w:color w:val="auto"/>
      <w:sz w:val="24"/>
      <w:szCs w:val="24"/>
      <w:lang w:eastAsia="en-CA"/>
    </w:rPr>
  </w:style>
  <w:style w:type="paragraph" w:customStyle="1" w:styleId="xl154">
    <w:name w:val="xl154"/>
    <w:basedOn w:val="Normal"/>
    <w:rsid w:val="004812BA"/>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55">
    <w:name w:val="xl155"/>
    <w:basedOn w:val="Normal"/>
    <w:rsid w:val="004812BA"/>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56">
    <w:name w:val="xl156"/>
    <w:basedOn w:val="Normal"/>
    <w:rsid w:val="004812BA"/>
    <w:pPr>
      <w:pBdr>
        <w:top w:val="single" w:sz="8"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57">
    <w:name w:val="xl157"/>
    <w:basedOn w:val="Normal"/>
    <w:rsid w:val="004812BA"/>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58">
    <w:name w:val="xl158"/>
    <w:basedOn w:val="Normal"/>
    <w:rsid w:val="004812BA"/>
    <w:pPr>
      <w:pBdr>
        <w:top w:val="single" w:sz="8" w:space="0" w:color="auto"/>
        <w:bottom w:val="single" w:sz="4"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59">
    <w:name w:val="xl159"/>
    <w:basedOn w:val="Normal"/>
    <w:rsid w:val="004812BA"/>
    <w:pPr>
      <w:pBdr>
        <w:top w:val="single" w:sz="4" w:space="0" w:color="auto"/>
        <w:bottom w:val="single" w:sz="4"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0">
    <w:name w:val="xl160"/>
    <w:basedOn w:val="Normal"/>
    <w:rsid w:val="004812BA"/>
    <w:pPr>
      <w:pBdr>
        <w:top w:val="single" w:sz="4" w:space="0" w:color="auto"/>
        <w:bottom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1">
    <w:name w:val="xl161"/>
    <w:basedOn w:val="Normal"/>
    <w:rsid w:val="004812BA"/>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2">
    <w:name w:val="xl162"/>
    <w:basedOn w:val="Normal"/>
    <w:rsid w:val="004812BA"/>
    <w:pPr>
      <w:pBdr>
        <w:top w:val="single" w:sz="4" w:space="0" w:color="auto"/>
        <w:left w:val="single" w:sz="8" w:space="0" w:color="auto"/>
        <w:bottom w:val="single" w:sz="8" w:space="0" w:color="auto"/>
        <w:right w:val="single" w:sz="4"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3">
    <w:name w:val="xl163"/>
    <w:basedOn w:val="Normal"/>
    <w:rsid w:val="004812BA"/>
    <w:pPr>
      <w:pBdr>
        <w:top w:val="single" w:sz="8" w:space="0" w:color="auto"/>
        <w:left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4">
    <w:name w:val="xl164"/>
    <w:basedOn w:val="Normal"/>
    <w:rsid w:val="004812BA"/>
    <w:pPr>
      <w:pBdr>
        <w:left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5">
    <w:name w:val="xl165"/>
    <w:basedOn w:val="Normal"/>
    <w:rsid w:val="004812BA"/>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6">
    <w:name w:val="xl166"/>
    <w:basedOn w:val="Normal"/>
    <w:rsid w:val="004812BA"/>
    <w:pPr>
      <w:pBdr>
        <w:top w:val="single" w:sz="8" w:space="0" w:color="auto"/>
        <w:left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7">
    <w:name w:val="xl167"/>
    <w:basedOn w:val="Normal"/>
    <w:rsid w:val="004812BA"/>
    <w:pPr>
      <w:pBdr>
        <w:left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8">
    <w:name w:val="xl168"/>
    <w:basedOn w:val="Normal"/>
    <w:rsid w:val="004812BA"/>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69">
    <w:name w:val="xl169"/>
    <w:basedOn w:val="Normal"/>
    <w:rsid w:val="004812BA"/>
    <w:pPr>
      <w:pBdr>
        <w:top w:val="single" w:sz="8" w:space="0" w:color="auto"/>
        <w:left w:val="single" w:sz="8" w:space="0" w:color="auto"/>
        <w:bottom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0">
    <w:name w:val="xl170"/>
    <w:basedOn w:val="Normal"/>
    <w:rsid w:val="004812BA"/>
    <w:pPr>
      <w:pBdr>
        <w:top w:val="single" w:sz="8" w:space="0" w:color="auto"/>
        <w:bottom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1">
    <w:name w:val="xl171"/>
    <w:basedOn w:val="Normal"/>
    <w:rsid w:val="004812BA"/>
    <w:pPr>
      <w:pBdr>
        <w:top w:val="single" w:sz="8" w:space="0" w:color="auto"/>
        <w:bottom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2">
    <w:name w:val="xl172"/>
    <w:basedOn w:val="Normal"/>
    <w:rsid w:val="004812BA"/>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3">
    <w:name w:val="xl173"/>
    <w:basedOn w:val="Normal"/>
    <w:rsid w:val="004812BA"/>
    <w:pPr>
      <w:pBdr>
        <w:top w:val="single" w:sz="8"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4">
    <w:name w:val="xl174"/>
    <w:basedOn w:val="Normal"/>
    <w:rsid w:val="004812BA"/>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5">
    <w:name w:val="xl175"/>
    <w:basedOn w:val="Normal"/>
    <w:rsid w:val="004812BA"/>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6">
    <w:name w:val="xl176"/>
    <w:basedOn w:val="Normal"/>
    <w:rsid w:val="004812BA"/>
    <w:pPr>
      <w:pBdr>
        <w:top w:val="single" w:sz="8"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7">
    <w:name w:val="xl177"/>
    <w:basedOn w:val="Normal"/>
    <w:rsid w:val="004812BA"/>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8">
    <w:name w:val="xl178"/>
    <w:basedOn w:val="Normal"/>
    <w:rsid w:val="004812BA"/>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79">
    <w:name w:val="xl179"/>
    <w:basedOn w:val="Normal"/>
    <w:rsid w:val="004812BA"/>
    <w:pPr>
      <w:tabs>
        <w:tab w:val="clear" w:pos="0"/>
      </w:tabs>
      <w:spacing w:before="100" w:beforeAutospacing="1" w:after="100" w:afterAutospacing="1"/>
      <w:jc w:val="center"/>
      <w:textAlignment w:val="center"/>
    </w:pPr>
    <w:rPr>
      <w:b/>
      <w:bCs/>
      <w:color w:val="auto"/>
      <w:sz w:val="28"/>
      <w:szCs w:val="28"/>
      <w:lang w:eastAsia="en-CA"/>
    </w:rPr>
  </w:style>
  <w:style w:type="paragraph" w:customStyle="1" w:styleId="xl180">
    <w:name w:val="xl180"/>
    <w:basedOn w:val="Normal"/>
    <w:rsid w:val="004812BA"/>
    <w:pPr>
      <w:pBdr>
        <w:top w:val="single" w:sz="8" w:space="0" w:color="auto"/>
      </w:pBdr>
      <w:tabs>
        <w:tab w:val="clear" w:pos="0"/>
      </w:tabs>
      <w:spacing w:before="100" w:beforeAutospacing="1" w:after="100" w:afterAutospacing="1"/>
      <w:textAlignment w:val="top"/>
    </w:pPr>
    <w:rPr>
      <w:color w:val="auto"/>
      <w:sz w:val="24"/>
      <w:szCs w:val="24"/>
      <w:lang w:eastAsia="en-CA"/>
    </w:rPr>
  </w:style>
  <w:style w:type="paragraph" w:customStyle="1" w:styleId="xl181">
    <w:name w:val="xl181"/>
    <w:basedOn w:val="Normal"/>
    <w:rsid w:val="004812BA"/>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paragraph" w:customStyle="1" w:styleId="xl182">
    <w:name w:val="xl182"/>
    <w:basedOn w:val="Normal"/>
    <w:rsid w:val="004812BA"/>
    <w:pPr>
      <w:pBdr>
        <w:top w:val="single" w:sz="4"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top"/>
    </w:pPr>
    <w:rPr>
      <w:b/>
      <w:bCs/>
      <w:color w:val="auto"/>
      <w:sz w:val="24"/>
      <w:szCs w:val="24"/>
      <w:lang w:eastAsia="en-CA"/>
    </w:rPr>
  </w:style>
  <w:style w:type="character" w:customStyle="1" w:styleId="ui-provider">
    <w:name w:val="ui-provider"/>
    <w:basedOn w:val="DefaultParagraphFont"/>
    <w:rsid w:val="004812BA"/>
  </w:style>
  <w:style w:type="numbering" w:customStyle="1" w:styleId="NoList2">
    <w:name w:val="No List2"/>
    <w:next w:val="NoList"/>
    <w:uiPriority w:val="99"/>
    <w:semiHidden/>
    <w:unhideWhenUsed/>
    <w:rsid w:val="004812BA"/>
  </w:style>
  <w:style w:type="numbering" w:customStyle="1" w:styleId="1111111">
    <w:name w:val="1 / 1.1 / 1.1.11"/>
    <w:basedOn w:val="NoList"/>
    <w:next w:val="111111"/>
    <w:uiPriority w:val="99"/>
    <w:semiHidden/>
    <w:rsid w:val="004812BA"/>
    <w:pPr>
      <w:numPr>
        <w:numId w:val="35"/>
      </w:numPr>
    </w:pPr>
  </w:style>
  <w:style w:type="numbering" w:customStyle="1" w:styleId="1ai1">
    <w:name w:val="1 / a / i1"/>
    <w:basedOn w:val="NoList"/>
    <w:next w:val="1ai"/>
    <w:semiHidden/>
    <w:rsid w:val="004812BA"/>
    <w:pPr>
      <w:numPr>
        <w:numId w:val="40"/>
      </w:numPr>
    </w:pPr>
  </w:style>
  <w:style w:type="numbering" w:customStyle="1" w:styleId="ArticleSection1">
    <w:name w:val="Article / Section1"/>
    <w:basedOn w:val="NoList"/>
    <w:next w:val="ArticleSection"/>
    <w:semiHidden/>
    <w:rsid w:val="004812BA"/>
    <w:pPr>
      <w:numPr>
        <w:numId w:val="37"/>
      </w:numPr>
    </w:pPr>
  </w:style>
  <w:style w:type="table" w:customStyle="1" w:styleId="TableGrid140">
    <w:name w:val="Table Grid14"/>
    <w:basedOn w:val="TableNormal"/>
    <w:next w:val="TableGrid"/>
    <w:rsid w:val="004812BA"/>
    <w:pPr>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rmallist2">
    <w:name w:val="Normal_list2"/>
    <w:rsid w:val="004812BA"/>
    <w:pPr>
      <w:numPr>
        <w:numId w:val="38"/>
      </w:numPr>
    </w:pPr>
  </w:style>
  <w:style w:type="numbering" w:customStyle="1" w:styleId="NoList12">
    <w:name w:val="No List12"/>
    <w:next w:val="NoList"/>
    <w:uiPriority w:val="99"/>
    <w:semiHidden/>
    <w:unhideWhenUsed/>
    <w:rsid w:val="004812BA"/>
  </w:style>
  <w:style w:type="numbering" w:customStyle="1" w:styleId="NoList3">
    <w:name w:val="No List3"/>
    <w:next w:val="NoList"/>
    <w:uiPriority w:val="99"/>
    <w:semiHidden/>
    <w:unhideWhenUsed/>
    <w:rsid w:val="004812BA"/>
  </w:style>
  <w:style w:type="paragraph" w:customStyle="1" w:styleId="Quote1">
    <w:name w:val="Quote1"/>
    <w:basedOn w:val="Normal"/>
    <w:next w:val="Normal"/>
    <w:uiPriority w:val="29"/>
    <w:qFormat/>
    <w:rsid w:val="004812BA"/>
    <w:pPr>
      <w:tabs>
        <w:tab w:val="clear" w:pos="0"/>
      </w:tabs>
      <w:spacing w:before="160" w:after="160" w:line="259" w:lineRule="auto"/>
      <w:jc w:val="center"/>
    </w:pPr>
    <w:rPr>
      <w:rFonts w:ascii="Calibri" w:eastAsia="Aptos" w:hAnsi="Calibri" w:cs="Aptos"/>
      <w:i/>
      <w:iCs/>
      <w:color w:val="404040"/>
    </w:rPr>
  </w:style>
  <w:style w:type="character" w:customStyle="1" w:styleId="QuoteChar">
    <w:name w:val="Quote Char"/>
    <w:basedOn w:val="DefaultParagraphFont"/>
    <w:link w:val="Quote"/>
    <w:uiPriority w:val="29"/>
    <w:rsid w:val="004812BA"/>
    <w:rPr>
      <w:i/>
      <w:iCs/>
      <w:color w:val="404040"/>
    </w:rPr>
  </w:style>
  <w:style w:type="character" w:customStyle="1" w:styleId="IntenseEmphasis1">
    <w:name w:val="Intense Emphasis1"/>
    <w:basedOn w:val="DefaultParagraphFont"/>
    <w:uiPriority w:val="21"/>
    <w:qFormat/>
    <w:rsid w:val="004812BA"/>
    <w:rPr>
      <w:i/>
      <w:iCs/>
      <w:color w:val="0F4761"/>
    </w:rPr>
  </w:style>
  <w:style w:type="paragraph" w:customStyle="1" w:styleId="IntenseQuote1">
    <w:name w:val="Intense Quote1"/>
    <w:basedOn w:val="Normal"/>
    <w:next w:val="Normal"/>
    <w:uiPriority w:val="30"/>
    <w:qFormat/>
    <w:rsid w:val="004812BA"/>
    <w:pPr>
      <w:pBdr>
        <w:top w:val="single" w:sz="4" w:space="10" w:color="0F4761"/>
        <w:bottom w:val="single" w:sz="4" w:space="10" w:color="0F4761"/>
      </w:pBdr>
      <w:tabs>
        <w:tab w:val="clear" w:pos="0"/>
      </w:tabs>
      <w:spacing w:before="360" w:after="360" w:line="259" w:lineRule="auto"/>
      <w:ind w:left="864" w:right="864"/>
      <w:jc w:val="center"/>
    </w:pPr>
    <w:rPr>
      <w:rFonts w:ascii="Calibri" w:eastAsia="Aptos" w:hAnsi="Calibri" w:cs="Aptos"/>
      <w:i/>
      <w:iCs/>
      <w:color w:val="0F4761"/>
    </w:rPr>
  </w:style>
  <w:style w:type="character" w:customStyle="1" w:styleId="IntenseQuoteChar">
    <w:name w:val="Intense Quote Char"/>
    <w:basedOn w:val="DefaultParagraphFont"/>
    <w:link w:val="IntenseQuote"/>
    <w:uiPriority w:val="30"/>
    <w:rsid w:val="004812BA"/>
    <w:rPr>
      <w:i/>
      <w:iCs/>
      <w:color w:val="0F4761"/>
    </w:rPr>
  </w:style>
  <w:style w:type="character" w:customStyle="1" w:styleId="IntenseReference1">
    <w:name w:val="Intense Reference1"/>
    <w:basedOn w:val="DefaultParagraphFont"/>
    <w:uiPriority w:val="32"/>
    <w:qFormat/>
    <w:rsid w:val="004812BA"/>
    <w:rPr>
      <w:b/>
      <w:bCs/>
      <w:smallCaps/>
      <w:color w:val="0F4761"/>
      <w:spacing w:val="5"/>
    </w:rPr>
  </w:style>
  <w:style w:type="table" w:customStyle="1" w:styleId="TableGrid15">
    <w:name w:val="Table Grid15"/>
    <w:basedOn w:val="TableNormal"/>
    <w:next w:val="TableGrid"/>
    <w:uiPriority w:val="39"/>
    <w:rsid w:val="004812BA"/>
    <w:rPr>
      <w:rFonts w:ascii="Calibri" w:eastAsia="Aptos" w:hAnsi="Calibri" w:cs="Aptos"/>
      <w:color w:val="000000"/>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812BA"/>
    <w:pPr>
      <w:tabs>
        <w:tab w:val="clear" w:pos="0"/>
      </w:tabs>
      <w:spacing w:before="200" w:after="160"/>
      <w:ind w:left="864" w:right="864"/>
      <w:jc w:val="center"/>
    </w:pPr>
    <w:rPr>
      <w:rFonts w:asciiTheme="minorHAnsi" w:eastAsiaTheme="minorHAnsi" w:hAnsiTheme="minorHAnsi" w:cstheme="minorBidi"/>
      <w:i/>
      <w:iCs/>
      <w:color w:val="404040"/>
      <w:sz w:val="24"/>
      <w:szCs w:val="24"/>
      <w:lang w:val="en-AU"/>
    </w:rPr>
  </w:style>
  <w:style w:type="character" w:customStyle="1" w:styleId="QuoteChar1">
    <w:name w:val="Quote Char1"/>
    <w:basedOn w:val="DefaultParagraphFont"/>
    <w:uiPriority w:val="73"/>
    <w:rsid w:val="004812BA"/>
    <w:rPr>
      <w:rFonts w:ascii="Times New Roman" w:eastAsia="Times New Roman" w:hAnsi="Times New Roman" w:cs="Times New Roman"/>
      <w:i/>
      <w:iCs/>
      <w:color w:val="404040" w:themeColor="text1" w:themeTint="BF"/>
      <w:sz w:val="22"/>
      <w:szCs w:val="22"/>
      <w:lang w:val="en-GB"/>
    </w:rPr>
  </w:style>
  <w:style w:type="character" w:styleId="IntenseEmphasis">
    <w:name w:val="Intense Emphasis"/>
    <w:basedOn w:val="DefaultParagraphFont"/>
    <w:uiPriority w:val="21"/>
    <w:qFormat/>
    <w:rsid w:val="004812BA"/>
    <w:rPr>
      <w:i/>
      <w:iCs/>
      <w:color w:val="4472C4" w:themeColor="accent1"/>
    </w:rPr>
  </w:style>
  <w:style w:type="paragraph" w:styleId="IntenseQuote">
    <w:name w:val="Intense Quote"/>
    <w:basedOn w:val="Normal"/>
    <w:next w:val="Normal"/>
    <w:link w:val="IntenseQuoteChar"/>
    <w:uiPriority w:val="30"/>
    <w:qFormat/>
    <w:rsid w:val="004812BA"/>
    <w:pPr>
      <w:pBdr>
        <w:top w:val="single" w:sz="4" w:space="10" w:color="4472C4" w:themeColor="accent1"/>
        <w:bottom w:val="single" w:sz="4" w:space="10" w:color="4472C4" w:themeColor="accent1"/>
      </w:pBdr>
      <w:tabs>
        <w:tab w:val="clear" w:pos="0"/>
      </w:tabs>
      <w:spacing w:before="360" w:after="360"/>
      <w:ind w:left="864" w:right="864"/>
      <w:jc w:val="center"/>
    </w:pPr>
    <w:rPr>
      <w:rFonts w:asciiTheme="minorHAnsi" w:eastAsiaTheme="minorHAnsi" w:hAnsiTheme="minorHAnsi" w:cstheme="minorBidi"/>
      <w:i/>
      <w:iCs/>
      <w:color w:val="0F4761"/>
      <w:sz w:val="24"/>
      <w:szCs w:val="24"/>
      <w:lang w:val="en-AU"/>
    </w:rPr>
  </w:style>
  <w:style w:type="character" w:customStyle="1" w:styleId="IntenseQuoteChar1">
    <w:name w:val="Intense Quote Char1"/>
    <w:basedOn w:val="DefaultParagraphFont"/>
    <w:uiPriority w:val="60"/>
    <w:rsid w:val="004812BA"/>
    <w:rPr>
      <w:rFonts w:ascii="Times New Roman" w:eastAsia="Times New Roman" w:hAnsi="Times New Roman" w:cs="Times New Roman"/>
      <w:i/>
      <w:iCs/>
      <w:color w:val="4472C4" w:themeColor="accent1"/>
      <w:sz w:val="22"/>
      <w:szCs w:val="22"/>
      <w:lang w:val="en-GB"/>
    </w:rPr>
  </w:style>
  <w:style w:type="character" w:styleId="IntenseReference">
    <w:name w:val="Intense Reference"/>
    <w:basedOn w:val="DefaultParagraphFont"/>
    <w:uiPriority w:val="32"/>
    <w:qFormat/>
    <w:rsid w:val="004812BA"/>
    <w:rPr>
      <w:b/>
      <w:bCs/>
      <w:smallCaps/>
      <w:color w:val="4472C4" w:themeColor="accent1"/>
      <w:spacing w:val="5"/>
    </w:rPr>
  </w:style>
  <w:style w:type="numbering" w:customStyle="1" w:styleId="NoList4">
    <w:name w:val="No List4"/>
    <w:next w:val="NoList"/>
    <w:uiPriority w:val="99"/>
    <w:semiHidden/>
    <w:unhideWhenUsed/>
    <w:rsid w:val="004812BA"/>
  </w:style>
  <w:style w:type="character" w:customStyle="1" w:styleId="cf11">
    <w:name w:val="cf11"/>
    <w:basedOn w:val="DefaultParagraphFont"/>
    <w:rsid w:val="004812BA"/>
    <w:rPr>
      <w:rFonts w:ascii="Segoe UI" w:hAnsi="Segoe UI" w:cs="Segoe UI" w:hint="default"/>
      <w:sz w:val="18"/>
      <w:szCs w:val="18"/>
    </w:rPr>
  </w:style>
  <w:style w:type="table" w:customStyle="1" w:styleId="TableGrid01">
    <w:name w:val="Table Grid01"/>
    <w:basedOn w:val="TableNormal"/>
    <w:uiPriority w:val="39"/>
    <w:locked/>
    <w:rsid w:val="004812BA"/>
    <w:pPr>
      <w:spacing w:before="100" w:beforeAutospacing="1" w:after="100" w:afterAutospacing="1"/>
    </w:pPr>
    <w:rPr>
      <w:rFonts w:ascii="Calibri" w:eastAsia="SimSun" w:hAnsi="Calibri"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812BA"/>
    <w:pPr>
      <w:spacing w:before="100" w:beforeAutospacing="1" w:after="100" w:afterAutospacing="1"/>
    </w:pPr>
    <w:rPr>
      <w:rFonts w:ascii="Calibri" w:eastAsia="Calibri" w:hAnsi="Calibri" w:cs="Times New Roman"/>
      <w:kern w:val="2"/>
      <w:lang w:val="pt-B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
    <w:uiPriority w:val="99"/>
    <w:semiHidden/>
    <w:rsid w:val="004812BA"/>
    <w:pPr>
      <w:tabs>
        <w:tab w:val="clear" w:pos="0"/>
      </w:tabs>
      <w:spacing w:before="100" w:beforeAutospacing="1" w:after="100" w:afterAutospacing="1"/>
    </w:pPr>
    <w:rPr>
      <w:rFonts w:ascii="Aptos" w:eastAsia="Calibri" w:hAnsi="Aptos" w:cs="Aptos"/>
      <w:color w:val="auto"/>
      <w:sz w:val="24"/>
      <w:szCs w:val="24"/>
      <w:lang w:val="pt-BR" w:eastAsia="pt-BR"/>
    </w:rPr>
  </w:style>
  <w:style w:type="paragraph" w:customStyle="1" w:styleId="p1">
    <w:name w:val="p1"/>
    <w:basedOn w:val="Normal"/>
    <w:rsid w:val="004812BA"/>
    <w:pPr>
      <w:tabs>
        <w:tab w:val="clear" w:pos="0"/>
      </w:tabs>
      <w:spacing w:after="0"/>
    </w:pPr>
    <w:rPr>
      <w:rFonts w:ascii="Helvetica" w:hAnsi="Helvetica"/>
      <w:color w:val="000000"/>
      <w:sz w:val="12"/>
      <w:szCs w:val="12"/>
    </w:rPr>
  </w:style>
  <w:style w:type="character" w:customStyle="1" w:styleId="s1">
    <w:name w:val="s1"/>
    <w:basedOn w:val="DefaultParagraphFont"/>
    <w:rsid w:val="004812BA"/>
    <w:rPr>
      <w:rFonts w:ascii="Helvetica" w:hAnsi="Helvetica" w:hint="default"/>
      <w:sz w:val="10"/>
      <w:szCs w:val="10"/>
    </w:rPr>
  </w:style>
  <w:style w:type="numbering" w:customStyle="1" w:styleId="11111111">
    <w:name w:val="1 / 1.1 / 1.1.111"/>
    <w:basedOn w:val="NoList"/>
    <w:next w:val="111111"/>
    <w:uiPriority w:val="99"/>
    <w:semiHidden/>
    <w:rsid w:val="00453F29"/>
  </w:style>
  <w:style w:type="character" w:styleId="Mention">
    <w:name w:val="Mention"/>
    <w:basedOn w:val="DefaultParagraphFont"/>
    <w:uiPriority w:val="99"/>
    <w:unhideWhenUsed/>
    <w:rsid w:val="007913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833398">
          <w:marLeft w:val="0"/>
          <w:marRight w:val="0"/>
          <w:marTop w:val="0"/>
          <w:marBottom w:val="0"/>
          <w:divBdr>
            <w:top w:val="none" w:sz="0" w:space="0" w:color="auto"/>
            <w:left w:val="none" w:sz="0" w:space="0" w:color="auto"/>
            <w:bottom w:val="none" w:sz="0" w:space="0" w:color="auto"/>
            <w:right w:val="none" w:sz="0" w:space="0" w:color="auto"/>
          </w:divBdr>
          <w:divsChild>
            <w:div w:id="1642073647">
              <w:marLeft w:val="0"/>
              <w:marRight w:val="0"/>
              <w:marTop w:val="0"/>
              <w:marBottom w:val="0"/>
              <w:divBdr>
                <w:top w:val="none" w:sz="0" w:space="0" w:color="auto"/>
                <w:left w:val="none" w:sz="0" w:space="0" w:color="auto"/>
                <w:bottom w:val="none" w:sz="0" w:space="0" w:color="auto"/>
                <w:right w:val="none" w:sz="0" w:space="0" w:color="auto"/>
              </w:divBdr>
              <w:divsChild>
                <w:div w:id="6299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8567">
      <w:bodyDiv w:val="1"/>
      <w:marLeft w:val="0"/>
      <w:marRight w:val="0"/>
      <w:marTop w:val="0"/>
      <w:marBottom w:val="0"/>
      <w:divBdr>
        <w:top w:val="none" w:sz="0" w:space="0" w:color="auto"/>
        <w:left w:val="none" w:sz="0" w:space="0" w:color="auto"/>
        <w:bottom w:val="none" w:sz="0" w:space="0" w:color="auto"/>
        <w:right w:val="none" w:sz="0" w:space="0" w:color="auto"/>
      </w:divBdr>
    </w:div>
    <w:div w:id="317467824">
      <w:bodyDiv w:val="1"/>
      <w:marLeft w:val="0"/>
      <w:marRight w:val="0"/>
      <w:marTop w:val="0"/>
      <w:marBottom w:val="0"/>
      <w:divBdr>
        <w:top w:val="none" w:sz="0" w:space="0" w:color="auto"/>
        <w:left w:val="none" w:sz="0" w:space="0" w:color="auto"/>
        <w:bottom w:val="none" w:sz="0" w:space="0" w:color="auto"/>
        <w:right w:val="none" w:sz="0" w:space="0" w:color="auto"/>
      </w:divBdr>
      <w:divsChild>
        <w:div w:id="1736003013">
          <w:marLeft w:val="0"/>
          <w:marRight w:val="0"/>
          <w:marTop w:val="0"/>
          <w:marBottom w:val="0"/>
          <w:divBdr>
            <w:top w:val="none" w:sz="0" w:space="0" w:color="auto"/>
            <w:left w:val="none" w:sz="0" w:space="0" w:color="auto"/>
            <w:bottom w:val="none" w:sz="0" w:space="0" w:color="auto"/>
            <w:right w:val="none" w:sz="0" w:space="0" w:color="auto"/>
          </w:divBdr>
          <w:divsChild>
            <w:div w:id="115874697">
              <w:marLeft w:val="0"/>
              <w:marRight w:val="0"/>
              <w:marTop w:val="0"/>
              <w:marBottom w:val="0"/>
              <w:divBdr>
                <w:top w:val="none" w:sz="0" w:space="0" w:color="auto"/>
                <w:left w:val="none" w:sz="0" w:space="0" w:color="auto"/>
                <w:bottom w:val="none" w:sz="0" w:space="0" w:color="auto"/>
                <w:right w:val="none" w:sz="0" w:space="0" w:color="auto"/>
              </w:divBdr>
              <w:divsChild>
                <w:div w:id="779184389">
                  <w:marLeft w:val="0"/>
                  <w:marRight w:val="0"/>
                  <w:marTop w:val="0"/>
                  <w:marBottom w:val="0"/>
                  <w:divBdr>
                    <w:top w:val="none" w:sz="0" w:space="0" w:color="auto"/>
                    <w:left w:val="none" w:sz="0" w:space="0" w:color="auto"/>
                    <w:bottom w:val="none" w:sz="0" w:space="0" w:color="auto"/>
                    <w:right w:val="none" w:sz="0" w:space="0" w:color="auto"/>
                  </w:divBdr>
                </w:div>
                <w:div w:id="829055401">
                  <w:marLeft w:val="0"/>
                  <w:marRight w:val="0"/>
                  <w:marTop w:val="0"/>
                  <w:marBottom w:val="0"/>
                  <w:divBdr>
                    <w:top w:val="none" w:sz="0" w:space="0" w:color="auto"/>
                    <w:left w:val="none" w:sz="0" w:space="0" w:color="auto"/>
                    <w:bottom w:val="none" w:sz="0" w:space="0" w:color="auto"/>
                    <w:right w:val="none" w:sz="0" w:space="0" w:color="auto"/>
                  </w:divBdr>
                </w:div>
                <w:div w:id="15102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69350">
      <w:bodyDiv w:val="1"/>
      <w:marLeft w:val="0"/>
      <w:marRight w:val="0"/>
      <w:marTop w:val="0"/>
      <w:marBottom w:val="0"/>
      <w:divBdr>
        <w:top w:val="none" w:sz="0" w:space="0" w:color="auto"/>
        <w:left w:val="none" w:sz="0" w:space="0" w:color="auto"/>
        <w:bottom w:val="none" w:sz="0" w:space="0" w:color="auto"/>
        <w:right w:val="none" w:sz="0" w:space="0" w:color="auto"/>
      </w:divBdr>
      <w:divsChild>
        <w:div w:id="1230072947">
          <w:marLeft w:val="0"/>
          <w:marRight w:val="0"/>
          <w:marTop w:val="0"/>
          <w:marBottom w:val="0"/>
          <w:divBdr>
            <w:top w:val="none" w:sz="0" w:space="0" w:color="auto"/>
            <w:left w:val="none" w:sz="0" w:space="0" w:color="auto"/>
            <w:bottom w:val="none" w:sz="0" w:space="0" w:color="auto"/>
            <w:right w:val="none" w:sz="0" w:space="0" w:color="auto"/>
          </w:divBdr>
          <w:divsChild>
            <w:div w:id="1400202469">
              <w:marLeft w:val="0"/>
              <w:marRight w:val="0"/>
              <w:marTop w:val="0"/>
              <w:marBottom w:val="0"/>
              <w:divBdr>
                <w:top w:val="none" w:sz="0" w:space="0" w:color="auto"/>
                <w:left w:val="none" w:sz="0" w:space="0" w:color="auto"/>
                <w:bottom w:val="none" w:sz="0" w:space="0" w:color="auto"/>
                <w:right w:val="none" w:sz="0" w:space="0" w:color="auto"/>
              </w:divBdr>
              <w:divsChild>
                <w:div w:id="282731071">
                  <w:marLeft w:val="0"/>
                  <w:marRight w:val="0"/>
                  <w:marTop w:val="0"/>
                  <w:marBottom w:val="0"/>
                  <w:divBdr>
                    <w:top w:val="none" w:sz="0" w:space="0" w:color="auto"/>
                    <w:left w:val="none" w:sz="0" w:space="0" w:color="auto"/>
                    <w:bottom w:val="none" w:sz="0" w:space="0" w:color="auto"/>
                    <w:right w:val="none" w:sz="0" w:space="0" w:color="auto"/>
                  </w:divBdr>
                  <w:divsChild>
                    <w:div w:id="2707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1400699">
      <w:bodyDiv w:val="1"/>
      <w:marLeft w:val="0"/>
      <w:marRight w:val="0"/>
      <w:marTop w:val="0"/>
      <w:marBottom w:val="0"/>
      <w:divBdr>
        <w:top w:val="none" w:sz="0" w:space="0" w:color="auto"/>
        <w:left w:val="none" w:sz="0" w:space="0" w:color="auto"/>
        <w:bottom w:val="none" w:sz="0" w:space="0" w:color="auto"/>
        <w:right w:val="none" w:sz="0" w:space="0" w:color="auto"/>
      </w:divBdr>
    </w:div>
    <w:div w:id="969553483">
      <w:bodyDiv w:val="1"/>
      <w:marLeft w:val="0"/>
      <w:marRight w:val="0"/>
      <w:marTop w:val="0"/>
      <w:marBottom w:val="0"/>
      <w:divBdr>
        <w:top w:val="none" w:sz="0" w:space="0" w:color="auto"/>
        <w:left w:val="none" w:sz="0" w:space="0" w:color="auto"/>
        <w:bottom w:val="none" w:sz="0" w:space="0" w:color="auto"/>
        <w:right w:val="none" w:sz="0" w:space="0" w:color="auto"/>
      </w:divBdr>
    </w:div>
    <w:div w:id="976446707">
      <w:bodyDiv w:val="1"/>
      <w:marLeft w:val="0"/>
      <w:marRight w:val="0"/>
      <w:marTop w:val="0"/>
      <w:marBottom w:val="0"/>
      <w:divBdr>
        <w:top w:val="none" w:sz="0" w:space="0" w:color="auto"/>
        <w:left w:val="none" w:sz="0" w:space="0" w:color="auto"/>
        <w:bottom w:val="none" w:sz="0" w:space="0" w:color="auto"/>
        <w:right w:val="none" w:sz="0" w:space="0" w:color="auto"/>
      </w:divBdr>
      <w:divsChild>
        <w:div w:id="207423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54801">
              <w:marLeft w:val="0"/>
              <w:marRight w:val="0"/>
              <w:marTop w:val="0"/>
              <w:marBottom w:val="0"/>
              <w:divBdr>
                <w:top w:val="none" w:sz="0" w:space="0" w:color="auto"/>
                <w:left w:val="none" w:sz="0" w:space="0" w:color="auto"/>
                <w:bottom w:val="none" w:sz="0" w:space="0" w:color="auto"/>
                <w:right w:val="none" w:sz="0" w:space="0" w:color="auto"/>
              </w:divBdr>
              <w:divsChild>
                <w:div w:id="9658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29146">
      <w:bodyDiv w:val="1"/>
      <w:marLeft w:val="0"/>
      <w:marRight w:val="0"/>
      <w:marTop w:val="0"/>
      <w:marBottom w:val="0"/>
      <w:divBdr>
        <w:top w:val="none" w:sz="0" w:space="0" w:color="auto"/>
        <w:left w:val="none" w:sz="0" w:space="0" w:color="auto"/>
        <w:bottom w:val="none" w:sz="0" w:space="0" w:color="auto"/>
        <w:right w:val="none" w:sz="0" w:space="0" w:color="auto"/>
      </w:divBdr>
    </w:div>
    <w:div w:id="1115490828">
      <w:bodyDiv w:val="1"/>
      <w:marLeft w:val="0"/>
      <w:marRight w:val="0"/>
      <w:marTop w:val="0"/>
      <w:marBottom w:val="0"/>
      <w:divBdr>
        <w:top w:val="none" w:sz="0" w:space="0" w:color="auto"/>
        <w:left w:val="none" w:sz="0" w:space="0" w:color="auto"/>
        <w:bottom w:val="none" w:sz="0" w:space="0" w:color="auto"/>
        <w:right w:val="none" w:sz="0" w:space="0" w:color="auto"/>
      </w:divBdr>
      <w:divsChild>
        <w:div w:id="1685521547">
          <w:marLeft w:val="0"/>
          <w:marRight w:val="0"/>
          <w:marTop w:val="0"/>
          <w:marBottom w:val="0"/>
          <w:divBdr>
            <w:top w:val="none" w:sz="0" w:space="0" w:color="auto"/>
            <w:left w:val="none" w:sz="0" w:space="0" w:color="auto"/>
            <w:bottom w:val="none" w:sz="0" w:space="0" w:color="auto"/>
            <w:right w:val="none" w:sz="0" w:space="0" w:color="auto"/>
          </w:divBdr>
          <w:divsChild>
            <w:div w:id="1409497748">
              <w:marLeft w:val="0"/>
              <w:marRight w:val="0"/>
              <w:marTop w:val="0"/>
              <w:marBottom w:val="0"/>
              <w:divBdr>
                <w:top w:val="none" w:sz="0" w:space="0" w:color="auto"/>
                <w:left w:val="none" w:sz="0" w:space="0" w:color="auto"/>
                <w:bottom w:val="none" w:sz="0" w:space="0" w:color="auto"/>
                <w:right w:val="none" w:sz="0" w:space="0" w:color="auto"/>
              </w:divBdr>
              <w:divsChild>
                <w:div w:id="7962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2355">
      <w:bodyDiv w:val="1"/>
      <w:marLeft w:val="0"/>
      <w:marRight w:val="0"/>
      <w:marTop w:val="0"/>
      <w:marBottom w:val="0"/>
      <w:divBdr>
        <w:top w:val="none" w:sz="0" w:space="0" w:color="auto"/>
        <w:left w:val="none" w:sz="0" w:space="0" w:color="auto"/>
        <w:bottom w:val="none" w:sz="0" w:space="0" w:color="auto"/>
        <w:right w:val="none" w:sz="0" w:space="0" w:color="auto"/>
      </w:divBdr>
      <w:divsChild>
        <w:div w:id="483788605">
          <w:marLeft w:val="806"/>
          <w:marRight w:val="0"/>
          <w:marTop w:val="115"/>
          <w:marBottom w:val="0"/>
          <w:divBdr>
            <w:top w:val="none" w:sz="0" w:space="0" w:color="auto"/>
            <w:left w:val="none" w:sz="0" w:space="0" w:color="auto"/>
            <w:bottom w:val="none" w:sz="0" w:space="0" w:color="auto"/>
            <w:right w:val="none" w:sz="0" w:space="0" w:color="auto"/>
          </w:divBdr>
        </w:div>
      </w:divsChild>
    </w:div>
    <w:div w:id="1179806821">
      <w:bodyDiv w:val="1"/>
      <w:marLeft w:val="0"/>
      <w:marRight w:val="0"/>
      <w:marTop w:val="0"/>
      <w:marBottom w:val="0"/>
      <w:divBdr>
        <w:top w:val="none" w:sz="0" w:space="0" w:color="auto"/>
        <w:left w:val="none" w:sz="0" w:space="0" w:color="auto"/>
        <w:bottom w:val="none" w:sz="0" w:space="0" w:color="auto"/>
        <w:right w:val="none" w:sz="0" w:space="0" w:color="auto"/>
      </w:divBdr>
      <w:divsChild>
        <w:div w:id="1410036606">
          <w:marLeft w:val="0"/>
          <w:marRight w:val="0"/>
          <w:marTop w:val="0"/>
          <w:marBottom w:val="0"/>
          <w:divBdr>
            <w:top w:val="none" w:sz="0" w:space="0" w:color="auto"/>
            <w:left w:val="none" w:sz="0" w:space="0" w:color="auto"/>
            <w:bottom w:val="none" w:sz="0" w:space="0" w:color="auto"/>
            <w:right w:val="none" w:sz="0" w:space="0" w:color="auto"/>
          </w:divBdr>
          <w:divsChild>
            <w:div w:id="554699719">
              <w:marLeft w:val="0"/>
              <w:marRight w:val="0"/>
              <w:marTop w:val="0"/>
              <w:marBottom w:val="0"/>
              <w:divBdr>
                <w:top w:val="none" w:sz="0" w:space="0" w:color="auto"/>
                <w:left w:val="none" w:sz="0" w:space="0" w:color="auto"/>
                <w:bottom w:val="none" w:sz="0" w:space="0" w:color="auto"/>
                <w:right w:val="none" w:sz="0" w:space="0" w:color="auto"/>
              </w:divBdr>
              <w:divsChild>
                <w:div w:id="141044901">
                  <w:marLeft w:val="0"/>
                  <w:marRight w:val="0"/>
                  <w:marTop w:val="0"/>
                  <w:marBottom w:val="0"/>
                  <w:divBdr>
                    <w:top w:val="none" w:sz="0" w:space="0" w:color="auto"/>
                    <w:left w:val="none" w:sz="0" w:space="0" w:color="auto"/>
                    <w:bottom w:val="none" w:sz="0" w:space="0" w:color="auto"/>
                    <w:right w:val="none" w:sz="0" w:space="0" w:color="auto"/>
                  </w:divBdr>
                </w:div>
                <w:div w:id="792797226">
                  <w:marLeft w:val="0"/>
                  <w:marRight w:val="0"/>
                  <w:marTop w:val="0"/>
                  <w:marBottom w:val="0"/>
                  <w:divBdr>
                    <w:top w:val="none" w:sz="0" w:space="0" w:color="auto"/>
                    <w:left w:val="none" w:sz="0" w:space="0" w:color="auto"/>
                    <w:bottom w:val="none" w:sz="0" w:space="0" w:color="auto"/>
                    <w:right w:val="none" w:sz="0" w:space="0" w:color="auto"/>
                  </w:divBdr>
                </w:div>
                <w:div w:id="9482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553815">
      <w:bodyDiv w:val="1"/>
      <w:marLeft w:val="0"/>
      <w:marRight w:val="0"/>
      <w:marTop w:val="0"/>
      <w:marBottom w:val="0"/>
      <w:divBdr>
        <w:top w:val="none" w:sz="0" w:space="0" w:color="auto"/>
        <w:left w:val="none" w:sz="0" w:space="0" w:color="auto"/>
        <w:bottom w:val="none" w:sz="0" w:space="0" w:color="auto"/>
        <w:right w:val="none" w:sz="0" w:space="0" w:color="auto"/>
      </w:divBdr>
      <w:divsChild>
        <w:div w:id="261574323">
          <w:marLeft w:val="0"/>
          <w:marRight w:val="0"/>
          <w:marTop w:val="0"/>
          <w:marBottom w:val="0"/>
          <w:divBdr>
            <w:top w:val="none" w:sz="0" w:space="0" w:color="auto"/>
            <w:left w:val="none" w:sz="0" w:space="0" w:color="auto"/>
            <w:bottom w:val="none" w:sz="0" w:space="0" w:color="auto"/>
            <w:right w:val="none" w:sz="0" w:space="0" w:color="auto"/>
          </w:divBdr>
          <w:divsChild>
            <w:div w:id="1622300071">
              <w:marLeft w:val="0"/>
              <w:marRight w:val="0"/>
              <w:marTop w:val="0"/>
              <w:marBottom w:val="0"/>
              <w:divBdr>
                <w:top w:val="none" w:sz="0" w:space="0" w:color="auto"/>
                <w:left w:val="none" w:sz="0" w:space="0" w:color="auto"/>
                <w:bottom w:val="none" w:sz="0" w:space="0" w:color="auto"/>
                <w:right w:val="none" w:sz="0" w:space="0" w:color="auto"/>
              </w:divBdr>
              <w:divsChild>
                <w:div w:id="341591147">
                  <w:marLeft w:val="0"/>
                  <w:marRight w:val="0"/>
                  <w:marTop w:val="0"/>
                  <w:marBottom w:val="0"/>
                  <w:divBdr>
                    <w:top w:val="none" w:sz="0" w:space="0" w:color="auto"/>
                    <w:left w:val="none" w:sz="0" w:space="0" w:color="auto"/>
                    <w:bottom w:val="none" w:sz="0" w:space="0" w:color="auto"/>
                    <w:right w:val="none" w:sz="0" w:space="0" w:color="auto"/>
                  </w:divBdr>
                  <w:divsChild>
                    <w:div w:id="5027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06172">
      <w:bodyDiv w:val="1"/>
      <w:marLeft w:val="0"/>
      <w:marRight w:val="0"/>
      <w:marTop w:val="0"/>
      <w:marBottom w:val="0"/>
      <w:divBdr>
        <w:top w:val="none" w:sz="0" w:space="0" w:color="auto"/>
        <w:left w:val="none" w:sz="0" w:space="0" w:color="auto"/>
        <w:bottom w:val="none" w:sz="0" w:space="0" w:color="auto"/>
        <w:right w:val="none" w:sz="0" w:space="0" w:color="auto"/>
      </w:divBdr>
      <w:divsChild>
        <w:div w:id="1625577720">
          <w:marLeft w:val="0"/>
          <w:marRight w:val="0"/>
          <w:marTop w:val="0"/>
          <w:marBottom w:val="0"/>
          <w:divBdr>
            <w:top w:val="none" w:sz="0" w:space="0" w:color="auto"/>
            <w:left w:val="none" w:sz="0" w:space="0" w:color="auto"/>
            <w:bottom w:val="none" w:sz="0" w:space="0" w:color="auto"/>
            <w:right w:val="none" w:sz="0" w:space="0" w:color="auto"/>
          </w:divBdr>
          <w:divsChild>
            <w:div w:id="661541789">
              <w:marLeft w:val="0"/>
              <w:marRight w:val="0"/>
              <w:marTop w:val="0"/>
              <w:marBottom w:val="0"/>
              <w:divBdr>
                <w:top w:val="none" w:sz="0" w:space="0" w:color="auto"/>
                <w:left w:val="none" w:sz="0" w:space="0" w:color="auto"/>
                <w:bottom w:val="none" w:sz="0" w:space="0" w:color="auto"/>
                <w:right w:val="none" w:sz="0" w:space="0" w:color="auto"/>
              </w:divBdr>
              <w:divsChild>
                <w:div w:id="5355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96021">
      <w:bodyDiv w:val="1"/>
      <w:marLeft w:val="0"/>
      <w:marRight w:val="0"/>
      <w:marTop w:val="0"/>
      <w:marBottom w:val="0"/>
      <w:divBdr>
        <w:top w:val="none" w:sz="0" w:space="0" w:color="auto"/>
        <w:left w:val="none" w:sz="0" w:space="0" w:color="auto"/>
        <w:bottom w:val="none" w:sz="0" w:space="0" w:color="auto"/>
        <w:right w:val="none" w:sz="0" w:space="0" w:color="auto"/>
      </w:divBdr>
      <w:divsChild>
        <w:div w:id="149827853">
          <w:marLeft w:val="0"/>
          <w:marRight w:val="0"/>
          <w:marTop w:val="0"/>
          <w:marBottom w:val="0"/>
          <w:divBdr>
            <w:top w:val="none" w:sz="0" w:space="0" w:color="auto"/>
            <w:left w:val="none" w:sz="0" w:space="0" w:color="auto"/>
            <w:bottom w:val="none" w:sz="0" w:space="0" w:color="auto"/>
            <w:right w:val="none" w:sz="0" w:space="0" w:color="auto"/>
          </w:divBdr>
        </w:div>
      </w:divsChild>
    </w:div>
    <w:div w:id="1358040212">
      <w:bodyDiv w:val="1"/>
      <w:marLeft w:val="0"/>
      <w:marRight w:val="0"/>
      <w:marTop w:val="0"/>
      <w:marBottom w:val="0"/>
      <w:divBdr>
        <w:top w:val="none" w:sz="0" w:space="0" w:color="auto"/>
        <w:left w:val="none" w:sz="0" w:space="0" w:color="auto"/>
        <w:bottom w:val="none" w:sz="0" w:space="0" w:color="auto"/>
        <w:right w:val="none" w:sz="0" w:space="0" w:color="auto"/>
      </w:divBdr>
      <w:divsChild>
        <w:div w:id="208105622">
          <w:marLeft w:val="0"/>
          <w:marRight w:val="0"/>
          <w:marTop w:val="0"/>
          <w:marBottom w:val="0"/>
          <w:divBdr>
            <w:top w:val="none" w:sz="0" w:space="0" w:color="auto"/>
            <w:left w:val="none" w:sz="0" w:space="0" w:color="auto"/>
            <w:bottom w:val="none" w:sz="0" w:space="0" w:color="auto"/>
            <w:right w:val="none" w:sz="0" w:space="0" w:color="auto"/>
          </w:divBdr>
          <w:divsChild>
            <w:div w:id="407728516">
              <w:marLeft w:val="0"/>
              <w:marRight w:val="0"/>
              <w:marTop w:val="0"/>
              <w:marBottom w:val="0"/>
              <w:divBdr>
                <w:top w:val="none" w:sz="0" w:space="0" w:color="auto"/>
                <w:left w:val="none" w:sz="0" w:space="0" w:color="auto"/>
                <w:bottom w:val="none" w:sz="0" w:space="0" w:color="auto"/>
                <w:right w:val="none" w:sz="0" w:space="0" w:color="auto"/>
              </w:divBdr>
              <w:divsChild>
                <w:div w:id="102920243">
                  <w:marLeft w:val="0"/>
                  <w:marRight w:val="0"/>
                  <w:marTop w:val="0"/>
                  <w:marBottom w:val="0"/>
                  <w:divBdr>
                    <w:top w:val="none" w:sz="0" w:space="0" w:color="auto"/>
                    <w:left w:val="none" w:sz="0" w:space="0" w:color="auto"/>
                    <w:bottom w:val="none" w:sz="0" w:space="0" w:color="auto"/>
                    <w:right w:val="none" w:sz="0" w:space="0" w:color="auto"/>
                  </w:divBdr>
                </w:div>
                <w:div w:id="149178101">
                  <w:marLeft w:val="0"/>
                  <w:marRight w:val="0"/>
                  <w:marTop w:val="0"/>
                  <w:marBottom w:val="0"/>
                  <w:divBdr>
                    <w:top w:val="none" w:sz="0" w:space="0" w:color="auto"/>
                    <w:left w:val="none" w:sz="0" w:space="0" w:color="auto"/>
                    <w:bottom w:val="none" w:sz="0" w:space="0" w:color="auto"/>
                    <w:right w:val="none" w:sz="0" w:space="0" w:color="auto"/>
                  </w:divBdr>
                </w:div>
                <w:div w:id="10166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4566">
      <w:bodyDiv w:val="1"/>
      <w:marLeft w:val="0"/>
      <w:marRight w:val="0"/>
      <w:marTop w:val="0"/>
      <w:marBottom w:val="0"/>
      <w:divBdr>
        <w:top w:val="none" w:sz="0" w:space="0" w:color="auto"/>
        <w:left w:val="none" w:sz="0" w:space="0" w:color="auto"/>
        <w:bottom w:val="none" w:sz="0" w:space="0" w:color="auto"/>
        <w:right w:val="none" w:sz="0" w:space="0" w:color="auto"/>
      </w:divBdr>
      <w:divsChild>
        <w:div w:id="651372681">
          <w:marLeft w:val="720"/>
          <w:marRight w:val="0"/>
          <w:marTop w:val="96"/>
          <w:marBottom w:val="0"/>
          <w:divBdr>
            <w:top w:val="none" w:sz="0" w:space="0" w:color="auto"/>
            <w:left w:val="none" w:sz="0" w:space="0" w:color="auto"/>
            <w:bottom w:val="none" w:sz="0" w:space="0" w:color="auto"/>
            <w:right w:val="none" w:sz="0" w:space="0" w:color="auto"/>
          </w:divBdr>
        </w:div>
        <w:div w:id="1815878347">
          <w:marLeft w:val="720"/>
          <w:marRight w:val="0"/>
          <w:marTop w:val="96"/>
          <w:marBottom w:val="0"/>
          <w:divBdr>
            <w:top w:val="none" w:sz="0" w:space="0" w:color="auto"/>
            <w:left w:val="none" w:sz="0" w:space="0" w:color="auto"/>
            <w:bottom w:val="none" w:sz="0" w:space="0" w:color="auto"/>
            <w:right w:val="none" w:sz="0" w:space="0" w:color="auto"/>
          </w:divBdr>
        </w:div>
        <w:div w:id="1848210989">
          <w:marLeft w:val="720"/>
          <w:marRight w:val="0"/>
          <w:marTop w:val="96"/>
          <w:marBottom w:val="0"/>
          <w:divBdr>
            <w:top w:val="none" w:sz="0" w:space="0" w:color="auto"/>
            <w:left w:val="none" w:sz="0" w:space="0" w:color="auto"/>
            <w:bottom w:val="none" w:sz="0" w:space="0" w:color="auto"/>
            <w:right w:val="none" w:sz="0" w:space="0" w:color="auto"/>
          </w:divBdr>
        </w:div>
        <w:div w:id="2011525270">
          <w:marLeft w:val="720"/>
          <w:marRight w:val="0"/>
          <w:marTop w:val="96"/>
          <w:marBottom w:val="0"/>
          <w:divBdr>
            <w:top w:val="none" w:sz="0" w:space="0" w:color="auto"/>
            <w:left w:val="none" w:sz="0" w:space="0" w:color="auto"/>
            <w:bottom w:val="none" w:sz="0" w:space="0" w:color="auto"/>
            <w:right w:val="none" w:sz="0" w:space="0" w:color="auto"/>
          </w:divBdr>
        </w:div>
        <w:div w:id="2140566618">
          <w:marLeft w:val="720"/>
          <w:marRight w:val="0"/>
          <w:marTop w:val="96"/>
          <w:marBottom w:val="0"/>
          <w:divBdr>
            <w:top w:val="none" w:sz="0" w:space="0" w:color="auto"/>
            <w:left w:val="none" w:sz="0" w:space="0" w:color="auto"/>
            <w:bottom w:val="none" w:sz="0" w:space="0" w:color="auto"/>
            <w:right w:val="none" w:sz="0" w:space="0" w:color="auto"/>
          </w:divBdr>
        </w:div>
      </w:divsChild>
    </w:div>
    <w:div w:id="1419868115">
      <w:bodyDiv w:val="1"/>
      <w:marLeft w:val="0"/>
      <w:marRight w:val="0"/>
      <w:marTop w:val="0"/>
      <w:marBottom w:val="0"/>
      <w:divBdr>
        <w:top w:val="none" w:sz="0" w:space="0" w:color="auto"/>
        <w:left w:val="none" w:sz="0" w:space="0" w:color="auto"/>
        <w:bottom w:val="none" w:sz="0" w:space="0" w:color="auto"/>
        <w:right w:val="none" w:sz="0" w:space="0" w:color="auto"/>
      </w:divBdr>
    </w:div>
    <w:div w:id="1563759015">
      <w:bodyDiv w:val="1"/>
      <w:marLeft w:val="0"/>
      <w:marRight w:val="0"/>
      <w:marTop w:val="0"/>
      <w:marBottom w:val="0"/>
      <w:divBdr>
        <w:top w:val="none" w:sz="0" w:space="0" w:color="auto"/>
        <w:left w:val="none" w:sz="0" w:space="0" w:color="auto"/>
        <w:bottom w:val="none" w:sz="0" w:space="0" w:color="auto"/>
        <w:right w:val="none" w:sz="0" w:space="0" w:color="auto"/>
      </w:divBdr>
      <w:divsChild>
        <w:div w:id="1766877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3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39772">
      <w:bodyDiv w:val="1"/>
      <w:marLeft w:val="0"/>
      <w:marRight w:val="0"/>
      <w:marTop w:val="0"/>
      <w:marBottom w:val="0"/>
      <w:divBdr>
        <w:top w:val="none" w:sz="0" w:space="0" w:color="auto"/>
        <w:left w:val="none" w:sz="0" w:space="0" w:color="auto"/>
        <w:bottom w:val="none" w:sz="0" w:space="0" w:color="auto"/>
        <w:right w:val="none" w:sz="0" w:space="0" w:color="auto"/>
      </w:divBdr>
      <w:divsChild>
        <w:div w:id="1428119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229440">
              <w:marLeft w:val="0"/>
              <w:marRight w:val="0"/>
              <w:marTop w:val="0"/>
              <w:marBottom w:val="0"/>
              <w:divBdr>
                <w:top w:val="none" w:sz="0" w:space="0" w:color="auto"/>
                <w:left w:val="none" w:sz="0" w:space="0" w:color="auto"/>
                <w:bottom w:val="none" w:sz="0" w:space="0" w:color="auto"/>
                <w:right w:val="none" w:sz="0" w:space="0" w:color="auto"/>
              </w:divBdr>
              <w:divsChild>
                <w:div w:id="763037257">
                  <w:marLeft w:val="0"/>
                  <w:marRight w:val="0"/>
                  <w:marTop w:val="0"/>
                  <w:marBottom w:val="0"/>
                  <w:divBdr>
                    <w:top w:val="none" w:sz="0" w:space="0" w:color="auto"/>
                    <w:left w:val="none" w:sz="0" w:space="0" w:color="auto"/>
                    <w:bottom w:val="none" w:sz="0" w:space="0" w:color="auto"/>
                    <w:right w:val="none" w:sz="0" w:space="0" w:color="auto"/>
                  </w:divBdr>
                  <w:divsChild>
                    <w:div w:id="1552304818">
                      <w:marLeft w:val="0"/>
                      <w:marRight w:val="0"/>
                      <w:marTop w:val="0"/>
                      <w:marBottom w:val="0"/>
                      <w:divBdr>
                        <w:top w:val="none" w:sz="0" w:space="0" w:color="auto"/>
                        <w:left w:val="none" w:sz="0" w:space="0" w:color="auto"/>
                        <w:bottom w:val="none" w:sz="0" w:space="0" w:color="auto"/>
                        <w:right w:val="none" w:sz="0" w:space="0" w:color="auto"/>
                      </w:divBdr>
                      <w:divsChild>
                        <w:div w:id="1343702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534271">
                              <w:marLeft w:val="0"/>
                              <w:marRight w:val="0"/>
                              <w:marTop w:val="0"/>
                              <w:marBottom w:val="0"/>
                              <w:divBdr>
                                <w:top w:val="none" w:sz="0" w:space="0" w:color="auto"/>
                                <w:left w:val="none" w:sz="0" w:space="0" w:color="auto"/>
                                <w:bottom w:val="none" w:sz="0" w:space="0" w:color="auto"/>
                                <w:right w:val="none" w:sz="0" w:space="0" w:color="auto"/>
                              </w:divBdr>
                              <w:divsChild>
                                <w:div w:id="66803352">
                                  <w:marLeft w:val="0"/>
                                  <w:marRight w:val="0"/>
                                  <w:marTop w:val="0"/>
                                  <w:marBottom w:val="0"/>
                                  <w:divBdr>
                                    <w:top w:val="none" w:sz="0" w:space="0" w:color="auto"/>
                                    <w:left w:val="none" w:sz="0" w:space="0" w:color="auto"/>
                                    <w:bottom w:val="none" w:sz="0" w:space="0" w:color="auto"/>
                                    <w:right w:val="none" w:sz="0" w:space="0" w:color="auto"/>
                                  </w:divBdr>
                                  <w:divsChild>
                                    <w:div w:id="1479566903">
                                      <w:marLeft w:val="0"/>
                                      <w:marRight w:val="0"/>
                                      <w:marTop w:val="0"/>
                                      <w:marBottom w:val="0"/>
                                      <w:divBdr>
                                        <w:top w:val="none" w:sz="0" w:space="0" w:color="auto"/>
                                        <w:left w:val="none" w:sz="0" w:space="0" w:color="auto"/>
                                        <w:bottom w:val="none" w:sz="0" w:space="0" w:color="auto"/>
                                        <w:right w:val="none" w:sz="0" w:space="0" w:color="auto"/>
                                      </w:divBdr>
                                      <w:divsChild>
                                        <w:div w:id="204840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661295">
      <w:bodyDiv w:val="1"/>
      <w:marLeft w:val="0"/>
      <w:marRight w:val="0"/>
      <w:marTop w:val="0"/>
      <w:marBottom w:val="0"/>
      <w:divBdr>
        <w:top w:val="none" w:sz="0" w:space="0" w:color="auto"/>
        <w:left w:val="none" w:sz="0" w:space="0" w:color="auto"/>
        <w:bottom w:val="none" w:sz="0" w:space="0" w:color="auto"/>
        <w:right w:val="none" w:sz="0" w:space="0" w:color="auto"/>
      </w:divBdr>
      <w:divsChild>
        <w:div w:id="1534996252">
          <w:marLeft w:val="0"/>
          <w:marRight w:val="0"/>
          <w:marTop w:val="0"/>
          <w:marBottom w:val="0"/>
          <w:divBdr>
            <w:top w:val="none" w:sz="0" w:space="0" w:color="auto"/>
            <w:left w:val="none" w:sz="0" w:space="0" w:color="auto"/>
            <w:bottom w:val="none" w:sz="0" w:space="0" w:color="auto"/>
            <w:right w:val="none" w:sz="0" w:space="0" w:color="auto"/>
          </w:divBdr>
          <w:divsChild>
            <w:div w:id="796022455">
              <w:marLeft w:val="0"/>
              <w:marRight w:val="0"/>
              <w:marTop w:val="0"/>
              <w:marBottom w:val="0"/>
              <w:divBdr>
                <w:top w:val="none" w:sz="0" w:space="0" w:color="auto"/>
                <w:left w:val="none" w:sz="0" w:space="0" w:color="auto"/>
                <w:bottom w:val="none" w:sz="0" w:space="0" w:color="auto"/>
                <w:right w:val="none" w:sz="0" w:space="0" w:color="auto"/>
              </w:divBdr>
              <w:divsChild>
                <w:div w:id="256912249">
                  <w:marLeft w:val="0"/>
                  <w:marRight w:val="0"/>
                  <w:marTop w:val="0"/>
                  <w:marBottom w:val="0"/>
                  <w:divBdr>
                    <w:top w:val="none" w:sz="0" w:space="0" w:color="auto"/>
                    <w:left w:val="none" w:sz="0" w:space="0" w:color="auto"/>
                    <w:bottom w:val="none" w:sz="0" w:space="0" w:color="auto"/>
                    <w:right w:val="none" w:sz="0" w:space="0" w:color="auto"/>
                  </w:divBdr>
                </w:div>
                <w:div w:id="1548253189">
                  <w:marLeft w:val="0"/>
                  <w:marRight w:val="0"/>
                  <w:marTop w:val="0"/>
                  <w:marBottom w:val="0"/>
                  <w:divBdr>
                    <w:top w:val="none" w:sz="0" w:space="0" w:color="auto"/>
                    <w:left w:val="none" w:sz="0" w:space="0" w:color="auto"/>
                    <w:bottom w:val="none" w:sz="0" w:space="0" w:color="auto"/>
                    <w:right w:val="none" w:sz="0" w:space="0" w:color="auto"/>
                  </w:divBdr>
                </w:div>
                <w:div w:id="15981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5265">
      <w:bodyDiv w:val="1"/>
      <w:marLeft w:val="0"/>
      <w:marRight w:val="0"/>
      <w:marTop w:val="0"/>
      <w:marBottom w:val="0"/>
      <w:divBdr>
        <w:top w:val="none" w:sz="0" w:space="0" w:color="auto"/>
        <w:left w:val="none" w:sz="0" w:space="0" w:color="auto"/>
        <w:bottom w:val="none" w:sz="0" w:space="0" w:color="auto"/>
        <w:right w:val="none" w:sz="0" w:space="0" w:color="auto"/>
      </w:divBdr>
    </w:div>
    <w:div w:id="1741053591">
      <w:bodyDiv w:val="1"/>
      <w:marLeft w:val="0"/>
      <w:marRight w:val="0"/>
      <w:marTop w:val="0"/>
      <w:marBottom w:val="0"/>
      <w:divBdr>
        <w:top w:val="none" w:sz="0" w:space="0" w:color="auto"/>
        <w:left w:val="none" w:sz="0" w:space="0" w:color="auto"/>
        <w:bottom w:val="none" w:sz="0" w:space="0" w:color="auto"/>
        <w:right w:val="none" w:sz="0" w:space="0" w:color="auto"/>
      </w:divBdr>
      <w:divsChild>
        <w:div w:id="2778939">
          <w:marLeft w:val="2074"/>
          <w:marRight w:val="0"/>
          <w:marTop w:val="86"/>
          <w:marBottom w:val="0"/>
          <w:divBdr>
            <w:top w:val="none" w:sz="0" w:space="0" w:color="auto"/>
            <w:left w:val="none" w:sz="0" w:space="0" w:color="auto"/>
            <w:bottom w:val="none" w:sz="0" w:space="0" w:color="auto"/>
            <w:right w:val="none" w:sz="0" w:space="0" w:color="auto"/>
          </w:divBdr>
        </w:div>
        <w:div w:id="197206335">
          <w:marLeft w:val="2074"/>
          <w:marRight w:val="0"/>
          <w:marTop w:val="86"/>
          <w:marBottom w:val="0"/>
          <w:divBdr>
            <w:top w:val="none" w:sz="0" w:space="0" w:color="auto"/>
            <w:left w:val="none" w:sz="0" w:space="0" w:color="auto"/>
            <w:bottom w:val="none" w:sz="0" w:space="0" w:color="auto"/>
            <w:right w:val="none" w:sz="0" w:space="0" w:color="auto"/>
          </w:divBdr>
        </w:div>
        <w:div w:id="834297043">
          <w:marLeft w:val="2074"/>
          <w:marRight w:val="0"/>
          <w:marTop w:val="86"/>
          <w:marBottom w:val="0"/>
          <w:divBdr>
            <w:top w:val="none" w:sz="0" w:space="0" w:color="auto"/>
            <w:left w:val="none" w:sz="0" w:space="0" w:color="auto"/>
            <w:bottom w:val="none" w:sz="0" w:space="0" w:color="auto"/>
            <w:right w:val="none" w:sz="0" w:space="0" w:color="auto"/>
          </w:divBdr>
        </w:div>
        <w:div w:id="1109200464">
          <w:marLeft w:val="2074"/>
          <w:marRight w:val="0"/>
          <w:marTop w:val="86"/>
          <w:marBottom w:val="0"/>
          <w:divBdr>
            <w:top w:val="none" w:sz="0" w:space="0" w:color="auto"/>
            <w:left w:val="none" w:sz="0" w:space="0" w:color="auto"/>
            <w:bottom w:val="none" w:sz="0" w:space="0" w:color="auto"/>
            <w:right w:val="none" w:sz="0" w:space="0" w:color="auto"/>
          </w:divBdr>
        </w:div>
        <w:div w:id="1300303509">
          <w:marLeft w:val="2074"/>
          <w:marRight w:val="0"/>
          <w:marTop w:val="86"/>
          <w:marBottom w:val="0"/>
          <w:divBdr>
            <w:top w:val="none" w:sz="0" w:space="0" w:color="auto"/>
            <w:left w:val="none" w:sz="0" w:space="0" w:color="auto"/>
            <w:bottom w:val="none" w:sz="0" w:space="0" w:color="auto"/>
            <w:right w:val="none" w:sz="0" w:space="0" w:color="auto"/>
          </w:divBdr>
        </w:div>
        <w:div w:id="1486583913">
          <w:marLeft w:val="2074"/>
          <w:marRight w:val="0"/>
          <w:marTop w:val="86"/>
          <w:marBottom w:val="0"/>
          <w:divBdr>
            <w:top w:val="none" w:sz="0" w:space="0" w:color="auto"/>
            <w:left w:val="none" w:sz="0" w:space="0" w:color="auto"/>
            <w:bottom w:val="none" w:sz="0" w:space="0" w:color="auto"/>
            <w:right w:val="none" w:sz="0" w:space="0" w:color="auto"/>
          </w:divBdr>
        </w:div>
        <w:div w:id="1639457458">
          <w:marLeft w:val="1440"/>
          <w:marRight w:val="0"/>
          <w:marTop w:val="86"/>
          <w:marBottom w:val="0"/>
          <w:divBdr>
            <w:top w:val="none" w:sz="0" w:space="0" w:color="auto"/>
            <w:left w:val="none" w:sz="0" w:space="0" w:color="auto"/>
            <w:bottom w:val="none" w:sz="0" w:space="0" w:color="auto"/>
            <w:right w:val="none" w:sz="0" w:space="0" w:color="auto"/>
          </w:divBdr>
        </w:div>
      </w:divsChild>
    </w:div>
    <w:div w:id="1814902573">
      <w:bodyDiv w:val="1"/>
      <w:marLeft w:val="0"/>
      <w:marRight w:val="0"/>
      <w:marTop w:val="0"/>
      <w:marBottom w:val="0"/>
      <w:divBdr>
        <w:top w:val="none" w:sz="0" w:space="0" w:color="auto"/>
        <w:left w:val="none" w:sz="0" w:space="0" w:color="auto"/>
        <w:bottom w:val="none" w:sz="0" w:space="0" w:color="auto"/>
        <w:right w:val="none" w:sz="0" w:space="0" w:color="auto"/>
      </w:divBdr>
      <w:divsChild>
        <w:div w:id="33315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43865">
              <w:marLeft w:val="0"/>
              <w:marRight w:val="0"/>
              <w:marTop w:val="0"/>
              <w:marBottom w:val="0"/>
              <w:divBdr>
                <w:top w:val="none" w:sz="0" w:space="0" w:color="auto"/>
                <w:left w:val="none" w:sz="0" w:space="0" w:color="auto"/>
                <w:bottom w:val="none" w:sz="0" w:space="0" w:color="auto"/>
                <w:right w:val="none" w:sz="0" w:space="0" w:color="auto"/>
              </w:divBdr>
              <w:divsChild>
                <w:div w:id="7284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9333">
      <w:bodyDiv w:val="1"/>
      <w:marLeft w:val="0"/>
      <w:marRight w:val="0"/>
      <w:marTop w:val="0"/>
      <w:marBottom w:val="0"/>
      <w:divBdr>
        <w:top w:val="none" w:sz="0" w:space="0" w:color="auto"/>
        <w:left w:val="none" w:sz="0" w:space="0" w:color="auto"/>
        <w:bottom w:val="none" w:sz="0" w:space="0" w:color="auto"/>
        <w:right w:val="none" w:sz="0" w:space="0" w:color="auto"/>
      </w:divBdr>
      <w:divsChild>
        <w:div w:id="1954822137">
          <w:marLeft w:val="0"/>
          <w:marRight w:val="0"/>
          <w:marTop w:val="0"/>
          <w:marBottom w:val="0"/>
          <w:divBdr>
            <w:top w:val="none" w:sz="0" w:space="0" w:color="auto"/>
            <w:left w:val="none" w:sz="0" w:space="0" w:color="auto"/>
            <w:bottom w:val="none" w:sz="0" w:space="0" w:color="auto"/>
            <w:right w:val="none" w:sz="0" w:space="0" w:color="auto"/>
          </w:divBdr>
          <w:divsChild>
            <w:div w:id="1540245535">
              <w:marLeft w:val="0"/>
              <w:marRight w:val="0"/>
              <w:marTop w:val="0"/>
              <w:marBottom w:val="0"/>
              <w:divBdr>
                <w:top w:val="none" w:sz="0" w:space="0" w:color="auto"/>
                <w:left w:val="none" w:sz="0" w:space="0" w:color="auto"/>
                <w:bottom w:val="none" w:sz="0" w:space="0" w:color="auto"/>
                <w:right w:val="none" w:sz="0" w:space="0" w:color="auto"/>
              </w:divBdr>
              <w:divsChild>
                <w:div w:id="18755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54555">
      <w:bodyDiv w:val="1"/>
      <w:marLeft w:val="0"/>
      <w:marRight w:val="0"/>
      <w:marTop w:val="0"/>
      <w:marBottom w:val="0"/>
      <w:divBdr>
        <w:top w:val="none" w:sz="0" w:space="0" w:color="auto"/>
        <w:left w:val="none" w:sz="0" w:space="0" w:color="auto"/>
        <w:bottom w:val="none" w:sz="0" w:space="0" w:color="auto"/>
        <w:right w:val="none" w:sz="0" w:space="0" w:color="auto"/>
      </w:divBdr>
    </w:div>
    <w:div w:id="1997538334">
      <w:bodyDiv w:val="1"/>
      <w:marLeft w:val="0"/>
      <w:marRight w:val="0"/>
      <w:marTop w:val="0"/>
      <w:marBottom w:val="0"/>
      <w:divBdr>
        <w:top w:val="none" w:sz="0" w:space="0" w:color="auto"/>
        <w:left w:val="none" w:sz="0" w:space="0" w:color="auto"/>
        <w:bottom w:val="none" w:sz="0" w:space="0" w:color="auto"/>
        <w:right w:val="none" w:sz="0" w:space="0" w:color="auto"/>
      </w:divBdr>
    </w:div>
    <w:div w:id="2001695789">
      <w:bodyDiv w:val="1"/>
      <w:marLeft w:val="0"/>
      <w:marRight w:val="0"/>
      <w:marTop w:val="0"/>
      <w:marBottom w:val="0"/>
      <w:divBdr>
        <w:top w:val="none" w:sz="0" w:space="0" w:color="auto"/>
        <w:left w:val="none" w:sz="0" w:space="0" w:color="auto"/>
        <w:bottom w:val="none" w:sz="0" w:space="0" w:color="auto"/>
        <w:right w:val="none" w:sz="0" w:space="0" w:color="auto"/>
      </w:divBdr>
      <w:divsChild>
        <w:div w:id="928541109">
          <w:marLeft w:val="0"/>
          <w:marRight w:val="0"/>
          <w:marTop w:val="0"/>
          <w:marBottom w:val="0"/>
          <w:divBdr>
            <w:top w:val="none" w:sz="0" w:space="0" w:color="auto"/>
            <w:left w:val="none" w:sz="0" w:space="0" w:color="auto"/>
            <w:bottom w:val="none" w:sz="0" w:space="0" w:color="auto"/>
            <w:right w:val="none" w:sz="0" w:space="0" w:color="auto"/>
          </w:divBdr>
          <w:divsChild>
            <w:div w:id="375475480">
              <w:marLeft w:val="0"/>
              <w:marRight w:val="0"/>
              <w:marTop w:val="0"/>
              <w:marBottom w:val="0"/>
              <w:divBdr>
                <w:top w:val="none" w:sz="0" w:space="0" w:color="auto"/>
                <w:left w:val="none" w:sz="0" w:space="0" w:color="auto"/>
                <w:bottom w:val="none" w:sz="0" w:space="0" w:color="auto"/>
                <w:right w:val="none" w:sz="0" w:space="0" w:color="auto"/>
              </w:divBdr>
              <w:divsChild>
                <w:div w:id="1218782328">
                  <w:marLeft w:val="0"/>
                  <w:marRight w:val="0"/>
                  <w:marTop w:val="0"/>
                  <w:marBottom w:val="0"/>
                  <w:divBdr>
                    <w:top w:val="none" w:sz="0" w:space="0" w:color="auto"/>
                    <w:left w:val="none" w:sz="0" w:space="0" w:color="auto"/>
                    <w:bottom w:val="none" w:sz="0" w:space="0" w:color="auto"/>
                    <w:right w:val="none" w:sz="0" w:space="0" w:color="auto"/>
                  </w:divBdr>
                  <w:divsChild>
                    <w:div w:id="1055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29063">
      <w:bodyDiv w:val="1"/>
      <w:marLeft w:val="0"/>
      <w:marRight w:val="0"/>
      <w:marTop w:val="0"/>
      <w:marBottom w:val="0"/>
      <w:divBdr>
        <w:top w:val="none" w:sz="0" w:space="0" w:color="auto"/>
        <w:left w:val="none" w:sz="0" w:space="0" w:color="auto"/>
        <w:bottom w:val="none" w:sz="0" w:space="0" w:color="auto"/>
        <w:right w:val="none" w:sz="0" w:space="0" w:color="auto"/>
      </w:divBdr>
      <w:divsChild>
        <w:div w:id="582376781">
          <w:marLeft w:val="0"/>
          <w:marRight w:val="0"/>
          <w:marTop w:val="0"/>
          <w:marBottom w:val="0"/>
          <w:divBdr>
            <w:top w:val="none" w:sz="0" w:space="0" w:color="auto"/>
            <w:left w:val="none" w:sz="0" w:space="0" w:color="auto"/>
            <w:bottom w:val="none" w:sz="0" w:space="0" w:color="auto"/>
            <w:right w:val="none" w:sz="0" w:space="0" w:color="auto"/>
          </w:divBdr>
          <w:divsChild>
            <w:div w:id="842429629">
              <w:marLeft w:val="0"/>
              <w:marRight w:val="0"/>
              <w:marTop w:val="0"/>
              <w:marBottom w:val="0"/>
              <w:divBdr>
                <w:top w:val="none" w:sz="0" w:space="0" w:color="auto"/>
                <w:left w:val="none" w:sz="0" w:space="0" w:color="auto"/>
                <w:bottom w:val="none" w:sz="0" w:space="0" w:color="auto"/>
                <w:right w:val="none" w:sz="0" w:space="0" w:color="auto"/>
              </w:divBdr>
              <w:divsChild>
                <w:div w:id="766847367">
                  <w:marLeft w:val="0"/>
                  <w:marRight w:val="0"/>
                  <w:marTop w:val="0"/>
                  <w:marBottom w:val="0"/>
                  <w:divBdr>
                    <w:top w:val="none" w:sz="0" w:space="0" w:color="auto"/>
                    <w:left w:val="none" w:sz="0" w:space="0" w:color="auto"/>
                    <w:bottom w:val="none" w:sz="0" w:space="0" w:color="auto"/>
                    <w:right w:val="none" w:sz="0" w:space="0" w:color="auto"/>
                  </w:divBdr>
                  <w:divsChild>
                    <w:div w:id="10854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53349">
      <w:bodyDiv w:val="1"/>
      <w:marLeft w:val="0"/>
      <w:marRight w:val="0"/>
      <w:marTop w:val="0"/>
      <w:marBottom w:val="0"/>
      <w:divBdr>
        <w:top w:val="none" w:sz="0" w:space="0" w:color="auto"/>
        <w:left w:val="none" w:sz="0" w:space="0" w:color="auto"/>
        <w:bottom w:val="none" w:sz="0" w:space="0" w:color="auto"/>
        <w:right w:val="none" w:sz="0" w:space="0" w:color="auto"/>
      </w:divBdr>
    </w:div>
    <w:div w:id="2078358670">
      <w:bodyDiv w:val="1"/>
      <w:marLeft w:val="0"/>
      <w:marRight w:val="0"/>
      <w:marTop w:val="0"/>
      <w:marBottom w:val="0"/>
      <w:divBdr>
        <w:top w:val="none" w:sz="0" w:space="0" w:color="auto"/>
        <w:left w:val="none" w:sz="0" w:space="0" w:color="auto"/>
        <w:bottom w:val="none" w:sz="0" w:space="0" w:color="auto"/>
        <w:right w:val="none" w:sz="0" w:space="0" w:color="auto"/>
      </w:divBdr>
      <w:divsChild>
        <w:div w:id="149660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920375">
              <w:marLeft w:val="0"/>
              <w:marRight w:val="0"/>
              <w:marTop w:val="0"/>
              <w:marBottom w:val="0"/>
              <w:divBdr>
                <w:top w:val="none" w:sz="0" w:space="0" w:color="auto"/>
                <w:left w:val="none" w:sz="0" w:space="0" w:color="auto"/>
                <w:bottom w:val="none" w:sz="0" w:space="0" w:color="auto"/>
                <w:right w:val="none" w:sz="0" w:space="0" w:color="auto"/>
              </w:divBdr>
              <w:divsChild>
                <w:div w:id="1797986959">
                  <w:marLeft w:val="0"/>
                  <w:marRight w:val="0"/>
                  <w:marTop w:val="0"/>
                  <w:marBottom w:val="0"/>
                  <w:divBdr>
                    <w:top w:val="none" w:sz="0" w:space="0" w:color="auto"/>
                    <w:left w:val="none" w:sz="0" w:space="0" w:color="auto"/>
                    <w:bottom w:val="none" w:sz="0" w:space="0" w:color="auto"/>
                    <w:right w:val="none" w:sz="0" w:space="0" w:color="auto"/>
                  </w:divBdr>
                  <w:divsChild>
                    <w:div w:id="946305849">
                      <w:marLeft w:val="0"/>
                      <w:marRight w:val="0"/>
                      <w:marTop w:val="0"/>
                      <w:marBottom w:val="0"/>
                      <w:divBdr>
                        <w:top w:val="none" w:sz="0" w:space="0" w:color="auto"/>
                        <w:left w:val="none" w:sz="0" w:space="0" w:color="auto"/>
                        <w:bottom w:val="none" w:sz="0" w:space="0" w:color="auto"/>
                        <w:right w:val="none" w:sz="0" w:space="0" w:color="auto"/>
                      </w:divBdr>
                      <w:divsChild>
                        <w:div w:id="167448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030655">
                              <w:marLeft w:val="0"/>
                              <w:marRight w:val="0"/>
                              <w:marTop w:val="0"/>
                              <w:marBottom w:val="0"/>
                              <w:divBdr>
                                <w:top w:val="none" w:sz="0" w:space="0" w:color="auto"/>
                                <w:left w:val="none" w:sz="0" w:space="0" w:color="auto"/>
                                <w:bottom w:val="none" w:sz="0" w:space="0" w:color="auto"/>
                                <w:right w:val="none" w:sz="0" w:space="0" w:color="auto"/>
                              </w:divBdr>
                              <w:divsChild>
                                <w:div w:id="1508981396">
                                  <w:marLeft w:val="0"/>
                                  <w:marRight w:val="0"/>
                                  <w:marTop w:val="0"/>
                                  <w:marBottom w:val="0"/>
                                  <w:divBdr>
                                    <w:top w:val="none" w:sz="0" w:space="0" w:color="auto"/>
                                    <w:left w:val="none" w:sz="0" w:space="0" w:color="auto"/>
                                    <w:bottom w:val="none" w:sz="0" w:space="0" w:color="auto"/>
                                    <w:right w:val="none" w:sz="0" w:space="0" w:color="auto"/>
                                  </w:divBdr>
                                  <w:divsChild>
                                    <w:div w:id="392853138">
                                      <w:marLeft w:val="0"/>
                                      <w:marRight w:val="0"/>
                                      <w:marTop w:val="0"/>
                                      <w:marBottom w:val="0"/>
                                      <w:divBdr>
                                        <w:top w:val="none" w:sz="0" w:space="0" w:color="auto"/>
                                        <w:left w:val="none" w:sz="0" w:space="0" w:color="auto"/>
                                        <w:bottom w:val="none" w:sz="0" w:space="0" w:color="auto"/>
                                        <w:right w:val="none" w:sz="0" w:space="0" w:color="auto"/>
                                      </w:divBdr>
                                      <w:divsChild>
                                        <w:div w:id="1278949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4.xml"/><Relationship Id="rId42" Type="http://schemas.openxmlformats.org/officeDocument/2006/relationships/header" Target="header15.xml"/><Relationship Id="rId47" Type="http://schemas.openxmlformats.org/officeDocument/2006/relationships/header" Target="header17.xml"/><Relationship Id="rId63" Type="http://schemas.openxmlformats.org/officeDocument/2006/relationships/image" Target="media/image200.wmf"/><Relationship Id="rId68" Type="http://schemas.openxmlformats.org/officeDocument/2006/relationships/image" Target="media/image24.png"/><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14.xml"/><Relationship Id="rId45" Type="http://schemas.openxmlformats.org/officeDocument/2006/relationships/chart" Target="charts/chart3.xml"/><Relationship Id="rId53" Type="http://schemas.openxmlformats.org/officeDocument/2006/relationships/image" Target="media/image14.png"/><Relationship Id="rId58" Type="http://schemas.openxmlformats.org/officeDocument/2006/relationships/image" Target="media/image18.wmf"/><Relationship Id="rId66" Type="http://schemas.openxmlformats.org/officeDocument/2006/relationships/image" Target="media/image22.png"/><Relationship Id="rId74" Type="http://schemas.openxmlformats.org/officeDocument/2006/relationships/header" Target="header19.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90.w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2.png"/><Relationship Id="rId30" Type="http://schemas.openxmlformats.org/officeDocument/2006/relationships/header" Target="header12.xml"/><Relationship Id="rId35" Type="http://schemas.openxmlformats.org/officeDocument/2006/relationships/image" Target="media/image7.png"/><Relationship Id="rId43" Type="http://schemas.openxmlformats.org/officeDocument/2006/relationships/chart" Target="charts/chart1.xml"/><Relationship Id="rId48" Type="http://schemas.openxmlformats.org/officeDocument/2006/relationships/header" Target="header18.xml"/><Relationship Id="rId56" Type="http://schemas.openxmlformats.org/officeDocument/2006/relationships/image" Target="media/image17.png"/><Relationship Id="rId64" Type="http://schemas.openxmlformats.org/officeDocument/2006/relationships/image" Target="media/image21.wmf"/><Relationship Id="rId69" Type="http://schemas.openxmlformats.org/officeDocument/2006/relationships/image" Target="media/image25.png"/><Relationship Id="rId77" Type="http://schemas.openxmlformats.org/officeDocument/2006/relationships/header" Target="header21.xml"/><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image" Target="media/image28.emf"/><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6.xml"/><Relationship Id="rId59" Type="http://schemas.openxmlformats.org/officeDocument/2006/relationships/image" Target="media/image180.wmf"/><Relationship Id="rId67" Type="http://schemas.openxmlformats.org/officeDocument/2006/relationships/image" Target="media/image23.png"/><Relationship Id="rId20" Type="http://schemas.openxmlformats.org/officeDocument/2006/relationships/header" Target="header5.xml"/><Relationship Id="rId41" Type="http://schemas.openxmlformats.org/officeDocument/2006/relationships/footer" Target="footer6.xml"/><Relationship Id="rId54" Type="http://schemas.openxmlformats.org/officeDocument/2006/relationships/image" Target="media/image15.png"/><Relationship Id="rId62" Type="http://schemas.openxmlformats.org/officeDocument/2006/relationships/image" Target="media/image20.wmf"/><Relationship Id="rId70" Type="http://schemas.openxmlformats.org/officeDocument/2006/relationships/image" Target="media/image26.png"/><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8.png"/><Relationship Id="rId49" Type="http://schemas.openxmlformats.org/officeDocument/2006/relationships/image" Target="media/image11.png"/><Relationship Id="rId57" Type="http://schemas.openxmlformats.org/officeDocument/2006/relationships/image" Target="media/image170.png"/><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chart" Target="charts/chart2.xml"/><Relationship Id="rId52" Type="http://schemas.openxmlformats.org/officeDocument/2006/relationships/image" Target="media/image13.png"/><Relationship Id="rId60" Type="http://schemas.openxmlformats.org/officeDocument/2006/relationships/image" Target="media/image19.wmf"/><Relationship Id="rId65" Type="http://schemas.openxmlformats.org/officeDocument/2006/relationships/image" Target="media/image210.wmf"/><Relationship Id="rId73" Type="http://schemas.openxmlformats.org/officeDocument/2006/relationships/hyperlink" Target="https://ozone.unep.org/treaties/montreal-protocol/meetings/thirtieth-meeting-parties/decisions/decision-xxx3-unexpected-emissions-trichlorofluoromethane-cfc-11"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3.xml"/><Relationship Id="rId34" Type="http://schemas.openxmlformats.org/officeDocument/2006/relationships/image" Target="media/image6.png"/><Relationship Id="rId50" Type="http://schemas.openxmlformats.org/officeDocument/2006/relationships/hyperlink" Target="https://ozone.unep.org/treaties/montreal-protocol/meetings/thirty-fifth-meeting-parties/decisions/decision-xxxv14-enhancing-global-and-regional-atmospheric-monitoring-substances-controlled-montreal" TargetMode="External"/><Relationship Id="rId55" Type="http://schemas.openxmlformats.org/officeDocument/2006/relationships/image" Target="media/image16.png"/><Relationship Id="rId76" Type="http://schemas.openxmlformats.org/officeDocument/2006/relationships/footer" Target="footer7.xml"/><Relationship Id="rId7" Type="http://schemas.openxmlformats.org/officeDocument/2006/relationships/styles" Target="styles.xml"/><Relationship Id="rId71"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eader" Target="header11.xml"/></Relationships>
</file>

<file path=word/_rels/footnotes.xml.rels><?xml version="1.0" encoding="UTF-8" standalone="yes"?>
<Relationships xmlns="http://schemas.openxmlformats.org/package/2006/relationships"><Relationship Id="rId13" Type="http://schemas.openxmlformats.org/officeDocument/2006/relationships/hyperlink" Target="https://assets.danfoss.com/documents/latest/95197/AD138986428387en-020201.pdf" TargetMode="External"/><Relationship Id="rId18" Type="http://schemas.openxmlformats.org/officeDocument/2006/relationships/hyperlink" Target="https://ozone.unep.org/system/files/documents/OEWG-47-2E.pdf" TargetMode="External"/><Relationship Id="rId26" Type="http://schemas.openxmlformats.org/officeDocument/2006/relationships/hyperlink" Target="https://www.multilateralfund.org/api/drupal-documents/download/file/b745fd1a-eaa4-48f4-bbb2-ccada7b8aa17?filename=9662.pdf" TargetMode="External"/><Relationship Id="rId39" Type="http://schemas.openxmlformats.org/officeDocument/2006/relationships/hyperlink" Target="https://ozone.unep.org/system/files/documents/Annex_VI_to_46-2-Add-1.pdf" TargetMode="External"/><Relationship Id="rId21" Type="http://schemas.openxmlformats.org/officeDocument/2006/relationships/hyperlink" Target="https://ozone.unep.org/system/files/documents/MOP-37-2-Add-1E.pdf" TargetMode="External"/><Relationship Id="rId34" Type="http://schemas.openxmlformats.org/officeDocument/2006/relationships/hyperlink" Target="https://ozone.unep.org/eu-funded-project-regional-quantification-emissions-substances-controlled-under-montreal-protocol" TargetMode="External"/><Relationship Id="rId7" Type="http://schemas.openxmlformats.org/officeDocument/2006/relationships/hyperlink" Target="https://www.multilateralfund.org/api/drupal-documents/download/file/045ac597-87be-439b-9be9-bbfdbb7eca5d?filename=9108.pdf" TargetMode="External"/><Relationship Id="rId12" Type="http://schemas.openxmlformats.org/officeDocument/2006/relationships/hyperlink" Target="https://www.copeland.com/en-us/products/heating-and-air-conditioning/commercial-electronics" TargetMode="External"/><Relationship Id="rId17" Type="http://schemas.openxmlformats.org/officeDocument/2006/relationships/hyperlink" Target="https://ozone.unep.org/system/files/documents/OEWG-47-2-Add-1E.pdf" TargetMode="External"/><Relationship Id="rId25" Type="http://schemas.openxmlformats.org/officeDocument/2006/relationships/hyperlink" Target="https://www.multilateralfund.org/api/drupal-documents/download/file/e68ad11a-f7c4-489c-ad51-cf948c61614e?filename=9666.pdf" TargetMode="External"/><Relationship Id="rId33" Type="http://schemas.openxmlformats.org/officeDocument/2006/relationships/hyperlink" Target="https://ozone.unep.org/system/files/documents/ORM11-4-Rev-1E.pdf" TargetMode="External"/><Relationship Id="rId38" Type="http://schemas.openxmlformats.org/officeDocument/2006/relationships/hyperlink" Target="https://ozone.unep.org/system/files/documents/Annex_V_to_the_addendum.pdf" TargetMode="External"/><Relationship Id="rId2" Type="http://schemas.openxmlformats.org/officeDocument/2006/relationships/hyperlink" Target="https://ozone.unep.org/treaties/montreal-protocol/summary-control-measures-under-montreal-protocol" TargetMode="External"/><Relationship Id="rId16" Type="http://schemas.openxmlformats.org/officeDocument/2006/relationships/hyperlink" Target="https://doi.org/10.1038/s41586-018-0106-2" TargetMode="External"/><Relationship Id="rId20" Type="http://schemas.openxmlformats.org/officeDocument/2006/relationships/hyperlink" Target="https://ozone.unep.org/system/files/documents/MOP-37-INF-6.pdf" TargetMode="External"/><Relationship Id="rId29" Type="http://schemas.openxmlformats.org/officeDocument/2006/relationships/hyperlink" Target="https://ozone.unep.org/sites/default/files/2020-07/TEAP_Task_Force_Dec_XXX-3_on_Unexpected_CFC-11_Emissions_May_2019.pdf" TargetMode="External"/><Relationship Id="rId1" Type="http://schemas.openxmlformats.org/officeDocument/2006/relationships/hyperlink" Target="https://www.multilateralfund.org/policy-frameworks" TargetMode="External"/><Relationship Id="rId6" Type="http://schemas.openxmlformats.org/officeDocument/2006/relationships/hyperlink" Target="https://www.mee.gov.cn/ywdt/zbft/202411/t20241113_1095266.shtml" TargetMode="External"/><Relationship Id="rId11" Type="http://schemas.openxmlformats.org/officeDocument/2006/relationships/hyperlink" Target="https://learn.microsoft.com/en-us/dynamics365/release-plan/2025wave1/service/dynamics365-field-service/" TargetMode="External"/><Relationship Id="rId24" Type="http://schemas.openxmlformats.org/officeDocument/2006/relationships/hyperlink" Target="https://www.multilateralfund.org/api/drupal-documents/download/file/b745fd1a-eaa4-48f4-bbb2-ccada7b8aa17?filename=9662.pdf" TargetMode="External"/><Relationship Id="rId32" Type="http://schemas.openxmlformats.org/officeDocument/2006/relationships/hyperlink" Target="https://ozone.unep.org/system/files/documents/Final_TEAP-DecisionXXXI-3-TF-Unexpected-Emissions-of-CFC-11-may2021.pdf" TargetMode="External"/><Relationship Id="rId37" Type="http://schemas.openxmlformats.org/officeDocument/2006/relationships/hyperlink" Target="https://ozone.unep.org/system/files/documents/Annex_VI_to_46-2-Add-1.pdf" TargetMode="External"/><Relationship Id="rId40" Type="http://schemas.openxmlformats.org/officeDocument/2006/relationships/hyperlink" Target="https://ozone.unep.org/system/files/documents/Monitoring_Costs_Workshop_Outcomes.pdf" TargetMode="External"/><Relationship Id="rId5" Type="http://schemas.openxmlformats.org/officeDocument/2006/relationships/hyperlink" Target="https://www.multilateralfund.org/api/drupal-documents/download/file/045ac597-87be-439b-9be9-bbfdbb7eca5d?filename=9108.pdf" TargetMode="External"/><Relationship Id="rId15" Type="http://schemas.openxmlformats.org/officeDocument/2006/relationships/hyperlink" Target="https://sprinto.com/blog/grc-pricing/" TargetMode="External"/><Relationship Id="rId23" Type="http://schemas.openxmlformats.org/officeDocument/2006/relationships/hyperlink" Target="https://www.multilateralfund.org/api/drupal-documents/download/file/b2acd4ea-c2d0-4fc2-9311-0602f425ba06?filename=9594.pdf" TargetMode="External"/><Relationship Id="rId28" Type="http://schemas.openxmlformats.org/officeDocument/2006/relationships/hyperlink" Target="https://www.imf.org/external/datamapper/NGDP_RPCH@WEO/OEMDC/ADVEC/WEOWORLD" TargetMode="External"/><Relationship Id="rId36" Type="http://schemas.openxmlformats.org/officeDocument/2006/relationships/hyperlink" Target="https://ozone.unep.org/system/files/documents/OEWG-45-2-Add-2E.pdf" TargetMode="External"/><Relationship Id="rId10" Type="http://schemas.openxmlformats.org/officeDocument/2006/relationships/hyperlink" Target="https://www.ilo.org/publications/digital-transformation-apprenticeships-emerging-opportunities-and-barriers" TargetMode="External"/><Relationship Id="rId19" Type="http://schemas.openxmlformats.org/officeDocument/2006/relationships/hyperlink" Target="https://ozone.unep.org/system/files/documents/MOP-37-2-Add-1E.pdf" TargetMode="External"/><Relationship Id="rId31" Type="http://schemas.openxmlformats.org/officeDocument/2006/relationships/hyperlink" Target="https://ozone.unep.org/system/files/documents/SAP-2021-report-on-the-unexpected-emissions-of-CFC-11-1268_en.pdf" TargetMode="External"/><Relationship Id="rId4" Type="http://schemas.openxmlformats.org/officeDocument/2006/relationships/hyperlink" Target="https://www.multilateralfund.org/resources/project-guides-tools" TargetMode="External"/><Relationship Id="rId9" Type="http://schemas.openxmlformats.org/officeDocument/2006/relationships/hyperlink" Target="https://ozone.unep.org/treaties/montreal-protocol/meetings/twenty-eighth-meeting-parties/decisions/decision-xxviii2-decision-related-amendment-phasing-down-hydrofluorocarbons" TargetMode="External"/><Relationship Id="rId14" Type="http://schemas.openxmlformats.org/officeDocument/2006/relationships/hyperlink" Target="https://media.copeland.com/3be1200f-26d5-427a-8280-b16d0033677d/Distribution%20Center%20Improves%20Food%20Safety%20and%20Quality_AFS.CS.Rev1.0418_Digital%20Copy.pdf" TargetMode="External"/><Relationship Id="rId22" Type="http://schemas.openxmlformats.org/officeDocument/2006/relationships/hyperlink" Target="https://ozone.unep.org/system/files/documents/MOP37-agenda-item6-presentation.pdf" TargetMode="External"/><Relationship Id="rId27" Type="http://schemas.openxmlformats.org/officeDocument/2006/relationships/hyperlink" Target="https://www.imf.org/external/datamapper/NGDP_RPCH@WEO/OEMDC/ADVEC/WEOWORLD" TargetMode="External"/><Relationship Id="rId30" Type="http://schemas.openxmlformats.org/officeDocument/2006/relationships/hyperlink" Target="https://ozone.unep.org/system/files/documents/TEAP-TF-DecXXX-3-unexpected_CFC11_emissions-september2019.pdf" TargetMode="External"/><Relationship Id="rId35" Type="http://schemas.openxmlformats.org/officeDocument/2006/relationships/hyperlink" Target="https://ozone.unep.org/system/files/documents/ORM11-4-Rev-1E.pdf" TargetMode="External"/><Relationship Id="rId8" Type="http://schemas.openxmlformats.org/officeDocument/2006/relationships/hyperlink" Target="https://ozone.unep.org/hfc-23-emissions" TargetMode="External"/><Relationship Id="rId3" Type="http://schemas.openxmlformats.org/officeDocument/2006/relationships/hyperlink" Target="https://www.multilateralfund.org/meetings/97/post-sessio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Fixed cost funding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Curve!$B$23</c:f>
              <c:strCache>
                <c:ptCount val="1"/>
                <c:pt idx="0">
                  <c:v>Bracket</c:v>
                </c:pt>
              </c:strCache>
            </c:strRef>
          </c:tx>
          <c:spPr>
            <a:solidFill>
              <a:schemeClr val="accent1"/>
            </a:solidFill>
            <a:ln>
              <a:noFill/>
            </a:ln>
            <a:effectLst/>
          </c:spPr>
          <c:invertIfNegative val="0"/>
          <c:cat>
            <c:numRef>
              <c:f>Curve!$B$24:$B$30</c:f>
              <c:numCache>
                <c:formatCode>General</c:formatCode>
                <c:ptCount val="7"/>
                <c:pt idx="0">
                  <c:v>2</c:v>
                </c:pt>
                <c:pt idx="1">
                  <c:v>3</c:v>
                </c:pt>
                <c:pt idx="2">
                  <c:v>4</c:v>
                </c:pt>
                <c:pt idx="3">
                  <c:v>5</c:v>
                </c:pt>
                <c:pt idx="4">
                  <c:v>6</c:v>
                </c:pt>
                <c:pt idx="5">
                  <c:v>7</c:v>
                </c:pt>
                <c:pt idx="6">
                  <c:v>8</c:v>
                </c:pt>
              </c:numCache>
            </c:numRef>
          </c:cat>
          <c:val>
            <c:numRef>
              <c:f>Curve!$B$24:$B$30</c:f>
              <c:numCache>
                <c:formatCode>General</c:formatCode>
                <c:ptCount val="7"/>
                <c:pt idx="0">
                  <c:v>2</c:v>
                </c:pt>
                <c:pt idx="1">
                  <c:v>3</c:v>
                </c:pt>
                <c:pt idx="2">
                  <c:v>4</c:v>
                </c:pt>
                <c:pt idx="3">
                  <c:v>5</c:v>
                </c:pt>
                <c:pt idx="4">
                  <c:v>6</c:v>
                </c:pt>
                <c:pt idx="5">
                  <c:v>7</c:v>
                </c:pt>
                <c:pt idx="6">
                  <c:v>8</c:v>
                </c:pt>
              </c:numCache>
            </c:numRef>
          </c:val>
          <c:extLst>
            <c:ext xmlns:c16="http://schemas.microsoft.com/office/drawing/2014/chart" uri="{C3380CC4-5D6E-409C-BE32-E72D297353CC}">
              <c16:uniqueId val="{00000000-1264-4F45-839B-11CA0030CA53}"/>
            </c:ext>
          </c:extLst>
        </c:ser>
        <c:ser>
          <c:idx val="1"/>
          <c:order val="1"/>
          <c:tx>
            <c:strRef>
              <c:f>Curve!$C$23</c:f>
              <c:strCache>
                <c:ptCount val="1"/>
                <c:pt idx="0">
                  <c:v>Funding </c:v>
                </c:pt>
              </c:strCache>
            </c:strRef>
          </c:tx>
          <c:spPr>
            <a:solidFill>
              <a:schemeClr val="accent2"/>
            </a:solidFill>
            <a:ln>
              <a:noFill/>
            </a:ln>
            <a:effectLst/>
          </c:spPr>
          <c:invertIfNegative val="0"/>
          <c:cat>
            <c:numRef>
              <c:f>Curve!$B$24:$B$30</c:f>
              <c:numCache>
                <c:formatCode>General</c:formatCode>
                <c:ptCount val="7"/>
                <c:pt idx="0">
                  <c:v>2</c:v>
                </c:pt>
                <c:pt idx="1">
                  <c:v>3</c:v>
                </c:pt>
                <c:pt idx="2">
                  <c:v>4</c:v>
                </c:pt>
                <c:pt idx="3">
                  <c:v>5</c:v>
                </c:pt>
                <c:pt idx="4">
                  <c:v>6</c:v>
                </c:pt>
                <c:pt idx="5">
                  <c:v>7</c:v>
                </c:pt>
                <c:pt idx="6">
                  <c:v>8</c:v>
                </c:pt>
              </c:numCache>
            </c:numRef>
          </c:cat>
          <c:val>
            <c:numRef>
              <c:f>Curve!$C$24:$C$30</c:f>
              <c:numCache>
                <c:formatCode>_(* #,##0_);_(* \(#,##0\);_(* "-"??_);_(@_)</c:formatCode>
                <c:ptCount val="7"/>
                <c:pt idx="0">
                  <c:v>145000</c:v>
                </c:pt>
                <c:pt idx="1">
                  <c:v>158000</c:v>
                </c:pt>
                <c:pt idx="2">
                  <c:v>170000</c:v>
                </c:pt>
                <c:pt idx="3">
                  <c:v>180000</c:v>
                </c:pt>
                <c:pt idx="4">
                  <c:v>190000</c:v>
                </c:pt>
                <c:pt idx="5">
                  <c:v>325000</c:v>
                </c:pt>
                <c:pt idx="6">
                  <c:v>360000</c:v>
                </c:pt>
              </c:numCache>
            </c:numRef>
          </c:val>
          <c:extLst>
            <c:ext xmlns:c16="http://schemas.microsoft.com/office/drawing/2014/chart" uri="{C3380CC4-5D6E-409C-BE32-E72D297353CC}">
              <c16:uniqueId val="{00000001-1264-4F45-839B-11CA0030CA53}"/>
            </c:ext>
          </c:extLst>
        </c:ser>
        <c:ser>
          <c:idx val="2"/>
          <c:order val="2"/>
          <c:tx>
            <c:strRef>
              <c:f>Curve!$D$23</c:f>
              <c:strCache>
                <c:ptCount val="1"/>
                <c:pt idx="0">
                  <c:v>Fixed cost</c:v>
                </c:pt>
              </c:strCache>
            </c:strRef>
          </c:tx>
          <c:spPr>
            <a:solidFill>
              <a:schemeClr val="accent3"/>
            </a:solidFill>
            <a:ln>
              <a:noFill/>
            </a:ln>
            <a:effectLst/>
          </c:spPr>
          <c:invertIfNegative val="0"/>
          <c:trendline>
            <c:spPr>
              <a:ln w="19050" cap="rnd">
                <a:solidFill>
                  <a:schemeClr val="accent3"/>
                </a:solidFill>
                <a:prstDash val="sysDot"/>
              </a:ln>
              <a:effectLst/>
            </c:spPr>
            <c:trendlineType val="linear"/>
            <c:dispRSqr val="0"/>
            <c:dispEq val="0"/>
          </c:trendline>
          <c:cat>
            <c:numRef>
              <c:f>Curve!$B$24:$B$30</c:f>
              <c:numCache>
                <c:formatCode>General</c:formatCode>
                <c:ptCount val="7"/>
                <c:pt idx="0">
                  <c:v>2</c:v>
                </c:pt>
                <c:pt idx="1">
                  <c:v>3</c:v>
                </c:pt>
                <c:pt idx="2">
                  <c:v>4</c:v>
                </c:pt>
                <c:pt idx="3">
                  <c:v>5</c:v>
                </c:pt>
                <c:pt idx="4">
                  <c:v>6</c:v>
                </c:pt>
                <c:pt idx="5">
                  <c:v>7</c:v>
                </c:pt>
                <c:pt idx="6">
                  <c:v>8</c:v>
                </c:pt>
              </c:numCache>
            </c:numRef>
          </c:cat>
          <c:val>
            <c:numRef>
              <c:f>Curve!$D$24:$D$30</c:f>
              <c:numCache>
                <c:formatCode>_(* #,##0_);_(* \(#,##0\);_(* "-"??_);_(@_)</c:formatCode>
                <c:ptCount val="7"/>
                <c:pt idx="0">
                  <c:v>58500</c:v>
                </c:pt>
                <c:pt idx="1">
                  <c:v>60000</c:v>
                </c:pt>
                <c:pt idx="2">
                  <c:v>94935</c:v>
                </c:pt>
                <c:pt idx="3">
                  <c:v>112700</c:v>
                </c:pt>
                <c:pt idx="4">
                  <c:v>116400</c:v>
                </c:pt>
                <c:pt idx="5">
                  <c:v>118800</c:v>
                </c:pt>
                <c:pt idx="6">
                  <c:v>120100</c:v>
                </c:pt>
              </c:numCache>
            </c:numRef>
          </c:val>
          <c:extLst>
            <c:ext xmlns:c16="http://schemas.microsoft.com/office/drawing/2014/chart" uri="{C3380CC4-5D6E-409C-BE32-E72D297353CC}">
              <c16:uniqueId val="{00000003-1264-4F45-839B-11CA0030CA53}"/>
            </c:ext>
          </c:extLst>
        </c:ser>
        <c:dLbls>
          <c:showLegendKey val="0"/>
          <c:showVal val="0"/>
          <c:showCatName val="0"/>
          <c:showSerName val="0"/>
          <c:showPercent val="0"/>
          <c:showBubbleSize val="0"/>
        </c:dLbls>
        <c:gapWidth val="150"/>
        <c:axId val="974717872"/>
        <c:axId val="974724592"/>
      </c:barChart>
      <c:lineChart>
        <c:grouping val="standard"/>
        <c:varyColors val="0"/>
        <c:ser>
          <c:idx val="3"/>
          <c:order val="3"/>
          <c:tx>
            <c:strRef>
              <c:f>Curve!$E$23</c:f>
              <c:strCache>
                <c:ptCount val="1"/>
                <c:pt idx="0">
                  <c:v>Percentage fixed</c:v>
                </c:pt>
              </c:strCache>
            </c:strRef>
          </c:tx>
          <c:spPr>
            <a:ln w="28575" cap="rnd">
              <a:solidFill>
                <a:schemeClr val="accent4"/>
              </a:solidFill>
              <a:round/>
            </a:ln>
            <a:effectLst/>
          </c:spPr>
          <c:marker>
            <c:symbol val="none"/>
          </c:marker>
          <c:val>
            <c:numRef>
              <c:f>Curve!$E$24:$E$30</c:f>
              <c:numCache>
                <c:formatCode>0.0%</c:formatCode>
                <c:ptCount val="7"/>
                <c:pt idx="0">
                  <c:v>0.40300000000000002</c:v>
                </c:pt>
                <c:pt idx="1">
                  <c:v>0.38</c:v>
                </c:pt>
                <c:pt idx="2">
                  <c:v>0.55800000000000005</c:v>
                </c:pt>
                <c:pt idx="3">
                  <c:v>0.626</c:v>
                </c:pt>
                <c:pt idx="4">
                  <c:v>0.61299999999999999</c:v>
                </c:pt>
                <c:pt idx="5">
                  <c:v>0.36599999999999999</c:v>
                </c:pt>
                <c:pt idx="6">
                  <c:v>0.33400000000000002</c:v>
                </c:pt>
              </c:numCache>
            </c:numRef>
          </c:val>
          <c:smooth val="0"/>
          <c:extLst>
            <c:ext xmlns:c16="http://schemas.microsoft.com/office/drawing/2014/chart" uri="{C3380CC4-5D6E-409C-BE32-E72D297353CC}">
              <c16:uniqueId val="{00000004-1264-4F45-839B-11CA0030CA53}"/>
            </c:ext>
          </c:extLst>
        </c:ser>
        <c:dLbls>
          <c:showLegendKey val="0"/>
          <c:showVal val="0"/>
          <c:showCatName val="0"/>
          <c:showSerName val="0"/>
          <c:showPercent val="0"/>
          <c:showBubbleSize val="0"/>
        </c:dLbls>
        <c:marker val="1"/>
        <c:smooth val="0"/>
        <c:axId val="1179054336"/>
        <c:axId val="1179059136"/>
      </c:lineChart>
      <c:catAx>
        <c:axId val="97471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Brackets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724592"/>
        <c:crosses val="autoZero"/>
        <c:auto val="1"/>
        <c:lblAlgn val="ctr"/>
        <c:lblOffset val="100"/>
        <c:noMultiLvlLbl val="0"/>
      </c:catAx>
      <c:valAx>
        <c:axId val="97472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Funding in US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717872"/>
        <c:crosses val="autoZero"/>
        <c:crossBetween val="between"/>
      </c:valAx>
      <c:valAx>
        <c:axId val="11790591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Fixed cost as % of KIP stage I funding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9054336"/>
        <c:crosses val="max"/>
        <c:crossBetween val="between"/>
      </c:valAx>
      <c:catAx>
        <c:axId val="1179054336"/>
        <c:scaling>
          <c:orientation val="minMax"/>
        </c:scaling>
        <c:delete val="1"/>
        <c:axPos val="b"/>
        <c:majorTickMark val="out"/>
        <c:minorTickMark val="none"/>
        <c:tickLblPos val="nextTo"/>
        <c:crossAx val="1179059136"/>
        <c:crosses val="autoZero"/>
        <c:auto val="1"/>
        <c:lblAlgn val="ctr"/>
        <c:lblOffset val="100"/>
        <c:noMultiLvlLbl val="0"/>
      </c:cat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'Training (2)'!$X$42</c:f>
              <c:strCache>
                <c:ptCount val="1"/>
                <c:pt idx="0">
                  <c:v>Training funding</c:v>
                </c:pt>
              </c:strCache>
            </c:strRef>
          </c:tx>
          <c:spPr>
            <a:ln w="28575" cap="rnd">
              <a:noFill/>
              <a:round/>
            </a:ln>
            <a:effectLst/>
          </c:spPr>
          <c:marker>
            <c:symbol val="circle"/>
            <c:size val="5"/>
            <c:spPr>
              <a:solidFill>
                <a:schemeClr val="accent1"/>
              </a:solidFill>
              <a:ln w="9525">
                <a:solidFill>
                  <a:schemeClr val="accent1"/>
                </a:solidFill>
              </a:ln>
              <a:effectLst/>
            </c:spPr>
          </c:marker>
          <c:xVal>
            <c:numRef>
              <c:f>'Training (2)'!$W$43:$W$81</c:f>
              <c:numCache>
                <c:formatCode>General</c:formatCode>
                <c:ptCount val="38"/>
                <c:pt idx="0">
                  <c:v>2</c:v>
                </c:pt>
                <c:pt idx="1">
                  <c:v>2</c:v>
                </c:pt>
                <c:pt idx="2">
                  <c:v>2</c:v>
                </c:pt>
                <c:pt idx="3">
                  <c:v>2</c:v>
                </c:pt>
                <c:pt idx="4">
                  <c:v>3</c:v>
                </c:pt>
                <c:pt idx="5">
                  <c:v>3</c:v>
                </c:pt>
                <c:pt idx="6">
                  <c:v>3</c:v>
                </c:pt>
                <c:pt idx="7">
                  <c:v>3</c:v>
                </c:pt>
                <c:pt idx="8">
                  <c:v>3</c:v>
                </c:pt>
                <c:pt idx="9">
                  <c:v>3</c:v>
                </c:pt>
                <c:pt idx="10">
                  <c:v>4</c:v>
                </c:pt>
                <c:pt idx="11">
                  <c:v>4</c:v>
                </c:pt>
                <c:pt idx="12">
                  <c:v>4</c:v>
                </c:pt>
                <c:pt idx="13">
                  <c:v>4</c:v>
                </c:pt>
                <c:pt idx="14">
                  <c:v>4</c:v>
                </c:pt>
                <c:pt idx="15">
                  <c:v>5</c:v>
                </c:pt>
                <c:pt idx="16">
                  <c:v>5</c:v>
                </c:pt>
                <c:pt idx="17">
                  <c:v>6</c:v>
                </c:pt>
                <c:pt idx="18">
                  <c:v>6</c:v>
                </c:pt>
                <c:pt idx="19">
                  <c:v>6</c:v>
                </c:pt>
                <c:pt idx="20">
                  <c:v>6</c:v>
                </c:pt>
                <c:pt idx="21">
                  <c:v>6</c:v>
                </c:pt>
                <c:pt idx="22">
                  <c:v>7</c:v>
                </c:pt>
                <c:pt idx="23">
                  <c:v>7</c:v>
                </c:pt>
                <c:pt idx="24">
                  <c:v>7</c:v>
                </c:pt>
                <c:pt idx="25">
                  <c:v>7</c:v>
                </c:pt>
                <c:pt idx="26">
                  <c:v>7</c:v>
                </c:pt>
                <c:pt idx="27">
                  <c:v>7</c:v>
                </c:pt>
                <c:pt idx="28">
                  <c:v>7</c:v>
                </c:pt>
                <c:pt idx="29">
                  <c:v>7</c:v>
                </c:pt>
                <c:pt idx="30">
                  <c:v>7</c:v>
                </c:pt>
                <c:pt idx="31">
                  <c:v>7</c:v>
                </c:pt>
                <c:pt idx="32">
                  <c:v>7</c:v>
                </c:pt>
                <c:pt idx="33">
                  <c:v>7</c:v>
                </c:pt>
                <c:pt idx="34">
                  <c:v>8</c:v>
                </c:pt>
                <c:pt idx="35">
                  <c:v>8</c:v>
                </c:pt>
                <c:pt idx="36">
                  <c:v>8</c:v>
                </c:pt>
                <c:pt idx="37">
                  <c:v>8</c:v>
                </c:pt>
              </c:numCache>
            </c:numRef>
          </c:xVal>
          <c:yVal>
            <c:numRef>
              <c:f>'Training (2)'!$X$43:$X$81</c:f>
              <c:numCache>
                <c:formatCode>_-* #,##0_-;\-* #,##0_-;_-* "-"??_-;_-@_-</c:formatCode>
                <c:ptCount val="38"/>
                <c:pt idx="0">
                  <c:v>12000</c:v>
                </c:pt>
                <c:pt idx="1">
                  <c:v>20000</c:v>
                </c:pt>
                <c:pt idx="2">
                  <c:v>28000</c:v>
                </c:pt>
                <c:pt idx="3">
                  <c:v>32000</c:v>
                </c:pt>
                <c:pt idx="4">
                  <c:v>16200</c:v>
                </c:pt>
                <c:pt idx="5">
                  <c:v>18000</c:v>
                </c:pt>
                <c:pt idx="6">
                  <c:v>25000</c:v>
                </c:pt>
                <c:pt idx="7">
                  <c:v>26000</c:v>
                </c:pt>
                <c:pt idx="8">
                  <c:v>33000</c:v>
                </c:pt>
                <c:pt idx="9">
                  <c:v>48000</c:v>
                </c:pt>
                <c:pt idx="10">
                  <c:v>22850</c:v>
                </c:pt>
                <c:pt idx="11">
                  <c:v>25000</c:v>
                </c:pt>
                <c:pt idx="12">
                  <c:v>34000</c:v>
                </c:pt>
                <c:pt idx="13">
                  <c:v>52000</c:v>
                </c:pt>
                <c:pt idx="14">
                  <c:v>80000</c:v>
                </c:pt>
                <c:pt idx="15">
                  <c:v>6000</c:v>
                </c:pt>
                <c:pt idx="16">
                  <c:v>15000</c:v>
                </c:pt>
                <c:pt idx="17">
                  <c:v>25000</c:v>
                </c:pt>
                <c:pt idx="18">
                  <c:v>28000</c:v>
                </c:pt>
                <c:pt idx="19">
                  <c:v>34000</c:v>
                </c:pt>
                <c:pt idx="20">
                  <c:v>40000</c:v>
                </c:pt>
                <c:pt idx="21">
                  <c:v>72000</c:v>
                </c:pt>
                <c:pt idx="22">
                  <c:v>10000</c:v>
                </c:pt>
                <c:pt idx="23">
                  <c:v>30000</c:v>
                </c:pt>
                <c:pt idx="24">
                  <c:v>30000</c:v>
                </c:pt>
                <c:pt idx="25">
                  <c:v>36000</c:v>
                </c:pt>
                <c:pt idx="26">
                  <c:v>46000</c:v>
                </c:pt>
                <c:pt idx="27">
                  <c:v>54000</c:v>
                </c:pt>
                <c:pt idx="28">
                  <c:v>55000</c:v>
                </c:pt>
                <c:pt idx="29">
                  <c:v>70000</c:v>
                </c:pt>
                <c:pt idx="30">
                  <c:v>85000</c:v>
                </c:pt>
                <c:pt idx="31">
                  <c:v>180000</c:v>
                </c:pt>
                <c:pt idx="32">
                  <c:v>194900</c:v>
                </c:pt>
                <c:pt idx="33">
                  <c:v>225000</c:v>
                </c:pt>
                <c:pt idx="34">
                  <c:v>65000</c:v>
                </c:pt>
                <c:pt idx="35">
                  <c:v>70000</c:v>
                </c:pt>
                <c:pt idx="36">
                  <c:v>70000</c:v>
                </c:pt>
                <c:pt idx="37">
                  <c:v>90000</c:v>
                </c:pt>
              </c:numCache>
            </c:numRef>
          </c:yVal>
          <c:smooth val="0"/>
          <c:extLst>
            <c:ext xmlns:c16="http://schemas.microsoft.com/office/drawing/2014/chart" uri="{C3380CC4-5D6E-409C-BE32-E72D297353CC}">
              <c16:uniqueId val="{00000000-7345-4310-9A16-DCAC4790F6E5}"/>
            </c:ext>
          </c:extLst>
        </c:ser>
        <c:dLbls>
          <c:showLegendKey val="0"/>
          <c:showVal val="0"/>
          <c:showCatName val="0"/>
          <c:showSerName val="0"/>
          <c:showPercent val="0"/>
          <c:showBubbleSize val="0"/>
        </c:dLbls>
        <c:axId val="1664405184"/>
        <c:axId val="1664403744"/>
      </c:scatterChart>
      <c:valAx>
        <c:axId val="1664405184"/>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Brackets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403744"/>
        <c:crosses val="autoZero"/>
        <c:crossBetween val="midCat"/>
      </c:valAx>
      <c:valAx>
        <c:axId val="166440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US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40518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Training as percentage of total KIP stage I - average by bracket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Training!$C$2</c:f>
              <c:strCache>
                <c:ptCount val="1"/>
                <c:pt idx="0">
                  <c:v>Training as percentage of total KIP stage I - average</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Training!$B$3:$B$9</c:f>
              <c:numCache>
                <c:formatCode>General</c:formatCode>
                <c:ptCount val="7"/>
                <c:pt idx="0">
                  <c:v>2</c:v>
                </c:pt>
                <c:pt idx="1">
                  <c:v>3</c:v>
                </c:pt>
                <c:pt idx="2">
                  <c:v>4</c:v>
                </c:pt>
                <c:pt idx="3">
                  <c:v>5</c:v>
                </c:pt>
                <c:pt idx="4">
                  <c:v>6</c:v>
                </c:pt>
                <c:pt idx="5">
                  <c:v>7</c:v>
                </c:pt>
                <c:pt idx="6">
                  <c:v>8</c:v>
                </c:pt>
              </c:numCache>
            </c:numRef>
          </c:cat>
          <c:val>
            <c:numRef>
              <c:f>Training!$C$3:$C$9</c:f>
              <c:numCache>
                <c:formatCode>General</c:formatCode>
                <c:ptCount val="7"/>
                <c:pt idx="0">
                  <c:v>15.9</c:v>
                </c:pt>
                <c:pt idx="1">
                  <c:v>16</c:v>
                </c:pt>
                <c:pt idx="2">
                  <c:v>25.3</c:v>
                </c:pt>
                <c:pt idx="3">
                  <c:v>5.0999999999999996</c:v>
                </c:pt>
                <c:pt idx="4">
                  <c:v>20.5</c:v>
                </c:pt>
                <c:pt idx="5">
                  <c:v>26</c:v>
                </c:pt>
                <c:pt idx="6">
                  <c:v>18.899999999999999</c:v>
                </c:pt>
              </c:numCache>
            </c:numRef>
          </c:val>
          <c:extLst>
            <c:ext xmlns:c16="http://schemas.microsoft.com/office/drawing/2014/chart" uri="{C3380CC4-5D6E-409C-BE32-E72D297353CC}">
              <c16:uniqueId val="{00000001-5775-493A-B2FA-EB9BEAECDE1F}"/>
            </c:ext>
          </c:extLst>
        </c:ser>
        <c:dLbls>
          <c:showLegendKey val="0"/>
          <c:showVal val="0"/>
          <c:showCatName val="0"/>
          <c:showSerName val="0"/>
          <c:showPercent val="0"/>
          <c:showBubbleSize val="0"/>
        </c:dLbls>
        <c:gapWidth val="150"/>
        <c:axId val="1977195775"/>
        <c:axId val="1977193375"/>
      </c:barChart>
      <c:catAx>
        <c:axId val="19771957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Brackets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193375"/>
        <c:crosses val="autoZero"/>
        <c:auto val="1"/>
        <c:lblAlgn val="ctr"/>
        <c:lblOffset val="100"/>
        <c:noMultiLvlLbl val="1"/>
      </c:catAx>
      <c:valAx>
        <c:axId val="1977193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195775"/>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Date xmlns="985ec44e-1bab-4c0b-9df0-6ba128686fc9">2026-05-20T06:56:37+00:00</Document_x0020_Date>
    <KpiDescription xmlns="http://schemas.microsoft.com/sharepoint/v3" xsi:nil="true"/>
    <gba66df640194346a5267c50f24d4797 xmlns="985ec44e-1bab-4c0b-9df0-6ba128686fc9">
      <Terms xmlns="http://schemas.microsoft.com/office/infopath/2007/PartnerControls"/>
    </gba66df640194346a5267c50f24d4797>
    <Document_x0020_Type xmlns="985ec44e-1bab-4c0b-9df0-6ba128686fc9">UN others</Document_x0020_Type>
    <TaxCatchAll xmlns="985ec44e-1bab-4c0b-9df0-6ba128686fc9" xsi:nil="true"/>
    <Date_x0020_Sent xmlns="985ec44e-1bab-4c0b-9df0-6ba128686fc9">2026-05-20T06:56:37+00:00</Date_x0020_Sent>
    <Personal_x0020_Information_x0020__x0028_PII_x0029_ xmlns="985ec44e-1bab-4c0b-9df0-6ba128686fc9">false</Personal_x0020_Information_x0020__x0028_PII_x0029_>
    <Date_x0020_Received xmlns="985ec44e-1bab-4c0b-9df0-6ba128686fc9">2026-05-20T06:56:37+00:00</Date_x0020_Received>
    <Linked_x0020_Records xmlns="985ec44e-1bab-4c0b-9df0-6ba128686fc9">
      <Url xsi:nil="true"/>
      <Description xsi:nil="true"/>
    </Linked_x0020_Records>
    <Security_x0020_Level xmlns="985ec44e-1bab-4c0b-9df0-6ba128686fc9">Unclassified</Security_x0020_Level>
    <UN_x0020_Official_x0020_Language xmlns="985ec44e-1bab-4c0b-9df0-6ba128686fc9">English</UN_x0020_Official_x0020_Languag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 Document" ma:contentTypeID="0x010100AF687BC085C91946BC54CBDC5AB286CC00C98D0C8D73AF894E997C937D021D4600" ma:contentTypeVersion="17" ma:contentTypeDescription="" ma:contentTypeScope="" ma:versionID="1a76b1596c1bdfb6c43f83c22c71e661">
  <xsd:schema xmlns:xsd="http://www.w3.org/2001/XMLSchema" xmlns:xs="http://www.w3.org/2001/XMLSchema" xmlns:p="http://schemas.microsoft.com/office/2006/metadata/properties" xmlns:ns1="http://schemas.microsoft.com/sharepoint/v3" xmlns:ns3="985ec44e-1bab-4c0b-9df0-6ba128686fc9" targetNamespace="http://schemas.microsoft.com/office/2006/metadata/properties" ma:root="true" ma:fieldsID="f7e7cfa6ed14970cbf91cc21791ed040" ns1:_="" ns3:_="">
    <xsd:import namespace="http://schemas.microsoft.com/sharepoint/v3"/>
    <xsd:import namespace="985ec44e-1bab-4c0b-9df0-6ba128686fc9"/>
    <xsd:element name="properties">
      <xsd:complexType>
        <xsd:sequence>
          <xsd:element name="documentManagement">
            <xsd:complexType>
              <xsd:all>
                <xsd:element ref="ns3:Document_x0020_Date" minOccurs="0"/>
                <xsd:element ref="ns3:Date_x0020_Received" minOccurs="0"/>
                <xsd:element ref="ns3:Date_x0020_Sent" minOccurs="0"/>
                <xsd:element ref="ns3:Security_x0020_Level" minOccurs="0"/>
                <xsd:element ref="ns3:Personal_x0020_Information_x0020__x0028_PII_x0029_" minOccurs="0"/>
                <xsd:element ref="ns3:Linked_x0020_Records" minOccurs="0"/>
                <xsd:element ref="ns1:KpiDescription" minOccurs="0"/>
                <xsd:element ref="ns3:UN_x0020_Official_x0020_Language" minOccurs="0"/>
                <xsd:element ref="ns3:Document_x0020_Type" minOccurs="0"/>
                <xsd:element ref="ns3:TaxCatchAllLabel" minOccurs="0"/>
                <xsd:element ref="ns3:gba66df640194346a5267c50f24d4797"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1" nillable="true" ma:displayName="Description"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Document_x0020_Date" ma:index="2" nillable="true" ma:displayName="Document Date" ma:default="[today]" ma:description="The date when the file was drafted" ma:format="DateOnly" ma:internalName="Document_x0020_Date" ma:readOnly="false">
      <xsd:simpleType>
        <xsd:restriction base="dms:DateTime"/>
      </xsd:simpleType>
    </xsd:element>
    <xsd:element name="Date_x0020_Received" ma:index="3" nillable="true" ma:displayName="Date Received" ma:default="[today]" ma:format="DateOnly" ma:internalName="Date_x0020_Received" ma:readOnly="false">
      <xsd:simpleType>
        <xsd:restriction base="dms:DateTime"/>
      </xsd:simpleType>
    </xsd:element>
    <xsd:element name="Date_x0020_Sent" ma:index="4" nillable="true" ma:displayName="Date Sent" ma:default="[today]" ma:format="DateOnly" ma:internalName="Date_x0020_Sent">
      <xsd:simpleType>
        <xsd:restriction base="dms:DateTime"/>
      </xsd:simpleType>
    </xsd:element>
    <xsd:element name="Security_x0020_Level" ma:index="7" nillable="true" ma:displayName="Security Level" ma:default="Unclassified" ma:format="RadioButtons" ma:internalName="Security_x0020_Level">
      <xsd:simpleType>
        <xsd:restriction base="dms:Choice">
          <xsd:enumeration value="Unclassified"/>
          <xsd:enumeration value="Confidential"/>
          <xsd:enumeration value="Strictly Confidential"/>
        </xsd:restriction>
      </xsd:simpleType>
    </xsd:element>
    <xsd:element name="Personal_x0020_Information_x0020__x0028_PII_x0029_" ma:index="8" nillable="true" ma:displayName="Personal Information (PI)" ma:default="0" ma:description="This field indicates whether the file contains Personal Information" ma:internalName="Personal_x0020_Information_x0020__x0028_PII_x0029_" ma:readOnly="false">
      <xsd:simpleType>
        <xsd:restriction base="dms:Boolean"/>
      </xsd:simpleType>
    </xsd:element>
    <xsd:element name="Linked_x0020_Records" ma:index="9" nillable="true" ma:displayName="Linked Records" ma:format="Hyperlink" ma:internalName="Linked_x0020_Records">
      <xsd:complexType>
        <xsd:complexContent>
          <xsd:extension base="dms:URL">
            <xsd:sequence>
              <xsd:element name="Url" type="dms:ValidUrl" minOccurs="0" nillable="true"/>
              <xsd:element name="Description" type="xsd:string" nillable="true"/>
            </xsd:sequence>
          </xsd:extension>
        </xsd:complexContent>
      </xsd:complexType>
    </xsd:element>
    <xsd:element name="UN_x0020_Official_x0020_Language" ma:index="12" nillable="true" ma:displayName="Language (UN's Official)" ma:default="English" ma:format="Dropdown" ma:internalName="UN_x0020_Official_x0020_Language" ma:readOnly="false">
      <xsd:simpleType>
        <xsd:restriction base="dms:Choice">
          <xsd:enumeration value="Arabic"/>
          <xsd:enumeration value="Chinese"/>
          <xsd:enumeration value="English"/>
          <xsd:enumeration value="French"/>
          <xsd:enumeration value="Russian"/>
          <xsd:enumeration value="Spanish"/>
        </xsd:restriction>
      </xsd:simpleType>
    </xsd:element>
    <xsd:element name="Document_x0020_Type" ma:index="13" nillable="true" ma:displayName="Document Type" ma:default="UN others" ma:format="Dropdown" ma:internalName="Document_x0020_Type" ma:readOnly="false">
      <xsd:simpleType>
        <xsd:restriction base="dms:Choice">
          <xsd:enumeration value="Code Cable"/>
          <xsd:enumeration value="Facsimile"/>
          <xsd:enumeration value="Form"/>
          <xsd:enumeration value="Letter"/>
          <xsd:enumeration value="Memorandum"/>
          <xsd:enumeration value="Note"/>
          <xsd:enumeration value="Note verbale"/>
          <xsd:enumeration value="Report"/>
          <xsd:enumeration value="Slip"/>
          <xsd:enumeration value="UN others"/>
          <xsd:enumeration value="Non-UN"/>
        </xsd:restriction>
      </xsd:simpleType>
    </xsd:element>
    <xsd:element name="TaxCatchAllLabel" ma:index="14" nillable="true" ma:displayName="Taxonomy Catch All Column1" ma:hidden="true" ma:list="{cfd9c986-1e4b-4092-83b4-ffd028e2f9b7}" ma:internalName="TaxCatchAllLabel" ma:readOnly="true" ma:showField="CatchAllDataLabel" ma:web="7882167c-b1fa-4e55-b4a5-6145aa31e8d9">
      <xsd:complexType>
        <xsd:complexContent>
          <xsd:extension base="dms:MultiChoiceLookup">
            <xsd:sequence>
              <xsd:element name="Value" type="dms:Lookup" maxOccurs="unbounded" minOccurs="0" nillable="true"/>
            </xsd:sequence>
          </xsd:extension>
        </xsd:complexContent>
      </xsd:complexType>
    </xsd:element>
    <xsd:element name="gba66df640194346a5267c50f24d4797" ma:index="20" nillable="true" ma:taxonomy="true" ma:internalName="gba66df640194346a5267c50f24d4797" ma:taxonomyFieldName="Office_x0020_of_x0020_Origin" ma:displayName="Office of origin" ma:readOnly="false" ma:default="" ma:fieldId="{0ba66df6-4019-4346-a526-7c50f24d4797}" ma:sspId="78175662-8596-484a-92c7-351d01561e22" ma:termSetId="045c6cc4-dc5e-443b-8b37-1361f130ed2a"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cfd9c986-1e4b-4092-83b4-ffd028e2f9b7}" ma:internalName="TaxCatchAll" ma:showField="CatchAllData" ma:web="7882167c-b1fa-4e55-b4a5-6145aa31e8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 ma:displayName="Author"/>
        <xsd:element ref="dcterms:created" minOccurs="0" maxOccurs="1"/>
        <xsd:element ref="dc:identifier" minOccurs="0" maxOccurs="1"/>
        <xsd:element name="contentType" minOccurs="0" maxOccurs="1" type="xsd:string" ma:index="22" ma:displayName="Content Type"/>
        <xsd:element ref="dc:title" minOccurs="0" maxOccurs="1" ma:index="6"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8175662-8596-484a-92c7-351d01561e22" ContentTypeId="0x010100AF687BC085C91946BC54CBDC5AB286CC" PreviousValue="false" LastSyncTimeStamp="2021-02-04T13:33:18.75Z"/>
</file>

<file path=customXml/itemProps1.xml><?xml version="1.0" encoding="utf-8"?>
<ds:datastoreItem xmlns:ds="http://schemas.openxmlformats.org/officeDocument/2006/customXml" ds:itemID="{1062B835-6655-45ED-9921-27E2C6C9EBC2}">
  <ds:schemaRefs>
    <ds:schemaRef ds:uri="http://schemas.microsoft.com/sharepoint/v3/contenttype/forms"/>
  </ds:schemaRefs>
</ds:datastoreItem>
</file>

<file path=customXml/itemProps2.xml><?xml version="1.0" encoding="utf-8"?>
<ds:datastoreItem xmlns:ds="http://schemas.openxmlformats.org/officeDocument/2006/customXml" ds:itemID="{0AF053F0-BB8D-4A9C-B371-3A664F58D319}">
  <ds:schemaRefs>
    <ds:schemaRef ds:uri="http://schemas.microsoft.com/office/2006/metadata/properties"/>
    <ds:schemaRef ds:uri="http://schemas.microsoft.com/office/infopath/2007/PartnerControls"/>
    <ds:schemaRef ds:uri="985ec44e-1bab-4c0b-9df0-6ba128686fc9"/>
    <ds:schemaRef ds:uri="http://schemas.microsoft.com/sharepoint/v3"/>
  </ds:schemaRefs>
</ds:datastoreItem>
</file>

<file path=customXml/itemProps3.xml><?xml version="1.0" encoding="utf-8"?>
<ds:datastoreItem xmlns:ds="http://schemas.openxmlformats.org/officeDocument/2006/customXml" ds:itemID="{17F44D8E-69B4-D544-9FB7-38A9EF5DC588}">
  <ds:schemaRefs>
    <ds:schemaRef ds:uri="http://schemas.openxmlformats.org/officeDocument/2006/bibliography"/>
  </ds:schemaRefs>
</ds:datastoreItem>
</file>

<file path=customXml/itemProps4.xml><?xml version="1.0" encoding="utf-8"?>
<ds:datastoreItem xmlns:ds="http://schemas.openxmlformats.org/officeDocument/2006/customXml" ds:itemID="{AA4F9120-1199-4DAB-BE73-B12C1AC70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A8D3DA-66F5-463E-B09A-258CCEB7C242}">
  <ds:schemaRefs>
    <ds:schemaRef ds:uri="Microsoft.SharePoint.Taxonomy.ContentTypeSync"/>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172</Pages>
  <Words>55298</Words>
  <Characters>315202</Characters>
  <Application>Microsoft Office Word</Application>
  <DocSecurity>0</DocSecurity>
  <Lines>2626</Lines>
  <Paragraphs>739</Paragraphs>
  <ScaleCrop>false</ScaleCrop>
  <Company/>
  <LinksUpToDate>false</LinksUpToDate>
  <CharactersWithSpaces>369761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Tope</dc:creator>
  <cp:keywords/>
  <dc:description/>
  <cp:lastModifiedBy>Martha Mulumba</cp:lastModifiedBy>
  <cp:revision>2</cp:revision>
  <cp:lastPrinted>2026-05-21T12:56:00Z</cp:lastPrinted>
  <dcterms:created xsi:type="dcterms:W3CDTF">2026-05-21T12:57:00Z</dcterms:created>
  <dcterms:modified xsi:type="dcterms:W3CDTF">2026-05-21T12:57:00Z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0x010100AF687BC085C91946BC54CBDC5AB286CC00C98D0C8D73AF894E997C937D021D4600</vt:lpwstr>
  </property>
  <property fmtid="{D5CDD505-2E9C-101B-9397-08002B2CF9AE}" pid="3" name="MediaServiceImageTags">
    <vt:lpwstr/>
  </property>
  <property fmtid="{D5CDD505-2E9C-101B-9397-08002B2CF9AE}" pid="4" name="Office_x0020_of_x0020_Origin">
    <vt:lpwstr/>
  </property>
  <property fmtid="{D5CDD505-2E9C-101B-9397-08002B2CF9AE}" pid="5" name="lcf76f155ced4ddcb4097134ff3c332f">
    <vt:lpwstr/>
  </property>
  <property fmtid="{D5CDD505-2E9C-101B-9397-08002B2CF9AE}" pid="6" name="Office of Origin">
    <vt:lpwstr/>
  </property>
</Properties>
</file>